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E15A71" w14:textId="6361E192" w:rsidR="006E6367" w:rsidRDefault="006E6367" w:rsidP="006E6367">
      <w:pPr>
        <w:rPr>
          <w:rFonts w:cs="Arial"/>
          <w:b/>
          <w:color w:val="2C2C2C"/>
          <w:sz w:val="40"/>
          <w:szCs w:val="40"/>
          <w:lang w:val="en"/>
        </w:rPr>
      </w:pPr>
      <w:r>
        <w:rPr>
          <w:noProof/>
          <w:lang w:val="en-US"/>
        </w:rPr>
        <w:drawing>
          <wp:anchor distT="0" distB="0" distL="114300" distR="114300" simplePos="0" relativeHeight="251660288" behindDoc="1" locked="0" layoutInCell="1" allowOverlap="1" wp14:anchorId="6043BEA6" wp14:editId="21F5C311">
            <wp:simplePos x="0" y="0"/>
            <wp:positionH relativeFrom="column">
              <wp:posOffset>3722825</wp:posOffset>
            </wp:positionH>
            <wp:positionV relativeFrom="paragraph">
              <wp:posOffset>180</wp:posOffset>
            </wp:positionV>
            <wp:extent cx="1847850" cy="876300"/>
            <wp:effectExtent l="0" t="0" r="0" b="0"/>
            <wp:wrapThrough wrapText="bothSides">
              <wp:wrapPolygon edited="0">
                <wp:start x="0" y="0"/>
                <wp:lineTo x="0" y="21130"/>
                <wp:lineTo x="21377" y="21130"/>
                <wp:lineTo x="21377" y="0"/>
                <wp:lineTo x="0" y="0"/>
              </wp:wrapPolygon>
            </wp:wrapThrough>
            <wp:docPr id="1" name="Picture 1" descr="Description: C:\Users\pgamble\AppData\Local\Microsoft\Windows\Temporary Internet Files\Content.Outlook\1FMV804L\Rail and Road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gamble\AppData\Local\Microsoft\Windows\Temporary Internet Files\Content.Outlook\1FMV804L\Rail and Road logo 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178969" w14:textId="4AFF6626" w:rsidR="00C35843" w:rsidRDefault="00C35843" w:rsidP="006E6367">
      <w:pPr>
        <w:rPr>
          <w:rFonts w:cs="Arial"/>
          <w:b/>
          <w:color w:val="2C2C2C"/>
          <w:sz w:val="40"/>
          <w:szCs w:val="40"/>
          <w:lang w:val="en"/>
        </w:rPr>
      </w:pPr>
    </w:p>
    <w:p w14:paraId="42FE93F3" w14:textId="77777777" w:rsidR="00C35843" w:rsidRDefault="00C35843" w:rsidP="006E6367">
      <w:pPr>
        <w:rPr>
          <w:rFonts w:cs="Arial"/>
          <w:b/>
          <w:color w:val="2C2C2C"/>
          <w:sz w:val="40"/>
          <w:szCs w:val="40"/>
          <w:lang w:val="en"/>
        </w:rPr>
      </w:pPr>
    </w:p>
    <w:p w14:paraId="54574EAE" w14:textId="77777777" w:rsidR="006E6367" w:rsidRDefault="006E6367" w:rsidP="006E6367">
      <w:pPr>
        <w:rPr>
          <w:rFonts w:cs="Arial"/>
          <w:b/>
          <w:color w:val="2C2C2C"/>
          <w:sz w:val="40"/>
          <w:szCs w:val="40"/>
          <w:lang w:val="en"/>
        </w:rPr>
      </w:pPr>
    </w:p>
    <w:p w14:paraId="34725ACE" w14:textId="77777777" w:rsidR="00F52BE8" w:rsidRPr="006E6367" w:rsidRDefault="00F52BE8" w:rsidP="006E6367">
      <w:pPr>
        <w:jc w:val="center"/>
        <w:rPr>
          <w:rFonts w:ascii="Verdana" w:hAnsi="Verdana"/>
          <w:color w:val="2C2C2C"/>
          <w:sz w:val="17"/>
          <w:szCs w:val="17"/>
          <w:lang w:val="en"/>
        </w:rPr>
      </w:pPr>
      <w:r w:rsidRPr="00601683">
        <w:rPr>
          <w:rFonts w:cs="Arial"/>
          <w:b/>
          <w:color w:val="2C2C2C"/>
          <w:sz w:val="40"/>
          <w:szCs w:val="40"/>
          <w:lang w:val="en"/>
        </w:rPr>
        <w:t>INVITATION TO TENDER</w:t>
      </w:r>
    </w:p>
    <w:p w14:paraId="22125266"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33EFEA6C" w14:textId="77777777" w:rsidR="00F52BE8" w:rsidRDefault="00F52BE8" w:rsidP="00F52BE8">
      <w:pPr>
        <w:jc w:val="center"/>
        <w:rPr>
          <w:rFonts w:cs="Arial"/>
          <w:b/>
          <w:u w:val="single"/>
        </w:rPr>
      </w:pPr>
      <w:r>
        <w:rPr>
          <w:rFonts w:cs="Arial"/>
          <w:b/>
          <w:color w:val="2C2C2C"/>
          <w:sz w:val="40"/>
          <w:szCs w:val="40"/>
          <w:lang w:val="en"/>
        </w:rPr>
        <w:t>STATEMENT OF REQUIREMENT</w:t>
      </w:r>
    </w:p>
    <w:p w14:paraId="16010322" w14:textId="77777777" w:rsidR="00F52BE8" w:rsidRDefault="00F52BE8" w:rsidP="00F52BE8">
      <w:pPr>
        <w:jc w:val="center"/>
        <w:rPr>
          <w:rFonts w:cs="Arial"/>
          <w:b/>
          <w:u w:val="single"/>
        </w:rPr>
      </w:pPr>
    </w:p>
    <w:p w14:paraId="3FE1F748" w14:textId="77777777" w:rsidR="00F52BE8" w:rsidRDefault="00F52BE8" w:rsidP="00F52BE8">
      <w:pPr>
        <w:jc w:val="center"/>
        <w:rPr>
          <w:rFonts w:cs="Arial"/>
          <w:b/>
          <w:u w:val="single"/>
        </w:rPr>
      </w:pPr>
    </w:p>
    <w:p w14:paraId="5AD86D61" w14:textId="77777777" w:rsidR="00F52BE8" w:rsidRDefault="00F52BE8" w:rsidP="00F52BE8">
      <w:pPr>
        <w:jc w:val="center"/>
        <w:rPr>
          <w:rFonts w:cs="Arial"/>
          <w:b/>
          <w:u w:val="single"/>
        </w:rPr>
      </w:pPr>
    </w:p>
    <w:p w14:paraId="3BE9157B" w14:textId="77777777" w:rsidR="00235E4D" w:rsidRPr="00235E4D" w:rsidRDefault="009B1A8F" w:rsidP="00F52BE8">
      <w:pPr>
        <w:jc w:val="center"/>
        <w:rPr>
          <w:rFonts w:cs="Arial"/>
          <w:b/>
          <w:color w:val="000000" w:themeColor="text1"/>
          <w:u w:val="single"/>
        </w:rPr>
      </w:pPr>
      <w:r>
        <w:rPr>
          <w:rFonts w:cs="Arial"/>
          <w:b/>
          <w:color w:val="000000" w:themeColor="text1"/>
          <w:u w:val="single"/>
        </w:rPr>
        <w:t>Review of Network Rail’</w:t>
      </w:r>
      <w:r w:rsidR="002E4293">
        <w:rPr>
          <w:rFonts w:cs="Arial"/>
          <w:b/>
          <w:color w:val="000000" w:themeColor="text1"/>
          <w:u w:val="single"/>
        </w:rPr>
        <w:t>s</w:t>
      </w:r>
      <w:r>
        <w:rPr>
          <w:rFonts w:cs="Arial"/>
          <w:b/>
          <w:color w:val="000000" w:themeColor="text1"/>
          <w:u w:val="single"/>
        </w:rPr>
        <w:t xml:space="preserve"> W</w:t>
      </w:r>
      <w:r w:rsidR="002E4293">
        <w:rPr>
          <w:rFonts w:cs="Arial"/>
          <w:b/>
          <w:color w:val="000000" w:themeColor="text1"/>
          <w:u w:val="single"/>
        </w:rPr>
        <w:t xml:space="preserve">eather Resilience and Climate Change Adaptation </w:t>
      </w:r>
      <w:r>
        <w:rPr>
          <w:rFonts w:cs="Arial"/>
          <w:b/>
          <w:color w:val="000000" w:themeColor="text1"/>
          <w:u w:val="single"/>
        </w:rPr>
        <w:t>Plans</w:t>
      </w:r>
      <w:r w:rsidR="00C04C45" w:rsidRPr="00235E4D">
        <w:rPr>
          <w:rFonts w:cs="Arial"/>
          <w:b/>
          <w:color w:val="000000" w:themeColor="text1"/>
          <w:u w:val="single"/>
        </w:rPr>
        <w:t xml:space="preserve"> </w:t>
      </w:r>
    </w:p>
    <w:p w14:paraId="77E9D118" w14:textId="77777777" w:rsidR="00F52BE8" w:rsidRPr="00235E4D" w:rsidRDefault="00F52BE8" w:rsidP="00F52BE8">
      <w:pPr>
        <w:jc w:val="center"/>
        <w:rPr>
          <w:rFonts w:cs="Arial"/>
          <w:b/>
          <w:color w:val="000000" w:themeColor="text1"/>
          <w:u w:val="single"/>
        </w:rPr>
      </w:pPr>
    </w:p>
    <w:p w14:paraId="60077583" w14:textId="77777777" w:rsidR="00F52BE8" w:rsidRPr="00034159" w:rsidRDefault="00F52BE8" w:rsidP="00F52BE8">
      <w:pPr>
        <w:jc w:val="center"/>
        <w:rPr>
          <w:rFonts w:cs="Arial"/>
          <w:b/>
          <w:u w:val="single"/>
        </w:rPr>
      </w:pPr>
    </w:p>
    <w:p w14:paraId="1933FCBB" w14:textId="77777777" w:rsidR="00F52BE8" w:rsidRPr="00034159" w:rsidRDefault="00F52BE8" w:rsidP="00F52BE8">
      <w:pPr>
        <w:jc w:val="center"/>
        <w:rPr>
          <w:rFonts w:cs="Arial"/>
          <w:b/>
          <w:u w:val="single"/>
        </w:rPr>
      </w:pPr>
    </w:p>
    <w:p w14:paraId="1DD1FFCD" w14:textId="77777777" w:rsidR="00CB7DC1" w:rsidRPr="00CB7DC1" w:rsidRDefault="00F52BE8" w:rsidP="008200E5">
      <w:pPr>
        <w:spacing w:after="0" w:line="360" w:lineRule="auto"/>
        <w:rPr>
          <w:rFonts w:cs="Arial"/>
          <w:b/>
          <w:u w:val="single"/>
        </w:rPr>
      </w:pPr>
      <w:r w:rsidRPr="00034159">
        <w:rPr>
          <w:rFonts w:cs="Arial"/>
          <w:b/>
          <w:u w:val="single"/>
        </w:rPr>
        <w:t xml:space="preserve">CPV Code: </w:t>
      </w:r>
      <w:r w:rsidR="00CB7DC1" w:rsidRPr="00CB7DC1">
        <w:rPr>
          <w:rFonts w:cs="Arial"/>
          <w:b/>
          <w:u w:val="single"/>
        </w:rPr>
        <w:t>73210000</w:t>
      </w:r>
    </w:p>
    <w:p w14:paraId="4D9BE3D9" w14:textId="3B754B2E" w:rsidR="00F52BE8" w:rsidRPr="00CB7DC1" w:rsidRDefault="00F52BE8" w:rsidP="008200E5">
      <w:pPr>
        <w:spacing w:after="0" w:line="360" w:lineRule="auto"/>
        <w:rPr>
          <w:rFonts w:cs="Arial"/>
          <w:b/>
          <w:u w:val="single"/>
        </w:rPr>
      </w:pPr>
      <w:r>
        <w:rPr>
          <w:rFonts w:cs="Arial"/>
          <w:b/>
          <w:u w:val="single"/>
        </w:rPr>
        <w:t xml:space="preserve">Tender Reference: </w:t>
      </w:r>
      <w:r w:rsidR="008200E5" w:rsidRPr="00CB7DC1">
        <w:rPr>
          <w:rFonts w:cs="Arial"/>
          <w:b/>
          <w:u w:val="single"/>
        </w:rPr>
        <w:t>ORR/CT/20-44</w:t>
      </w:r>
    </w:p>
    <w:p w14:paraId="7080E45B" w14:textId="77777777" w:rsidR="00F52BE8" w:rsidRDefault="00F52BE8" w:rsidP="00F52BE8">
      <w:pPr>
        <w:rPr>
          <w:b/>
          <w:sz w:val="20"/>
        </w:rPr>
      </w:pPr>
    </w:p>
    <w:p w14:paraId="1BC55FD0" w14:textId="77777777" w:rsidR="00F52BE8" w:rsidRDefault="00F52BE8" w:rsidP="00F52BE8">
      <w:pPr>
        <w:rPr>
          <w:b/>
          <w:sz w:val="20"/>
        </w:rPr>
      </w:pPr>
    </w:p>
    <w:p w14:paraId="7DF95FA3" w14:textId="77777777" w:rsidR="00F52BE8" w:rsidRDefault="00F52BE8" w:rsidP="00F52BE8">
      <w:pPr>
        <w:rPr>
          <w:b/>
          <w:sz w:val="20"/>
        </w:rPr>
      </w:pPr>
    </w:p>
    <w:p w14:paraId="62D6EF71"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6AACAC5F" w14:textId="77777777" w:rsidR="002E4293"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 xml:space="preserve">The purpose of this document is to invite proposals for </w:t>
      </w:r>
      <w:r w:rsidR="002E4293">
        <w:rPr>
          <w:rFonts w:cs="Arial"/>
          <w:color w:val="000000"/>
        </w:rPr>
        <w:t>reviewing Network Rail’s r</w:t>
      </w:r>
      <w:r w:rsidR="002E4293" w:rsidRPr="002E4293">
        <w:rPr>
          <w:rFonts w:cs="Arial"/>
          <w:color w:val="000000"/>
        </w:rPr>
        <w:t>oute-specific weather resilience</w:t>
      </w:r>
      <w:r w:rsidR="002E4293">
        <w:rPr>
          <w:rFonts w:cs="Arial"/>
          <w:color w:val="000000"/>
        </w:rPr>
        <w:t xml:space="preserve"> and climate change adaptation</w:t>
      </w:r>
      <w:r w:rsidR="002E4293" w:rsidRPr="002E4293">
        <w:rPr>
          <w:rFonts w:cs="Arial"/>
          <w:color w:val="000000"/>
        </w:rPr>
        <w:t xml:space="preserve"> plans</w:t>
      </w:r>
      <w:r w:rsidR="002E4293">
        <w:rPr>
          <w:rFonts w:cs="Arial"/>
          <w:color w:val="000000"/>
        </w:rPr>
        <w:t>.</w:t>
      </w:r>
    </w:p>
    <w:p w14:paraId="7D5DAF0B" w14:textId="77777777" w:rsidR="00F52BE8" w:rsidRDefault="00F52BE8" w:rsidP="00F52BE8">
      <w:pPr>
        <w:pStyle w:val="ListNumber"/>
        <w:numPr>
          <w:ilvl w:val="0"/>
          <w:numId w:val="0"/>
        </w:numPr>
        <w:rPr>
          <w:b/>
          <w:sz w:val="28"/>
          <w:szCs w:val="28"/>
          <w:u w:val="single"/>
        </w:rPr>
      </w:pPr>
      <w:r>
        <w:t>This document contains the following sections:</w:t>
      </w:r>
    </w:p>
    <w:p w14:paraId="0E1146D7"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47D753BD"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2AB444E4"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60C3A064"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4BECF3B2"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5C4DC58F"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2EA0ED3F"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6EBA4BBF" w14:textId="77777777"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now also hold Highways England to account for its day-to-day efficiency and performance, running the strategic road network, and for delivering the five year road investment strategy set by the Department for Transport (DfT).</w:t>
      </w:r>
      <w:r>
        <w:rPr>
          <w:rFonts w:cs="Arial"/>
          <w:szCs w:val="24"/>
        </w:rPr>
        <w:t xml:space="preserve"> </w:t>
      </w:r>
    </w:p>
    <w:p w14:paraId="7BF8D1A0" w14:textId="77777777" w:rsidR="00F52BE8" w:rsidRDefault="00F52BE8" w:rsidP="00F52BE8">
      <w:pPr>
        <w:pStyle w:val="ListNumber"/>
        <w:numPr>
          <w:ilvl w:val="0"/>
          <w:numId w:val="0"/>
        </w:numPr>
        <w:spacing w:before="0" w:after="0"/>
        <w:rPr>
          <w:rFonts w:cs="Arial"/>
          <w:szCs w:val="24"/>
        </w:rPr>
      </w:pPr>
    </w:p>
    <w:p w14:paraId="138ECF0E" w14:textId="77777777" w:rsidR="00F52BE8" w:rsidRPr="00BA669C" w:rsidRDefault="00F52BE8" w:rsidP="00F52BE8">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r>
        <w:rPr>
          <w:rFonts w:cs="Arial"/>
          <w:szCs w:val="24"/>
        </w:rPr>
        <w:t xml:space="preserve">6 </w:t>
      </w:r>
      <w:r w:rsidRPr="00BA669C">
        <w:rPr>
          <w:rFonts w:cs="Arial"/>
          <w:szCs w:val="24"/>
        </w:rPr>
        <w:t xml:space="preserve">locations nationwide. The majority of personnel are located at ORR’s headquarters, </w:t>
      </w:r>
      <w:r w:rsidR="00F26B55" w:rsidRPr="00F26B55">
        <w:rPr>
          <w:rFonts w:cs="Arial"/>
          <w:szCs w:val="24"/>
        </w:rPr>
        <w:t>25 Cabot Square, London.</w:t>
      </w:r>
    </w:p>
    <w:p w14:paraId="68A9FD29" w14:textId="77777777" w:rsidR="00F52BE8" w:rsidRDefault="00F52BE8" w:rsidP="00F52BE8">
      <w:pPr>
        <w:pStyle w:val="ListNumber"/>
        <w:numPr>
          <w:ilvl w:val="0"/>
          <w:numId w:val="0"/>
        </w:numPr>
        <w:spacing w:before="0" w:after="0"/>
        <w:rPr>
          <w:rFonts w:cs="Arial"/>
          <w:sz w:val="28"/>
          <w:szCs w:val="28"/>
          <w:u w:val="single"/>
        </w:rPr>
      </w:pPr>
    </w:p>
    <w:p w14:paraId="5C620D1F"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389E4870" w14:textId="77777777" w:rsidR="00F52BE8" w:rsidRPr="007E2FBB" w:rsidRDefault="00F52BE8" w:rsidP="00F52BE8">
      <w:pPr>
        <w:tabs>
          <w:tab w:val="left" w:pos="720"/>
        </w:tabs>
        <w:spacing w:after="0"/>
        <w:rPr>
          <w:rFonts w:cs="Arial"/>
          <w:szCs w:val="24"/>
          <w:u w:val="single"/>
        </w:rPr>
      </w:pPr>
    </w:p>
    <w:p w14:paraId="2B4DB2ED" w14:textId="77777777" w:rsidR="00F52BE8" w:rsidRPr="007E2FBB" w:rsidRDefault="00F52BE8" w:rsidP="00F52BE8">
      <w:pPr>
        <w:tabs>
          <w:tab w:val="left" w:pos="720"/>
        </w:tabs>
        <w:spacing w:after="0"/>
        <w:rPr>
          <w:rFonts w:cs="Arial"/>
          <w:szCs w:val="24"/>
        </w:rPr>
      </w:pPr>
      <w:r w:rsidRPr="007E2FBB">
        <w:rPr>
          <w:rFonts w:cs="Arial"/>
          <w:b/>
          <w:bCs/>
          <w:szCs w:val="24"/>
        </w:rPr>
        <w:t>1. Drive for a safer railway:</w:t>
      </w:r>
      <w:r w:rsidRPr="007E2FBB">
        <w:rPr>
          <w:rFonts w:cs="Arial"/>
          <w:szCs w:val="24"/>
        </w:rPr>
        <w:br/>
        <w:t>Enforce the law and ensure that the industry delivers continuous improvement in the health and safety of passengers, the workforce and public, by achieving excellence in health and safety culture, management and risk control.</w:t>
      </w:r>
    </w:p>
    <w:p w14:paraId="5ED5F773" w14:textId="77777777" w:rsidR="00F52BE8" w:rsidRPr="007E2FBB" w:rsidRDefault="00F52BE8" w:rsidP="00F52BE8">
      <w:pPr>
        <w:tabs>
          <w:tab w:val="left" w:pos="720"/>
        </w:tabs>
        <w:spacing w:after="0"/>
        <w:rPr>
          <w:rFonts w:cs="Arial"/>
          <w:szCs w:val="24"/>
        </w:rPr>
      </w:pPr>
    </w:p>
    <w:p w14:paraId="5182F04F" w14:textId="77777777" w:rsidR="00F52BE8" w:rsidRPr="007E2FBB" w:rsidRDefault="00F52BE8" w:rsidP="00F52BE8">
      <w:pPr>
        <w:tabs>
          <w:tab w:val="left" w:pos="720"/>
        </w:tabs>
        <w:spacing w:after="0"/>
        <w:rPr>
          <w:rFonts w:cs="Arial"/>
          <w:szCs w:val="24"/>
        </w:rPr>
      </w:pPr>
      <w:r w:rsidRPr="007E2FBB">
        <w:rPr>
          <w:rFonts w:cs="Arial"/>
          <w:b/>
          <w:bCs/>
          <w:szCs w:val="24"/>
        </w:rPr>
        <w:t>2. Support a better service for customers:</w:t>
      </w:r>
      <w:r w:rsidRPr="007E2FBB">
        <w:rPr>
          <w:rFonts w:cs="Arial"/>
          <w:szCs w:val="24"/>
        </w:rPr>
        <w:b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14:paraId="2749F85E" w14:textId="77777777" w:rsidR="00F52BE8" w:rsidRPr="007E2FBB" w:rsidRDefault="00F52BE8" w:rsidP="00F52BE8">
      <w:pPr>
        <w:tabs>
          <w:tab w:val="left" w:pos="720"/>
        </w:tabs>
        <w:spacing w:after="0"/>
        <w:rPr>
          <w:rFonts w:cs="Arial"/>
          <w:szCs w:val="24"/>
        </w:rPr>
      </w:pPr>
    </w:p>
    <w:p w14:paraId="5BC9F6AD" w14:textId="77777777" w:rsidR="00F52BE8" w:rsidRPr="007E2FBB" w:rsidRDefault="00F52BE8" w:rsidP="00F52BE8">
      <w:pPr>
        <w:tabs>
          <w:tab w:val="left" w:pos="720"/>
        </w:tabs>
        <w:spacing w:after="0"/>
        <w:rPr>
          <w:rFonts w:cs="Arial"/>
          <w:szCs w:val="24"/>
        </w:rPr>
      </w:pPr>
      <w:r w:rsidRPr="007E2FBB">
        <w:rPr>
          <w:rFonts w:cs="Arial"/>
          <w:b/>
          <w:bCs/>
          <w:szCs w:val="24"/>
        </w:rPr>
        <w:t>3. Secure value for money from the railway, for users and funders:</w:t>
      </w:r>
      <w:r w:rsidRPr="007E2FBB">
        <w:rPr>
          <w:rFonts w:cs="Arial"/>
          <w:szCs w:val="24"/>
        </w:rPr>
        <w:br/>
        <w:t>Strengthen incentives for the whole industry, including through competition and contestability in the supply chain, to drive greater efficiency from the use and maintenance of existing railway capacity and more cost-effective investment in the network.</w:t>
      </w:r>
    </w:p>
    <w:p w14:paraId="6E094474" w14:textId="77777777" w:rsidR="00F52BE8" w:rsidRPr="007E2FBB" w:rsidRDefault="00F52BE8" w:rsidP="00F52BE8">
      <w:pPr>
        <w:tabs>
          <w:tab w:val="left" w:pos="720"/>
        </w:tabs>
        <w:spacing w:after="0"/>
        <w:rPr>
          <w:rFonts w:cs="Arial"/>
          <w:szCs w:val="24"/>
        </w:rPr>
      </w:pPr>
    </w:p>
    <w:p w14:paraId="74940EC6" w14:textId="77777777" w:rsidR="00F52BE8" w:rsidRPr="007E2FBB" w:rsidRDefault="00F52BE8" w:rsidP="00F52BE8">
      <w:pPr>
        <w:tabs>
          <w:tab w:val="left" w:pos="720"/>
        </w:tabs>
        <w:spacing w:after="0"/>
        <w:rPr>
          <w:rFonts w:cs="Arial"/>
          <w:szCs w:val="24"/>
        </w:rPr>
      </w:pPr>
      <w:r w:rsidRPr="007E2FBB">
        <w:rPr>
          <w:rFonts w:cs="Arial"/>
          <w:b/>
          <w:bCs/>
          <w:szCs w:val="24"/>
        </w:rPr>
        <w:t>4. Secure improved performance and value for money from the strategic road network:</w:t>
      </w:r>
      <w:r w:rsidRPr="007E2FBB">
        <w:rPr>
          <w:rFonts w:cs="Arial"/>
          <w:szCs w:val="24"/>
        </w:rPr>
        <w:br/>
        <w:t>Secure improved performance, including efficiency, safety and sustainability, from the strategic road network, for the benefit of road users and the public, through proportionate, risk-based monitoring, increased transparency, enforcement and robust advice on future performance requirements.</w:t>
      </w:r>
    </w:p>
    <w:p w14:paraId="6F07ACDA" w14:textId="77777777" w:rsidR="00F52BE8" w:rsidRDefault="00F52BE8" w:rsidP="00F52BE8">
      <w:pPr>
        <w:pStyle w:val="ListNumber"/>
        <w:numPr>
          <w:ilvl w:val="0"/>
          <w:numId w:val="0"/>
        </w:numPr>
        <w:spacing w:before="0" w:after="0"/>
        <w:rPr>
          <w:sz w:val="29"/>
          <w:szCs w:val="29"/>
          <w:lang w:val="en"/>
        </w:rPr>
      </w:pPr>
    </w:p>
    <w:p w14:paraId="147F08D4"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68827A90"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70A4E670"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012947C2"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service; </w:t>
      </w:r>
    </w:p>
    <w:p w14:paraId="27B294B3"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cost; </w:t>
      </w:r>
    </w:p>
    <w:p w14:paraId="08FF6BDA"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contracts are managed effectively and outputs are delivered; </w:t>
      </w:r>
    </w:p>
    <w:p w14:paraId="49D93A7C"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2DA596A7" w14:textId="77777777" w:rsidR="00F52BE8" w:rsidRPr="00DF0367" w:rsidRDefault="00F52BE8" w:rsidP="00F52BE8">
      <w:pPr>
        <w:pStyle w:val="ListNumber"/>
        <w:numPr>
          <w:ilvl w:val="0"/>
          <w:numId w:val="3"/>
        </w:numPr>
        <w:rPr>
          <w:lang w:val="en" w:eastAsia="en-GB"/>
        </w:rPr>
      </w:pPr>
      <w:r w:rsidRPr="00DF0367">
        <w:rPr>
          <w:lang w:val="en" w:eastAsia="en-GB"/>
        </w:rPr>
        <w:t>to ensure that procurement is undertaken with regard to Law and best practice.</w:t>
      </w:r>
    </w:p>
    <w:p w14:paraId="44916088"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9" w:history="1">
        <w:r w:rsidRPr="005A690E">
          <w:rPr>
            <w:rStyle w:val="Hyperlink"/>
          </w:rPr>
          <w:t>www.orr.gov.uk</w:t>
        </w:r>
      </w:hyperlink>
    </w:p>
    <w:p w14:paraId="18310F69"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2D28E5FE" w14:textId="77777777" w:rsidR="00F52BE8" w:rsidRPr="006F78AD" w:rsidRDefault="00F52BE8" w:rsidP="00F52BE8">
      <w:pPr>
        <w:pStyle w:val="ListNumber"/>
        <w:numPr>
          <w:ilvl w:val="0"/>
          <w:numId w:val="0"/>
        </w:numPr>
        <w:spacing w:before="0" w:after="0"/>
        <w:rPr>
          <w:rFonts w:cs="Arial"/>
        </w:rPr>
      </w:pPr>
    </w:p>
    <w:p w14:paraId="150C199E" w14:textId="77777777" w:rsidR="00F52BE8" w:rsidRDefault="00F52BE8" w:rsidP="00F52BE8">
      <w:pPr>
        <w:rPr>
          <w:rFonts w:cs="Arial"/>
          <w:szCs w:val="24"/>
        </w:rPr>
      </w:pPr>
      <w:r>
        <w:rPr>
          <w:rFonts w:cs="Arial"/>
          <w:szCs w:val="24"/>
        </w:rP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0C3F7BCC"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2692D753" w14:textId="77777777" w:rsidTr="00A86302">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7A7CF9D4" w14:textId="77777777" w:rsidR="00F52BE8" w:rsidRPr="00362F5D" w:rsidRDefault="00F52BE8" w:rsidP="00A86302">
            <w:pPr>
              <w:jc w:val="center"/>
              <w:rPr>
                <w:rFonts w:cs="Arial"/>
                <w:b/>
                <w:bCs/>
              </w:rPr>
            </w:pPr>
            <w:smartTag w:uri="urn:schemas-microsoft-com:office:smarttags" w:element="place">
              <w:smartTag w:uri="urn:schemas-microsoft-com:office:smarttags" w:element="City">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2789271D" w14:textId="77777777" w:rsidR="00F52BE8" w:rsidRPr="00362F5D" w:rsidRDefault="00F52BE8" w:rsidP="00A86302">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53AE48FE" w14:textId="77777777" w:rsidR="00F52BE8" w:rsidRPr="00362F5D" w:rsidRDefault="00F52BE8" w:rsidP="00A86302">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603320B9" w14:textId="77777777" w:rsidR="00F52BE8" w:rsidRPr="00362F5D" w:rsidRDefault="00F52BE8" w:rsidP="00A86302">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247B3AFE" w14:textId="77777777" w:rsidR="00F52BE8" w:rsidRPr="00362F5D" w:rsidRDefault="00F52BE8" w:rsidP="00A86302">
            <w:pPr>
              <w:jc w:val="center"/>
              <w:rPr>
                <w:rFonts w:cs="Arial"/>
                <w:b/>
                <w:bCs/>
              </w:rPr>
            </w:pPr>
            <w:r w:rsidRPr="00362F5D">
              <w:rPr>
                <w:rFonts w:cs="Arial"/>
                <w:b/>
                <w:bCs/>
              </w:rPr>
              <w:t>Balance Sheet Total</w:t>
            </w:r>
          </w:p>
        </w:tc>
      </w:tr>
      <w:tr w:rsidR="00F52BE8" w:rsidRPr="00362F5D" w14:paraId="612854CA" w14:textId="77777777" w:rsidTr="00A86302">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6A5B55B4" w14:textId="77777777" w:rsidR="00F52BE8" w:rsidRPr="00362F5D" w:rsidRDefault="00F52BE8" w:rsidP="00A86302">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4CF3D054" w14:textId="77777777" w:rsidR="00F52BE8" w:rsidRPr="00362F5D" w:rsidRDefault="00F52BE8" w:rsidP="00A86302">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408BFC9C" w14:textId="77777777" w:rsidR="00F52BE8" w:rsidRPr="00362F5D" w:rsidRDefault="00F52BE8" w:rsidP="00A86302">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566BB32" w14:textId="77777777" w:rsidR="00F52BE8" w:rsidRPr="00362F5D" w:rsidRDefault="00F52BE8" w:rsidP="00A86302">
            <w:pPr>
              <w:jc w:val="center"/>
              <w:rPr>
                <w:rFonts w:cs="Arial"/>
                <w:b/>
                <w:bCs/>
              </w:rPr>
            </w:pPr>
            <w:r w:rsidRPr="00362F5D">
              <w:rPr>
                <w:rFonts w:cs="Arial"/>
                <w:b/>
                <w:bCs/>
              </w:rPr>
              <w:t>≤ € 2 million</w:t>
            </w:r>
          </w:p>
        </w:tc>
      </w:tr>
      <w:tr w:rsidR="00F52BE8" w:rsidRPr="00362F5D" w14:paraId="70F883B6" w14:textId="77777777" w:rsidTr="00A86302">
        <w:trPr>
          <w:trHeight w:val="516"/>
        </w:trPr>
        <w:tc>
          <w:tcPr>
            <w:tcW w:w="1730" w:type="dxa"/>
            <w:vMerge/>
            <w:tcBorders>
              <w:top w:val="nil"/>
              <w:left w:val="single" w:sz="4" w:space="0" w:color="auto"/>
              <w:bottom w:val="single" w:sz="4" w:space="0" w:color="000000"/>
              <w:right w:val="single" w:sz="4" w:space="0" w:color="auto"/>
            </w:tcBorders>
            <w:vAlign w:val="center"/>
          </w:tcPr>
          <w:p w14:paraId="6349AB3D" w14:textId="77777777" w:rsidR="00F52BE8" w:rsidRPr="00362F5D" w:rsidRDefault="00F52BE8" w:rsidP="00A86302">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1C3B258B" w14:textId="77777777" w:rsidR="00F52BE8" w:rsidRPr="00362F5D" w:rsidRDefault="00F52BE8" w:rsidP="00A86302">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241C0BEE" w14:textId="77777777" w:rsidR="00F52BE8" w:rsidRPr="00362F5D" w:rsidRDefault="00F52BE8" w:rsidP="00A86302">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63027968" w14:textId="77777777" w:rsidR="00F52BE8" w:rsidRPr="00362F5D" w:rsidRDefault="00F52BE8" w:rsidP="00A86302">
            <w:pPr>
              <w:rPr>
                <w:rFonts w:cs="Arial"/>
                <w:b/>
                <w:bCs/>
              </w:rPr>
            </w:pPr>
          </w:p>
        </w:tc>
      </w:tr>
      <w:tr w:rsidR="00F52BE8" w:rsidRPr="00362F5D" w14:paraId="015AA695" w14:textId="77777777" w:rsidTr="00A86302">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8E1E3C4" w14:textId="77777777" w:rsidR="00F52BE8" w:rsidRPr="00362F5D" w:rsidRDefault="00F52BE8" w:rsidP="00A86302">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5CEB996A" w14:textId="77777777" w:rsidR="00F52BE8" w:rsidRPr="00362F5D" w:rsidRDefault="00F52BE8" w:rsidP="00A86302">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5694EB9" w14:textId="77777777" w:rsidR="00F52BE8" w:rsidRPr="00362F5D" w:rsidRDefault="00F52BE8" w:rsidP="00A86302">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43FDF988" w14:textId="77777777" w:rsidR="00F52BE8" w:rsidRPr="00362F5D" w:rsidRDefault="00F52BE8" w:rsidP="00A86302">
            <w:pPr>
              <w:jc w:val="center"/>
              <w:rPr>
                <w:rFonts w:cs="Arial"/>
                <w:b/>
                <w:bCs/>
              </w:rPr>
            </w:pPr>
            <w:r w:rsidRPr="00362F5D">
              <w:rPr>
                <w:rFonts w:cs="Arial"/>
                <w:b/>
                <w:bCs/>
              </w:rPr>
              <w:t>≤ € 10 million</w:t>
            </w:r>
          </w:p>
        </w:tc>
      </w:tr>
      <w:tr w:rsidR="00F52BE8" w:rsidRPr="00362F5D" w14:paraId="25424195" w14:textId="77777777" w:rsidTr="00A86302">
        <w:trPr>
          <w:trHeight w:val="516"/>
        </w:trPr>
        <w:tc>
          <w:tcPr>
            <w:tcW w:w="1730" w:type="dxa"/>
            <w:vMerge/>
            <w:tcBorders>
              <w:top w:val="nil"/>
              <w:left w:val="single" w:sz="4" w:space="0" w:color="auto"/>
              <w:bottom w:val="single" w:sz="4" w:space="0" w:color="000000"/>
              <w:right w:val="single" w:sz="4" w:space="0" w:color="auto"/>
            </w:tcBorders>
            <w:vAlign w:val="center"/>
          </w:tcPr>
          <w:p w14:paraId="0DB5633F" w14:textId="77777777" w:rsidR="00F52BE8" w:rsidRPr="00362F5D" w:rsidRDefault="00F52BE8" w:rsidP="00A86302">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02AD1573" w14:textId="77777777" w:rsidR="00F52BE8" w:rsidRPr="00362F5D" w:rsidRDefault="00F52BE8" w:rsidP="00A86302">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51C862D" w14:textId="77777777" w:rsidR="00F52BE8" w:rsidRPr="00362F5D" w:rsidRDefault="00F52BE8" w:rsidP="00A86302">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25440AE" w14:textId="77777777" w:rsidR="00F52BE8" w:rsidRPr="00362F5D" w:rsidRDefault="00F52BE8" w:rsidP="00A86302">
            <w:pPr>
              <w:rPr>
                <w:rFonts w:cs="Arial"/>
                <w:b/>
                <w:bCs/>
              </w:rPr>
            </w:pPr>
          </w:p>
        </w:tc>
      </w:tr>
      <w:tr w:rsidR="00F52BE8" w:rsidRPr="00362F5D" w14:paraId="649FA9EC" w14:textId="77777777" w:rsidTr="00A86302">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9DABA08" w14:textId="77777777" w:rsidR="00F52BE8" w:rsidRPr="00362F5D" w:rsidRDefault="00F52BE8" w:rsidP="00A86302">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571FBAFE" w14:textId="77777777" w:rsidR="00F52BE8" w:rsidRPr="00362F5D" w:rsidRDefault="00F52BE8" w:rsidP="00A86302">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7755864D" w14:textId="77777777" w:rsidR="00F52BE8" w:rsidRPr="00362F5D" w:rsidRDefault="00F52BE8" w:rsidP="00A86302">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70E249F" w14:textId="77777777" w:rsidR="00F52BE8" w:rsidRPr="00362F5D" w:rsidRDefault="00F52BE8" w:rsidP="00A86302">
            <w:pPr>
              <w:jc w:val="center"/>
              <w:rPr>
                <w:rFonts w:cs="Arial"/>
                <w:b/>
                <w:bCs/>
              </w:rPr>
            </w:pPr>
            <w:r w:rsidRPr="00362F5D">
              <w:rPr>
                <w:rFonts w:cs="Arial"/>
                <w:b/>
                <w:bCs/>
              </w:rPr>
              <w:t>≤ € 43 million</w:t>
            </w:r>
          </w:p>
        </w:tc>
      </w:tr>
      <w:tr w:rsidR="00F52BE8" w:rsidRPr="00362F5D" w14:paraId="29E0B224" w14:textId="77777777" w:rsidTr="00A86302">
        <w:trPr>
          <w:trHeight w:val="516"/>
        </w:trPr>
        <w:tc>
          <w:tcPr>
            <w:tcW w:w="1730" w:type="dxa"/>
            <w:vMerge/>
            <w:tcBorders>
              <w:top w:val="nil"/>
              <w:left w:val="single" w:sz="4" w:space="0" w:color="auto"/>
              <w:bottom w:val="single" w:sz="4" w:space="0" w:color="000000"/>
              <w:right w:val="single" w:sz="4" w:space="0" w:color="auto"/>
            </w:tcBorders>
            <w:vAlign w:val="center"/>
          </w:tcPr>
          <w:p w14:paraId="5C46AB7C" w14:textId="77777777" w:rsidR="00F52BE8" w:rsidRPr="00362F5D" w:rsidRDefault="00F52BE8" w:rsidP="00A86302">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1E2D8B57" w14:textId="77777777" w:rsidR="00F52BE8" w:rsidRPr="00362F5D" w:rsidRDefault="00F52BE8" w:rsidP="00A86302">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54475388" w14:textId="77777777" w:rsidR="00F52BE8" w:rsidRPr="00362F5D" w:rsidRDefault="00F52BE8" w:rsidP="00A86302">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4F5C7AD2" w14:textId="77777777" w:rsidR="00F52BE8" w:rsidRPr="00362F5D" w:rsidRDefault="00F52BE8" w:rsidP="00A86302">
            <w:pPr>
              <w:rPr>
                <w:rFonts w:cs="Arial"/>
                <w:b/>
                <w:bCs/>
              </w:rPr>
            </w:pPr>
          </w:p>
        </w:tc>
      </w:tr>
      <w:tr w:rsidR="00F52BE8" w:rsidRPr="00362F5D" w14:paraId="6CFD030F" w14:textId="77777777" w:rsidTr="00A86302">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2C1EDF7A" w14:textId="77777777" w:rsidR="00F52BE8" w:rsidRPr="00362F5D" w:rsidRDefault="00F52BE8" w:rsidP="00A86302">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37702157" w14:textId="77777777" w:rsidR="00F52BE8" w:rsidRPr="00362F5D" w:rsidRDefault="00F52BE8" w:rsidP="00A86302">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63BBCE29" w14:textId="77777777" w:rsidR="00F52BE8" w:rsidRPr="00362F5D" w:rsidRDefault="00F52BE8" w:rsidP="00A86302">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36E0E6A4" w14:textId="77777777" w:rsidR="00F52BE8" w:rsidRPr="00362F5D" w:rsidRDefault="00F52BE8" w:rsidP="00A86302">
            <w:pPr>
              <w:jc w:val="center"/>
              <w:rPr>
                <w:rFonts w:cs="Arial"/>
                <w:b/>
                <w:bCs/>
              </w:rPr>
            </w:pPr>
            <w:r w:rsidRPr="00362F5D">
              <w:rPr>
                <w:rFonts w:cs="Arial"/>
                <w:b/>
                <w:bCs/>
              </w:rPr>
              <w:t>&gt; € 43 million</w:t>
            </w:r>
          </w:p>
        </w:tc>
      </w:tr>
    </w:tbl>
    <w:p w14:paraId="416B3C5A" w14:textId="77777777" w:rsidR="00F52BE8" w:rsidRDefault="00F52BE8" w:rsidP="00F52BE8">
      <w:pPr>
        <w:rPr>
          <w:rFonts w:cs="Arial"/>
          <w:szCs w:val="24"/>
        </w:rPr>
      </w:pPr>
    </w:p>
    <w:p w14:paraId="49F723BC"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32FB6DB1" w14:textId="77777777" w:rsidTr="6B4DFA8E">
        <w:trPr>
          <w:trHeight w:val="454"/>
        </w:trPr>
        <w:tc>
          <w:tcPr>
            <w:tcW w:w="8528" w:type="dxa"/>
            <w:shd w:val="clear" w:color="auto" w:fill="99CCFF"/>
          </w:tcPr>
          <w:p w14:paraId="2922B160" w14:textId="77777777" w:rsidR="00F52BE8" w:rsidRPr="0036077E" w:rsidRDefault="00F52BE8" w:rsidP="00A86302">
            <w:pPr>
              <w:rPr>
                <w:rFonts w:cs="Arial"/>
                <w:b/>
                <w:sz w:val="28"/>
                <w:szCs w:val="28"/>
              </w:rPr>
            </w:pPr>
            <w:r w:rsidRPr="0036077E">
              <w:rPr>
                <w:rFonts w:cs="Arial"/>
                <w:b/>
                <w:sz w:val="28"/>
                <w:szCs w:val="28"/>
              </w:rPr>
              <w:t>2.1 Background to the project</w:t>
            </w:r>
          </w:p>
        </w:tc>
      </w:tr>
      <w:tr w:rsidR="00F52BE8" w:rsidRPr="0036077E" w14:paraId="7B169195" w14:textId="77777777" w:rsidTr="6B4DFA8E">
        <w:trPr>
          <w:trHeight w:val="760"/>
        </w:trPr>
        <w:tc>
          <w:tcPr>
            <w:tcW w:w="8528" w:type="dxa"/>
            <w:tcBorders>
              <w:bottom w:val="single" w:sz="4" w:space="0" w:color="auto"/>
            </w:tcBorders>
            <w:shd w:val="clear" w:color="auto" w:fill="auto"/>
          </w:tcPr>
          <w:p w14:paraId="72ABF384" w14:textId="77777777" w:rsidR="002E4293" w:rsidRPr="002E4293" w:rsidRDefault="004B6F8D" w:rsidP="002E4293">
            <w:pPr>
              <w:ind w:left="360"/>
              <w:rPr>
                <w:rFonts w:cs="Arial"/>
                <w:sz w:val="22"/>
                <w:szCs w:val="22"/>
              </w:rPr>
            </w:pPr>
            <w:r w:rsidRPr="004B6F8D">
              <w:rPr>
                <w:rFonts w:cs="Arial"/>
                <w:sz w:val="22"/>
                <w:szCs w:val="22"/>
              </w:rPr>
              <w:t xml:space="preserve">Network Rail operates under its network licence, which requires it to comply with the licence conditions set in the public interest. These licence conditions underpin our approach to holding Network Rail to account and in monitoring and assessing compliance. </w:t>
            </w:r>
            <w:r w:rsidR="002E4293" w:rsidRPr="002E4293">
              <w:rPr>
                <w:rFonts w:cs="Arial"/>
                <w:sz w:val="22"/>
                <w:szCs w:val="22"/>
              </w:rPr>
              <w:t xml:space="preserve">One of the core obligations within the licence, relates to securing the operation, maintenance, renewal and enhancement of the network in order to satisfy the reasonable requirements (balancing condition/performance/demand/risk/criticality/cost) of its customers and funders. </w:t>
            </w:r>
          </w:p>
          <w:p w14:paraId="49AA1573" w14:textId="77777777" w:rsidR="00DE0F6A" w:rsidRDefault="3D702455" w:rsidP="00A8697E">
            <w:pPr>
              <w:ind w:left="360"/>
              <w:rPr>
                <w:rFonts w:cs="Arial"/>
                <w:sz w:val="22"/>
                <w:szCs w:val="22"/>
              </w:rPr>
            </w:pPr>
            <w:r w:rsidRPr="3D702455">
              <w:rPr>
                <w:rFonts w:cs="Arial"/>
                <w:sz w:val="22"/>
                <w:szCs w:val="22"/>
              </w:rPr>
              <w:t>Weather resilience and climate change adaptation is a key focus area due to the potential impacts of climate change on railway infrastructure, and in the recent years there has been significant disruption to the railway through severe weather. Climate predictions used by the Climate Change Committee suggest this is likely to increase.</w:t>
            </w:r>
          </w:p>
          <w:p w14:paraId="1D05B86B" w14:textId="17BD36E5" w:rsidR="007257CD" w:rsidRDefault="3D702455" w:rsidP="00A8697E">
            <w:pPr>
              <w:ind w:left="360"/>
              <w:rPr>
                <w:rFonts w:cs="Arial"/>
                <w:sz w:val="22"/>
                <w:szCs w:val="22"/>
              </w:rPr>
            </w:pPr>
            <w:r w:rsidRPr="3D702455">
              <w:rPr>
                <w:rFonts w:cs="Arial"/>
                <w:sz w:val="22"/>
                <w:szCs w:val="22"/>
              </w:rPr>
              <w:t>As such Network Rail has produced a  policy and strategy for Weather Resilience and Climate Change Adaptation (WRCCA) can be found in this webpage:</w:t>
            </w:r>
          </w:p>
          <w:p w14:paraId="7F8099F7" w14:textId="77777777" w:rsidR="007257CD" w:rsidRDefault="003E4500" w:rsidP="007257CD">
            <w:pPr>
              <w:ind w:left="360"/>
              <w:rPr>
                <w:rFonts w:cs="Arial"/>
                <w:sz w:val="22"/>
                <w:szCs w:val="22"/>
              </w:rPr>
            </w:pPr>
            <w:hyperlink r:id="rId10" w:history="1">
              <w:r w:rsidR="007257CD" w:rsidRPr="002E4293">
                <w:rPr>
                  <w:color w:val="0000FF"/>
                  <w:u w:val="single"/>
                </w:rPr>
                <w:t>https://safety.networkrail.co.uk/home-2/environment-and-sustainable-development/wrcca/wrcca-strategy-2/</w:t>
              </w:r>
            </w:hyperlink>
          </w:p>
          <w:p w14:paraId="039F824F" w14:textId="3075668B" w:rsidR="002E4293" w:rsidRDefault="3D702455" w:rsidP="00A8697E">
            <w:pPr>
              <w:ind w:left="360"/>
              <w:rPr>
                <w:rFonts w:cs="Arial"/>
                <w:sz w:val="22"/>
                <w:szCs w:val="22"/>
              </w:rPr>
            </w:pPr>
            <w:r w:rsidRPr="00EE76C4">
              <w:rPr>
                <w:rFonts w:cs="Arial"/>
                <w:sz w:val="22"/>
                <w:szCs w:val="22"/>
              </w:rPr>
              <w:t xml:space="preserve">In the determination for Control Period 6 (2019-2024), there was requirement for Network Rail to update their geographic WRCCA plans to better </w:t>
            </w:r>
            <w:r w:rsidRPr="3D702455">
              <w:rPr>
                <w:rFonts w:cs="Arial"/>
                <w:sz w:val="22"/>
                <w:szCs w:val="22"/>
              </w:rPr>
              <w:t>manage the impacts of climate change on railway infrastructure.  Network Rail’s Regions have now produced  WRCCA plans for the period 2019-2024, and these can be found in this webpage:</w:t>
            </w:r>
          </w:p>
          <w:p w14:paraId="1956C1A1" w14:textId="77777777" w:rsidR="007257CD" w:rsidRPr="002E4293" w:rsidRDefault="003E4500" w:rsidP="00A8697E">
            <w:pPr>
              <w:ind w:left="360"/>
              <w:rPr>
                <w:rFonts w:cs="Arial"/>
                <w:sz w:val="22"/>
                <w:szCs w:val="22"/>
              </w:rPr>
            </w:pPr>
            <w:hyperlink r:id="rId11" w:history="1">
              <w:r w:rsidR="00195F24" w:rsidRPr="00195F24">
                <w:rPr>
                  <w:color w:val="0000FF"/>
                  <w:u w:val="single"/>
                </w:rPr>
                <w:t>https://www.networkrail.co.uk/communities/environment/climate-change-and-weather-resilience/climate-change-adaptation/</w:t>
              </w:r>
            </w:hyperlink>
          </w:p>
          <w:p w14:paraId="304F086B" w14:textId="5DE02AFC" w:rsidR="002E4293" w:rsidRDefault="3D702455" w:rsidP="00195F24">
            <w:pPr>
              <w:ind w:left="360"/>
              <w:rPr>
                <w:rFonts w:cs="Arial"/>
                <w:sz w:val="22"/>
                <w:szCs w:val="22"/>
              </w:rPr>
            </w:pPr>
            <w:r w:rsidRPr="3D702455">
              <w:rPr>
                <w:rFonts w:cs="Arial"/>
                <w:sz w:val="22"/>
                <w:szCs w:val="22"/>
              </w:rPr>
              <w:t>Weather resilience and climate change adaptation will be one of the key themes for our next regulatory Periodic Review, and hence ORR intends to increase the scrutiny of the WRCCA plans; improve our understanding of the planning process at regional level and potentially identify opportunities for improvement looking forward to CP7.</w:t>
            </w:r>
          </w:p>
          <w:p w14:paraId="6302BCEC" w14:textId="77777777" w:rsidR="00F06A8F" w:rsidRPr="00FE211F" w:rsidRDefault="00E44640" w:rsidP="00EB4932">
            <w:pPr>
              <w:ind w:left="360"/>
              <w:rPr>
                <w:rFonts w:cs="Arial"/>
                <w:sz w:val="22"/>
                <w:szCs w:val="22"/>
              </w:rPr>
            </w:pPr>
            <w:r>
              <w:rPr>
                <w:rFonts w:cs="Arial"/>
                <w:sz w:val="22"/>
                <w:szCs w:val="22"/>
              </w:rPr>
              <w:t>This is a developing</w:t>
            </w:r>
            <w:r w:rsidR="00F06A8F" w:rsidRPr="00F06A8F">
              <w:rPr>
                <w:rFonts w:cs="Arial"/>
                <w:sz w:val="22"/>
                <w:szCs w:val="22"/>
              </w:rPr>
              <w:t xml:space="preserve"> area for the ORR</w:t>
            </w:r>
            <w:r w:rsidR="00EB4932">
              <w:rPr>
                <w:rFonts w:cs="Arial"/>
                <w:sz w:val="22"/>
                <w:szCs w:val="22"/>
              </w:rPr>
              <w:t>,</w:t>
            </w:r>
            <w:r w:rsidR="00CA28F0">
              <w:rPr>
                <w:rFonts w:cs="Arial"/>
                <w:sz w:val="22"/>
                <w:szCs w:val="22"/>
              </w:rPr>
              <w:t xml:space="preserve"> </w:t>
            </w:r>
            <w:r w:rsidR="00F06A8F">
              <w:rPr>
                <w:rFonts w:cs="Arial"/>
                <w:sz w:val="22"/>
                <w:szCs w:val="22"/>
              </w:rPr>
              <w:t xml:space="preserve">and </w:t>
            </w:r>
            <w:r w:rsidR="00CA28F0">
              <w:rPr>
                <w:rFonts w:cs="Arial"/>
                <w:sz w:val="22"/>
                <w:szCs w:val="22"/>
              </w:rPr>
              <w:t>our assurance activities</w:t>
            </w:r>
            <w:r w:rsidR="00864D82">
              <w:rPr>
                <w:rFonts w:cs="Arial"/>
                <w:sz w:val="22"/>
                <w:szCs w:val="22"/>
              </w:rPr>
              <w:t xml:space="preserve"> in this area is led by the Asset Management </w:t>
            </w:r>
            <w:r w:rsidR="00EB4932">
              <w:rPr>
                <w:rFonts w:cs="Arial"/>
                <w:sz w:val="22"/>
                <w:szCs w:val="22"/>
              </w:rPr>
              <w:t>team</w:t>
            </w:r>
            <w:r w:rsidR="00864D82">
              <w:rPr>
                <w:rFonts w:cs="Arial"/>
                <w:sz w:val="22"/>
                <w:szCs w:val="22"/>
              </w:rPr>
              <w:t xml:space="preserve"> </w:t>
            </w:r>
            <w:r w:rsidR="00F06A8F">
              <w:rPr>
                <w:rFonts w:cs="Arial"/>
                <w:sz w:val="22"/>
                <w:szCs w:val="22"/>
              </w:rPr>
              <w:t>within Railway Plann</w:t>
            </w:r>
            <w:r w:rsidR="00864D82">
              <w:rPr>
                <w:rFonts w:cs="Arial"/>
                <w:sz w:val="22"/>
                <w:szCs w:val="22"/>
              </w:rPr>
              <w:t>ing and Performance directorate.</w:t>
            </w:r>
            <w:r w:rsidR="00095A5E">
              <w:rPr>
                <w:rFonts w:cs="Arial"/>
                <w:sz w:val="22"/>
                <w:szCs w:val="22"/>
              </w:rPr>
              <w:t xml:space="preserve"> </w:t>
            </w:r>
          </w:p>
        </w:tc>
      </w:tr>
      <w:tr w:rsidR="00F52BE8" w:rsidRPr="0036077E" w14:paraId="30C1BBEC" w14:textId="77777777" w:rsidTr="6B4DFA8E">
        <w:trPr>
          <w:trHeight w:val="371"/>
        </w:trPr>
        <w:tc>
          <w:tcPr>
            <w:tcW w:w="8528" w:type="dxa"/>
            <w:shd w:val="clear" w:color="auto" w:fill="99CCFF"/>
          </w:tcPr>
          <w:p w14:paraId="2BDBF7E4" w14:textId="77777777" w:rsidR="00F52BE8" w:rsidRPr="0036077E" w:rsidRDefault="00F52BE8" w:rsidP="00A86302">
            <w:pPr>
              <w:rPr>
                <w:rFonts w:cs="Arial"/>
                <w:b/>
                <w:sz w:val="28"/>
                <w:szCs w:val="28"/>
              </w:rPr>
            </w:pPr>
            <w:r w:rsidRPr="0036077E">
              <w:rPr>
                <w:rFonts w:cs="Arial"/>
                <w:b/>
                <w:sz w:val="28"/>
                <w:szCs w:val="28"/>
              </w:rPr>
              <w:t>2.2 Project Objectives &amp; Scope</w:t>
            </w:r>
          </w:p>
        </w:tc>
      </w:tr>
      <w:tr w:rsidR="00F52BE8" w:rsidRPr="0036077E" w14:paraId="705718FE" w14:textId="77777777" w:rsidTr="6B4DFA8E">
        <w:trPr>
          <w:trHeight w:val="757"/>
        </w:trPr>
        <w:tc>
          <w:tcPr>
            <w:tcW w:w="8528" w:type="dxa"/>
            <w:tcBorders>
              <w:bottom w:val="single" w:sz="4" w:space="0" w:color="auto"/>
            </w:tcBorders>
            <w:shd w:val="clear" w:color="auto" w:fill="auto"/>
          </w:tcPr>
          <w:p w14:paraId="13531B43" w14:textId="72847F42" w:rsidR="002E4293" w:rsidRPr="002E4293" w:rsidRDefault="6B4DFA8E" w:rsidP="00DE5080">
            <w:pPr>
              <w:rPr>
                <w:rFonts w:cs="Arial"/>
                <w:sz w:val="22"/>
                <w:szCs w:val="22"/>
              </w:rPr>
            </w:pPr>
            <w:r w:rsidRPr="6B4DFA8E">
              <w:rPr>
                <w:rFonts w:cs="Arial"/>
                <w:sz w:val="22"/>
                <w:szCs w:val="22"/>
              </w:rPr>
              <w:t xml:space="preserve">The project is to help ORR deepen its WRCCA knowledge, in particular around best practice. This will support its activity in assuring that the WRCCA Plans developed by Network Rail Regions are adequate to achieve a railway that is safe and more resilience to the effects of weather, now and in the future. </w:t>
            </w:r>
          </w:p>
          <w:p w14:paraId="76499A99" w14:textId="1352B571" w:rsidR="00AE65AA" w:rsidRPr="004C4C7E" w:rsidRDefault="6B4DFA8E" w:rsidP="00DE5080">
            <w:pPr>
              <w:rPr>
                <w:rFonts w:cs="Arial"/>
                <w:sz w:val="22"/>
                <w:szCs w:val="22"/>
              </w:rPr>
            </w:pPr>
            <w:r w:rsidRPr="004C4C7E">
              <w:rPr>
                <w:rFonts w:cs="Arial"/>
                <w:sz w:val="22"/>
                <w:szCs w:val="22"/>
              </w:rPr>
              <w:lastRenderedPageBreak/>
              <w:t xml:space="preserve">The ORR wants a systematic desktop review of the eight WRCCA plans, and compare these to best practice guidance and examples. This will help us to understand the adequacy of the plans and maturity of the planning approach.  </w:t>
            </w:r>
          </w:p>
          <w:p w14:paraId="00BCE7CE" w14:textId="3EC493DC" w:rsidR="00DC0C7B" w:rsidRPr="004C4C7E" w:rsidRDefault="6B4DFA8E" w:rsidP="00DE5080">
            <w:pPr>
              <w:rPr>
                <w:rFonts w:cs="Arial"/>
                <w:sz w:val="22"/>
                <w:szCs w:val="22"/>
              </w:rPr>
            </w:pPr>
            <w:r w:rsidRPr="004C4C7E">
              <w:rPr>
                <w:rFonts w:cs="Arial"/>
                <w:sz w:val="22"/>
                <w:szCs w:val="22"/>
              </w:rPr>
              <w:t>We want the review to focus on the following aspects/questions:</w:t>
            </w:r>
          </w:p>
          <w:p w14:paraId="6A158600" w14:textId="77777777" w:rsidR="002E4293" w:rsidRPr="002E4293" w:rsidRDefault="002E4293" w:rsidP="002E4293">
            <w:pPr>
              <w:rPr>
                <w:rFonts w:cs="Arial"/>
                <w:b/>
                <w:sz w:val="22"/>
                <w:szCs w:val="22"/>
              </w:rPr>
            </w:pPr>
            <w:r>
              <w:rPr>
                <w:rFonts w:cs="Arial"/>
                <w:b/>
                <w:sz w:val="22"/>
                <w:szCs w:val="22"/>
              </w:rPr>
              <w:t>Terminology</w:t>
            </w:r>
            <w:r w:rsidRPr="002E4293">
              <w:rPr>
                <w:rFonts w:cs="Arial"/>
                <w:b/>
                <w:sz w:val="22"/>
                <w:szCs w:val="22"/>
              </w:rPr>
              <w:t xml:space="preserve"> and Scope</w:t>
            </w:r>
          </w:p>
          <w:p w14:paraId="56C2A8BC" w14:textId="67077283" w:rsidR="002E4293" w:rsidRDefault="6B4DFA8E" w:rsidP="002E4293">
            <w:pPr>
              <w:pStyle w:val="ListParagraph"/>
              <w:numPr>
                <w:ilvl w:val="0"/>
                <w:numId w:val="10"/>
              </w:numPr>
              <w:rPr>
                <w:rFonts w:cs="Arial"/>
                <w:sz w:val="22"/>
                <w:szCs w:val="22"/>
              </w:rPr>
            </w:pPr>
            <w:r w:rsidRPr="6B4DFA8E">
              <w:rPr>
                <w:rFonts w:cs="Arial"/>
                <w:sz w:val="22"/>
                <w:szCs w:val="22"/>
              </w:rPr>
              <w:t xml:space="preserve">Resilience and adaptation related terms that are used in the plan are clearly defined and consistent across the </w:t>
            </w:r>
            <w:r w:rsidR="00235AEE">
              <w:rPr>
                <w:rFonts w:cs="Arial"/>
                <w:sz w:val="22"/>
                <w:szCs w:val="22"/>
              </w:rPr>
              <w:t>regions</w:t>
            </w:r>
            <w:r w:rsidRPr="6B4DFA8E">
              <w:rPr>
                <w:rFonts w:cs="Arial"/>
                <w:sz w:val="22"/>
                <w:szCs w:val="22"/>
              </w:rPr>
              <w:t>.</w:t>
            </w:r>
          </w:p>
          <w:p w14:paraId="04D00779" w14:textId="3A835FBF" w:rsidR="002E4293" w:rsidRPr="00200179" w:rsidRDefault="002E4293" w:rsidP="00ED52BE">
            <w:pPr>
              <w:pStyle w:val="ListParagraph"/>
              <w:numPr>
                <w:ilvl w:val="0"/>
                <w:numId w:val="10"/>
              </w:numPr>
              <w:rPr>
                <w:rFonts w:cs="Arial"/>
                <w:b/>
                <w:sz w:val="22"/>
                <w:szCs w:val="22"/>
              </w:rPr>
            </w:pPr>
            <w:r w:rsidRPr="002E4293">
              <w:rPr>
                <w:rFonts w:cs="Arial"/>
                <w:sz w:val="22"/>
                <w:szCs w:val="22"/>
              </w:rPr>
              <w:t>Scope and components</w:t>
            </w:r>
            <w:r w:rsidR="00266E39">
              <w:rPr>
                <w:rFonts w:cs="Arial"/>
                <w:sz w:val="22"/>
                <w:szCs w:val="22"/>
              </w:rPr>
              <w:t xml:space="preserve"> of the plan </w:t>
            </w:r>
            <w:r w:rsidR="00235AEE">
              <w:rPr>
                <w:rFonts w:cs="Arial"/>
                <w:sz w:val="22"/>
                <w:szCs w:val="22"/>
              </w:rPr>
              <w:t xml:space="preserve">– </w:t>
            </w:r>
            <w:r w:rsidR="00C051DC">
              <w:rPr>
                <w:rFonts w:cs="Arial"/>
                <w:sz w:val="22"/>
                <w:szCs w:val="22"/>
              </w:rPr>
              <w:t xml:space="preserve">degree of </w:t>
            </w:r>
            <w:r w:rsidR="00235AEE">
              <w:rPr>
                <w:rFonts w:cs="Arial"/>
                <w:sz w:val="22"/>
                <w:szCs w:val="22"/>
              </w:rPr>
              <w:t>consistency between plans</w:t>
            </w:r>
          </w:p>
          <w:p w14:paraId="3BBB51E6" w14:textId="3F2CCC5E" w:rsidR="00200179" w:rsidRPr="00A31A88" w:rsidRDefault="00A31A88" w:rsidP="00ED52BE">
            <w:pPr>
              <w:pStyle w:val="ListParagraph"/>
              <w:numPr>
                <w:ilvl w:val="0"/>
                <w:numId w:val="10"/>
              </w:numPr>
              <w:rPr>
                <w:rFonts w:cs="Arial"/>
                <w:b/>
                <w:sz w:val="22"/>
                <w:szCs w:val="22"/>
              </w:rPr>
            </w:pPr>
            <w:r>
              <w:rPr>
                <w:rFonts w:cs="Arial"/>
                <w:sz w:val="22"/>
                <w:szCs w:val="22"/>
              </w:rPr>
              <w:t>At what level</w:t>
            </w:r>
            <w:r w:rsidR="00EE2846">
              <w:rPr>
                <w:rFonts w:cs="Arial"/>
                <w:sz w:val="22"/>
                <w:szCs w:val="22"/>
              </w:rPr>
              <w:t>s</w:t>
            </w:r>
            <w:r>
              <w:rPr>
                <w:rFonts w:cs="Arial"/>
                <w:sz w:val="22"/>
                <w:szCs w:val="22"/>
              </w:rPr>
              <w:t xml:space="preserve"> the r</w:t>
            </w:r>
            <w:r w:rsidR="00200179">
              <w:rPr>
                <w:rFonts w:cs="Arial"/>
                <w:sz w:val="22"/>
                <w:szCs w:val="22"/>
              </w:rPr>
              <w:t>esilience is targeted at - strategic, asset performance, operational (recovery &amp; response)</w:t>
            </w:r>
            <w:r w:rsidR="00EE2846">
              <w:rPr>
                <w:rFonts w:cs="Arial"/>
                <w:sz w:val="22"/>
                <w:szCs w:val="22"/>
              </w:rPr>
              <w:t xml:space="preserve"> level</w:t>
            </w:r>
          </w:p>
          <w:p w14:paraId="1C41AD16" w14:textId="4139C010" w:rsidR="00A31A88" w:rsidRPr="00200179" w:rsidRDefault="00E44640" w:rsidP="00ED52BE">
            <w:pPr>
              <w:pStyle w:val="ListParagraph"/>
              <w:numPr>
                <w:ilvl w:val="0"/>
                <w:numId w:val="10"/>
              </w:numPr>
              <w:rPr>
                <w:rFonts w:cs="Arial"/>
                <w:b/>
                <w:sz w:val="22"/>
                <w:szCs w:val="22"/>
              </w:rPr>
            </w:pPr>
            <w:r>
              <w:rPr>
                <w:rFonts w:cs="Arial"/>
                <w:sz w:val="22"/>
                <w:szCs w:val="22"/>
              </w:rPr>
              <w:t>Is</w:t>
            </w:r>
            <w:r w:rsidR="00A31A88">
              <w:rPr>
                <w:rFonts w:cs="Arial"/>
                <w:sz w:val="22"/>
                <w:szCs w:val="22"/>
              </w:rPr>
              <w:t xml:space="preserve"> there reference to supplementary plans such as flood plan</w:t>
            </w:r>
            <w:r w:rsidR="005D11FB">
              <w:rPr>
                <w:rFonts w:cs="Arial"/>
                <w:sz w:val="22"/>
                <w:szCs w:val="22"/>
              </w:rPr>
              <w:t>s, high winds plan</w:t>
            </w:r>
            <w:r w:rsidR="00D80B70">
              <w:rPr>
                <w:rFonts w:cs="Arial"/>
                <w:sz w:val="22"/>
                <w:szCs w:val="22"/>
              </w:rPr>
              <w:t>.</w:t>
            </w:r>
          </w:p>
          <w:p w14:paraId="1E99F83D" w14:textId="77777777" w:rsidR="002E4293" w:rsidRPr="002E4293" w:rsidRDefault="002E4293" w:rsidP="002E4293">
            <w:pPr>
              <w:rPr>
                <w:rFonts w:cs="Arial"/>
                <w:b/>
                <w:sz w:val="22"/>
                <w:szCs w:val="22"/>
              </w:rPr>
            </w:pPr>
            <w:r w:rsidRPr="002E4293">
              <w:rPr>
                <w:rFonts w:cs="Arial"/>
                <w:b/>
                <w:sz w:val="22"/>
                <w:szCs w:val="22"/>
              </w:rPr>
              <w:t>Strategic Alignment and Integration</w:t>
            </w:r>
          </w:p>
          <w:p w14:paraId="13D50E6F" w14:textId="77777777" w:rsidR="002E4293" w:rsidRPr="002E4293" w:rsidRDefault="002E4293" w:rsidP="00ED52BE">
            <w:pPr>
              <w:pStyle w:val="ListParagraph"/>
              <w:numPr>
                <w:ilvl w:val="0"/>
                <w:numId w:val="10"/>
              </w:numPr>
              <w:rPr>
                <w:rFonts w:cs="Arial"/>
                <w:sz w:val="22"/>
                <w:szCs w:val="22"/>
              </w:rPr>
            </w:pPr>
            <w:r w:rsidRPr="002E4293">
              <w:rPr>
                <w:rFonts w:cs="Arial"/>
                <w:sz w:val="22"/>
                <w:szCs w:val="22"/>
              </w:rPr>
              <w:t xml:space="preserve">Alignment of </w:t>
            </w:r>
            <w:r>
              <w:rPr>
                <w:rFonts w:cs="Arial"/>
                <w:sz w:val="22"/>
                <w:szCs w:val="22"/>
              </w:rPr>
              <w:t>p</w:t>
            </w:r>
            <w:r w:rsidRPr="002E4293">
              <w:rPr>
                <w:rFonts w:cs="Arial"/>
                <w:sz w:val="22"/>
                <w:szCs w:val="22"/>
              </w:rPr>
              <w:t xml:space="preserve">lans to </w:t>
            </w:r>
            <w:r w:rsidR="00AE65AA">
              <w:rPr>
                <w:rFonts w:cs="Arial"/>
                <w:sz w:val="22"/>
                <w:szCs w:val="22"/>
              </w:rPr>
              <w:t xml:space="preserve">relevant </w:t>
            </w:r>
            <w:r w:rsidRPr="002E4293">
              <w:rPr>
                <w:rFonts w:cs="Arial"/>
                <w:sz w:val="22"/>
                <w:szCs w:val="22"/>
              </w:rPr>
              <w:t>policies and strategies, and line of sight to implementation.</w:t>
            </w:r>
          </w:p>
          <w:p w14:paraId="6F977CBB" w14:textId="77777777" w:rsidR="002E4293" w:rsidRDefault="002E4293" w:rsidP="002E4293">
            <w:pPr>
              <w:pStyle w:val="ListParagraph"/>
              <w:numPr>
                <w:ilvl w:val="0"/>
                <w:numId w:val="10"/>
              </w:numPr>
              <w:rPr>
                <w:rFonts w:cs="Arial"/>
                <w:sz w:val="22"/>
                <w:szCs w:val="22"/>
              </w:rPr>
            </w:pPr>
            <w:r>
              <w:rPr>
                <w:rFonts w:cs="Arial"/>
                <w:sz w:val="22"/>
                <w:szCs w:val="22"/>
              </w:rPr>
              <w:t xml:space="preserve">Approach to incorporate climate adaptation measures into the </w:t>
            </w:r>
            <w:r w:rsidR="00AF676E">
              <w:rPr>
                <w:rFonts w:cs="Arial"/>
                <w:sz w:val="22"/>
                <w:szCs w:val="22"/>
              </w:rPr>
              <w:t>a</w:t>
            </w:r>
            <w:r>
              <w:rPr>
                <w:rFonts w:cs="Arial"/>
                <w:sz w:val="22"/>
                <w:szCs w:val="22"/>
              </w:rPr>
              <w:t xml:space="preserve">sset </w:t>
            </w:r>
            <w:r w:rsidR="00AF676E">
              <w:rPr>
                <w:rFonts w:cs="Arial"/>
                <w:sz w:val="22"/>
                <w:szCs w:val="22"/>
              </w:rPr>
              <w:t>m</w:t>
            </w:r>
            <w:r>
              <w:rPr>
                <w:rFonts w:cs="Arial"/>
                <w:sz w:val="22"/>
                <w:szCs w:val="22"/>
              </w:rPr>
              <w:t xml:space="preserve">anagement </w:t>
            </w:r>
            <w:r w:rsidR="00AF676E">
              <w:rPr>
                <w:rFonts w:cs="Arial"/>
                <w:sz w:val="22"/>
                <w:szCs w:val="22"/>
              </w:rPr>
              <w:t>p</w:t>
            </w:r>
            <w:r>
              <w:rPr>
                <w:rFonts w:cs="Arial"/>
                <w:sz w:val="22"/>
                <w:szCs w:val="22"/>
              </w:rPr>
              <w:t>rocesses</w:t>
            </w:r>
            <w:r w:rsidR="00AF676E">
              <w:rPr>
                <w:rFonts w:cs="Arial"/>
                <w:sz w:val="22"/>
                <w:szCs w:val="22"/>
              </w:rPr>
              <w:t xml:space="preserve"> and </w:t>
            </w:r>
            <w:r w:rsidR="00AF676E" w:rsidRPr="00AF676E">
              <w:rPr>
                <w:rFonts w:cs="Arial"/>
                <w:sz w:val="22"/>
                <w:szCs w:val="22"/>
              </w:rPr>
              <w:t>organisational business processes</w:t>
            </w:r>
            <w:r w:rsidR="00AF676E">
              <w:rPr>
                <w:rFonts w:cs="Arial"/>
                <w:sz w:val="22"/>
                <w:szCs w:val="22"/>
              </w:rPr>
              <w:t>.</w:t>
            </w:r>
          </w:p>
          <w:p w14:paraId="21990BEB" w14:textId="77777777" w:rsidR="00454EC9" w:rsidRPr="004B0EEA" w:rsidRDefault="00454EC9" w:rsidP="004B0EEA">
            <w:pPr>
              <w:pStyle w:val="ListParagraph"/>
              <w:numPr>
                <w:ilvl w:val="0"/>
                <w:numId w:val="10"/>
              </w:numPr>
              <w:rPr>
                <w:rFonts w:cs="Arial"/>
                <w:sz w:val="22"/>
                <w:szCs w:val="22"/>
              </w:rPr>
            </w:pPr>
            <w:r>
              <w:rPr>
                <w:rFonts w:cs="Arial"/>
                <w:sz w:val="22"/>
                <w:szCs w:val="22"/>
              </w:rPr>
              <w:t xml:space="preserve">Is climate </w:t>
            </w:r>
            <w:r w:rsidR="00266E39" w:rsidRPr="00454EC9">
              <w:rPr>
                <w:rFonts w:cs="Arial"/>
                <w:sz w:val="22"/>
                <w:szCs w:val="22"/>
              </w:rPr>
              <w:t>vulnerabil</w:t>
            </w:r>
            <w:r>
              <w:rPr>
                <w:rFonts w:cs="Arial"/>
                <w:sz w:val="22"/>
                <w:szCs w:val="22"/>
              </w:rPr>
              <w:t xml:space="preserve">ity assessment </w:t>
            </w:r>
            <w:r w:rsidR="00BE4E6E" w:rsidRPr="00454EC9">
              <w:rPr>
                <w:rFonts w:cs="Arial"/>
                <w:sz w:val="22"/>
                <w:szCs w:val="22"/>
              </w:rPr>
              <w:t xml:space="preserve">integrated </w:t>
            </w:r>
            <w:r w:rsidR="002E4293" w:rsidRPr="00454EC9">
              <w:rPr>
                <w:rFonts w:cs="Arial"/>
                <w:sz w:val="22"/>
                <w:szCs w:val="22"/>
              </w:rPr>
              <w:t>with risk management</w:t>
            </w:r>
            <w:r w:rsidR="00BE4E6E" w:rsidRPr="00454EC9">
              <w:rPr>
                <w:rFonts w:cs="Arial"/>
                <w:sz w:val="22"/>
                <w:szCs w:val="22"/>
              </w:rPr>
              <w:t xml:space="preserve"> </w:t>
            </w:r>
            <w:r>
              <w:rPr>
                <w:rFonts w:cs="Arial"/>
                <w:sz w:val="22"/>
                <w:szCs w:val="22"/>
              </w:rPr>
              <w:t>from a</w:t>
            </w:r>
            <w:r w:rsidR="00FE4B57">
              <w:rPr>
                <w:rFonts w:cs="Arial"/>
                <w:sz w:val="22"/>
                <w:szCs w:val="22"/>
              </w:rPr>
              <w:t>n organisation risk perspective</w:t>
            </w:r>
          </w:p>
          <w:p w14:paraId="076B0520" w14:textId="53F984BD" w:rsidR="00454EC9" w:rsidRPr="00454EC9" w:rsidRDefault="007929C5" w:rsidP="00FA6A84">
            <w:pPr>
              <w:pStyle w:val="ListParagraph"/>
              <w:numPr>
                <w:ilvl w:val="0"/>
                <w:numId w:val="10"/>
              </w:numPr>
              <w:rPr>
                <w:rFonts w:cs="Arial"/>
                <w:b/>
                <w:sz w:val="22"/>
                <w:szCs w:val="22"/>
              </w:rPr>
            </w:pPr>
            <w:r>
              <w:rPr>
                <w:rFonts w:cs="Arial"/>
                <w:sz w:val="22"/>
                <w:szCs w:val="22"/>
              </w:rPr>
              <w:t>S</w:t>
            </w:r>
            <w:r w:rsidR="00FA6A84">
              <w:rPr>
                <w:rFonts w:cs="Arial"/>
                <w:sz w:val="22"/>
                <w:szCs w:val="22"/>
              </w:rPr>
              <w:t>takeholder</w:t>
            </w:r>
            <w:r>
              <w:rPr>
                <w:rFonts w:cs="Arial"/>
                <w:sz w:val="22"/>
                <w:szCs w:val="22"/>
              </w:rPr>
              <w:t xml:space="preserve"> analysis and</w:t>
            </w:r>
            <w:r w:rsidR="00FA6A84">
              <w:rPr>
                <w:rFonts w:cs="Arial"/>
                <w:sz w:val="22"/>
                <w:szCs w:val="22"/>
              </w:rPr>
              <w:t xml:space="preserve"> </w:t>
            </w:r>
            <w:r>
              <w:rPr>
                <w:rFonts w:cs="Arial"/>
                <w:sz w:val="22"/>
                <w:szCs w:val="22"/>
              </w:rPr>
              <w:t xml:space="preserve">involvement </w:t>
            </w:r>
            <w:r w:rsidR="00FA6A84">
              <w:rPr>
                <w:rFonts w:cs="Arial"/>
                <w:sz w:val="22"/>
                <w:szCs w:val="22"/>
              </w:rPr>
              <w:t xml:space="preserve">in the </w:t>
            </w:r>
            <w:r>
              <w:rPr>
                <w:rFonts w:cs="Arial"/>
                <w:sz w:val="22"/>
                <w:szCs w:val="22"/>
              </w:rPr>
              <w:t xml:space="preserve">resilience </w:t>
            </w:r>
            <w:r w:rsidR="00FA6A84">
              <w:rPr>
                <w:rFonts w:cs="Arial"/>
                <w:sz w:val="22"/>
                <w:szCs w:val="22"/>
              </w:rPr>
              <w:t>planning</w:t>
            </w:r>
          </w:p>
          <w:p w14:paraId="2FB04C6E" w14:textId="77777777" w:rsidR="002E4293" w:rsidRPr="00494E47" w:rsidRDefault="002E4293" w:rsidP="00494E47">
            <w:pPr>
              <w:rPr>
                <w:rFonts w:cs="Arial"/>
                <w:b/>
                <w:sz w:val="22"/>
                <w:szCs w:val="22"/>
              </w:rPr>
            </w:pPr>
            <w:r w:rsidRPr="00494E47">
              <w:rPr>
                <w:rFonts w:cs="Arial"/>
                <w:b/>
                <w:sz w:val="22"/>
                <w:szCs w:val="22"/>
              </w:rPr>
              <w:t>Adaptation Planning</w:t>
            </w:r>
          </w:p>
          <w:p w14:paraId="1970ED75" w14:textId="77777777" w:rsidR="002E4293" w:rsidRPr="002E4293" w:rsidRDefault="002E4293" w:rsidP="00ED52BE">
            <w:pPr>
              <w:pStyle w:val="ListParagraph"/>
              <w:numPr>
                <w:ilvl w:val="0"/>
                <w:numId w:val="10"/>
              </w:numPr>
              <w:rPr>
                <w:rFonts w:cs="Arial"/>
                <w:sz w:val="22"/>
                <w:szCs w:val="22"/>
              </w:rPr>
            </w:pPr>
            <w:r w:rsidRPr="002E4293">
              <w:rPr>
                <w:rFonts w:cs="Arial"/>
                <w:sz w:val="22"/>
                <w:szCs w:val="22"/>
              </w:rPr>
              <w:t xml:space="preserve">Planning horizon </w:t>
            </w:r>
            <w:r>
              <w:rPr>
                <w:rFonts w:cs="Arial"/>
                <w:sz w:val="22"/>
                <w:szCs w:val="22"/>
              </w:rPr>
              <w:t>–</w:t>
            </w:r>
            <w:r w:rsidRPr="002E4293">
              <w:rPr>
                <w:rFonts w:cs="Arial"/>
                <w:sz w:val="22"/>
                <w:szCs w:val="22"/>
              </w:rPr>
              <w:t xml:space="preserve"> </w:t>
            </w:r>
            <w:r>
              <w:rPr>
                <w:rFonts w:cs="Arial"/>
                <w:sz w:val="22"/>
                <w:szCs w:val="22"/>
              </w:rPr>
              <w:t>does the plan</w:t>
            </w:r>
            <w:r w:rsidRPr="002E4293">
              <w:rPr>
                <w:rFonts w:cs="Arial"/>
                <w:sz w:val="22"/>
                <w:szCs w:val="22"/>
              </w:rPr>
              <w:t xml:space="preserve"> </w:t>
            </w:r>
            <w:r w:rsidR="00454EC9">
              <w:rPr>
                <w:rFonts w:cs="Arial"/>
                <w:sz w:val="22"/>
                <w:szCs w:val="22"/>
              </w:rPr>
              <w:t xml:space="preserve">sufficiently </w:t>
            </w:r>
            <w:r w:rsidRPr="002E4293">
              <w:rPr>
                <w:rFonts w:cs="Arial"/>
                <w:sz w:val="22"/>
                <w:szCs w:val="22"/>
              </w:rPr>
              <w:t xml:space="preserve">cover immediate actions (in CP6) to manage </w:t>
            </w:r>
            <w:r>
              <w:rPr>
                <w:rFonts w:cs="Arial"/>
                <w:sz w:val="22"/>
                <w:szCs w:val="22"/>
              </w:rPr>
              <w:t xml:space="preserve">weather </w:t>
            </w:r>
            <w:r w:rsidRPr="002E4293">
              <w:rPr>
                <w:rFonts w:cs="Arial"/>
                <w:sz w:val="22"/>
                <w:szCs w:val="22"/>
              </w:rPr>
              <w:t>risks and lon</w:t>
            </w:r>
            <w:r>
              <w:rPr>
                <w:rFonts w:cs="Arial"/>
                <w:sz w:val="22"/>
                <w:szCs w:val="22"/>
              </w:rPr>
              <w:t>g term plans for climate adaptation</w:t>
            </w:r>
            <w:r w:rsidRPr="002E4293">
              <w:rPr>
                <w:rFonts w:cs="Arial"/>
                <w:sz w:val="22"/>
                <w:szCs w:val="22"/>
              </w:rPr>
              <w:t>.</w:t>
            </w:r>
          </w:p>
          <w:p w14:paraId="1C525EA6" w14:textId="77777777" w:rsidR="002E4293" w:rsidRDefault="002E4293" w:rsidP="002E4293">
            <w:pPr>
              <w:pStyle w:val="ListParagraph"/>
              <w:numPr>
                <w:ilvl w:val="0"/>
                <w:numId w:val="10"/>
              </w:numPr>
              <w:rPr>
                <w:rFonts w:cs="Arial"/>
                <w:sz w:val="22"/>
                <w:szCs w:val="22"/>
              </w:rPr>
            </w:pPr>
            <w:r>
              <w:rPr>
                <w:rFonts w:cs="Arial"/>
                <w:sz w:val="22"/>
                <w:szCs w:val="22"/>
              </w:rPr>
              <w:t xml:space="preserve">Systems thinking and collaboration – </w:t>
            </w:r>
            <w:r w:rsidR="00454EC9">
              <w:rPr>
                <w:rFonts w:cs="Arial"/>
                <w:sz w:val="22"/>
                <w:szCs w:val="22"/>
              </w:rPr>
              <w:t>is there a</w:t>
            </w:r>
            <w:r w:rsidR="00266E39">
              <w:rPr>
                <w:rFonts w:cs="Arial"/>
                <w:sz w:val="22"/>
                <w:szCs w:val="22"/>
              </w:rPr>
              <w:t xml:space="preserve"> c</w:t>
            </w:r>
            <w:r>
              <w:rPr>
                <w:rFonts w:cs="Arial"/>
                <w:sz w:val="22"/>
                <w:szCs w:val="22"/>
              </w:rPr>
              <w:t>ross-asset, cross-sector approach involving collaboration between business uni</w:t>
            </w:r>
            <w:r w:rsidR="00454EC9">
              <w:rPr>
                <w:rFonts w:cs="Arial"/>
                <w:sz w:val="22"/>
                <w:szCs w:val="22"/>
              </w:rPr>
              <w:t xml:space="preserve">ts and different organisations. </w:t>
            </w:r>
          </w:p>
          <w:p w14:paraId="1F05C22D" w14:textId="77777777" w:rsidR="008064DC" w:rsidRDefault="008064DC" w:rsidP="008064DC">
            <w:pPr>
              <w:pStyle w:val="ListParagraph"/>
              <w:numPr>
                <w:ilvl w:val="0"/>
                <w:numId w:val="10"/>
              </w:numPr>
              <w:rPr>
                <w:rFonts w:cs="Arial"/>
                <w:sz w:val="22"/>
                <w:szCs w:val="22"/>
              </w:rPr>
            </w:pPr>
            <w:r>
              <w:rPr>
                <w:rFonts w:cs="Arial"/>
                <w:sz w:val="22"/>
                <w:szCs w:val="22"/>
              </w:rPr>
              <w:t>Demonstrates evidence based decision-making</w:t>
            </w:r>
            <w:r w:rsidRPr="002E4293">
              <w:rPr>
                <w:rFonts w:cs="Arial"/>
                <w:sz w:val="22"/>
                <w:szCs w:val="22"/>
              </w:rPr>
              <w:t xml:space="preserve"> us</w:t>
            </w:r>
            <w:r>
              <w:rPr>
                <w:rFonts w:cs="Arial"/>
                <w:sz w:val="22"/>
                <w:szCs w:val="22"/>
              </w:rPr>
              <w:t xml:space="preserve">ing </w:t>
            </w:r>
            <w:r w:rsidRPr="002E4293">
              <w:rPr>
                <w:rFonts w:cs="Arial"/>
                <w:sz w:val="22"/>
                <w:szCs w:val="22"/>
              </w:rPr>
              <w:t>suitable data sources.</w:t>
            </w:r>
          </w:p>
          <w:p w14:paraId="3AF6F0D8" w14:textId="77777777" w:rsidR="002E4293" w:rsidRPr="00FA6A84" w:rsidRDefault="00E153C2" w:rsidP="00FA6A84">
            <w:pPr>
              <w:pStyle w:val="ListParagraph"/>
              <w:numPr>
                <w:ilvl w:val="0"/>
                <w:numId w:val="10"/>
              </w:numPr>
              <w:rPr>
                <w:rFonts w:cs="Arial"/>
                <w:sz w:val="22"/>
                <w:szCs w:val="22"/>
              </w:rPr>
            </w:pPr>
            <w:r>
              <w:rPr>
                <w:rFonts w:cs="Arial"/>
                <w:sz w:val="22"/>
                <w:szCs w:val="22"/>
              </w:rPr>
              <w:t>Option analyses – R</w:t>
            </w:r>
            <w:r w:rsidR="002E4293">
              <w:rPr>
                <w:rFonts w:cs="Arial"/>
                <w:sz w:val="22"/>
                <w:szCs w:val="22"/>
              </w:rPr>
              <w:t>isk magnitude</w:t>
            </w:r>
            <w:r w:rsidR="00266E39">
              <w:rPr>
                <w:rFonts w:cs="Arial"/>
                <w:sz w:val="22"/>
                <w:szCs w:val="22"/>
              </w:rPr>
              <w:t xml:space="preserve"> for the vulnerabilities,</w:t>
            </w:r>
            <w:r w:rsidR="00D458E9">
              <w:rPr>
                <w:rFonts w:cs="Arial"/>
                <w:sz w:val="22"/>
                <w:szCs w:val="22"/>
              </w:rPr>
              <w:t xml:space="preserve"> now and future, are used for option selection and prioritisation</w:t>
            </w:r>
            <w:r w:rsidR="00266E39">
              <w:rPr>
                <w:rFonts w:cs="Arial"/>
                <w:sz w:val="22"/>
                <w:szCs w:val="22"/>
              </w:rPr>
              <w:t>.</w:t>
            </w:r>
          </w:p>
          <w:p w14:paraId="2E8266A9" w14:textId="1790CB7B" w:rsidR="00113486" w:rsidRDefault="00113486" w:rsidP="002E4293">
            <w:pPr>
              <w:pStyle w:val="ListParagraph"/>
              <w:numPr>
                <w:ilvl w:val="0"/>
                <w:numId w:val="10"/>
              </w:numPr>
              <w:rPr>
                <w:rFonts w:cs="Arial"/>
                <w:sz w:val="22"/>
                <w:szCs w:val="22"/>
              </w:rPr>
            </w:pPr>
            <w:r>
              <w:rPr>
                <w:rFonts w:cs="Arial"/>
                <w:sz w:val="22"/>
                <w:szCs w:val="22"/>
              </w:rPr>
              <w:t>Does the plan cov</w:t>
            </w:r>
            <w:r w:rsidR="00DB2123">
              <w:rPr>
                <w:rFonts w:cs="Arial"/>
                <w:sz w:val="22"/>
                <w:szCs w:val="22"/>
              </w:rPr>
              <w:t>er maintenance and renewals planning for critical assets</w:t>
            </w:r>
            <w:r w:rsidR="00E9772B">
              <w:rPr>
                <w:rFonts w:cs="Arial"/>
                <w:sz w:val="22"/>
                <w:szCs w:val="22"/>
              </w:rPr>
              <w:t>, and operational mitigation</w:t>
            </w:r>
          </w:p>
          <w:p w14:paraId="051EAC4F" w14:textId="678A4487" w:rsidR="002E4293" w:rsidRPr="002E4293" w:rsidRDefault="00AF676E" w:rsidP="002E4293">
            <w:pPr>
              <w:rPr>
                <w:rFonts w:cs="Arial"/>
                <w:b/>
                <w:sz w:val="22"/>
                <w:szCs w:val="22"/>
              </w:rPr>
            </w:pPr>
            <w:r>
              <w:rPr>
                <w:rFonts w:cs="Arial"/>
                <w:b/>
                <w:sz w:val="22"/>
                <w:szCs w:val="22"/>
              </w:rPr>
              <w:t>Action Plan</w:t>
            </w:r>
            <w:r w:rsidR="00A16D9B">
              <w:rPr>
                <w:rFonts w:cs="Arial"/>
                <w:b/>
                <w:sz w:val="22"/>
                <w:szCs w:val="22"/>
              </w:rPr>
              <w:t>s</w:t>
            </w:r>
            <w:r w:rsidR="00235AEE">
              <w:rPr>
                <w:rFonts w:cs="Arial"/>
                <w:b/>
                <w:sz w:val="22"/>
                <w:szCs w:val="22"/>
              </w:rPr>
              <w:t xml:space="preserve"> and Best Practices</w:t>
            </w:r>
          </w:p>
          <w:p w14:paraId="6DB6C42A" w14:textId="35FFD8B6" w:rsidR="00235AEE" w:rsidRPr="00235AEE" w:rsidRDefault="00235AEE" w:rsidP="00235AEE">
            <w:pPr>
              <w:pStyle w:val="ListParagraph"/>
              <w:numPr>
                <w:ilvl w:val="0"/>
                <w:numId w:val="10"/>
              </w:numPr>
              <w:rPr>
                <w:rFonts w:cs="Arial"/>
                <w:sz w:val="22"/>
                <w:szCs w:val="22"/>
              </w:rPr>
            </w:pPr>
            <w:r>
              <w:rPr>
                <w:rFonts w:cs="Arial"/>
                <w:sz w:val="22"/>
                <w:szCs w:val="22"/>
              </w:rPr>
              <w:t>G</w:t>
            </w:r>
            <w:r w:rsidRPr="00235AEE">
              <w:rPr>
                <w:rFonts w:cs="Arial"/>
                <w:sz w:val="22"/>
                <w:szCs w:val="22"/>
              </w:rPr>
              <w:t xml:space="preserve">ap against best practices from </w:t>
            </w:r>
            <w:r w:rsidR="00C051DC">
              <w:rPr>
                <w:rFonts w:cs="Arial"/>
                <w:sz w:val="22"/>
                <w:szCs w:val="22"/>
              </w:rPr>
              <w:t>other</w:t>
            </w:r>
            <w:r w:rsidRPr="00235AEE">
              <w:rPr>
                <w:rFonts w:cs="Arial"/>
                <w:sz w:val="22"/>
                <w:szCs w:val="22"/>
              </w:rPr>
              <w:t xml:space="preserve"> sectors, Industry </w:t>
            </w:r>
            <w:r w:rsidR="00D80B70">
              <w:rPr>
                <w:rFonts w:cs="Arial"/>
                <w:sz w:val="22"/>
                <w:szCs w:val="22"/>
              </w:rPr>
              <w:t>and</w:t>
            </w:r>
            <w:r w:rsidR="00D80B70" w:rsidRPr="00235AEE">
              <w:rPr>
                <w:rFonts w:cs="Arial"/>
                <w:sz w:val="22"/>
                <w:szCs w:val="22"/>
              </w:rPr>
              <w:t xml:space="preserve"> </w:t>
            </w:r>
            <w:r w:rsidRPr="00235AEE">
              <w:rPr>
                <w:rFonts w:cs="Arial"/>
                <w:sz w:val="22"/>
                <w:szCs w:val="22"/>
              </w:rPr>
              <w:t>Government guidance in this area</w:t>
            </w:r>
            <w:r>
              <w:rPr>
                <w:rFonts w:cs="Arial"/>
                <w:sz w:val="22"/>
                <w:szCs w:val="22"/>
              </w:rPr>
              <w:t>.</w:t>
            </w:r>
          </w:p>
          <w:p w14:paraId="08E60075" w14:textId="739E5967" w:rsidR="00C051DC" w:rsidRDefault="00C051DC" w:rsidP="00105DE2">
            <w:pPr>
              <w:pStyle w:val="ListParagraph"/>
              <w:numPr>
                <w:ilvl w:val="0"/>
                <w:numId w:val="10"/>
              </w:numPr>
              <w:rPr>
                <w:rFonts w:cs="Arial"/>
                <w:sz w:val="22"/>
                <w:szCs w:val="22"/>
              </w:rPr>
            </w:pPr>
            <w:r>
              <w:rPr>
                <w:rFonts w:cs="Arial"/>
                <w:sz w:val="22"/>
                <w:szCs w:val="22"/>
              </w:rPr>
              <w:t>Does the plan articulate the risks the route is facing and to address this.</w:t>
            </w:r>
          </w:p>
          <w:p w14:paraId="04C518B0" w14:textId="2362305C" w:rsidR="002E4293" w:rsidRDefault="00400E39" w:rsidP="00105DE2">
            <w:pPr>
              <w:pStyle w:val="ListParagraph"/>
              <w:numPr>
                <w:ilvl w:val="0"/>
                <w:numId w:val="10"/>
              </w:numPr>
              <w:rPr>
                <w:rFonts w:cs="Arial"/>
                <w:sz w:val="22"/>
                <w:szCs w:val="22"/>
              </w:rPr>
            </w:pPr>
            <w:r>
              <w:rPr>
                <w:rFonts w:cs="Arial"/>
                <w:sz w:val="22"/>
                <w:szCs w:val="22"/>
              </w:rPr>
              <w:t xml:space="preserve">Are the action plans </w:t>
            </w:r>
            <w:r w:rsidR="00113486">
              <w:rPr>
                <w:rFonts w:cs="Arial"/>
                <w:sz w:val="22"/>
                <w:szCs w:val="22"/>
              </w:rPr>
              <w:t>SMART</w:t>
            </w:r>
            <w:r>
              <w:rPr>
                <w:rFonts w:cs="Arial"/>
                <w:sz w:val="22"/>
                <w:szCs w:val="22"/>
              </w:rPr>
              <w:t xml:space="preserve"> </w:t>
            </w:r>
            <w:r w:rsidR="00C05EE4">
              <w:rPr>
                <w:rFonts w:cs="Arial"/>
                <w:sz w:val="22"/>
                <w:szCs w:val="22"/>
              </w:rPr>
              <w:t>with clearly defined timescales, responsible owners and output measures</w:t>
            </w:r>
            <w:r w:rsidR="002E4293">
              <w:rPr>
                <w:rFonts w:cs="Arial"/>
                <w:sz w:val="22"/>
                <w:szCs w:val="22"/>
              </w:rPr>
              <w:t>.</w:t>
            </w:r>
          </w:p>
          <w:p w14:paraId="1850BE14" w14:textId="772078D8" w:rsidR="00F33CF7" w:rsidRDefault="00113486" w:rsidP="00105DE2">
            <w:pPr>
              <w:pStyle w:val="ListParagraph"/>
              <w:numPr>
                <w:ilvl w:val="0"/>
                <w:numId w:val="10"/>
              </w:numPr>
              <w:rPr>
                <w:rFonts w:cs="Arial"/>
                <w:sz w:val="22"/>
                <w:szCs w:val="22"/>
              </w:rPr>
            </w:pPr>
            <w:r>
              <w:rPr>
                <w:rFonts w:cs="Arial"/>
                <w:sz w:val="22"/>
                <w:szCs w:val="22"/>
              </w:rPr>
              <w:t>Does the plan sets out r</w:t>
            </w:r>
            <w:r w:rsidR="00F33CF7">
              <w:rPr>
                <w:rFonts w:cs="Arial"/>
                <w:sz w:val="22"/>
                <w:szCs w:val="22"/>
              </w:rPr>
              <w:t>esource</w:t>
            </w:r>
            <w:r w:rsidR="00F805C2">
              <w:rPr>
                <w:rFonts w:cs="Arial"/>
                <w:sz w:val="22"/>
                <w:szCs w:val="22"/>
              </w:rPr>
              <w:t xml:space="preserve"> (financial &amp; competency) requirements</w:t>
            </w:r>
            <w:r>
              <w:rPr>
                <w:rFonts w:cs="Arial"/>
                <w:sz w:val="22"/>
                <w:szCs w:val="22"/>
              </w:rPr>
              <w:t xml:space="preserve">, </w:t>
            </w:r>
            <w:r w:rsidR="00F33CF7">
              <w:rPr>
                <w:rFonts w:cs="Arial"/>
                <w:sz w:val="22"/>
                <w:szCs w:val="22"/>
              </w:rPr>
              <w:t xml:space="preserve">and </w:t>
            </w:r>
            <w:r>
              <w:rPr>
                <w:rFonts w:cs="Arial"/>
                <w:sz w:val="22"/>
                <w:szCs w:val="22"/>
              </w:rPr>
              <w:t xml:space="preserve">the </w:t>
            </w:r>
            <w:r w:rsidR="00261D27">
              <w:rPr>
                <w:rFonts w:cs="Arial"/>
                <w:sz w:val="22"/>
                <w:szCs w:val="22"/>
              </w:rPr>
              <w:t xml:space="preserve">approach to address competing priorities and prevent focus on short-term issues. </w:t>
            </w:r>
          </w:p>
          <w:p w14:paraId="6C98CA32" w14:textId="77777777" w:rsidR="002E4293" w:rsidRDefault="00BD5CF3" w:rsidP="00105DE2">
            <w:pPr>
              <w:pStyle w:val="ListParagraph"/>
              <w:numPr>
                <w:ilvl w:val="0"/>
                <w:numId w:val="10"/>
              </w:numPr>
              <w:rPr>
                <w:rFonts w:cs="Arial"/>
                <w:sz w:val="22"/>
                <w:szCs w:val="22"/>
              </w:rPr>
            </w:pPr>
            <w:r>
              <w:rPr>
                <w:rFonts w:cs="Arial"/>
                <w:sz w:val="22"/>
                <w:szCs w:val="22"/>
              </w:rPr>
              <w:t xml:space="preserve">Any action on establishing </w:t>
            </w:r>
            <w:r w:rsidR="00261D27">
              <w:rPr>
                <w:rFonts w:cs="Arial"/>
                <w:sz w:val="22"/>
                <w:szCs w:val="22"/>
              </w:rPr>
              <w:t>measures to monitor</w:t>
            </w:r>
            <w:r>
              <w:rPr>
                <w:rFonts w:cs="Arial"/>
                <w:sz w:val="22"/>
                <w:szCs w:val="22"/>
              </w:rPr>
              <w:t xml:space="preserve"> resilience</w:t>
            </w:r>
            <w:r w:rsidR="00261D27">
              <w:rPr>
                <w:rFonts w:cs="Arial"/>
                <w:sz w:val="22"/>
                <w:szCs w:val="22"/>
              </w:rPr>
              <w:t xml:space="preserve"> an</w:t>
            </w:r>
            <w:r>
              <w:rPr>
                <w:rFonts w:cs="Arial"/>
                <w:sz w:val="22"/>
                <w:szCs w:val="22"/>
              </w:rPr>
              <w:t>d scenario analysis to develop the case for funding.</w:t>
            </w:r>
          </w:p>
          <w:p w14:paraId="3C91E490" w14:textId="77777777" w:rsidR="00B734C5" w:rsidRDefault="00B734C5" w:rsidP="00105DE2">
            <w:pPr>
              <w:pStyle w:val="ListParagraph"/>
              <w:numPr>
                <w:ilvl w:val="0"/>
                <w:numId w:val="10"/>
              </w:numPr>
              <w:rPr>
                <w:rFonts w:cs="Arial"/>
                <w:sz w:val="22"/>
                <w:szCs w:val="22"/>
              </w:rPr>
            </w:pPr>
            <w:r>
              <w:rPr>
                <w:rFonts w:cs="Arial"/>
                <w:sz w:val="22"/>
                <w:szCs w:val="22"/>
              </w:rPr>
              <w:t>Clarity on funding paths for the work identified</w:t>
            </w:r>
            <w:r w:rsidR="008064DC">
              <w:rPr>
                <w:rFonts w:cs="Arial"/>
                <w:sz w:val="22"/>
                <w:szCs w:val="22"/>
              </w:rPr>
              <w:t>.</w:t>
            </w:r>
          </w:p>
          <w:p w14:paraId="78C202AE" w14:textId="77777777" w:rsidR="001F11A8" w:rsidRPr="002E4293" w:rsidRDefault="001F11A8" w:rsidP="002E4293">
            <w:pPr>
              <w:rPr>
                <w:rFonts w:cs="Arial"/>
                <w:sz w:val="22"/>
                <w:szCs w:val="22"/>
              </w:rPr>
            </w:pPr>
            <w:r w:rsidRPr="002E4293">
              <w:rPr>
                <w:rFonts w:cs="Arial"/>
                <w:sz w:val="22"/>
                <w:szCs w:val="22"/>
              </w:rPr>
              <w:lastRenderedPageBreak/>
              <w:t>It is envisaged that this project will be undertaken as a desk top study making use of information already available within the public arena or drawn from the consultants</w:t>
            </w:r>
            <w:r w:rsidR="002008A3">
              <w:rPr>
                <w:rFonts w:cs="Arial"/>
                <w:sz w:val="22"/>
                <w:szCs w:val="22"/>
              </w:rPr>
              <w:t>’</w:t>
            </w:r>
            <w:r w:rsidRPr="002E4293">
              <w:rPr>
                <w:rFonts w:cs="Arial"/>
                <w:sz w:val="22"/>
                <w:szCs w:val="22"/>
              </w:rPr>
              <w:t xml:space="preserve"> existing </w:t>
            </w:r>
            <w:r w:rsidR="002008A3">
              <w:rPr>
                <w:rFonts w:cs="Arial"/>
                <w:sz w:val="22"/>
                <w:szCs w:val="22"/>
              </w:rPr>
              <w:t xml:space="preserve">expertise and </w:t>
            </w:r>
            <w:r w:rsidRPr="002E4293">
              <w:rPr>
                <w:rFonts w:cs="Arial"/>
                <w:sz w:val="22"/>
                <w:szCs w:val="22"/>
              </w:rPr>
              <w:t>knowledge base.</w:t>
            </w:r>
            <w:r w:rsidR="00BC178E">
              <w:rPr>
                <w:rFonts w:cs="Arial"/>
                <w:sz w:val="22"/>
                <w:szCs w:val="22"/>
              </w:rPr>
              <w:t xml:space="preserve">  Engagement with Network Rail </w:t>
            </w:r>
            <w:r w:rsidR="004B0EEA">
              <w:rPr>
                <w:rFonts w:cs="Arial"/>
                <w:sz w:val="22"/>
                <w:szCs w:val="22"/>
              </w:rPr>
              <w:t xml:space="preserve">or other parties </w:t>
            </w:r>
            <w:r w:rsidR="00BC178E">
              <w:rPr>
                <w:rFonts w:cs="Arial"/>
                <w:sz w:val="22"/>
                <w:szCs w:val="22"/>
              </w:rPr>
              <w:t xml:space="preserve">is not required for this </w:t>
            </w:r>
            <w:r w:rsidR="002C4FBC">
              <w:rPr>
                <w:rFonts w:cs="Arial"/>
                <w:sz w:val="22"/>
                <w:szCs w:val="22"/>
              </w:rPr>
              <w:t>review</w:t>
            </w:r>
            <w:r w:rsidR="00BC178E">
              <w:rPr>
                <w:rFonts w:cs="Arial"/>
                <w:sz w:val="22"/>
                <w:szCs w:val="22"/>
              </w:rPr>
              <w:t xml:space="preserve">. </w:t>
            </w:r>
          </w:p>
          <w:p w14:paraId="45EDBA62" w14:textId="4EFE883E" w:rsidR="002E4293" w:rsidRDefault="0037682C" w:rsidP="0037682C">
            <w:pPr>
              <w:rPr>
                <w:rFonts w:cs="Arial"/>
                <w:color w:val="7030A0"/>
                <w:sz w:val="22"/>
                <w:szCs w:val="22"/>
              </w:rPr>
            </w:pPr>
            <w:r w:rsidRPr="002E4293">
              <w:rPr>
                <w:rFonts w:cs="Arial"/>
                <w:sz w:val="22"/>
                <w:szCs w:val="22"/>
              </w:rPr>
              <w:t xml:space="preserve">The consultant should consider </w:t>
            </w:r>
            <w:r w:rsidR="002E4293" w:rsidRPr="002E4293">
              <w:rPr>
                <w:rFonts w:cs="Arial"/>
                <w:sz w:val="22"/>
                <w:szCs w:val="22"/>
              </w:rPr>
              <w:t xml:space="preserve">best practices from other Sectors, Government </w:t>
            </w:r>
            <w:r w:rsidR="007A34B8">
              <w:rPr>
                <w:rFonts w:cs="Arial"/>
                <w:sz w:val="22"/>
                <w:szCs w:val="22"/>
              </w:rPr>
              <w:t>agencies and</w:t>
            </w:r>
            <w:r w:rsidR="002E4293" w:rsidRPr="002E4293">
              <w:rPr>
                <w:rFonts w:cs="Arial"/>
                <w:sz w:val="22"/>
                <w:szCs w:val="22"/>
              </w:rPr>
              <w:t xml:space="preserve"> </w:t>
            </w:r>
            <w:r w:rsidR="00BD5CF3">
              <w:rPr>
                <w:rFonts w:cs="Arial"/>
                <w:sz w:val="22"/>
                <w:szCs w:val="22"/>
              </w:rPr>
              <w:t>Industry guidance</w:t>
            </w:r>
            <w:r w:rsidR="007A34B8">
              <w:rPr>
                <w:rFonts w:cs="Arial"/>
                <w:sz w:val="22"/>
                <w:szCs w:val="22"/>
              </w:rPr>
              <w:t>,</w:t>
            </w:r>
            <w:r w:rsidR="00BD5CF3">
              <w:rPr>
                <w:rFonts w:cs="Arial"/>
                <w:sz w:val="22"/>
                <w:szCs w:val="22"/>
              </w:rPr>
              <w:t xml:space="preserve"> and Standards</w:t>
            </w:r>
            <w:r w:rsidR="002E4293" w:rsidRPr="002E4293">
              <w:rPr>
                <w:rFonts w:cs="Arial"/>
                <w:sz w:val="22"/>
                <w:szCs w:val="22"/>
              </w:rPr>
              <w:t xml:space="preserve"> such as ISO 14910 for Adaptation to Climate Change</w:t>
            </w:r>
            <w:r w:rsidR="00271677">
              <w:rPr>
                <w:rFonts w:cs="Arial"/>
                <w:color w:val="7030A0"/>
                <w:sz w:val="22"/>
                <w:szCs w:val="22"/>
              </w:rPr>
              <w:t>.</w:t>
            </w:r>
            <w:r w:rsidR="00BD5CF3">
              <w:rPr>
                <w:rFonts w:cs="Arial"/>
                <w:color w:val="7030A0"/>
                <w:sz w:val="22"/>
                <w:szCs w:val="22"/>
              </w:rPr>
              <w:t xml:space="preserve"> </w:t>
            </w:r>
          </w:p>
          <w:p w14:paraId="4C140E1A" w14:textId="69A97582" w:rsidR="002008A3" w:rsidRPr="00DC1F6C" w:rsidRDefault="009A512D" w:rsidP="00E25E59">
            <w:pPr>
              <w:rPr>
                <w:rFonts w:cs="Arial"/>
                <w:sz w:val="22"/>
                <w:szCs w:val="22"/>
              </w:rPr>
            </w:pPr>
            <w:r w:rsidRPr="00DC1F6C">
              <w:rPr>
                <w:rFonts w:cs="Arial"/>
                <w:sz w:val="22"/>
                <w:szCs w:val="22"/>
              </w:rPr>
              <w:t xml:space="preserve">The consultant will provide a report </w:t>
            </w:r>
            <w:r w:rsidR="00AF7891" w:rsidRPr="00DC1F6C">
              <w:rPr>
                <w:rFonts w:cs="Arial"/>
                <w:sz w:val="22"/>
                <w:szCs w:val="22"/>
              </w:rPr>
              <w:t xml:space="preserve">supported by a briefing </w:t>
            </w:r>
            <w:r w:rsidRPr="00DC1F6C">
              <w:rPr>
                <w:rFonts w:cs="Arial"/>
                <w:sz w:val="22"/>
                <w:szCs w:val="22"/>
              </w:rPr>
              <w:t xml:space="preserve">detailing their </w:t>
            </w:r>
            <w:r w:rsidR="002E4293" w:rsidRPr="00DC1F6C">
              <w:rPr>
                <w:rFonts w:cs="Arial"/>
                <w:sz w:val="22"/>
                <w:szCs w:val="22"/>
              </w:rPr>
              <w:t xml:space="preserve">analysis </w:t>
            </w:r>
            <w:r w:rsidRPr="00DC1F6C">
              <w:rPr>
                <w:rFonts w:cs="Arial"/>
                <w:sz w:val="22"/>
                <w:szCs w:val="22"/>
              </w:rPr>
              <w:t>findings</w:t>
            </w:r>
            <w:r w:rsidR="002008A3" w:rsidRPr="00DC1F6C">
              <w:rPr>
                <w:rFonts w:cs="Arial"/>
                <w:sz w:val="22"/>
                <w:szCs w:val="22"/>
              </w:rPr>
              <w:t>:</w:t>
            </w:r>
          </w:p>
          <w:p w14:paraId="386DE6BE" w14:textId="3522D439" w:rsidR="002008A3" w:rsidRPr="00DC1F6C" w:rsidRDefault="001F11A8" w:rsidP="00DC1F6C">
            <w:pPr>
              <w:pStyle w:val="ListParagraph"/>
              <w:numPr>
                <w:ilvl w:val="0"/>
                <w:numId w:val="28"/>
              </w:numPr>
              <w:rPr>
                <w:rFonts w:cs="Arial"/>
                <w:sz w:val="22"/>
                <w:szCs w:val="22"/>
              </w:rPr>
            </w:pPr>
            <w:r w:rsidRPr="00DC1F6C">
              <w:rPr>
                <w:rFonts w:cs="Arial"/>
                <w:sz w:val="22"/>
                <w:szCs w:val="22"/>
              </w:rPr>
              <w:t>identifying</w:t>
            </w:r>
            <w:r w:rsidR="002008A3" w:rsidRPr="00DC1F6C">
              <w:rPr>
                <w:rFonts w:cs="Arial"/>
                <w:sz w:val="22"/>
                <w:szCs w:val="22"/>
              </w:rPr>
              <w:t xml:space="preserve"> </w:t>
            </w:r>
            <w:r w:rsidRPr="00DC1F6C">
              <w:rPr>
                <w:rFonts w:cs="Arial"/>
                <w:sz w:val="22"/>
                <w:szCs w:val="22"/>
              </w:rPr>
              <w:t>what might be considered current best practice</w:t>
            </w:r>
            <w:r w:rsidR="00E25E59" w:rsidRPr="00DC1F6C">
              <w:rPr>
                <w:rFonts w:cs="Arial"/>
                <w:sz w:val="22"/>
                <w:szCs w:val="22"/>
              </w:rPr>
              <w:t xml:space="preserve"> </w:t>
            </w:r>
            <w:r w:rsidR="00007956" w:rsidRPr="00DC1F6C">
              <w:rPr>
                <w:rFonts w:cs="Arial"/>
                <w:sz w:val="22"/>
                <w:szCs w:val="22"/>
              </w:rPr>
              <w:t xml:space="preserve">in </w:t>
            </w:r>
            <w:r w:rsidR="002E4293" w:rsidRPr="00DC1F6C">
              <w:rPr>
                <w:rFonts w:cs="Arial"/>
                <w:sz w:val="22"/>
                <w:szCs w:val="22"/>
              </w:rPr>
              <w:t>adaptation plans</w:t>
            </w:r>
            <w:r w:rsidR="002008A3" w:rsidRPr="00DC1F6C">
              <w:rPr>
                <w:rFonts w:cs="Arial"/>
                <w:sz w:val="22"/>
                <w:szCs w:val="22"/>
              </w:rPr>
              <w:t>;</w:t>
            </w:r>
            <w:r w:rsidR="002E4293" w:rsidRPr="00DC1F6C">
              <w:rPr>
                <w:rFonts w:cs="Arial"/>
                <w:sz w:val="22"/>
                <w:szCs w:val="22"/>
              </w:rPr>
              <w:t xml:space="preserve"> </w:t>
            </w:r>
          </w:p>
          <w:p w14:paraId="6B39E50E" w14:textId="3881E135" w:rsidR="002008A3" w:rsidRPr="00DC1F6C" w:rsidRDefault="00E25E59" w:rsidP="00DC1F6C">
            <w:pPr>
              <w:pStyle w:val="ListParagraph"/>
              <w:numPr>
                <w:ilvl w:val="0"/>
                <w:numId w:val="28"/>
              </w:numPr>
              <w:rPr>
                <w:rFonts w:cs="Arial"/>
                <w:sz w:val="22"/>
                <w:szCs w:val="22"/>
              </w:rPr>
            </w:pPr>
            <w:r w:rsidRPr="00DC1F6C">
              <w:rPr>
                <w:rFonts w:cs="Arial"/>
                <w:sz w:val="22"/>
                <w:szCs w:val="22"/>
              </w:rPr>
              <w:t>provid</w:t>
            </w:r>
            <w:r w:rsidR="002008A3" w:rsidRPr="00DC1F6C">
              <w:rPr>
                <w:rFonts w:cs="Arial"/>
                <w:sz w:val="22"/>
                <w:szCs w:val="22"/>
              </w:rPr>
              <w:t>ing</w:t>
            </w:r>
            <w:r w:rsidRPr="00DC1F6C">
              <w:rPr>
                <w:rFonts w:cs="Arial"/>
                <w:sz w:val="22"/>
                <w:szCs w:val="22"/>
              </w:rPr>
              <w:t xml:space="preserve"> a view o</w:t>
            </w:r>
            <w:r w:rsidR="002E4293" w:rsidRPr="00DC1F6C">
              <w:rPr>
                <w:rFonts w:cs="Arial"/>
                <w:sz w:val="22"/>
                <w:szCs w:val="22"/>
              </w:rPr>
              <w:t>n</w:t>
            </w:r>
            <w:r w:rsidR="00B07215" w:rsidRPr="00DC1F6C">
              <w:rPr>
                <w:rFonts w:cs="Arial"/>
                <w:sz w:val="22"/>
                <w:szCs w:val="22"/>
              </w:rPr>
              <w:t xml:space="preserve"> </w:t>
            </w:r>
            <w:r w:rsidR="0078615B" w:rsidRPr="00DC1F6C">
              <w:rPr>
                <w:rFonts w:cs="Arial"/>
                <w:sz w:val="22"/>
                <w:szCs w:val="22"/>
              </w:rPr>
              <w:t xml:space="preserve">the </w:t>
            </w:r>
            <w:r w:rsidR="003617FA" w:rsidRPr="00DC1F6C">
              <w:rPr>
                <w:rFonts w:cs="Arial"/>
                <w:sz w:val="22"/>
                <w:szCs w:val="22"/>
              </w:rPr>
              <w:t>maturity</w:t>
            </w:r>
            <w:r w:rsidR="0078615B" w:rsidRPr="00DC1F6C">
              <w:rPr>
                <w:rFonts w:cs="Arial"/>
                <w:sz w:val="22"/>
                <w:szCs w:val="22"/>
              </w:rPr>
              <w:t xml:space="preserve"> of the</w:t>
            </w:r>
            <w:r w:rsidR="00B07215" w:rsidRPr="00DC1F6C">
              <w:rPr>
                <w:rFonts w:cs="Arial"/>
                <w:sz w:val="22"/>
                <w:szCs w:val="22"/>
              </w:rPr>
              <w:t xml:space="preserve"> WRCCA plans</w:t>
            </w:r>
            <w:r w:rsidR="002008A3" w:rsidRPr="00DC1F6C">
              <w:rPr>
                <w:rFonts w:cs="Arial"/>
                <w:sz w:val="22"/>
                <w:szCs w:val="22"/>
              </w:rPr>
              <w:t>;</w:t>
            </w:r>
            <w:r w:rsidR="00B07215" w:rsidRPr="00DC1F6C">
              <w:rPr>
                <w:rFonts w:cs="Arial"/>
                <w:sz w:val="22"/>
                <w:szCs w:val="22"/>
              </w:rPr>
              <w:t xml:space="preserve"> and</w:t>
            </w:r>
            <w:r w:rsidRPr="00DC1F6C">
              <w:rPr>
                <w:rFonts w:cs="Arial"/>
                <w:sz w:val="22"/>
                <w:szCs w:val="22"/>
              </w:rPr>
              <w:t xml:space="preserve"> </w:t>
            </w:r>
          </w:p>
          <w:p w14:paraId="271548B7" w14:textId="77777777" w:rsidR="00E25E59" w:rsidRPr="00DC1F6C" w:rsidRDefault="002008A3" w:rsidP="00DC1F6C">
            <w:pPr>
              <w:pStyle w:val="ListParagraph"/>
              <w:numPr>
                <w:ilvl w:val="0"/>
                <w:numId w:val="28"/>
              </w:numPr>
              <w:rPr>
                <w:rFonts w:cs="Arial"/>
                <w:sz w:val="22"/>
                <w:szCs w:val="22"/>
              </w:rPr>
            </w:pPr>
            <w:r w:rsidRPr="00DC1F6C">
              <w:rPr>
                <w:rFonts w:cs="Arial"/>
                <w:sz w:val="22"/>
                <w:szCs w:val="22"/>
              </w:rPr>
              <w:t xml:space="preserve">providing a view on </w:t>
            </w:r>
            <w:r w:rsidR="002E4293" w:rsidRPr="00DC1F6C">
              <w:rPr>
                <w:rFonts w:cs="Arial"/>
                <w:sz w:val="22"/>
                <w:szCs w:val="22"/>
              </w:rPr>
              <w:t>how the plans could be improved</w:t>
            </w:r>
            <w:r w:rsidR="00B07215" w:rsidRPr="00DC1F6C">
              <w:rPr>
                <w:rFonts w:cs="Arial"/>
                <w:sz w:val="22"/>
                <w:szCs w:val="22"/>
              </w:rPr>
              <w:t xml:space="preserve"> </w:t>
            </w:r>
            <w:r w:rsidR="002E4293" w:rsidRPr="00DC1F6C">
              <w:rPr>
                <w:rFonts w:cs="Arial"/>
                <w:sz w:val="22"/>
                <w:szCs w:val="22"/>
              </w:rPr>
              <w:t>for CP7 planning</w:t>
            </w:r>
            <w:r w:rsidR="00B07215" w:rsidRPr="00DC1F6C">
              <w:rPr>
                <w:rFonts w:cs="Arial"/>
                <w:sz w:val="22"/>
                <w:szCs w:val="22"/>
              </w:rPr>
              <w:t xml:space="preserve"> and long term resilience</w:t>
            </w:r>
            <w:r w:rsidR="002E4293" w:rsidRPr="00DC1F6C">
              <w:rPr>
                <w:rFonts w:cs="Arial"/>
                <w:sz w:val="22"/>
                <w:szCs w:val="22"/>
              </w:rPr>
              <w:t>.</w:t>
            </w:r>
          </w:p>
          <w:p w14:paraId="76936D6B" w14:textId="77777777" w:rsidR="00E25E59" w:rsidRPr="00AB7E6E" w:rsidRDefault="00E25E59" w:rsidP="00E25E59">
            <w:pPr>
              <w:rPr>
                <w:rFonts w:cs="Arial"/>
                <w:sz w:val="22"/>
                <w:szCs w:val="22"/>
              </w:rPr>
            </w:pPr>
            <w:r w:rsidRPr="00AB7E6E">
              <w:rPr>
                <w:rFonts w:cs="Arial"/>
                <w:sz w:val="22"/>
                <w:szCs w:val="22"/>
              </w:rPr>
              <w:t>The report will help inform ORR on the</w:t>
            </w:r>
            <w:r w:rsidR="00AF3FCD" w:rsidRPr="00AB7E6E">
              <w:rPr>
                <w:rFonts w:cs="Arial"/>
                <w:sz w:val="22"/>
                <w:szCs w:val="22"/>
              </w:rPr>
              <w:t xml:space="preserve"> adequacy of the plans </w:t>
            </w:r>
            <w:r w:rsidR="0078615B">
              <w:rPr>
                <w:rFonts w:cs="Arial"/>
                <w:sz w:val="22"/>
                <w:szCs w:val="22"/>
              </w:rPr>
              <w:t xml:space="preserve">to address the short term risks </w:t>
            </w:r>
            <w:r w:rsidR="00AF3FCD" w:rsidRPr="00AB7E6E">
              <w:rPr>
                <w:rFonts w:cs="Arial"/>
                <w:sz w:val="22"/>
                <w:szCs w:val="22"/>
              </w:rPr>
              <w:t xml:space="preserve">and </w:t>
            </w:r>
            <w:r w:rsidR="0078615B">
              <w:rPr>
                <w:rFonts w:cs="Arial"/>
                <w:sz w:val="22"/>
                <w:szCs w:val="22"/>
              </w:rPr>
              <w:t>confidence on the long term adaptation plans</w:t>
            </w:r>
            <w:r w:rsidR="00AF3FCD" w:rsidRPr="00AB7E6E">
              <w:rPr>
                <w:rFonts w:cs="Arial"/>
                <w:sz w:val="22"/>
                <w:szCs w:val="22"/>
              </w:rPr>
              <w:t xml:space="preserve">. </w:t>
            </w:r>
          </w:p>
          <w:p w14:paraId="10D99304" w14:textId="77777777" w:rsidR="002E4293" w:rsidRPr="002E4293" w:rsidRDefault="002E4293" w:rsidP="002E4293">
            <w:pPr>
              <w:rPr>
                <w:rFonts w:cs="Arial"/>
                <w:sz w:val="22"/>
                <w:szCs w:val="22"/>
              </w:rPr>
            </w:pPr>
            <w:r w:rsidRPr="002E4293">
              <w:rPr>
                <w:rFonts w:cs="Arial"/>
                <w:sz w:val="22"/>
                <w:szCs w:val="22"/>
              </w:rPr>
              <w:t>It is possible that the final report may be published either in full or part on the ORR external web site or referenced in ORR published documents. The report should therefore be produced with this in mind.</w:t>
            </w:r>
          </w:p>
          <w:p w14:paraId="05E9BEB9" w14:textId="2CC87C7B" w:rsidR="00AE5DDA" w:rsidRPr="002E4293" w:rsidRDefault="6B4DFA8E" w:rsidP="00320048">
            <w:pPr>
              <w:rPr>
                <w:rFonts w:cs="Arial"/>
                <w:sz w:val="22"/>
                <w:szCs w:val="22"/>
              </w:rPr>
            </w:pPr>
            <w:r w:rsidRPr="6B4DFA8E">
              <w:rPr>
                <w:rFonts w:cs="Arial"/>
                <w:sz w:val="22"/>
                <w:szCs w:val="22"/>
              </w:rPr>
              <w:t>We envisage from contract award the elapse time for this commission will be in the region of three months.</w:t>
            </w:r>
          </w:p>
          <w:p w14:paraId="73467082" w14:textId="77777777" w:rsidR="00F52BE8" w:rsidRPr="009B1A8F" w:rsidRDefault="00320048" w:rsidP="00A86302">
            <w:pPr>
              <w:rPr>
                <w:rFonts w:cs="Arial"/>
                <w:b/>
                <w:color w:val="FF0000"/>
              </w:rPr>
            </w:pPr>
            <w:r w:rsidRPr="002E4293">
              <w:rPr>
                <w:rFonts w:cs="Arial"/>
                <w:sz w:val="22"/>
                <w:szCs w:val="22"/>
              </w:rPr>
              <w:t>No security requirements are expected in this commission.</w:t>
            </w:r>
            <w:r w:rsidR="00E25E59" w:rsidRPr="002E4293">
              <w:rPr>
                <w:rFonts w:cs="Arial"/>
                <w:sz w:val="22"/>
                <w:szCs w:val="22"/>
              </w:rPr>
              <w:t xml:space="preserve"> It is not expected that the consultant will hav</w:t>
            </w:r>
            <w:r w:rsidR="00B329B7" w:rsidRPr="002E4293">
              <w:rPr>
                <w:rFonts w:cs="Arial"/>
                <w:sz w:val="22"/>
                <w:szCs w:val="22"/>
              </w:rPr>
              <w:t>e access to any personal data of</w:t>
            </w:r>
            <w:r w:rsidR="00E25E59" w:rsidRPr="002E4293">
              <w:rPr>
                <w:rFonts w:cs="Arial"/>
                <w:sz w:val="22"/>
                <w:szCs w:val="22"/>
              </w:rPr>
              <w:t xml:space="preserve"> the ORR network.</w:t>
            </w:r>
          </w:p>
        </w:tc>
      </w:tr>
      <w:tr w:rsidR="00F52BE8" w:rsidRPr="0036077E" w14:paraId="7AC0FB15" w14:textId="77777777" w:rsidTr="6B4DFA8E">
        <w:trPr>
          <w:trHeight w:val="566"/>
        </w:trPr>
        <w:tc>
          <w:tcPr>
            <w:tcW w:w="8528" w:type="dxa"/>
            <w:shd w:val="clear" w:color="auto" w:fill="99CCFF"/>
          </w:tcPr>
          <w:p w14:paraId="5866CC85" w14:textId="77777777" w:rsidR="00F52BE8" w:rsidRPr="0036077E" w:rsidRDefault="00F52BE8" w:rsidP="00A86302">
            <w:pPr>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F52BE8" w:rsidRPr="0036077E" w14:paraId="5DEBC32B" w14:textId="77777777" w:rsidTr="6B4DFA8E">
        <w:trPr>
          <w:trHeight w:val="757"/>
        </w:trPr>
        <w:tc>
          <w:tcPr>
            <w:tcW w:w="8528" w:type="dxa"/>
            <w:tcBorders>
              <w:bottom w:val="single" w:sz="4" w:space="0" w:color="auto"/>
            </w:tcBorders>
            <w:shd w:val="clear" w:color="auto" w:fill="auto"/>
          </w:tcPr>
          <w:p w14:paraId="586D3CA1" w14:textId="77777777" w:rsidR="00F52BE8" w:rsidRPr="008A4B34" w:rsidRDefault="00F52BE8" w:rsidP="00A86302">
            <w:pPr>
              <w:spacing w:after="0"/>
              <w:rPr>
                <w:rFonts w:cs="Arial"/>
                <w:b/>
                <w:sz w:val="22"/>
                <w:szCs w:val="22"/>
              </w:rPr>
            </w:pPr>
            <w:r w:rsidRPr="008A4B34">
              <w:rPr>
                <w:rFonts w:cs="Arial"/>
                <w:b/>
                <w:sz w:val="22"/>
                <w:szCs w:val="22"/>
              </w:rPr>
              <w:t>Outputs and Deliverables</w:t>
            </w:r>
          </w:p>
          <w:p w14:paraId="71BBCAD2" w14:textId="77777777" w:rsidR="00F52BE8" w:rsidRPr="0036077E" w:rsidRDefault="00F52BE8" w:rsidP="00A86302">
            <w:pPr>
              <w:spacing w:after="0"/>
              <w:rPr>
                <w:rFonts w:cs="Arial"/>
                <w:sz w:val="22"/>
                <w:szCs w:val="22"/>
              </w:rPr>
            </w:pPr>
          </w:p>
          <w:p w14:paraId="4C60CE6D" w14:textId="77777777" w:rsidR="00F52BE8" w:rsidRPr="0036077E" w:rsidRDefault="00F52BE8" w:rsidP="00A86302">
            <w:pPr>
              <w:rPr>
                <w:sz w:val="22"/>
                <w:szCs w:val="22"/>
              </w:rPr>
            </w:pPr>
            <w:r w:rsidRPr="0036077E">
              <w:rPr>
                <w:sz w:val="22"/>
                <w:szCs w:val="22"/>
              </w:rPr>
              <w:t>The consultant is to deliver:</w:t>
            </w:r>
          </w:p>
          <w:p w14:paraId="38DC1A6B" w14:textId="77777777" w:rsidR="00F52BE8" w:rsidRPr="0036077E" w:rsidRDefault="00F52BE8" w:rsidP="00F52BE8">
            <w:pPr>
              <w:numPr>
                <w:ilvl w:val="0"/>
                <w:numId w:val="11"/>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Interim presentation of emerging findings</w:t>
            </w:r>
          </w:p>
          <w:p w14:paraId="6EEE4725" w14:textId="77777777" w:rsidR="00F52BE8" w:rsidRPr="0036077E" w:rsidRDefault="00F52BE8" w:rsidP="00F52BE8">
            <w:pPr>
              <w:numPr>
                <w:ilvl w:val="0"/>
                <w:numId w:val="11"/>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Draft report for comment which details the findings, conclusions and recommendations.  </w:t>
            </w:r>
          </w:p>
          <w:p w14:paraId="462C5332" w14:textId="77777777" w:rsidR="00F52BE8" w:rsidRPr="0036077E" w:rsidRDefault="00F52BE8" w:rsidP="00F52BE8">
            <w:pPr>
              <w:numPr>
                <w:ilvl w:val="0"/>
                <w:numId w:val="11"/>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Final report which incorporates the amendments from the ORR</w:t>
            </w:r>
          </w:p>
          <w:p w14:paraId="2D808FA3" w14:textId="77777777" w:rsidR="00F52BE8" w:rsidRDefault="00F52BE8" w:rsidP="00F52BE8">
            <w:pPr>
              <w:numPr>
                <w:ilvl w:val="0"/>
                <w:numId w:val="11"/>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presentation of the findings and recommendations to the ORR</w:t>
            </w:r>
          </w:p>
          <w:p w14:paraId="38133E53" w14:textId="77777777" w:rsidR="00F52BE8" w:rsidRDefault="00F52BE8" w:rsidP="00A86302">
            <w:pPr>
              <w:autoSpaceDE w:val="0"/>
              <w:autoSpaceDN w:val="0"/>
              <w:adjustRightInd w:val="0"/>
              <w:spacing w:after="0"/>
              <w:rPr>
                <w:rFonts w:cs="Arial"/>
                <w:color w:val="000000"/>
                <w:sz w:val="22"/>
                <w:szCs w:val="22"/>
                <w:lang w:eastAsia="en-GB"/>
              </w:rPr>
            </w:pPr>
          </w:p>
          <w:p w14:paraId="554AD563" w14:textId="77777777" w:rsidR="00F52BE8" w:rsidRPr="008A4B34" w:rsidRDefault="00F52BE8" w:rsidP="00A86302">
            <w:pPr>
              <w:autoSpaceDE w:val="0"/>
              <w:autoSpaceDN w:val="0"/>
              <w:adjustRightInd w:val="0"/>
              <w:spacing w:after="0"/>
              <w:rPr>
                <w:rFonts w:cs="Arial"/>
                <w:b/>
                <w:sz w:val="22"/>
                <w:szCs w:val="22"/>
                <w:lang w:eastAsia="en-GB"/>
              </w:rPr>
            </w:pPr>
            <w:r w:rsidRPr="008A4B34">
              <w:rPr>
                <w:rFonts w:cs="Arial"/>
                <w:b/>
                <w:sz w:val="22"/>
                <w:szCs w:val="22"/>
                <w:lang w:eastAsia="en-GB"/>
              </w:rPr>
              <w:t>Contract Management</w:t>
            </w:r>
            <w:r>
              <w:rPr>
                <w:rFonts w:cs="Arial"/>
                <w:b/>
                <w:sz w:val="22"/>
                <w:szCs w:val="22"/>
                <w:lang w:eastAsia="en-GB"/>
              </w:rPr>
              <w:t xml:space="preserve"> Requirements</w:t>
            </w:r>
          </w:p>
          <w:p w14:paraId="32E90BA3" w14:textId="77777777" w:rsidR="00F52BE8" w:rsidRDefault="00F52BE8" w:rsidP="00A86302">
            <w:pPr>
              <w:autoSpaceDE w:val="0"/>
              <w:autoSpaceDN w:val="0"/>
              <w:adjustRightInd w:val="0"/>
              <w:spacing w:after="0"/>
              <w:rPr>
                <w:rFonts w:cs="Arial"/>
                <w:color w:val="000000"/>
                <w:sz w:val="22"/>
                <w:szCs w:val="22"/>
                <w:lang w:eastAsia="en-GB"/>
              </w:rPr>
            </w:pPr>
          </w:p>
          <w:p w14:paraId="3170296F" w14:textId="77777777" w:rsidR="00B679D6" w:rsidRDefault="00B679D6" w:rsidP="00A86302">
            <w:pPr>
              <w:autoSpaceDE w:val="0"/>
              <w:autoSpaceDN w:val="0"/>
              <w:adjustRightInd w:val="0"/>
              <w:spacing w:after="0"/>
              <w:rPr>
                <w:rFonts w:cs="Arial"/>
                <w:color w:val="000000"/>
                <w:sz w:val="22"/>
                <w:szCs w:val="22"/>
                <w:lang w:eastAsia="en-GB"/>
              </w:rPr>
            </w:pPr>
            <w:r>
              <w:rPr>
                <w:rFonts w:cs="Arial"/>
                <w:color w:val="000000"/>
                <w:sz w:val="22"/>
                <w:szCs w:val="22"/>
                <w:lang w:eastAsia="en-GB"/>
              </w:rPr>
              <w:t xml:space="preserve">Due to current recommendation in avoiding unnecessary face-to-face meeting it is envisage that all </w:t>
            </w:r>
            <w:r w:rsidR="004F5C25">
              <w:rPr>
                <w:rFonts w:cs="Arial"/>
                <w:color w:val="000000"/>
                <w:sz w:val="22"/>
                <w:szCs w:val="22"/>
                <w:lang w:eastAsia="en-GB"/>
              </w:rPr>
              <w:t>communication</w:t>
            </w:r>
            <w:r>
              <w:rPr>
                <w:rFonts w:cs="Arial"/>
                <w:color w:val="000000"/>
                <w:sz w:val="22"/>
                <w:szCs w:val="22"/>
                <w:lang w:eastAsia="en-GB"/>
              </w:rPr>
              <w:t xml:space="preserve"> will be via </w:t>
            </w:r>
            <w:r w:rsidR="00007956">
              <w:rPr>
                <w:rFonts w:cs="Arial"/>
                <w:color w:val="000000"/>
                <w:sz w:val="22"/>
                <w:szCs w:val="22"/>
                <w:lang w:eastAsia="en-GB"/>
              </w:rPr>
              <w:t xml:space="preserve">MS </w:t>
            </w:r>
            <w:r>
              <w:rPr>
                <w:rFonts w:cs="Arial"/>
                <w:color w:val="000000"/>
                <w:sz w:val="22"/>
                <w:szCs w:val="22"/>
                <w:lang w:eastAsia="en-GB"/>
              </w:rPr>
              <w:t>Teams or another suitable method.</w:t>
            </w:r>
          </w:p>
          <w:p w14:paraId="36F24A29" w14:textId="77777777" w:rsidR="00007956" w:rsidRDefault="00007956" w:rsidP="00A86302">
            <w:pPr>
              <w:autoSpaceDE w:val="0"/>
              <w:autoSpaceDN w:val="0"/>
              <w:adjustRightInd w:val="0"/>
              <w:spacing w:after="0"/>
              <w:rPr>
                <w:rFonts w:cs="Arial"/>
                <w:color w:val="000000"/>
                <w:sz w:val="22"/>
                <w:szCs w:val="22"/>
                <w:lang w:eastAsia="en-GB"/>
              </w:rPr>
            </w:pPr>
          </w:p>
          <w:p w14:paraId="0813E1A3" w14:textId="77777777" w:rsidR="00F52BE8" w:rsidRDefault="00007956" w:rsidP="00B679D6">
            <w:pPr>
              <w:autoSpaceDE w:val="0"/>
              <w:autoSpaceDN w:val="0"/>
              <w:adjustRightInd w:val="0"/>
              <w:spacing w:after="0"/>
              <w:rPr>
                <w:rFonts w:cs="Arial"/>
                <w:color w:val="000000"/>
                <w:sz w:val="22"/>
                <w:szCs w:val="22"/>
                <w:lang w:eastAsia="en-GB"/>
              </w:rPr>
            </w:pPr>
            <w:r>
              <w:rPr>
                <w:rFonts w:cs="Arial"/>
                <w:color w:val="000000"/>
                <w:sz w:val="22"/>
                <w:szCs w:val="22"/>
                <w:lang w:eastAsia="en-GB"/>
              </w:rPr>
              <w:t>Whilst this is a relatively short commission we do require that every two weeks the consultant provides a brief verbal update of progress</w:t>
            </w:r>
            <w:r w:rsidR="00BD24D2">
              <w:rPr>
                <w:rFonts w:cs="Arial"/>
                <w:color w:val="000000"/>
                <w:sz w:val="22"/>
                <w:szCs w:val="22"/>
                <w:lang w:eastAsia="en-GB"/>
              </w:rPr>
              <w:t>.</w:t>
            </w:r>
            <w:r>
              <w:rPr>
                <w:rFonts w:cs="Arial"/>
                <w:color w:val="000000"/>
                <w:sz w:val="22"/>
                <w:szCs w:val="22"/>
                <w:lang w:eastAsia="en-GB"/>
              </w:rPr>
              <w:t xml:space="preserve"> </w:t>
            </w:r>
          </w:p>
          <w:p w14:paraId="7DC3DC6A" w14:textId="77777777" w:rsidR="00B329B7" w:rsidRPr="00B329B7" w:rsidRDefault="00B329B7" w:rsidP="00B679D6">
            <w:pPr>
              <w:autoSpaceDE w:val="0"/>
              <w:autoSpaceDN w:val="0"/>
              <w:adjustRightInd w:val="0"/>
              <w:spacing w:after="0"/>
              <w:rPr>
                <w:rFonts w:cs="Arial"/>
                <w:color w:val="000000"/>
                <w:sz w:val="22"/>
                <w:szCs w:val="22"/>
                <w:lang w:eastAsia="en-GB"/>
              </w:rPr>
            </w:pPr>
          </w:p>
        </w:tc>
      </w:tr>
      <w:tr w:rsidR="00F52BE8" w:rsidRPr="0036077E" w14:paraId="1D07647C" w14:textId="77777777" w:rsidTr="6B4DFA8E">
        <w:trPr>
          <w:trHeight w:val="250"/>
        </w:trPr>
        <w:tc>
          <w:tcPr>
            <w:tcW w:w="8528" w:type="dxa"/>
            <w:shd w:val="clear" w:color="auto" w:fill="99CCFF"/>
          </w:tcPr>
          <w:p w14:paraId="38AB41C8" w14:textId="77777777" w:rsidR="00F52BE8" w:rsidRPr="0036077E" w:rsidRDefault="00F52BE8" w:rsidP="00A86302">
            <w:pPr>
              <w:rPr>
                <w:rFonts w:cs="Arial"/>
                <w:b/>
                <w:sz w:val="28"/>
                <w:szCs w:val="28"/>
              </w:rPr>
            </w:pPr>
            <w:r w:rsidRPr="0036077E">
              <w:rPr>
                <w:rFonts w:cs="Arial"/>
                <w:b/>
                <w:sz w:val="28"/>
                <w:szCs w:val="28"/>
              </w:rPr>
              <w:t>2.4 Project Timescales</w:t>
            </w:r>
          </w:p>
        </w:tc>
      </w:tr>
      <w:tr w:rsidR="00F52BE8" w:rsidRPr="0036077E" w14:paraId="10D0718F" w14:textId="77777777" w:rsidTr="6B4DFA8E">
        <w:trPr>
          <w:trHeight w:val="250"/>
        </w:trPr>
        <w:tc>
          <w:tcPr>
            <w:tcW w:w="8528" w:type="dxa"/>
            <w:tcBorders>
              <w:bottom w:val="single" w:sz="4" w:space="0" w:color="auto"/>
            </w:tcBorders>
            <w:shd w:val="clear" w:color="auto" w:fill="auto"/>
          </w:tcPr>
          <w:p w14:paraId="764E0CA8" w14:textId="332982E7" w:rsidR="00F52BE8" w:rsidRPr="00F805C2" w:rsidRDefault="00F52BE8" w:rsidP="00A86302">
            <w:pPr>
              <w:autoSpaceDE w:val="0"/>
              <w:autoSpaceDN w:val="0"/>
              <w:adjustRightInd w:val="0"/>
              <w:rPr>
                <w:rFonts w:cs="Arial"/>
                <w:color w:val="000000"/>
                <w:sz w:val="22"/>
                <w:szCs w:val="22"/>
                <w:lang w:eastAsia="en-GB"/>
              </w:rPr>
            </w:pPr>
            <w:r w:rsidRPr="0036077E">
              <w:rPr>
                <w:rFonts w:cs="Arial"/>
                <w:color w:val="000000"/>
                <w:sz w:val="22"/>
                <w:szCs w:val="22"/>
                <w:lang w:eastAsia="en-GB"/>
              </w:rPr>
              <w:lastRenderedPageBreak/>
              <w:t>T</w:t>
            </w:r>
            <w:r w:rsidRPr="00F805C2">
              <w:rPr>
                <w:rFonts w:cs="Arial"/>
                <w:color w:val="000000"/>
                <w:sz w:val="22"/>
                <w:szCs w:val="22"/>
                <w:lang w:eastAsia="en-GB"/>
              </w:rPr>
              <w:t>he provisional project timetable is as follows</w:t>
            </w:r>
            <w:r w:rsidR="000808A1" w:rsidRPr="00F805C2">
              <w:rPr>
                <w:rFonts w:cs="Arial"/>
                <w:color w:val="000000"/>
                <w:sz w:val="22"/>
                <w:szCs w:val="22"/>
                <w:lang w:eastAsia="en-GB"/>
              </w:rPr>
              <w:t xml:space="preserve"> (although the consultant may propose a more compressed programme)</w:t>
            </w:r>
            <w:r w:rsidRPr="00F805C2">
              <w:rPr>
                <w:rFonts w:cs="Arial"/>
                <w:color w:val="000000"/>
                <w:sz w:val="22"/>
                <w:szCs w:val="22"/>
                <w:lang w:eastAsia="en-GB"/>
              </w:rPr>
              <w:t>:</w:t>
            </w:r>
            <w:r w:rsidR="00F92E23" w:rsidRPr="00235AEE">
              <w:rPr>
                <w:rFonts w:cs="Arial"/>
                <w:color w:val="000000"/>
                <w:sz w:val="22"/>
                <w:szCs w:val="22"/>
                <w:lang w:eastAsia="en-GB"/>
              </w:rPr>
              <w:t xml:space="preserve"> </w:t>
            </w:r>
          </w:p>
          <w:p w14:paraId="2B489347" w14:textId="63A4A93E" w:rsidR="00F52BE8" w:rsidRPr="00D80B70" w:rsidRDefault="00B329B7" w:rsidP="00F52BE8">
            <w:pPr>
              <w:numPr>
                <w:ilvl w:val="0"/>
                <w:numId w:val="12"/>
              </w:numPr>
              <w:autoSpaceDE w:val="0"/>
              <w:autoSpaceDN w:val="0"/>
              <w:adjustRightInd w:val="0"/>
              <w:spacing w:after="0"/>
              <w:rPr>
                <w:rFonts w:cs="Arial"/>
                <w:color w:val="000000"/>
                <w:sz w:val="22"/>
                <w:szCs w:val="22"/>
                <w:lang w:eastAsia="en-GB"/>
              </w:rPr>
            </w:pPr>
            <w:r w:rsidRPr="00D80B70">
              <w:rPr>
                <w:rFonts w:cs="Arial"/>
                <w:color w:val="000000"/>
                <w:sz w:val="22"/>
                <w:szCs w:val="22"/>
                <w:lang w:eastAsia="en-GB"/>
              </w:rPr>
              <w:t>Start-</w:t>
            </w:r>
            <w:r w:rsidR="00F52BE8" w:rsidRPr="00D80B70">
              <w:rPr>
                <w:rFonts w:cs="Arial"/>
                <w:color w:val="000000"/>
                <w:sz w:val="22"/>
                <w:szCs w:val="22"/>
                <w:lang w:eastAsia="en-GB"/>
              </w:rPr>
              <w:t xml:space="preserve">up meeting and commencement w/c </w:t>
            </w:r>
            <w:r w:rsidR="00FC6C2C">
              <w:rPr>
                <w:rFonts w:cs="Arial"/>
                <w:color w:val="000000"/>
                <w:sz w:val="22"/>
                <w:szCs w:val="22"/>
                <w:lang w:eastAsia="en-GB"/>
              </w:rPr>
              <w:t>14</w:t>
            </w:r>
            <w:r w:rsidR="000808A1" w:rsidRPr="00D80B70">
              <w:rPr>
                <w:rFonts w:cs="Arial"/>
                <w:color w:val="000000"/>
                <w:sz w:val="22"/>
                <w:szCs w:val="22"/>
                <w:lang w:eastAsia="en-GB"/>
              </w:rPr>
              <w:t xml:space="preserve"> </w:t>
            </w:r>
            <w:r w:rsidR="00B30E15" w:rsidRPr="00D80B70">
              <w:rPr>
                <w:rFonts w:cs="Arial"/>
                <w:color w:val="000000"/>
                <w:sz w:val="22"/>
                <w:szCs w:val="22"/>
                <w:lang w:eastAsia="en-GB"/>
              </w:rPr>
              <w:t>Dece</w:t>
            </w:r>
            <w:r w:rsidR="000808A1" w:rsidRPr="00D80B70">
              <w:rPr>
                <w:rFonts w:cs="Arial"/>
                <w:color w:val="000000"/>
                <w:sz w:val="22"/>
                <w:szCs w:val="22"/>
                <w:lang w:eastAsia="en-GB"/>
              </w:rPr>
              <w:t>mber 2020</w:t>
            </w:r>
            <w:r w:rsidR="00F805C2">
              <w:rPr>
                <w:rFonts w:cs="Arial"/>
                <w:color w:val="000000"/>
                <w:sz w:val="22"/>
                <w:szCs w:val="22"/>
                <w:lang w:eastAsia="en-GB"/>
              </w:rPr>
              <w:t xml:space="preserve"> </w:t>
            </w:r>
          </w:p>
          <w:p w14:paraId="1A46C337" w14:textId="77777777" w:rsidR="00F52BE8" w:rsidRPr="00D80B70" w:rsidRDefault="00E9262A" w:rsidP="00F52BE8">
            <w:pPr>
              <w:numPr>
                <w:ilvl w:val="0"/>
                <w:numId w:val="12"/>
              </w:numPr>
              <w:autoSpaceDE w:val="0"/>
              <w:autoSpaceDN w:val="0"/>
              <w:adjustRightInd w:val="0"/>
              <w:spacing w:after="0"/>
              <w:rPr>
                <w:rFonts w:cs="Arial"/>
                <w:color w:val="000000"/>
                <w:sz w:val="22"/>
                <w:szCs w:val="22"/>
                <w:lang w:eastAsia="en-GB"/>
              </w:rPr>
            </w:pPr>
            <w:r w:rsidRPr="00D80B70">
              <w:rPr>
                <w:rFonts w:cs="Arial"/>
                <w:color w:val="000000"/>
                <w:sz w:val="22"/>
                <w:szCs w:val="22"/>
                <w:lang w:eastAsia="en-GB"/>
              </w:rPr>
              <w:t>Bi-weekly (once every two weeks)</w:t>
            </w:r>
            <w:r w:rsidR="00F52BE8" w:rsidRPr="00D80B70">
              <w:rPr>
                <w:rFonts w:cs="Arial"/>
                <w:color w:val="000000"/>
                <w:sz w:val="22"/>
                <w:szCs w:val="22"/>
                <w:lang w:eastAsia="en-GB"/>
              </w:rPr>
              <w:t xml:space="preserve"> updates on progress and any issues</w:t>
            </w:r>
          </w:p>
          <w:p w14:paraId="27BBE634" w14:textId="36E3317D" w:rsidR="00F52BE8" w:rsidRPr="00D80B70" w:rsidRDefault="00F52BE8" w:rsidP="00F52BE8">
            <w:pPr>
              <w:numPr>
                <w:ilvl w:val="0"/>
                <w:numId w:val="12"/>
              </w:numPr>
              <w:autoSpaceDE w:val="0"/>
              <w:autoSpaceDN w:val="0"/>
              <w:adjustRightInd w:val="0"/>
              <w:spacing w:after="0"/>
              <w:rPr>
                <w:rFonts w:cs="Arial"/>
                <w:color w:val="000000"/>
                <w:sz w:val="22"/>
                <w:szCs w:val="22"/>
                <w:lang w:eastAsia="en-GB"/>
              </w:rPr>
            </w:pPr>
            <w:r w:rsidRPr="00D80B70">
              <w:rPr>
                <w:rFonts w:cs="Arial"/>
                <w:color w:val="000000"/>
                <w:sz w:val="22"/>
                <w:szCs w:val="22"/>
                <w:lang w:eastAsia="en-GB"/>
              </w:rPr>
              <w:t xml:space="preserve">Presentation of interim findings on </w:t>
            </w:r>
            <w:r w:rsidR="00FC6C2C">
              <w:rPr>
                <w:rFonts w:cs="Arial"/>
                <w:color w:val="000000"/>
                <w:sz w:val="22"/>
                <w:szCs w:val="22"/>
                <w:lang w:eastAsia="en-GB"/>
              </w:rPr>
              <w:t>08</w:t>
            </w:r>
            <w:r w:rsidR="00A023D5" w:rsidRPr="00D80B70">
              <w:rPr>
                <w:rFonts w:cs="Arial"/>
                <w:color w:val="000000"/>
                <w:sz w:val="22"/>
                <w:szCs w:val="22"/>
                <w:lang w:eastAsia="en-GB"/>
              </w:rPr>
              <w:t xml:space="preserve"> February</w:t>
            </w:r>
            <w:r w:rsidR="000808A1" w:rsidRPr="00D80B70">
              <w:rPr>
                <w:rFonts w:cs="Arial"/>
                <w:color w:val="000000"/>
                <w:sz w:val="22"/>
                <w:szCs w:val="22"/>
                <w:lang w:eastAsia="en-GB"/>
              </w:rPr>
              <w:t xml:space="preserve"> 202</w:t>
            </w:r>
            <w:r w:rsidR="00CB6DBC">
              <w:rPr>
                <w:rFonts w:cs="Arial"/>
                <w:color w:val="000000"/>
                <w:sz w:val="22"/>
                <w:szCs w:val="22"/>
                <w:lang w:eastAsia="en-GB"/>
              </w:rPr>
              <w:t>1</w:t>
            </w:r>
          </w:p>
          <w:p w14:paraId="6E7B2ED5" w14:textId="14D494CA" w:rsidR="00F52BE8" w:rsidRPr="00D80B70" w:rsidRDefault="00F52BE8" w:rsidP="00F52BE8">
            <w:pPr>
              <w:numPr>
                <w:ilvl w:val="0"/>
                <w:numId w:val="12"/>
              </w:numPr>
              <w:autoSpaceDE w:val="0"/>
              <w:autoSpaceDN w:val="0"/>
              <w:adjustRightInd w:val="0"/>
              <w:spacing w:after="0"/>
              <w:rPr>
                <w:rFonts w:cs="Arial"/>
                <w:color w:val="000000"/>
                <w:sz w:val="22"/>
                <w:szCs w:val="22"/>
                <w:lang w:eastAsia="en-GB"/>
              </w:rPr>
            </w:pPr>
            <w:r w:rsidRPr="00D80B70">
              <w:rPr>
                <w:rFonts w:cs="Arial"/>
                <w:color w:val="000000"/>
                <w:sz w:val="22"/>
                <w:szCs w:val="22"/>
                <w:lang w:eastAsia="en-GB"/>
              </w:rPr>
              <w:t xml:space="preserve">Draft report by </w:t>
            </w:r>
            <w:r w:rsidR="00FC6C2C">
              <w:rPr>
                <w:rFonts w:cs="Arial"/>
                <w:color w:val="000000"/>
                <w:sz w:val="22"/>
                <w:szCs w:val="22"/>
                <w:lang w:eastAsia="en-GB"/>
              </w:rPr>
              <w:t>15</w:t>
            </w:r>
            <w:r w:rsidR="00A023D5" w:rsidRPr="00D80B70">
              <w:rPr>
                <w:rFonts w:cs="Arial"/>
                <w:color w:val="000000"/>
                <w:sz w:val="22"/>
                <w:szCs w:val="22"/>
                <w:lang w:eastAsia="en-GB"/>
              </w:rPr>
              <w:t xml:space="preserve"> </w:t>
            </w:r>
            <w:r w:rsidR="00B30E15" w:rsidRPr="00D80B70">
              <w:rPr>
                <w:rFonts w:cs="Arial"/>
                <w:color w:val="000000"/>
                <w:sz w:val="22"/>
                <w:szCs w:val="22"/>
                <w:lang w:eastAsia="en-GB"/>
              </w:rPr>
              <w:t>February</w:t>
            </w:r>
            <w:r w:rsidR="000808A1" w:rsidRPr="00D80B70">
              <w:rPr>
                <w:rFonts w:cs="Arial"/>
                <w:color w:val="000000"/>
                <w:sz w:val="22"/>
                <w:szCs w:val="22"/>
                <w:lang w:eastAsia="en-GB"/>
              </w:rPr>
              <w:t xml:space="preserve"> 202</w:t>
            </w:r>
            <w:r w:rsidR="00CB6DBC">
              <w:rPr>
                <w:rFonts w:cs="Arial"/>
                <w:color w:val="000000"/>
                <w:sz w:val="22"/>
                <w:szCs w:val="22"/>
                <w:lang w:eastAsia="en-GB"/>
              </w:rPr>
              <w:t>1</w:t>
            </w:r>
          </w:p>
          <w:p w14:paraId="06C08856" w14:textId="16D3C6E9" w:rsidR="00F52BE8" w:rsidRPr="00F805C2" w:rsidRDefault="00385354" w:rsidP="00F52BE8">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Final report by</w:t>
            </w:r>
            <w:r w:rsidR="00F52BE8" w:rsidRPr="00F805C2">
              <w:rPr>
                <w:rFonts w:cs="Arial"/>
                <w:color w:val="000000"/>
                <w:sz w:val="22"/>
                <w:szCs w:val="22"/>
                <w:lang w:eastAsia="en-GB"/>
              </w:rPr>
              <w:t xml:space="preserve"> </w:t>
            </w:r>
            <w:r w:rsidR="00CB6DBC">
              <w:rPr>
                <w:rFonts w:cs="Arial"/>
                <w:color w:val="000000"/>
                <w:sz w:val="22"/>
                <w:szCs w:val="22"/>
                <w:lang w:eastAsia="en-GB"/>
              </w:rPr>
              <w:t>0</w:t>
            </w:r>
            <w:r w:rsidR="00FC6C2C">
              <w:rPr>
                <w:rFonts w:cs="Arial"/>
                <w:color w:val="000000"/>
                <w:sz w:val="22"/>
                <w:szCs w:val="22"/>
                <w:lang w:eastAsia="en-GB"/>
              </w:rPr>
              <w:t>5</w:t>
            </w:r>
            <w:r w:rsidR="00A023D5" w:rsidRPr="00F805C2">
              <w:rPr>
                <w:rFonts w:cs="Arial"/>
                <w:color w:val="000000"/>
                <w:sz w:val="22"/>
                <w:szCs w:val="22"/>
                <w:lang w:eastAsia="en-GB"/>
              </w:rPr>
              <w:t xml:space="preserve"> </w:t>
            </w:r>
            <w:r w:rsidR="00FC6C2C">
              <w:rPr>
                <w:rFonts w:cs="Arial"/>
                <w:color w:val="000000"/>
                <w:sz w:val="22"/>
                <w:szCs w:val="22"/>
                <w:lang w:eastAsia="en-GB"/>
              </w:rPr>
              <w:t>March</w:t>
            </w:r>
            <w:r w:rsidR="00A023D5" w:rsidRPr="00235AEE">
              <w:rPr>
                <w:rFonts w:cs="Arial"/>
                <w:color w:val="000000"/>
                <w:sz w:val="22"/>
                <w:szCs w:val="22"/>
                <w:lang w:eastAsia="en-GB"/>
              </w:rPr>
              <w:t xml:space="preserve"> </w:t>
            </w:r>
            <w:r w:rsidR="000808A1" w:rsidRPr="00235AEE">
              <w:rPr>
                <w:rFonts w:cs="Arial"/>
                <w:color w:val="000000"/>
                <w:sz w:val="22"/>
                <w:szCs w:val="22"/>
                <w:lang w:eastAsia="en-GB"/>
              </w:rPr>
              <w:t>202</w:t>
            </w:r>
            <w:r w:rsidR="00CB6DBC">
              <w:rPr>
                <w:rFonts w:cs="Arial"/>
                <w:color w:val="000000"/>
                <w:sz w:val="22"/>
                <w:szCs w:val="22"/>
                <w:lang w:eastAsia="en-GB"/>
              </w:rPr>
              <w:t>1</w:t>
            </w:r>
          </w:p>
          <w:p w14:paraId="2B4E0037" w14:textId="0D79E519" w:rsidR="007A34B8" w:rsidRPr="00D80B70" w:rsidRDefault="007A34B8" w:rsidP="00F52BE8">
            <w:pPr>
              <w:numPr>
                <w:ilvl w:val="0"/>
                <w:numId w:val="12"/>
              </w:numPr>
              <w:autoSpaceDE w:val="0"/>
              <w:autoSpaceDN w:val="0"/>
              <w:adjustRightInd w:val="0"/>
              <w:spacing w:after="0"/>
              <w:rPr>
                <w:rFonts w:cs="Arial"/>
                <w:color w:val="000000"/>
                <w:sz w:val="22"/>
                <w:szCs w:val="22"/>
                <w:lang w:eastAsia="en-GB"/>
              </w:rPr>
            </w:pPr>
            <w:r w:rsidRPr="00DC1F6C">
              <w:rPr>
                <w:rFonts w:cs="Arial"/>
                <w:color w:val="000000"/>
                <w:sz w:val="22"/>
                <w:szCs w:val="22"/>
                <w:lang w:eastAsia="en-GB"/>
              </w:rPr>
              <w:t xml:space="preserve">Final </w:t>
            </w:r>
            <w:r w:rsidRPr="00D80B70">
              <w:rPr>
                <w:rFonts w:cs="Arial"/>
                <w:color w:val="000000"/>
                <w:sz w:val="22"/>
                <w:szCs w:val="22"/>
                <w:lang w:eastAsia="en-GB"/>
              </w:rPr>
              <w:t xml:space="preserve">presentation by </w:t>
            </w:r>
            <w:r w:rsidR="00FC6C2C">
              <w:rPr>
                <w:rFonts w:cs="Arial"/>
                <w:color w:val="000000"/>
                <w:sz w:val="22"/>
                <w:szCs w:val="22"/>
                <w:lang w:eastAsia="en-GB"/>
              </w:rPr>
              <w:t>12</w:t>
            </w:r>
            <w:r w:rsidR="00A023D5" w:rsidRPr="00D80B70">
              <w:rPr>
                <w:rFonts w:cs="Arial"/>
                <w:color w:val="000000"/>
                <w:sz w:val="22"/>
                <w:szCs w:val="22"/>
                <w:lang w:eastAsia="en-GB"/>
              </w:rPr>
              <w:t xml:space="preserve"> March 202</w:t>
            </w:r>
            <w:r w:rsidR="00CB6DBC">
              <w:rPr>
                <w:rFonts w:cs="Arial"/>
                <w:color w:val="000000"/>
                <w:sz w:val="22"/>
                <w:szCs w:val="22"/>
                <w:lang w:eastAsia="en-GB"/>
              </w:rPr>
              <w:t>1</w:t>
            </w:r>
          </w:p>
          <w:p w14:paraId="233AEE89" w14:textId="77777777" w:rsidR="00F52BE8" w:rsidRDefault="00F52BE8" w:rsidP="00A86302">
            <w:pPr>
              <w:autoSpaceDE w:val="0"/>
              <w:autoSpaceDN w:val="0"/>
              <w:adjustRightInd w:val="0"/>
              <w:spacing w:after="0"/>
              <w:rPr>
                <w:rFonts w:cs="Arial"/>
                <w:color w:val="000000"/>
                <w:sz w:val="22"/>
                <w:szCs w:val="22"/>
                <w:lang w:eastAsia="en-GB"/>
              </w:rPr>
            </w:pPr>
          </w:p>
          <w:p w14:paraId="26DDC674" w14:textId="77777777" w:rsidR="00F52BE8" w:rsidRDefault="00F52BE8" w:rsidP="00A86302">
            <w:pPr>
              <w:autoSpaceDE w:val="0"/>
              <w:autoSpaceDN w:val="0"/>
              <w:adjustRightInd w:val="0"/>
              <w:spacing w:after="0"/>
              <w:rPr>
                <w:rFonts w:cs="Arial"/>
                <w:b/>
                <w:color w:val="000000"/>
                <w:sz w:val="22"/>
                <w:szCs w:val="22"/>
                <w:lang w:eastAsia="en-GB"/>
              </w:rPr>
            </w:pPr>
            <w:r>
              <w:rPr>
                <w:rFonts w:cs="Arial"/>
                <w:b/>
                <w:color w:val="000000"/>
                <w:sz w:val="22"/>
                <w:szCs w:val="22"/>
                <w:lang w:eastAsia="en-GB"/>
              </w:rPr>
              <w:t xml:space="preserve">Extension option: </w:t>
            </w:r>
          </w:p>
          <w:p w14:paraId="25130AF6" w14:textId="77777777" w:rsidR="00F52BE8" w:rsidRDefault="00F52BE8" w:rsidP="00A86302">
            <w:pPr>
              <w:autoSpaceDE w:val="0"/>
              <w:autoSpaceDN w:val="0"/>
              <w:adjustRightInd w:val="0"/>
              <w:spacing w:after="0"/>
              <w:rPr>
                <w:rFonts w:cs="Arial"/>
                <w:b/>
                <w:color w:val="FF0000"/>
                <w:sz w:val="22"/>
                <w:szCs w:val="22"/>
              </w:rPr>
            </w:pPr>
          </w:p>
          <w:p w14:paraId="66984965" w14:textId="756CD01A" w:rsidR="00F52BE8" w:rsidRPr="00A8697E" w:rsidRDefault="00F52BE8" w:rsidP="00A86302">
            <w:pPr>
              <w:autoSpaceDE w:val="0"/>
              <w:autoSpaceDN w:val="0"/>
              <w:adjustRightInd w:val="0"/>
              <w:spacing w:after="0"/>
              <w:rPr>
                <w:rFonts w:cs="Arial"/>
                <w:color w:val="000000"/>
                <w:sz w:val="22"/>
                <w:szCs w:val="22"/>
                <w:lang w:eastAsia="en-GB"/>
              </w:rPr>
            </w:pPr>
            <w:r w:rsidRPr="005C0295">
              <w:rPr>
                <w:rFonts w:cs="Arial"/>
                <w:color w:val="000000"/>
                <w:sz w:val="22"/>
                <w:szCs w:val="22"/>
                <w:lang w:eastAsia="en-GB"/>
              </w:rPr>
              <w:t>Subject to mutual ag</w:t>
            </w:r>
            <w:r>
              <w:rPr>
                <w:rFonts w:cs="Arial"/>
                <w:color w:val="000000"/>
                <w:sz w:val="22"/>
                <w:szCs w:val="22"/>
                <w:lang w:eastAsia="en-GB"/>
              </w:rPr>
              <w:t xml:space="preserve">reement between the two parties the contract may be extended for the provision of similar or complimentary goods or services, up to the </w:t>
            </w:r>
            <w:r w:rsidR="00E9262A">
              <w:rPr>
                <w:rFonts w:cs="Arial"/>
                <w:color w:val="000000"/>
                <w:sz w:val="22"/>
                <w:szCs w:val="22"/>
                <w:lang w:eastAsia="en-GB"/>
              </w:rPr>
              <w:t>one</w:t>
            </w:r>
            <w:r>
              <w:rPr>
                <w:rFonts w:cs="Arial"/>
                <w:color w:val="000000"/>
                <w:sz w:val="22"/>
                <w:szCs w:val="22"/>
                <w:lang w:eastAsia="en-GB"/>
              </w:rPr>
              <w:t xml:space="preserve"> month(s) and £</w:t>
            </w:r>
            <w:r w:rsidR="00E9262A">
              <w:rPr>
                <w:rFonts w:cs="Arial"/>
                <w:color w:val="000000"/>
                <w:sz w:val="22"/>
                <w:szCs w:val="22"/>
                <w:lang w:eastAsia="en-GB"/>
              </w:rPr>
              <w:t>5</w:t>
            </w:r>
            <w:r>
              <w:rPr>
                <w:rFonts w:cs="Arial"/>
                <w:color w:val="000000"/>
                <w:sz w:val="22"/>
                <w:szCs w:val="22"/>
                <w:lang w:eastAsia="en-GB"/>
              </w:rPr>
              <w:t>,</w:t>
            </w:r>
            <w:r w:rsidR="00E9262A">
              <w:rPr>
                <w:rFonts w:cs="Arial"/>
                <w:color w:val="000000"/>
                <w:sz w:val="22"/>
                <w:szCs w:val="22"/>
                <w:lang w:eastAsia="en-GB"/>
              </w:rPr>
              <w:t>000</w:t>
            </w:r>
            <w:r>
              <w:rPr>
                <w:rFonts w:cs="Arial"/>
                <w:color w:val="000000"/>
                <w:sz w:val="22"/>
                <w:szCs w:val="22"/>
                <w:lang w:eastAsia="en-GB"/>
              </w:rPr>
              <w:t xml:space="preserve"> excluding VAT. </w:t>
            </w:r>
          </w:p>
          <w:p w14:paraId="7B449336" w14:textId="77777777" w:rsidR="00F52BE8" w:rsidRPr="0036077E" w:rsidRDefault="00F52BE8" w:rsidP="00A86302">
            <w:pPr>
              <w:autoSpaceDE w:val="0"/>
              <w:autoSpaceDN w:val="0"/>
              <w:adjustRightInd w:val="0"/>
              <w:spacing w:after="0"/>
              <w:rPr>
                <w:rFonts w:cs="Arial"/>
                <w:color w:val="000000"/>
                <w:sz w:val="22"/>
                <w:szCs w:val="22"/>
                <w:lang w:eastAsia="en-GB"/>
              </w:rPr>
            </w:pPr>
            <w:r>
              <w:rPr>
                <w:rFonts w:cs="Arial"/>
                <w:b/>
                <w:color w:val="FF0000"/>
                <w:sz w:val="22"/>
                <w:szCs w:val="22"/>
              </w:rPr>
              <w:t xml:space="preserve"> </w:t>
            </w:r>
          </w:p>
        </w:tc>
      </w:tr>
      <w:tr w:rsidR="00F52BE8" w:rsidRPr="0036077E" w14:paraId="712DB2D9" w14:textId="77777777" w:rsidTr="6B4DFA8E">
        <w:trPr>
          <w:trHeight w:val="129"/>
        </w:trPr>
        <w:tc>
          <w:tcPr>
            <w:tcW w:w="8528" w:type="dxa"/>
            <w:shd w:val="clear" w:color="auto" w:fill="99CCFF"/>
          </w:tcPr>
          <w:p w14:paraId="27A14701" w14:textId="77777777" w:rsidR="00F52BE8" w:rsidRPr="0036077E" w:rsidRDefault="00F52BE8" w:rsidP="00A86302">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F52BE8" w:rsidRPr="0036077E" w14:paraId="0ECFE198" w14:textId="77777777" w:rsidTr="6B4DFA8E">
        <w:trPr>
          <w:trHeight w:val="127"/>
        </w:trPr>
        <w:tc>
          <w:tcPr>
            <w:tcW w:w="8528" w:type="dxa"/>
            <w:tcBorders>
              <w:bottom w:val="single" w:sz="4" w:space="0" w:color="auto"/>
            </w:tcBorders>
            <w:shd w:val="clear" w:color="auto" w:fill="auto"/>
          </w:tcPr>
          <w:p w14:paraId="01332599" w14:textId="44EE68B1" w:rsidR="00F52BE8" w:rsidRDefault="00F52BE8" w:rsidP="00A86302">
            <w:pPr>
              <w:rPr>
                <w:rFonts w:cs="Arial"/>
                <w:color w:val="000000"/>
                <w:sz w:val="22"/>
                <w:szCs w:val="22"/>
              </w:rPr>
            </w:pPr>
            <w:r w:rsidRPr="0036077E">
              <w:rPr>
                <w:sz w:val="22"/>
                <w:szCs w:val="22"/>
              </w:rPr>
              <w:t xml:space="preserve">The maximum budget for this piece of work </w:t>
            </w:r>
            <w:r w:rsidRPr="00235AEE">
              <w:rPr>
                <w:sz w:val="22"/>
                <w:szCs w:val="22"/>
              </w:rPr>
              <w:t>is £</w:t>
            </w:r>
            <w:r w:rsidR="00E9262A" w:rsidRPr="00235AEE">
              <w:rPr>
                <w:sz w:val="22"/>
                <w:szCs w:val="22"/>
              </w:rPr>
              <w:t>15,000</w:t>
            </w:r>
            <w:r w:rsidRPr="0036077E">
              <w:rPr>
                <w:sz w:val="22"/>
                <w:szCs w:val="22"/>
              </w:rPr>
              <w:t xml:space="preserve"> (</w:t>
            </w:r>
            <w:r w:rsidR="00951FB1" w:rsidRPr="0036077E">
              <w:rPr>
                <w:sz w:val="22"/>
                <w:szCs w:val="22"/>
              </w:rPr>
              <w:t>Inc.</w:t>
            </w:r>
            <w:r w:rsidRPr="0036077E">
              <w:rPr>
                <w:sz w:val="22"/>
                <w:szCs w:val="22"/>
              </w:rPr>
              <w:t xml:space="preserve"> of expenses, exc. of VAT), </w:t>
            </w:r>
            <w:r w:rsidRPr="0036077E">
              <w:rPr>
                <w:rFonts w:cs="Arial"/>
                <w:color w:val="000000"/>
                <w:sz w:val="22"/>
                <w:szCs w:val="22"/>
              </w:rPr>
              <w:t>however ORR expects bids to be significantly below this threshold.</w:t>
            </w:r>
          </w:p>
          <w:p w14:paraId="22360E50" w14:textId="77777777" w:rsidR="00F52BE8" w:rsidRPr="00A8697E" w:rsidRDefault="00B95909" w:rsidP="00A86302">
            <w:pPr>
              <w:rPr>
                <w:rFonts w:cs="Arial"/>
                <w:sz w:val="22"/>
                <w:szCs w:val="22"/>
              </w:rPr>
            </w:pPr>
            <w:r>
              <w:rPr>
                <w:rFonts w:cs="Arial"/>
                <w:sz w:val="22"/>
                <w:szCs w:val="22"/>
              </w:rPr>
              <w:t>P</w:t>
            </w:r>
            <w:r w:rsidR="00F52BE8">
              <w:rPr>
                <w:rFonts w:cs="Arial"/>
                <w:sz w:val="22"/>
                <w:szCs w:val="22"/>
              </w:rPr>
              <w:t xml:space="preserve">ayment of the total fee will be on the delivery and acceptance by ORR </w:t>
            </w:r>
            <w:r w:rsidR="00951FB1">
              <w:rPr>
                <w:rFonts w:cs="Arial"/>
                <w:sz w:val="22"/>
                <w:szCs w:val="22"/>
              </w:rPr>
              <w:t>of the</w:t>
            </w:r>
            <w:r w:rsidR="00007956">
              <w:rPr>
                <w:rFonts w:cs="Arial"/>
                <w:sz w:val="22"/>
                <w:szCs w:val="22"/>
              </w:rPr>
              <w:t xml:space="preserve"> final report.</w:t>
            </w:r>
          </w:p>
        </w:tc>
      </w:tr>
      <w:tr w:rsidR="00F52BE8" w:rsidRPr="0036077E" w14:paraId="3285DFE8" w14:textId="77777777" w:rsidTr="6B4DFA8E">
        <w:trPr>
          <w:trHeight w:val="127"/>
        </w:trPr>
        <w:tc>
          <w:tcPr>
            <w:tcW w:w="8528" w:type="dxa"/>
            <w:shd w:val="clear" w:color="auto" w:fill="99CCFF"/>
          </w:tcPr>
          <w:p w14:paraId="580E2A9E" w14:textId="77777777" w:rsidR="00F52BE8" w:rsidRPr="0036077E" w:rsidRDefault="00F52BE8" w:rsidP="00A86302">
            <w:pPr>
              <w:rPr>
                <w:rFonts w:cs="Arial"/>
                <w:b/>
                <w:sz w:val="28"/>
                <w:szCs w:val="28"/>
              </w:rPr>
            </w:pPr>
            <w:r w:rsidRPr="0036077E">
              <w:rPr>
                <w:rFonts w:cs="Arial"/>
                <w:b/>
                <w:sz w:val="28"/>
                <w:szCs w:val="28"/>
              </w:rPr>
              <w:t>2.6 Further project related information for bidders</w:t>
            </w:r>
          </w:p>
        </w:tc>
      </w:tr>
      <w:tr w:rsidR="00F52BE8" w:rsidRPr="0036077E" w14:paraId="1CEA0DEE" w14:textId="77777777" w:rsidTr="6B4DFA8E">
        <w:trPr>
          <w:trHeight w:val="127"/>
        </w:trPr>
        <w:tc>
          <w:tcPr>
            <w:tcW w:w="8528" w:type="dxa"/>
            <w:shd w:val="clear" w:color="auto" w:fill="auto"/>
          </w:tcPr>
          <w:p w14:paraId="54EB83AC" w14:textId="77777777" w:rsidR="00F52BE8" w:rsidRDefault="00F52BE8" w:rsidP="00A86302">
            <w:pPr>
              <w:pStyle w:val="ListNumber"/>
              <w:numPr>
                <w:ilvl w:val="0"/>
                <w:numId w:val="0"/>
              </w:numPr>
              <w:tabs>
                <w:tab w:val="clear" w:pos="720"/>
              </w:tabs>
              <w:spacing w:before="0"/>
              <w:rPr>
                <w:b/>
                <w:sz w:val="22"/>
                <w:szCs w:val="22"/>
              </w:rPr>
            </w:pPr>
            <w:r>
              <w:rPr>
                <w:b/>
                <w:sz w:val="22"/>
                <w:szCs w:val="22"/>
              </w:rPr>
              <w:t>Transparency requirements</w:t>
            </w:r>
          </w:p>
          <w:p w14:paraId="6A2746C2" w14:textId="77777777" w:rsidR="00F52BE8" w:rsidRPr="003974B6" w:rsidRDefault="00F52BE8" w:rsidP="00A86302">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7FD2622E" w14:textId="77777777" w:rsidR="00F52BE8" w:rsidRPr="0036077E" w:rsidRDefault="00F52BE8" w:rsidP="00A86302">
            <w:pPr>
              <w:pStyle w:val="ListNumber"/>
              <w:numPr>
                <w:ilvl w:val="0"/>
                <w:numId w:val="0"/>
              </w:numPr>
              <w:spacing w:before="0" w:after="0"/>
              <w:rPr>
                <w:sz w:val="22"/>
                <w:szCs w:val="22"/>
              </w:rPr>
            </w:pPr>
          </w:p>
          <w:p w14:paraId="450D7985" w14:textId="77777777" w:rsidR="00F52BE8" w:rsidRPr="00907369" w:rsidRDefault="00F52BE8" w:rsidP="00A86302">
            <w:pPr>
              <w:pStyle w:val="ListNumber"/>
              <w:numPr>
                <w:ilvl w:val="0"/>
                <w:numId w:val="0"/>
              </w:numPr>
              <w:spacing w:before="0" w:after="0"/>
              <w:rPr>
                <w:b/>
                <w:sz w:val="22"/>
                <w:szCs w:val="22"/>
              </w:rPr>
            </w:pPr>
            <w:r w:rsidRPr="00907369">
              <w:rPr>
                <w:b/>
                <w:sz w:val="22"/>
                <w:szCs w:val="22"/>
              </w:rPr>
              <w:t>Sub-Contractors</w:t>
            </w:r>
          </w:p>
          <w:p w14:paraId="30FBB211" w14:textId="77777777" w:rsidR="00F52BE8" w:rsidRPr="00907369" w:rsidRDefault="00F52BE8" w:rsidP="00A86302">
            <w:pPr>
              <w:pStyle w:val="ListNumber"/>
              <w:numPr>
                <w:ilvl w:val="0"/>
                <w:numId w:val="0"/>
              </w:numPr>
              <w:spacing w:before="0" w:after="0"/>
              <w:rPr>
                <w:b/>
                <w:sz w:val="22"/>
                <w:szCs w:val="22"/>
              </w:rPr>
            </w:pPr>
          </w:p>
          <w:p w14:paraId="42EB0C58" w14:textId="77777777" w:rsidR="00F52BE8" w:rsidRPr="00907369" w:rsidRDefault="00F52BE8" w:rsidP="00A86302">
            <w:pPr>
              <w:pStyle w:val="ListNumber2"/>
              <w:numPr>
                <w:ilvl w:val="0"/>
                <w:numId w:val="0"/>
              </w:numPr>
              <w:rPr>
                <w:sz w:val="22"/>
                <w:szCs w:val="22"/>
              </w:rPr>
            </w:pPr>
            <w:r w:rsidRPr="00907369">
              <w:rPr>
                <w:sz w:val="22"/>
                <w:szCs w:val="22"/>
              </w:rPr>
              <w:t xml:space="preserve">  Contractors may use sub-contractors subject to the following:</w:t>
            </w:r>
          </w:p>
          <w:p w14:paraId="4E456176" w14:textId="77777777" w:rsidR="00F52BE8" w:rsidRPr="00907369" w:rsidRDefault="00F52BE8" w:rsidP="00F52BE8">
            <w:pPr>
              <w:pStyle w:val="ListNumber2"/>
              <w:numPr>
                <w:ilvl w:val="0"/>
                <w:numId w:val="19"/>
              </w:numPr>
              <w:rPr>
                <w:sz w:val="22"/>
                <w:szCs w:val="22"/>
              </w:rPr>
            </w:pPr>
            <w:r w:rsidRPr="00907369">
              <w:rPr>
                <w:sz w:val="22"/>
                <w:szCs w:val="22"/>
              </w:rPr>
              <w:t>That the Contractor assumes unconditional responsibility for the overall work and its quality;</w:t>
            </w:r>
          </w:p>
          <w:p w14:paraId="56B8CF5F" w14:textId="77777777" w:rsidR="00F52BE8" w:rsidRPr="00907369" w:rsidRDefault="00F52BE8" w:rsidP="00F52BE8">
            <w:pPr>
              <w:pStyle w:val="ListNumber2"/>
              <w:numPr>
                <w:ilvl w:val="0"/>
                <w:numId w:val="19"/>
              </w:numPr>
              <w:rPr>
                <w:sz w:val="22"/>
                <w:szCs w:val="22"/>
              </w:rPr>
            </w:pPr>
            <w:r w:rsidRPr="00907369">
              <w:rPr>
                <w:sz w:val="22"/>
                <w:szCs w:val="22"/>
              </w:rPr>
              <w:t xml:space="preserve">That individual sub-contractors are clearly identified, with fee rates and grades made explicit to the same level of detail as for the members of the lead consulting team. </w:t>
            </w:r>
          </w:p>
          <w:p w14:paraId="0AF851BF" w14:textId="77777777" w:rsidR="00F52BE8" w:rsidRPr="00907369" w:rsidRDefault="00F52BE8" w:rsidP="00A86302">
            <w:pPr>
              <w:pStyle w:val="ListNumber2"/>
              <w:numPr>
                <w:ilvl w:val="0"/>
                <w:numId w:val="0"/>
              </w:numPr>
              <w:ind w:left="360"/>
              <w:rPr>
                <w:sz w:val="22"/>
                <w:szCs w:val="22"/>
              </w:rPr>
            </w:pPr>
            <w:r w:rsidRPr="00907369">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7364C4E1" w14:textId="77777777" w:rsidR="00F52BE8" w:rsidRPr="0036077E" w:rsidRDefault="00F52BE8" w:rsidP="00A86302">
            <w:pPr>
              <w:pStyle w:val="ListNumber"/>
              <w:numPr>
                <w:ilvl w:val="0"/>
                <w:numId w:val="0"/>
              </w:numPr>
              <w:spacing w:before="0" w:after="0"/>
              <w:rPr>
                <w:b/>
              </w:rPr>
            </w:pPr>
          </w:p>
          <w:p w14:paraId="7BE1EA4A" w14:textId="77777777" w:rsidR="00907369" w:rsidRPr="00907369" w:rsidRDefault="00907369" w:rsidP="00907369">
            <w:pPr>
              <w:pStyle w:val="Heading2"/>
              <w:keepLines/>
              <w:tabs>
                <w:tab w:val="clear" w:pos="1440"/>
              </w:tabs>
              <w:spacing w:before="0" w:after="0"/>
              <w:rPr>
                <w:rFonts w:cs="Arial"/>
                <w:color w:val="CC0033"/>
                <w:sz w:val="22"/>
                <w:szCs w:val="22"/>
              </w:rPr>
            </w:pPr>
            <w:r>
              <w:rPr>
                <w:rFonts w:cs="Arial"/>
                <w:sz w:val="22"/>
                <w:szCs w:val="22"/>
              </w:rPr>
              <w:t>Conflict of Interest</w:t>
            </w:r>
          </w:p>
          <w:p w14:paraId="24E61125" w14:textId="77777777" w:rsidR="00907369" w:rsidRPr="00907369" w:rsidRDefault="00907369" w:rsidP="00907369">
            <w:pPr>
              <w:pStyle w:val="BodyTextIndent"/>
              <w:spacing w:after="0"/>
              <w:rPr>
                <w:rFonts w:cs="Arial"/>
                <w:sz w:val="22"/>
                <w:szCs w:val="22"/>
              </w:rPr>
            </w:pPr>
          </w:p>
          <w:p w14:paraId="292C8073" w14:textId="77777777" w:rsidR="00D74997" w:rsidRPr="00D74997" w:rsidRDefault="00907369" w:rsidP="009878A7">
            <w:pPr>
              <w:pStyle w:val="BodyTextIndent"/>
              <w:spacing w:after="0"/>
              <w:ind w:left="0"/>
              <w:rPr>
                <w:rFonts w:cs="Arial"/>
                <w:sz w:val="22"/>
                <w:szCs w:val="22"/>
              </w:rPr>
            </w:pPr>
            <w:r w:rsidRPr="00907369">
              <w:rPr>
                <w:rFonts w:cs="Arial"/>
                <w:sz w:val="22"/>
                <w:szCs w:val="22"/>
              </w:rPr>
              <w:lastRenderedPageBreak/>
              <w:t>At the date of submitting the tender and prior to en</w:t>
            </w:r>
            <w:r w:rsidR="00D74997">
              <w:rPr>
                <w:rFonts w:cs="Arial"/>
                <w:sz w:val="22"/>
                <w:szCs w:val="22"/>
              </w:rPr>
              <w:t>tering into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2B48849C" w14:textId="77777777" w:rsidR="00D74997" w:rsidRPr="00D74997" w:rsidRDefault="00D74997" w:rsidP="00D74997">
            <w:pPr>
              <w:pStyle w:val="BodyTextIndent"/>
              <w:spacing w:after="0"/>
              <w:ind w:left="0"/>
              <w:rPr>
                <w:rFonts w:cs="Arial"/>
                <w:sz w:val="22"/>
                <w:szCs w:val="22"/>
              </w:rPr>
            </w:pPr>
          </w:p>
          <w:p w14:paraId="18141D6E" w14:textId="77777777" w:rsidR="00D74997" w:rsidRDefault="00D74997" w:rsidP="009878A7">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sidR="009878A7">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56B9C6BF" w14:textId="77777777" w:rsidR="00D74997" w:rsidRPr="00D74997" w:rsidRDefault="00D74997" w:rsidP="00D74997">
            <w:pPr>
              <w:pStyle w:val="BodyTextIndent"/>
              <w:spacing w:after="0"/>
              <w:ind w:left="0"/>
              <w:rPr>
                <w:rFonts w:cs="Arial"/>
                <w:sz w:val="22"/>
                <w:szCs w:val="22"/>
              </w:rPr>
            </w:pPr>
          </w:p>
          <w:p w14:paraId="300A79A9" w14:textId="77777777" w:rsidR="00F52BE8" w:rsidRPr="00A8697E" w:rsidRDefault="00D74997" w:rsidP="00A8697E">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sidR="009878A7">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w:t>
            </w:r>
            <w:r w:rsidR="009878A7" w:rsidRPr="00D74997">
              <w:rPr>
                <w:rFonts w:eastAsia="SimSun"/>
                <w:sz w:val="22"/>
                <w:szCs w:val="22"/>
                <w:lang w:eastAsia="zh-CN"/>
              </w:rPr>
              <w:t>Therefore,</w:t>
            </w:r>
            <w:r w:rsidRPr="00D74997">
              <w:rPr>
                <w:rFonts w:eastAsia="SimSun"/>
                <w:sz w:val="22"/>
                <w:szCs w:val="22"/>
                <w:lang w:eastAsia="zh-CN"/>
              </w:rPr>
              <w:t xml:space="preserve"> if </w:t>
            </w:r>
            <w:r w:rsidR="009878A7">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tc>
      </w:tr>
    </w:tbl>
    <w:p w14:paraId="5A252C84"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5B29DFD2" w14:textId="77777777" w:rsidTr="00A86302">
        <w:tc>
          <w:tcPr>
            <w:tcW w:w="8528" w:type="dxa"/>
            <w:shd w:val="clear" w:color="auto" w:fill="99CCFF"/>
          </w:tcPr>
          <w:p w14:paraId="5F29A19D" w14:textId="77777777" w:rsidR="00F52BE8" w:rsidRPr="0036077E" w:rsidRDefault="00F52BE8" w:rsidP="00A86302">
            <w:pPr>
              <w:rPr>
                <w:rFonts w:cs="Arial"/>
                <w:b/>
                <w:sz w:val="28"/>
                <w:szCs w:val="28"/>
              </w:rPr>
            </w:pPr>
            <w:r w:rsidRPr="0036077E">
              <w:rPr>
                <w:rFonts w:cs="Arial"/>
                <w:b/>
                <w:sz w:val="28"/>
                <w:szCs w:val="28"/>
              </w:rPr>
              <w:t>3.1 The Tender Response</w:t>
            </w:r>
          </w:p>
        </w:tc>
      </w:tr>
      <w:tr w:rsidR="00F52BE8" w:rsidRPr="0036077E" w14:paraId="2104FB1E" w14:textId="77777777" w:rsidTr="00A86302">
        <w:trPr>
          <w:trHeight w:val="5730"/>
        </w:trPr>
        <w:tc>
          <w:tcPr>
            <w:tcW w:w="8528" w:type="dxa"/>
            <w:tcBorders>
              <w:bottom w:val="single" w:sz="4" w:space="0" w:color="auto"/>
            </w:tcBorders>
            <w:shd w:val="clear" w:color="auto" w:fill="auto"/>
          </w:tcPr>
          <w:p w14:paraId="707C68AF" w14:textId="77777777" w:rsidR="00F52BE8" w:rsidRPr="0036077E" w:rsidRDefault="00F52BE8" w:rsidP="00A86302">
            <w:pPr>
              <w:rPr>
                <w:rFonts w:cs="Arial"/>
                <w:sz w:val="22"/>
                <w:szCs w:val="22"/>
              </w:rPr>
            </w:pPr>
            <w:r w:rsidRPr="0036077E">
              <w:rPr>
                <w:rFonts w:cs="Arial"/>
                <w:sz w:val="22"/>
                <w:szCs w:val="22"/>
              </w:rPr>
              <w:t xml:space="preserve">The proposals for this project should include an outline of how bidders will meet the requirement outlined in section (ii) “Statement of Requirement”. The following information should be included:  </w:t>
            </w:r>
          </w:p>
          <w:p w14:paraId="6FC8E2E7" w14:textId="77777777" w:rsidR="00F52BE8" w:rsidRPr="0036077E" w:rsidRDefault="00F52BE8" w:rsidP="00A86302">
            <w:pPr>
              <w:pStyle w:val="Default"/>
              <w:rPr>
                <w:sz w:val="22"/>
                <w:szCs w:val="22"/>
              </w:rPr>
            </w:pPr>
            <w:r w:rsidRPr="0036077E">
              <w:rPr>
                <w:b/>
                <w:bCs/>
                <w:sz w:val="22"/>
                <w:szCs w:val="22"/>
              </w:rPr>
              <w:t xml:space="preserve">a) Understanding of customer's requirements </w:t>
            </w:r>
          </w:p>
          <w:p w14:paraId="08B5B653" w14:textId="77777777" w:rsidR="00F52BE8" w:rsidRPr="0036077E" w:rsidRDefault="00F52BE8" w:rsidP="00A86302">
            <w:pPr>
              <w:autoSpaceDE w:val="0"/>
              <w:autoSpaceDN w:val="0"/>
              <w:adjustRightInd w:val="0"/>
              <w:spacing w:after="0"/>
              <w:rPr>
                <w:rFonts w:cs="Arial"/>
                <w:color w:val="000000"/>
                <w:sz w:val="22"/>
                <w:szCs w:val="22"/>
                <w:lang w:eastAsia="en-GB"/>
              </w:rPr>
            </w:pPr>
          </w:p>
          <w:p w14:paraId="3E20521D" w14:textId="77777777"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78FAF2B5" w14:textId="77777777" w:rsidR="00F52BE8" w:rsidRPr="0036077E" w:rsidRDefault="00F52BE8" w:rsidP="00A86302">
            <w:pPr>
              <w:autoSpaceDE w:val="0"/>
              <w:autoSpaceDN w:val="0"/>
              <w:adjustRightInd w:val="0"/>
              <w:spacing w:after="0"/>
              <w:rPr>
                <w:rFonts w:cs="Arial"/>
                <w:color w:val="000000"/>
                <w:sz w:val="22"/>
                <w:szCs w:val="22"/>
                <w:lang w:eastAsia="en-GB"/>
              </w:rPr>
            </w:pPr>
          </w:p>
          <w:p w14:paraId="4E3DF13B" w14:textId="77777777" w:rsidR="00F52BE8" w:rsidRPr="0036077E" w:rsidRDefault="00F52BE8" w:rsidP="00A86302">
            <w:pPr>
              <w:rPr>
                <w:rFonts w:cs="Arial"/>
                <w:sz w:val="22"/>
                <w:szCs w:val="22"/>
              </w:rPr>
            </w:pPr>
            <w:r w:rsidRPr="0036077E">
              <w:rPr>
                <w:rFonts w:cs="Arial"/>
                <w:b/>
                <w:bCs/>
                <w:color w:val="000000"/>
                <w:sz w:val="22"/>
                <w:szCs w:val="22"/>
                <w:lang w:eastAsia="en-GB"/>
              </w:rPr>
              <w:t>b) Approach to customer's requirements</w:t>
            </w:r>
          </w:p>
          <w:p w14:paraId="395C386E"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ny methodologies bidders will work to</w:t>
            </w:r>
            <w:r w:rsidR="00B679D6">
              <w:rPr>
                <w:sz w:val="22"/>
                <w:szCs w:val="22"/>
              </w:rPr>
              <w:t>, including the identification of proposed comparison industries</w:t>
            </w:r>
            <w:r w:rsidR="004F5C25">
              <w:rPr>
                <w:sz w:val="22"/>
                <w:szCs w:val="22"/>
              </w:rPr>
              <w:t>/organisations</w:t>
            </w:r>
            <w:r w:rsidRPr="0036077E">
              <w:rPr>
                <w:sz w:val="22"/>
                <w:szCs w:val="22"/>
              </w:rPr>
              <w:t>;</w:t>
            </w:r>
          </w:p>
          <w:p w14:paraId="21ED9F31" w14:textId="77777777" w:rsidR="00F52BE8" w:rsidRPr="0036077E" w:rsidRDefault="00F52BE8" w:rsidP="00A86302">
            <w:pPr>
              <w:autoSpaceDE w:val="0"/>
              <w:autoSpaceDN w:val="0"/>
              <w:adjustRightInd w:val="0"/>
              <w:spacing w:after="0"/>
              <w:rPr>
                <w:rFonts w:cs="Arial"/>
                <w:color w:val="000000"/>
                <w:sz w:val="22"/>
                <w:szCs w:val="22"/>
                <w:lang w:eastAsia="en-GB"/>
              </w:rPr>
            </w:pPr>
          </w:p>
          <w:p w14:paraId="3400DC5D" w14:textId="77777777" w:rsidR="00F52BE8" w:rsidRPr="0036077E" w:rsidRDefault="00F52BE8" w:rsidP="00F52BE8">
            <w:pPr>
              <w:numPr>
                <w:ilvl w:val="0"/>
                <w:numId w:val="6"/>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p>
          <w:p w14:paraId="2012B327" w14:textId="77777777" w:rsidR="00F52BE8" w:rsidRPr="0036077E" w:rsidRDefault="00F52BE8" w:rsidP="00F52BE8">
            <w:pPr>
              <w:numPr>
                <w:ilvl w:val="0"/>
                <w:numId w:val="6"/>
              </w:numPr>
              <w:rPr>
                <w:rFonts w:cs="Arial"/>
                <w:sz w:val="22"/>
                <w:szCs w:val="22"/>
              </w:rPr>
            </w:pPr>
            <w:r w:rsidRPr="0036077E">
              <w:rPr>
                <w:rFonts w:cs="Arial"/>
                <w:sz w:val="22"/>
                <w:szCs w:val="22"/>
              </w:rPr>
              <w:t>An understanding of the risks, and explain how they would be mitigated to ensure delivery</w:t>
            </w:r>
          </w:p>
          <w:p w14:paraId="086FB111" w14:textId="77777777" w:rsidR="00F52BE8" w:rsidRPr="0036077E" w:rsidRDefault="00F52BE8" w:rsidP="00A86302">
            <w:pPr>
              <w:pStyle w:val="ListNumber"/>
              <w:numPr>
                <w:ilvl w:val="0"/>
                <w:numId w:val="0"/>
              </w:numPr>
              <w:rPr>
                <w:b/>
                <w:bCs/>
                <w:sz w:val="22"/>
                <w:szCs w:val="22"/>
              </w:rPr>
            </w:pPr>
            <w:r w:rsidRPr="00A8697E">
              <w:rPr>
                <w:b/>
                <w:sz w:val="22"/>
                <w:szCs w:val="22"/>
              </w:rPr>
              <w:t>c)</w:t>
            </w:r>
            <w:r w:rsidRPr="0036077E">
              <w:rPr>
                <w:sz w:val="22"/>
                <w:szCs w:val="22"/>
              </w:rPr>
              <w:t xml:space="preserve">  </w:t>
            </w:r>
            <w:r w:rsidRPr="0036077E">
              <w:rPr>
                <w:b/>
                <w:bCs/>
                <w:sz w:val="22"/>
                <w:szCs w:val="22"/>
              </w:rPr>
              <w:t>Proposed delivery team</w:t>
            </w:r>
          </w:p>
          <w:p w14:paraId="3FE8A11B" w14:textId="77777777" w:rsidR="00F52BE8" w:rsidRPr="0036077E" w:rsidRDefault="00F52BE8" w:rsidP="00A86302">
            <w:pPr>
              <w:autoSpaceDE w:val="0"/>
              <w:autoSpaceDN w:val="0"/>
              <w:adjustRightInd w:val="0"/>
              <w:spacing w:after="0"/>
              <w:rPr>
                <w:rFonts w:cs="Arial"/>
                <w:color w:val="000000"/>
                <w:sz w:val="22"/>
                <w:szCs w:val="22"/>
                <w:lang w:eastAsia="en-GB"/>
              </w:rPr>
            </w:pPr>
          </w:p>
          <w:p w14:paraId="5A797108" w14:textId="77777777"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project; and </w:t>
            </w:r>
          </w:p>
          <w:p w14:paraId="7FF23324" w14:textId="77777777" w:rsidR="00F52BE8" w:rsidRPr="0036077E" w:rsidRDefault="00F52BE8" w:rsidP="00A86302">
            <w:pPr>
              <w:autoSpaceDE w:val="0"/>
              <w:autoSpaceDN w:val="0"/>
              <w:adjustRightInd w:val="0"/>
              <w:spacing w:after="0"/>
              <w:rPr>
                <w:rFonts w:cs="Arial"/>
                <w:color w:val="000000"/>
                <w:sz w:val="22"/>
                <w:szCs w:val="22"/>
                <w:lang w:eastAsia="en-GB"/>
              </w:rPr>
            </w:pPr>
          </w:p>
          <w:p w14:paraId="09A0FA39" w14:textId="77777777"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Project roles and responsibilities </w:t>
            </w:r>
          </w:p>
          <w:p w14:paraId="7FABFFD8" w14:textId="77777777" w:rsidR="00F52BE8" w:rsidRPr="00C251D3" w:rsidRDefault="00F52BE8" w:rsidP="00A86302">
            <w:pPr>
              <w:autoSpaceDE w:val="0"/>
              <w:autoSpaceDN w:val="0"/>
              <w:adjustRightInd w:val="0"/>
              <w:spacing w:after="0"/>
              <w:ind w:left="360"/>
              <w:rPr>
                <w:rFonts w:cs="Arial"/>
                <w:color w:val="000000"/>
                <w:sz w:val="22"/>
                <w:szCs w:val="22"/>
                <w:lang w:eastAsia="en-GB"/>
              </w:rPr>
            </w:pPr>
          </w:p>
          <w:p w14:paraId="048308F1" w14:textId="77777777" w:rsidR="00F52BE8" w:rsidRPr="00C251D3" w:rsidRDefault="00F52BE8" w:rsidP="00F52BE8">
            <w:pPr>
              <w:numPr>
                <w:ilvl w:val="0"/>
                <w:numId w:val="18"/>
              </w:numPr>
              <w:autoSpaceDE w:val="0"/>
              <w:autoSpaceDN w:val="0"/>
              <w:adjustRightInd w:val="0"/>
              <w:spacing w:after="0"/>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p>
          <w:p w14:paraId="31FAC89D" w14:textId="77777777" w:rsidR="00B679D6" w:rsidRDefault="00B679D6" w:rsidP="00B679D6">
            <w:pPr>
              <w:ind w:left="360"/>
              <w:rPr>
                <w:rFonts w:cs="Arial"/>
                <w:sz w:val="22"/>
                <w:szCs w:val="22"/>
              </w:rPr>
            </w:pPr>
          </w:p>
          <w:p w14:paraId="7CEEF850" w14:textId="77777777" w:rsidR="00F52BE8" w:rsidRPr="0036077E" w:rsidRDefault="00F52BE8" w:rsidP="00F52BE8">
            <w:pPr>
              <w:numPr>
                <w:ilvl w:val="0"/>
                <w:numId w:val="6"/>
              </w:numPr>
              <w:rPr>
                <w:rFonts w:cs="Arial"/>
                <w:sz w:val="22"/>
                <w:szCs w:val="22"/>
              </w:rPr>
            </w:pPr>
            <w:r w:rsidRPr="0036077E">
              <w:rPr>
                <w:rFonts w:cs="Arial"/>
                <w:sz w:val="22"/>
                <w:szCs w:val="22"/>
              </w:rPr>
              <w:t>Some relevant examples of previous work that bidders have carried out (</w:t>
            </w:r>
            <w:r w:rsidR="00951FB1" w:rsidRPr="0036077E">
              <w:rPr>
                <w:rFonts w:cs="Arial"/>
                <w:sz w:val="22"/>
                <w:szCs w:val="22"/>
              </w:rPr>
              <w:t>e.g.</w:t>
            </w:r>
            <w:r w:rsidRPr="0036077E">
              <w:rPr>
                <w:rFonts w:cs="Arial"/>
                <w:sz w:val="22"/>
                <w:szCs w:val="22"/>
              </w:rPr>
              <w:t xml:space="preserve"> case studies) </w:t>
            </w:r>
          </w:p>
          <w:p w14:paraId="76B907A0" w14:textId="77777777" w:rsidR="00F52BE8" w:rsidRPr="0036077E" w:rsidRDefault="00F52BE8" w:rsidP="00A86302">
            <w:pPr>
              <w:rPr>
                <w:rFonts w:cs="Arial"/>
                <w:b/>
                <w:sz w:val="22"/>
                <w:szCs w:val="22"/>
              </w:rPr>
            </w:pPr>
            <w:r w:rsidRPr="0036077E">
              <w:rPr>
                <w:rFonts w:cs="Arial"/>
                <w:b/>
                <w:sz w:val="22"/>
                <w:szCs w:val="22"/>
              </w:rPr>
              <w:t>d) Pricing</w:t>
            </w:r>
          </w:p>
          <w:p w14:paraId="33667AFD" w14:textId="77777777" w:rsidR="00F52BE8" w:rsidRPr="004A4C80" w:rsidRDefault="00F52BE8" w:rsidP="00A86302">
            <w:pPr>
              <w:pStyle w:val="Default"/>
            </w:pPr>
            <w:r w:rsidRPr="0036077E">
              <w:rPr>
                <w:sz w:val="22"/>
                <w:szCs w:val="22"/>
              </w:rPr>
              <w:t>A fixed fee for the project inclusive of all expense. This should include</w:t>
            </w:r>
          </w:p>
          <w:p w14:paraId="7D890B1B" w14:textId="77777777" w:rsidR="00F52BE8" w:rsidRPr="0036077E" w:rsidRDefault="00F52BE8" w:rsidP="00A86302">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0D7C0ACA" w14:textId="77777777" w:rsidR="00F52BE8" w:rsidRDefault="00F52BE8" w:rsidP="00A86302">
            <w:pPr>
              <w:autoSpaceDE w:val="0"/>
              <w:autoSpaceDN w:val="0"/>
              <w:adjustRightInd w:val="0"/>
              <w:spacing w:after="0"/>
              <w:rPr>
                <w:rFonts w:cs="Arial"/>
                <w:color w:val="000000"/>
                <w:sz w:val="22"/>
                <w:szCs w:val="22"/>
                <w:lang w:eastAsia="en-GB"/>
              </w:rPr>
            </w:pPr>
          </w:p>
          <w:p w14:paraId="6AB6A426" w14:textId="77777777" w:rsidR="009878A7" w:rsidRPr="009878A7" w:rsidRDefault="009878A7" w:rsidP="00A86302">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7BC42B8E" w14:textId="77777777" w:rsidR="009878A7" w:rsidRDefault="009878A7" w:rsidP="00A86302">
            <w:pPr>
              <w:autoSpaceDE w:val="0"/>
              <w:autoSpaceDN w:val="0"/>
              <w:adjustRightInd w:val="0"/>
              <w:spacing w:after="0"/>
              <w:rPr>
                <w:rFonts w:cs="Arial"/>
                <w:color w:val="000000"/>
                <w:sz w:val="22"/>
                <w:szCs w:val="22"/>
                <w:lang w:eastAsia="en-GB"/>
              </w:rPr>
            </w:pPr>
          </w:p>
          <w:p w14:paraId="2FC7DA0D" w14:textId="77777777" w:rsidR="009878A7" w:rsidRPr="009878A7" w:rsidRDefault="009878A7" w:rsidP="009878A7">
            <w:pPr>
              <w:autoSpaceDE w:val="0"/>
              <w:autoSpaceDN w:val="0"/>
              <w:adjustRightInd w:val="0"/>
              <w:spacing w:after="0"/>
              <w:rPr>
                <w:rFonts w:cs="Arial"/>
                <w:color w:val="000000"/>
                <w:sz w:val="22"/>
                <w:szCs w:val="22"/>
                <w:lang w:eastAsia="en-GB"/>
              </w:rPr>
            </w:pPr>
            <w:r w:rsidRPr="009878A7">
              <w:rPr>
                <w:rFonts w:cs="Arial"/>
                <w:sz w:val="22"/>
                <w:szCs w:val="22"/>
              </w:rPr>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tc>
      </w:tr>
      <w:tr w:rsidR="00F52BE8" w:rsidRPr="0036077E" w14:paraId="5F79B4F7" w14:textId="77777777" w:rsidTr="00A86302">
        <w:trPr>
          <w:trHeight w:val="353"/>
        </w:trPr>
        <w:tc>
          <w:tcPr>
            <w:tcW w:w="8528" w:type="dxa"/>
            <w:tcBorders>
              <w:bottom w:val="single" w:sz="4" w:space="0" w:color="auto"/>
            </w:tcBorders>
            <w:shd w:val="clear" w:color="auto" w:fill="99CCFF"/>
          </w:tcPr>
          <w:p w14:paraId="572271EF" w14:textId="77777777" w:rsidR="00F52BE8" w:rsidRPr="0036077E" w:rsidRDefault="00F52BE8" w:rsidP="00A86302">
            <w:pPr>
              <w:rPr>
                <w:rFonts w:cs="Arial"/>
                <w:b/>
                <w:sz w:val="28"/>
                <w:szCs w:val="28"/>
              </w:rPr>
            </w:pPr>
            <w:r w:rsidRPr="0036077E">
              <w:rPr>
                <w:rFonts w:cs="Arial"/>
                <w:b/>
                <w:sz w:val="28"/>
                <w:szCs w:val="28"/>
              </w:rPr>
              <w:lastRenderedPageBreak/>
              <w:t>3.2 Evaluation Criteria</w:t>
            </w:r>
          </w:p>
        </w:tc>
      </w:tr>
      <w:tr w:rsidR="00F52BE8" w:rsidRPr="0036077E" w14:paraId="3125F9B4" w14:textId="77777777" w:rsidTr="00A86302">
        <w:trPr>
          <w:trHeight w:val="352"/>
        </w:trPr>
        <w:tc>
          <w:tcPr>
            <w:tcW w:w="8528" w:type="dxa"/>
            <w:tcBorders>
              <w:bottom w:val="single" w:sz="4" w:space="0" w:color="auto"/>
            </w:tcBorders>
            <w:shd w:val="clear" w:color="auto" w:fill="auto"/>
          </w:tcPr>
          <w:p w14:paraId="5B204B16" w14:textId="77777777" w:rsidR="00F52BE8" w:rsidRPr="0036077E" w:rsidRDefault="00F52BE8" w:rsidP="00A86302">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00ED5F4A" w14:textId="77777777" w:rsidR="00F52BE8" w:rsidRPr="0036077E" w:rsidRDefault="00F52BE8" w:rsidP="00A86302">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2D6D5A9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573A5D34"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75167841"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7A104E65"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5E9C7166"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32B747DF" w14:textId="77777777" w:rsidR="00F52BE8" w:rsidRPr="0036077E" w:rsidRDefault="00F52BE8" w:rsidP="00A86302">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C4D0C7B" w14:textId="77777777" w:rsidR="00F52BE8" w:rsidRPr="0036077E" w:rsidRDefault="00F52BE8" w:rsidP="00A86302">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72E495AF" w14:textId="77777777" w:rsidR="00F52BE8" w:rsidRPr="0036077E" w:rsidRDefault="00F52BE8" w:rsidP="00A86302">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464F53F5" w14:textId="77777777" w:rsidR="00F52BE8" w:rsidRPr="0036077E" w:rsidRDefault="00F52BE8" w:rsidP="00A86302">
            <w:pPr>
              <w:pStyle w:val="ListNumber"/>
              <w:numPr>
                <w:ilvl w:val="0"/>
                <w:numId w:val="0"/>
              </w:numPr>
              <w:rPr>
                <w:rFonts w:cs="Arial"/>
                <w:szCs w:val="24"/>
              </w:rPr>
            </w:pPr>
            <w:r w:rsidRPr="0036077E">
              <w:rPr>
                <w:rFonts w:cs="Arial"/>
                <w:b/>
                <w:szCs w:val="24"/>
              </w:rPr>
              <w:t>Methodology (</w:t>
            </w:r>
            <w:r w:rsidR="00E9262A">
              <w:rPr>
                <w:rFonts w:cs="Arial"/>
                <w:b/>
                <w:szCs w:val="24"/>
              </w:rPr>
              <w:t>2</w:t>
            </w:r>
            <w:r w:rsidR="00EC1840">
              <w:rPr>
                <w:rFonts w:cs="Arial"/>
                <w:b/>
                <w:szCs w:val="24"/>
              </w:rPr>
              <w:t>5</w:t>
            </w:r>
            <w:r w:rsidRPr="0036077E">
              <w:rPr>
                <w:rFonts w:cs="Arial"/>
                <w:b/>
                <w:szCs w:val="24"/>
              </w:rPr>
              <w:t>%)</w:t>
            </w:r>
          </w:p>
          <w:p w14:paraId="6C54C1BB" w14:textId="77777777" w:rsidR="00F52BE8" w:rsidRPr="0036077E" w:rsidRDefault="00F52BE8" w:rsidP="00A86302">
            <w:pPr>
              <w:pStyle w:val="ListNumber"/>
              <w:numPr>
                <w:ilvl w:val="0"/>
                <w:numId w:val="0"/>
              </w:numPr>
              <w:rPr>
                <w:sz w:val="22"/>
                <w:szCs w:val="22"/>
              </w:rPr>
            </w:pPr>
            <w:r w:rsidRPr="0036077E">
              <w:rPr>
                <w:sz w:val="22"/>
                <w:szCs w:val="22"/>
              </w:rPr>
              <w:t>The proposal should set out the methodology by which the project requirement will be initiated, delivered and concluded.  In particular, it must:</w:t>
            </w:r>
          </w:p>
          <w:p w14:paraId="0A991A13" w14:textId="77777777" w:rsidR="00F52BE8" w:rsidRPr="0036077E" w:rsidRDefault="00F52BE8" w:rsidP="00A86302">
            <w:pPr>
              <w:pStyle w:val="ListNumber"/>
              <w:numPr>
                <w:ilvl w:val="0"/>
                <w:numId w:val="0"/>
              </w:numPr>
              <w:tabs>
                <w:tab w:val="clear" w:pos="720"/>
                <w:tab w:val="left" w:pos="426"/>
              </w:tabs>
              <w:rPr>
                <w:rFonts w:cs="Arial"/>
                <w:sz w:val="22"/>
                <w:szCs w:val="22"/>
              </w:rPr>
            </w:pPr>
            <w:r w:rsidRPr="0036077E">
              <w:rPr>
                <w:rFonts w:cs="Arial"/>
                <w:sz w:val="22"/>
                <w:szCs w:val="22"/>
              </w:rPr>
              <w:t xml:space="preserve">a) </w:t>
            </w:r>
            <w:r w:rsidRPr="0036077E">
              <w:rPr>
                <w:rFonts w:cs="Arial"/>
                <w:sz w:val="22"/>
                <w:szCs w:val="22"/>
              </w:rPr>
              <w:tab/>
              <w:t>Explain the methodology and delivery mechanisms to ensure that the requirements of this specification are met in terms of quality;</w:t>
            </w:r>
          </w:p>
          <w:p w14:paraId="2E89F730" w14:textId="77777777" w:rsidR="00F52BE8" w:rsidRPr="0036077E" w:rsidRDefault="00F52BE8" w:rsidP="00A86302">
            <w:pPr>
              <w:pStyle w:val="ListNumber"/>
              <w:numPr>
                <w:ilvl w:val="0"/>
                <w:numId w:val="0"/>
              </w:numPr>
              <w:tabs>
                <w:tab w:val="clear" w:pos="720"/>
                <w:tab w:val="left" w:pos="426"/>
              </w:tabs>
              <w:rPr>
                <w:rFonts w:cs="Arial"/>
                <w:sz w:val="22"/>
                <w:szCs w:val="22"/>
              </w:rPr>
            </w:pPr>
            <w:r w:rsidRPr="0036077E">
              <w:rPr>
                <w:rFonts w:cs="Arial"/>
                <w:sz w:val="22"/>
                <w:szCs w:val="22"/>
              </w:rPr>
              <w:t xml:space="preserve">b) </w:t>
            </w:r>
            <w:r w:rsidRPr="0036077E">
              <w:rPr>
                <w:rFonts w:cs="Arial"/>
                <w:sz w:val="22"/>
                <w:szCs w:val="22"/>
              </w:rPr>
              <w:tab/>
              <w:t>Explain how your organisation will work in partnership with ORR’s project manager to ensure that the requirement is met</w:t>
            </w:r>
          </w:p>
          <w:p w14:paraId="7DDCAD52" w14:textId="77777777" w:rsidR="00F52BE8" w:rsidRPr="00A8697E" w:rsidRDefault="00F52BE8" w:rsidP="00A8697E">
            <w:pPr>
              <w:pStyle w:val="ListNumber"/>
              <w:numPr>
                <w:ilvl w:val="0"/>
                <w:numId w:val="13"/>
              </w:numPr>
              <w:tabs>
                <w:tab w:val="clear" w:pos="720"/>
                <w:tab w:val="clear" w:pos="1080"/>
                <w:tab w:val="num" w:pos="0"/>
                <w:tab w:val="left" w:pos="426"/>
              </w:tabs>
              <w:ind w:hanging="1080"/>
              <w:rPr>
                <w:rFonts w:cs="Arial"/>
                <w:sz w:val="22"/>
                <w:szCs w:val="22"/>
              </w:rPr>
            </w:pPr>
            <w:r w:rsidRPr="00E9262A">
              <w:rPr>
                <w:rFonts w:cs="Arial"/>
                <w:sz w:val="22"/>
                <w:szCs w:val="22"/>
              </w:rPr>
              <w:t xml:space="preserve">Explain how </w:t>
            </w:r>
            <w:r w:rsidR="004F5C25">
              <w:rPr>
                <w:rFonts w:cs="Arial"/>
                <w:sz w:val="22"/>
                <w:szCs w:val="22"/>
              </w:rPr>
              <w:t>you will structure the final report</w:t>
            </w:r>
          </w:p>
          <w:p w14:paraId="15F22E89" w14:textId="77777777" w:rsidR="00F52BE8" w:rsidRPr="0036077E" w:rsidRDefault="00F52BE8" w:rsidP="00A86302">
            <w:pPr>
              <w:pStyle w:val="ListNumber"/>
              <w:numPr>
                <w:ilvl w:val="0"/>
                <w:numId w:val="0"/>
              </w:numPr>
              <w:rPr>
                <w:rFonts w:cs="Arial"/>
                <w:b/>
                <w:bCs/>
                <w:szCs w:val="24"/>
                <w:lang w:eastAsia="en-GB"/>
              </w:rPr>
            </w:pPr>
            <w:r w:rsidRPr="0036077E">
              <w:rPr>
                <w:rFonts w:cs="Arial"/>
                <w:b/>
                <w:bCs/>
                <w:szCs w:val="24"/>
                <w:lang w:eastAsia="en-GB"/>
              </w:rPr>
              <w:t>Delivery (</w:t>
            </w:r>
            <w:r w:rsidR="00E9262A">
              <w:rPr>
                <w:rFonts w:cs="Arial"/>
                <w:b/>
                <w:bCs/>
                <w:szCs w:val="24"/>
                <w:lang w:eastAsia="en-GB"/>
              </w:rPr>
              <w:t>2</w:t>
            </w:r>
            <w:r w:rsidR="00EC1840">
              <w:rPr>
                <w:rFonts w:cs="Arial"/>
                <w:b/>
                <w:bCs/>
                <w:szCs w:val="24"/>
                <w:lang w:eastAsia="en-GB"/>
              </w:rPr>
              <w:t>5</w:t>
            </w:r>
            <w:r w:rsidRPr="0036077E">
              <w:rPr>
                <w:rFonts w:cs="Arial"/>
                <w:b/>
                <w:bCs/>
                <w:szCs w:val="24"/>
                <w:lang w:eastAsia="en-GB"/>
              </w:rPr>
              <w:t>%)</w:t>
            </w:r>
          </w:p>
          <w:p w14:paraId="06EFE81C" w14:textId="77777777" w:rsidR="00F52BE8" w:rsidRPr="0036077E" w:rsidRDefault="00F52BE8" w:rsidP="00A86302">
            <w:pPr>
              <w:pStyle w:val="ListNumber"/>
              <w:numPr>
                <w:ilvl w:val="0"/>
                <w:numId w:val="0"/>
              </w:numPr>
              <w:rPr>
                <w:sz w:val="22"/>
                <w:szCs w:val="22"/>
              </w:rPr>
            </w:pPr>
            <w:r w:rsidRPr="0036077E">
              <w:rPr>
                <w:sz w:val="22"/>
                <w:szCs w:val="22"/>
              </w:rPr>
              <w:t>The proposal should set out how and when the project requirement will be delivered.  In particular, it must:</w:t>
            </w:r>
          </w:p>
          <w:p w14:paraId="3CA81F56" w14:textId="77777777" w:rsidR="00F52BE8" w:rsidRPr="0036077E" w:rsidRDefault="00F52BE8" w:rsidP="00A86302">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stage; </w:t>
            </w:r>
          </w:p>
          <w:p w14:paraId="18C703AE" w14:textId="77777777" w:rsidR="00F52BE8" w:rsidRPr="0036077E" w:rsidRDefault="00F52BE8" w:rsidP="00A86302">
            <w:pPr>
              <w:pStyle w:val="ListNumber"/>
              <w:numPr>
                <w:ilvl w:val="0"/>
                <w:numId w:val="0"/>
              </w:numPr>
              <w:rPr>
                <w:rFonts w:cs="Arial"/>
                <w:sz w:val="22"/>
                <w:szCs w:val="22"/>
              </w:rPr>
            </w:pPr>
            <w:r w:rsidRPr="0036077E">
              <w:rPr>
                <w:rFonts w:cs="Arial"/>
                <w:sz w:val="22"/>
                <w:szCs w:val="22"/>
              </w:rPr>
              <w:t>b)  Demonstrate</w:t>
            </w:r>
            <w:r w:rsidR="004F5C25">
              <w:rPr>
                <w:rFonts w:cs="Arial"/>
                <w:sz w:val="22"/>
                <w:szCs w:val="22"/>
              </w:rPr>
              <w:t xml:space="preserve"> an understanding of any possible risks </w:t>
            </w:r>
            <w:r w:rsidRPr="0036077E">
              <w:rPr>
                <w:rFonts w:cs="Arial"/>
                <w:sz w:val="22"/>
                <w:szCs w:val="22"/>
              </w:rPr>
              <w:t xml:space="preserve">and explain how they would be mitigated to ensure project delivery; </w:t>
            </w:r>
          </w:p>
          <w:p w14:paraId="25E4F118" w14:textId="77777777" w:rsidR="00F52BE8" w:rsidRPr="00A8697E" w:rsidRDefault="00F52BE8" w:rsidP="00A86302">
            <w:pPr>
              <w:pStyle w:val="ListNumber"/>
              <w:numPr>
                <w:ilvl w:val="0"/>
                <w:numId w:val="0"/>
              </w:numPr>
              <w:rPr>
                <w:rFonts w:cs="Arial"/>
              </w:rPr>
            </w:pPr>
            <w:r w:rsidRPr="0036077E">
              <w:rPr>
                <w:rFonts w:cs="Arial"/>
              </w:rPr>
              <w:t>c) Explain the resources that will be allocated to delivering the required outcomes/output, and what other resources can be called upon if required.</w:t>
            </w:r>
          </w:p>
          <w:p w14:paraId="5B01F91D" w14:textId="77777777" w:rsidR="00F52BE8" w:rsidRPr="0036077E" w:rsidRDefault="00F52BE8" w:rsidP="00A86302">
            <w:pPr>
              <w:pStyle w:val="ListNumber"/>
              <w:numPr>
                <w:ilvl w:val="0"/>
                <w:numId w:val="0"/>
              </w:numPr>
              <w:tabs>
                <w:tab w:val="clear" w:pos="720"/>
                <w:tab w:val="left" w:pos="426"/>
              </w:tabs>
              <w:rPr>
                <w:rFonts w:cs="Arial"/>
                <w:b/>
                <w:szCs w:val="24"/>
              </w:rPr>
            </w:pPr>
            <w:r w:rsidRPr="0036077E">
              <w:rPr>
                <w:rFonts w:cs="Arial"/>
                <w:b/>
                <w:szCs w:val="24"/>
              </w:rPr>
              <w:t>Experience (</w:t>
            </w:r>
            <w:r w:rsidR="00E9262A">
              <w:rPr>
                <w:rFonts w:cs="Arial"/>
                <w:b/>
                <w:szCs w:val="24"/>
              </w:rPr>
              <w:t>30</w:t>
            </w:r>
            <w:r w:rsidRPr="0036077E">
              <w:rPr>
                <w:rFonts w:cs="Arial"/>
                <w:b/>
                <w:szCs w:val="24"/>
              </w:rPr>
              <w:t>%)</w:t>
            </w:r>
          </w:p>
          <w:p w14:paraId="75BEADBD" w14:textId="77777777" w:rsidR="00F52BE8" w:rsidRPr="0036077E" w:rsidRDefault="00F52BE8" w:rsidP="00A86302">
            <w:pPr>
              <w:pStyle w:val="ListNumber"/>
              <w:numPr>
                <w:ilvl w:val="0"/>
                <w:numId w:val="0"/>
              </w:numPr>
              <w:rPr>
                <w:rFonts w:cs="Arial"/>
                <w:sz w:val="22"/>
                <w:szCs w:val="22"/>
              </w:rPr>
            </w:pPr>
            <w:r w:rsidRPr="0036077E">
              <w:rPr>
                <w:sz w:val="22"/>
                <w:szCs w:val="22"/>
              </w:rPr>
              <w:t>The proposal should set out any experience relevant to the project requirement.  In particular, it must:</w:t>
            </w:r>
          </w:p>
          <w:p w14:paraId="2F1C348E" w14:textId="77777777" w:rsidR="00F52BE8" w:rsidRPr="0036077E" w:rsidRDefault="00F52BE8" w:rsidP="00A86302">
            <w:pPr>
              <w:pStyle w:val="ListNumber"/>
              <w:numPr>
                <w:ilvl w:val="0"/>
                <w:numId w:val="0"/>
              </w:numPr>
              <w:rPr>
                <w:rFonts w:cs="Arial"/>
                <w:sz w:val="22"/>
                <w:szCs w:val="22"/>
              </w:rPr>
            </w:pPr>
            <w:r w:rsidRPr="0036077E">
              <w:rPr>
                <w:rFonts w:cs="Arial"/>
                <w:sz w:val="22"/>
                <w:szCs w:val="22"/>
              </w:rPr>
              <w:t xml:space="preserve">a)  Provide CVs of the consultants who will be delivering the project; </w:t>
            </w:r>
          </w:p>
          <w:p w14:paraId="68190007" w14:textId="77777777" w:rsidR="00F52BE8" w:rsidRPr="0036077E" w:rsidRDefault="00F52BE8" w:rsidP="00A86302">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Pr="0036077E">
              <w:rPr>
                <w:rFonts w:cs="Arial"/>
                <w:sz w:val="22"/>
                <w:szCs w:val="22"/>
              </w:rPr>
              <w:t>relevant experience for this project, submitting examples of similar projects.</w:t>
            </w:r>
          </w:p>
          <w:p w14:paraId="22230195" w14:textId="77777777" w:rsidR="00F52BE8" w:rsidRPr="0036077E" w:rsidRDefault="00F52BE8" w:rsidP="00A86302">
            <w:pPr>
              <w:pStyle w:val="ListNumber"/>
              <w:numPr>
                <w:ilvl w:val="0"/>
                <w:numId w:val="0"/>
              </w:numPr>
              <w:rPr>
                <w:rFonts w:cs="Arial"/>
                <w:szCs w:val="24"/>
              </w:rPr>
            </w:pPr>
            <w:r w:rsidRPr="0036077E">
              <w:rPr>
                <w:rFonts w:cs="Arial"/>
                <w:b/>
                <w:szCs w:val="24"/>
              </w:rPr>
              <w:t>Cost / Value for money (</w:t>
            </w:r>
            <w:r w:rsidR="00EC1840">
              <w:rPr>
                <w:rFonts w:cs="Arial"/>
                <w:b/>
                <w:szCs w:val="24"/>
              </w:rPr>
              <w:t>2</w:t>
            </w:r>
            <w:r w:rsidR="00E9262A">
              <w:rPr>
                <w:rFonts w:cs="Arial"/>
                <w:b/>
                <w:szCs w:val="24"/>
              </w:rPr>
              <w:t>0</w:t>
            </w:r>
            <w:r w:rsidRPr="0036077E">
              <w:rPr>
                <w:rFonts w:cs="Arial"/>
                <w:b/>
                <w:szCs w:val="24"/>
              </w:rPr>
              <w:t>%)</w:t>
            </w:r>
          </w:p>
          <w:p w14:paraId="34008054" w14:textId="77777777" w:rsidR="00F52BE8" w:rsidRPr="0036077E" w:rsidRDefault="00F52BE8" w:rsidP="00A86302">
            <w:pPr>
              <w:pStyle w:val="ListNumber"/>
              <w:numPr>
                <w:ilvl w:val="0"/>
                <w:numId w:val="0"/>
              </w:numPr>
              <w:rPr>
                <w:sz w:val="22"/>
                <w:szCs w:val="22"/>
              </w:rPr>
            </w:pPr>
            <w:r w:rsidRPr="0036077E">
              <w:rPr>
                <w:rFonts w:cs="Arial"/>
                <w:sz w:val="22"/>
                <w:szCs w:val="22"/>
              </w:rPr>
              <w:lastRenderedPageBreak/>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 xml:space="preserve">that will apply for the lifetime of this project.  </w:t>
            </w:r>
          </w:p>
          <w:p w14:paraId="1247F022" w14:textId="77777777" w:rsidR="00F52BE8" w:rsidRPr="0036077E" w:rsidRDefault="00F52BE8" w:rsidP="00A86302">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7995A1D6" w14:textId="77777777" w:rsidTr="00A86302">
              <w:trPr>
                <w:cantSplit/>
              </w:trPr>
              <w:tc>
                <w:tcPr>
                  <w:tcW w:w="1599" w:type="dxa"/>
                  <w:tcBorders>
                    <w:top w:val="single" w:sz="4" w:space="0" w:color="000000"/>
                    <w:left w:val="single" w:sz="4" w:space="0" w:color="000000"/>
                    <w:bottom w:val="single" w:sz="4" w:space="0" w:color="000000"/>
                    <w:right w:val="single" w:sz="4" w:space="0" w:color="000000"/>
                  </w:tcBorders>
                </w:tcPr>
                <w:p w14:paraId="6CD4051E" w14:textId="77777777" w:rsidR="00F52BE8" w:rsidRPr="005178AE" w:rsidRDefault="00F52BE8" w:rsidP="00A86302">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1CD535A7" w14:textId="77777777" w:rsidR="00F52BE8" w:rsidRPr="005178AE" w:rsidRDefault="00F52BE8" w:rsidP="00A86302">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3A7814EB" w14:textId="77777777" w:rsidR="00F52BE8" w:rsidRPr="005178AE" w:rsidRDefault="00F52BE8" w:rsidP="00A86302">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2BC75FA0" w14:textId="77777777" w:rsidR="00F52BE8" w:rsidRPr="005178AE" w:rsidRDefault="00F52BE8" w:rsidP="00A86302">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1AAC5851" w14:textId="77777777" w:rsidR="00F52BE8" w:rsidRPr="005178AE" w:rsidRDefault="00F52BE8" w:rsidP="00A86302">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60C4D113" w14:textId="77777777" w:rsidR="00F52BE8" w:rsidRPr="005178AE" w:rsidRDefault="00F52BE8" w:rsidP="00A86302">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19A63106" w14:textId="77777777" w:rsidTr="00A86302">
              <w:trPr>
                <w:cantSplit/>
              </w:trPr>
              <w:tc>
                <w:tcPr>
                  <w:tcW w:w="1599" w:type="dxa"/>
                  <w:tcBorders>
                    <w:top w:val="single" w:sz="4" w:space="0" w:color="000000"/>
                    <w:left w:val="single" w:sz="4" w:space="0" w:color="000000"/>
                    <w:bottom w:val="single" w:sz="4" w:space="0" w:color="000000"/>
                    <w:right w:val="single" w:sz="4" w:space="0" w:color="000000"/>
                  </w:tcBorders>
                </w:tcPr>
                <w:p w14:paraId="7C6E8A12" w14:textId="77777777" w:rsidR="00F52BE8" w:rsidRPr="005178AE" w:rsidRDefault="00F52BE8" w:rsidP="00A86302">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7B3D425" w14:textId="77777777" w:rsidR="00F52BE8" w:rsidRPr="005178AE" w:rsidRDefault="00F52BE8" w:rsidP="00A86302">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08DE4FCF" w14:textId="77777777" w:rsidR="00F52BE8" w:rsidRPr="005178AE" w:rsidRDefault="00F52BE8" w:rsidP="00A86302">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53A86CCC" w14:textId="77777777" w:rsidR="00F52BE8" w:rsidRPr="005178AE" w:rsidRDefault="00F52BE8" w:rsidP="00A86302">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7F62BB93" w14:textId="77777777" w:rsidR="00F52BE8" w:rsidRPr="005178AE" w:rsidRDefault="00F52BE8" w:rsidP="00A86302">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09C30512" w14:textId="77777777" w:rsidR="00F52BE8" w:rsidRPr="005178AE" w:rsidRDefault="00F52BE8" w:rsidP="00A86302">
                  <w:pPr>
                    <w:autoSpaceDE w:val="0"/>
                    <w:autoSpaceDN w:val="0"/>
                    <w:adjustRightInd w:val="0"/>
                    <w:rPr>
                      <w:rFonts w:cs="Arial"/>
                      <w:color w:val="000000"/>
                      <w:sz w:val="20"/>
                    </w:rPr>
                  </w:pPr>
                </w:p>
              </w:tc>
            </w:tr>
            <w:tr w:rsidR="00F52BE8" w:rsidRPr="005178AE" w14:paraId="70A6E2F5" w14:textId="77777777" w:rsidTr="00A86302">
              <w:trPr>
                <w:cantSplit/>
              </w:trPr>
              <w:tc>
                <w:tcPr>
                  <w:tcW w:w="1599" w:type="dxa"/>
                  <w:tcBorders>
                    <w:top w:val="single" w:sz="4" w:space="0" w:color="000000"/>
                    <w:left w:val="single" w:sz="4" w:space="0" w:color="000000"/>
                    <w:bottom w:val="single" w:sz="4" w:space="0" w:color="000000"/>
                    <w:right w:val="single" w:sz="4" w:space="0" w:color="000000"/>
                  </w:tcBorders>
                </w:tcPr>
                <w:p w14:paraId="17B37079" w14:textId="77777777" w:rsidR="00F52BE8" w:rsidRPr="005178AE" w:rsidRDefault="00F52BE8" w:rsidP="00A86302">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59EE9BC3" w14:textId="77777777" w:rsidR="00F52BE8" w:rsidRPr="005178AE" w:rsidRDefault="00F52BE8" w:rsidP="00A86302">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1DA5E75" w14:textId="77777777" w:rsidR="00F52BE8" w:rsidRPr="005178AE" w:rsidRDefault="00F52BE8" w:rsidP="00A86302">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21668772" w14:textId="77777777" w:rsidR="00F52BE8" w:rsidRPr="005178AE" w:rsidRDefault="00F52BE8" w:rsidP="00A86302">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7566EB31" w14:textId="77777777" w:rsidR="00F52BE8" w:rsidRPr="005178AE" w:rsidRDefault="00F52BE8" w:rsidP="00A86302">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08599B49" w14:textId="77777777" w:rsidR="00F52BE8" w:rsidRPr="005178AE" w:rsidRDefault="00F52BE8" w:rsidP="00A86302">
                  <w:pPr>
                    <w:autoSpaceDE w:val="0"/>
                    <w:autoSpaceDN w:val="0"/>
                    <w:adjustRightInd w:val="0"/>
                    <w:rPr>
                      <w:rFonts w:cs="Arial"/>
                      <w:color w:val="000000"/>
                      <w:sz w:val="20"/>
                    </w:rPr>
                  </w:pPr>
                </w:p>
              </w:tc>
            </w:tr>
            <w:tr w:rsidR="00F52BE8" w:rsidRPr="005178AE" w14:paraId="224AB52D" w14:textId="77777777" w:rsidTr="00A86302">
              <w:trPr>
                <w:cantSplit/>
              </w:trPr>
              <w:tc>
                <w:tcPr>
                  <w:tcW w:w="1599" w:type="dxa"/>
                  <w:tcBorders>
                    <w:top w:val="single" w:sz="4" w:space="0" w:color="000000"/>
                    <w:left w:val="single" w:sz="4" w:space="0" w:color="000000"/>
                    <w:bottom w:val="single" w:sz="4" w:space="0" w:color="000000"/>
                    <w:right w:val="single" w:sz="4" w:space="0" w:color="000000"/>
                  </w:tcBorders>
                </w:tcPr>
                <w:p w14:paraId="4D5DCDFC" w14:textId="77777777" w:rsidR="00F52BE8" w:rsidRPr="005178AE" w:rsidRDefault="00F52BE8" w:rsidP="00A86302">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22B4157D" w14:textId="77777777" w:rsidR="00F52BE8" w:rsidRPr="005178AE" w:rsidRDefault="00F52BE8" w:rsidP="00A86302">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71A92730" w14:textId="77777777" w:rsidR="00F52BE8" w:rsidRPr="005178AE" w:rsidRDefault="00F52BE8" w:rsidP="00A86302">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015140EC" w14:textId="77777777" w:rsidR="00F52BE8" w:rsidRPr="005178AE" w:rsidRDefault="00F52BE8" w:rsidP="00A86302">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2534412D" w14:textId="77777777" w:rsidR="00F52BE8" w:rsidRPr="005178AE" w:rsidRDefault="00F52BE8" w:rsidP="00A86302">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60B531F7" w14:textId="77777777" w:rsidR="00F52BE8" w:rsidRPr="005178AE" w:rsidRDefault="00F52BE8" w:rsidP="00A86302">
                  <w:pPr>
                    <w:autoSpaceDE w:val="0"/>
                    <w:autoSpaceDN w:val="0"/>
                    <w:adjustRightInd w:val="0"/>
                    <w:rPr>
                      <w:rFonts w:cs="Arial"/>
                      <w:color w:val="000000"/>
                      <w:sz w:val="20"/>
                    </w:rPr>
                  </w:pPr>
                </w:p>
              </w:tc>
            </w:tr>
          </w:tbl>
          <w:p w14:paraId="27153273" w14:textId="77777777" w:rsidR="00F52BE8" w:rsidRPr="0036077E" w:rsidRDefault="00F52BE8" w:rsidP="00A86302">
            <w:pPr>
              <w:rPr>
                <w:sz w:val="22"/>
                <w:szCs w:val="22"/>
              </w:rPr>
            </w:pPr>
          </w:p>
          <w:p w14:paraId="733D3AF8" w14:textId="77777777" w:rsidR="00F52BE8" w:rsidRPr="0036077E" w:rsidRDefault="00F52BE8" w:rsidP="00A86302">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7AD17D1C" w14:textId="77777777" w:rsidTr="00A86302">
              <w:trPr>
                <w:trHeight w:val="223"/>
              </w:trPr>
              <w:tc>
                <w:tcPr>
                  <w:tcW w:w="851" w:type="dxa"/>
                  <w:tcBorders>
                    <w:bottom w:val="single" w:sz="4" w:space="0" w:color="auto"/>
                  </w:tcBorders>
                  <w:shd w:val="clear" w:color="auto" w:fill="auto"/>
                  <w:vAlign w:val="center"/>
                </w:tcPr>
                <w:p w14:paraId="0F0C2A17" w14:textId="77777777" w:rsidR="00F52BE8" w:rsidRPr="0036077E" w:rsidRDefault="00F52BE8" w:rsidP="00A86302">
                  <w:pPr>
                    <w:jc w:val="center"/>
                    <w:rPr>
                      <w:b/>
                      <w:sz w:val="20"/>
                    </w:rPr>
                  </w:pPr>
                  <w:r w:rsidRPr="0036077E">
                    <w:rPr>
                      <w:b/>
                      <w:sz w:val="20"/>
                    </w:rPr>
                    <w:t>Grade</w:t>
                  </w:r>
                </w:p>
              </w:tc>
              <w:tc>
                <w:tcPr>
                  <w:tcW w:w="6840" w:type="dxa"/>
                  <w:shd w:val="clear" w:color="auto" w:fill="auto"/>
                  <w:vAlign w:val="bottom"/>
                </w:tcPr>
                <w:p w14:paraId="60B780B5" w14:textId="77777777" w:rsidR="00F52BE8" w:rsidRPr="0036077E" w:rsidRDefault="00F52BE8" w:rsidP="00A86302">
                  <w:pPr>
                    <w:jc w:val="center"/>
                    <w:rPr>
                      <w:b/>
                      <w:sz w:val="20"/>
                    </w:rPr>
                  </w:pPr>
                  <w:r w:rsidRPr="0036077E">
                    <w:rPr>
                      <w:b/>
                      <w:sz w:val="20"/>
                    </w:rPr>
                    <w:t>Requirement</w:t>
                  </w:r>
                </w:p>
              </w:tc>
            </w:tr>
            <w:tr w:rsidR="00F52BE8" w14:paraId="5690F4F8" w14:textId="77777777" w:rsidTr="00A86302">
              <w:trPr>
                <w:trHeight w:hRule="exact" w:val="680"/>
              </w:trPr>
              <w:tc>
                <w:tcPr>
                  <w:tcW w:w="851" w:type="dxa"/>
                  <w:tcBorders>
                    <w:bottom w:val="single" w:sz="4" w:space="0" w:color="auto"/>
                  </w:tcBorders>
                  <w:shd w:val="clear" w:color="auto" w:fill="auto"/>
                </w:tcPr>
                <w:p w14:paraId="51B9A7D0" w14:textId="77777777" w:rsidR="00F52BE8" w:rsidRPr="0036077E" w:rsidRDefault="00F52BE8" w:rsidP="00A86302">
                  <w:pPr>
                    <w:rPr>
                      <w:sz w:val="20"/>
                    </w:rPr>
                  </w:pPr>
                  <w:r w:rsidRPr="0036077E">
                    <w:rPr>
                      <w:sz w:val="20"/>
                    </w:rPr>
                    <w:t>Junior consultant</w:t>
                  </w:r>
                </w:p>
              </w:tc>
              <w:tc>
                <w:tcPr>
                  <w:tcW w:w="0" w:type="auto"/>
                  <w:tcBorders>
                    <w:bottom w:val="single" w:sz="4" w:space="0" w:color="auto"/>
                  </w:tcBorders>
                  <w:shd w:val="clear" w:color="auto" w:fill="auto"/>
                </w:tcPr>
                <w:p w14:paraId="5A67AE27" w14:textId="77777777" w:rsidR="00F52BE8" w:rsidRPr="0036077E" w:rsidRDefault="00F52BE8" w:rsidP="00A86302">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487B86B8" w14:textId="77777777" w:rsidTr="00A86302">
              <w:trPr>
                <w:trHeight w:hRule="exact" w:val="907"/>
              </w:trPr>
              <w:tc>
                <w:tcPr>
                  <w:tcW w:w="851" w:type="dxa"/>
                  <w:shd w:val="clear" w:color="auto" w:fill="auto"/>
                </w:tcPr>
                <w:p w14:paraId="1212B007" w14:textId="77777777" w:rsidR="00F52BE8" w:rsidRPr="0036077E" w:rsidRDefault="00F52BE8" w:rsidP="00A86302">
                  <w:pPr>
                    <w:rPr>
                      <w:sz w:val="20"/>
                    </w:rPr>
                  </w:pPr>
                  <w:r w:rsidRPr="0036077E">
                    <w:rPr>
                      <w:sz w:val="20"/>
                    </w:rPr>
                    <w:t>Consultant</w:t>
                  </w:r>
                </w:p>
              </w:tc>
              <w:tc>
                <w:tcPr>
                  <w:tcW w:w="0" w:type="auto"/>
                  <w:shd w:val="clear" w:color="auto" w:fill="auto"/>
                </w:tcPr>
                <w:p w14:paraId="71F7BF87" w14:textId="77777777" w:rsidR="00F52BE8" w:rsidRPr="0036077E" w:rsidRDefault="00F52BE8" w:rsidP="00A86302">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18D1950E" w14:textId="77777777" w:rsidTr="00A86302">
              <w:trPr>
                <w:trHeight w:hRule="exact" w:val="964"/>
              </w:trPr>
              <w:tc>
                <w:tcPr>
                  <w:tcW w:w="851" w:type="dxa"/>
                  <w:shd w:val="clear" w:color="auto" w:fill="auto"/>
                </w:tcPr>
                <w:p w14:paraId="45EC113E" w14:textId="77777777" w:rsidR="00F52BE8" w:rsidRPr="0036077E" w:rsidRDefault="00F52BE8" w:rsidP="00A86302">
                  <w:pPr>
                    <w:rPr>
                      <w:sz w:val="20"/>
                    </w:rPr>
                  </w:pPr>
                  <w:r w:rsidRPr="0036077E">
                    <w:rPr>
                      <w:sz w:val="20"/>
                    </w:rPr>
                    <w:t>Senior Consultant</w:t>
                  </w:r>
                </w:p>
              </w:tc>
              <w:tc>
                <w:tcPr>
                  <w:tcW w:w="0" w:type="auto"/>
                  <w:shd w:val="clear" w:color="auto" w:fill="auto"/>
                </w:tcPr>
                <w:p w14:paraId="0C5E4D8B" w14:textId="77777777" w:rsidR="00F52BE8" w:rsidRPr="0036077E" w:rsidRDefault="00F52BE8" w:rsidP="00A86302">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6C263ECD" w14:textId="77777777" w:rsidTr="00A86302">
              <w:trPr>
                <w:trHeight w:hRule="exact" w:val="1134"/>
              </w:trPr>
              <w:tc>
                <w:tcPr>
                  <w:tcW w:w="851" w:type="dxa"/>
                  <w:shd w:val="clear" w:color="auto" w:fill="auto"/>
                </w:tcPr>
                <w:p w14:paraId="3B4FFF78" w14:textId="77777777" w:rsidR="00F52BE8" w:rsidRPr="0036077E" w:rsidRDefault="00F52BE8" w:rsidP="00A86302">
                  <w:pPr>
                    <w:rPr>
                      <w:sz w:val="20"/>
                    </w:rPr>
                  </w:pPr>
                  <w:r w:rsidRPr="0036077E">
                    <w:rPr>
                      <w:sz w:val="20"/>
                    </w:rPr>
                    <w:t>Principal Consultant</w:t>
                  </w:r>
                </w:p>
              </w:tc>
              <w:tc>
                <w:tcPr>
                  <w:tcW w:w="0" w:type="auto"/>
                  <w:shd w:val="clear" w:color="auto" w:fill="auto"/>
                </w:tcPr>
                <w:p w14:paraId="07088014" w14:textId="77777777" w:rsidR="00F52BE8" w:rsidRPr="0036077E" w:rsidRDefault="00F52BE8" w:rsidP="00A86302">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182BF9D4" w14:textId="77777777" w:rsidTr="00A86302">
              <w:trPr>
                <w:trHeight w:hRule="exact" w:val="1134"/>
              </w:trPr>
              <w:tc>
                <w:tcPr>
                  <w:tcW w:w="851" w:type="dxa"/>
                  <w:shd w:val="clear" w:color="auto" w:fill="auto"/>
                </w:tcPr>
                <w:p w14:paraId="12443FE0" w14:textId="77777777" w:rsidR="00F52BE8" w:rsidRPr="0036077E" w:rsidRDefault="00F52BE8" w:rsidP="00A86302">
                  <w:pPr>
                    <w:rPr>
                      <w:sz w:val="20"/>
                    </w:rPr>
                  </w:pPr>
                  <w:r w:rsidRPr="0036077E">
                    <w:rPr>
                      <w:sz w:val="20"/>
                    </w:rPr>
                    <w:t>Managing Consultant</w:t>
                  </w:r>
                </w:p>
              </w:tc>
              <w:tc>
                <w:tcPr>
                  <w:tcW w:w="0" w:type="auto"/>
                  <w:shd w:val="clear" w:color="auto" w:fill="auto"/>
                </w:tcPr>
                <w:p w14:paraId="5F534286" w14:textId="77777777" w:rsidR="00F52BE8" w:rsidRPr="0036077E" w:rsidRDefault="00F52BE8" w:rsidP="00A86302">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4CFCFC84" w14:textId="77777777" w:rsidTr="00A86302">
              <w:trPr>
                <w:trHeight w:hRule="exact" w:val="1221"/>
              </w:trPr>
              <w:tc>
                <w:tcPr>
                  <w:tcW w:w="851" w:type="dxa"/>
                  <w:shd w:val="clear" w:color="auto" w:fill="auto"/>
                </w:tcPr>
                <w:p w14:paraId="6A1C0A1D" w14:textId="77777777" w:rsidR="00F52BE8" w:rsidRPr="0036077E" w:rsidRDefault="00F52BE8" w:rsidP="00A86302">
                  <w:pPr>
                    <w:rPr>
                      <w:sz w:val="20"/>
                    </w:rPr>
                  </w:pPr>
                  <w:r w:rsidRPr="0036077E">
                    <w:rPr>
                      <w:sz w:val="20"/>
                    </w:rPr>
                    <w:t>Director / Partner</w:t>
                  </w:r>
                </w:p>
                <w:p w14:paraId="50BCDB0B" w14:textId="77777777" w:rsidR="00F52BE8" w:rsidRPr="0036077E" w:rsidRDefault="00F52BE8" w:rsidP="00A86302">
                  <w:pPr>
                    <w:rPr>
                      <w:sz w:val="20"/>
                    </w:rPr>
                  </w:pPr>
                </w:p>
              </w:tc>
              <w:tc>
                <w:tcPr>
                  <w:tcW w:w="0" w:type="auto"/>
                  <w:shd w:val="clear" w:color="auto" w:fill="auto"/>
                </w:tcPr>
                <w:p w14:paraId="782C0D09" w14:textId="77777777" w:rsidR="00F52BE8" w:rsidRPr="0036077E" w:rsidRDefault="00F52BE8" w:rsidP="00A86302">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207043AC" w14:textId="77777777" w:rsidR="00F52BE8" w:rsidRPr="0036077E" w:rsidRDefault="00F52BE8" w:rsidP="00A86302">
            <w:pPr>
              <w:rPr>
                <w:sz w:val="22"/>
                <w:szCs w:val="22"/>
              </w:rPr>
            </w:pPr>
          </w:p>
          <w:p w14:paraId="0DE0F0A8" w14:textId="77777777" w:rsidR="00F52BE8" w:rsidRPr="0036077E" w:rsidRDefault="00F52BE8" w:rsidP="00A86302">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F52BE8" w:rsidRPr="0045576C" w14:paraId="74AC062C" w14:textId="77777777" w:rsidTr="00A86302">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97D2856" w14:textId="77777777" w:rsidR="00F52BE8" w:rsidRPr="0045576C" w:rsidRDefault="00F52BE8" w:rsidP="00A86302">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218133C6" w14:textId="77777777" w:rsidR="00F52BE8" w:rsidRPr="0045576C" w:rsidRDefault="00F52BE8" w:rsidP="00A86302">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27AC9159" w14:textId="77777777" w:rsidTr="00A86302">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0675BE9F" w14:textId="77777777" w:rsidR="00F52BE8" w:rsidRPr="0045576C" w:rsidRDefault="00F52BE8" w:rsidP="00A86302">
                  <w:pPr>
                    <w:spacing w:after="0"/>
                    <w:jc w:val="center"/>
                    <w:rPr>
                      <w:rFonts w:cs="Arial"/>
                      <w:szCs w:val="24"/>
                      <w:lang w:eastAsia="en-GB"/>
                    </w:rPr>
                  </w:pPr>
                  <w:r w:rsidRPr="0045576C">
                    <w:rPr>
                      <w:rFonts w:cs="Arial"/>
                      <w:szCs w:val="24"/>
                      <w:lang w:eastAsia="en-GB"/>
                    </w:rPr>
                    <w:lastRenderedPageBreak/>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E1E9E52" w14:textId="77777777" w:rsidR="00F52BE8" w:rsidRPr="0045576C" w:rsidRDefault="00F52BE8" w:rsidP="00A86302">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1405CC6A" w14:textId="77777777" w:rsidTr="00A86302">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2250C9FE" w14:textId="77777777" w:rsidR="00F52BE8" w:rsidRPr="0045576C" w:rsidRDefault="00F52BE8" w:rsidP="00A86302">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061D3C4" w14:textId="77777777" w:rsidR="00F52BE8" w:rsidRPr="0045576C" w:rsidRDefault="00F52BE8" w:rsidP="00A86302">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1E4A1EB1" w14:textId="77777777" w:rsidTr="00A86302">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3D7FB98D" w14:textId="77777777" w:rsidR="00F52BE8" w:rsidRPr="0045576C" w:rsidRDefault="00F52BE8" w:rsidP="00A86302">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7FE3528" w14:textId="77777777" w:rsidR="00F52BE8" w:rsidRPr="0045576C" w:rsidRDefault="00F52BE8" w:rsidP="00A86302">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1C883A01" w14:textId="77777777" w:rsidR="00F52BE8" w:rsidRPr="0036077E" w:rsidRDefault="00F52BE8" w:rsidP="00A86302">
            <w:pPr>
              <w:rPr>
                <w:rFonts w:cs="Arial"/>
                <w:sz w:val="22"/>
                <w:szCs w:val="22"/>
              </w:rPr>
            </w:pPr>
          </w:p>
        </w:tc>
      </w:tr>
    </w:tbl>
    <w:p w14:paraId="18E930DB" w14:textId="77777777" w:rsidR="00F52BE8" w:rsidRDefault="00F52BE8" w:rsidP="00F52BE8">
      <w:pPr>
        <w:rPr>
          <w:rFonts w:cs="Arial"/>
          <w:b/>
          <w:sz w:val="32"/>
          <w:szCs w:val="32"/>
          <w:u w:val="single"/>
        </w:rPr>
        <w:sectPr w:rsidR="00F52BE8" w:rsidSect="00A86302">
          <w:footerReference w:type="default" r:id="rId12"/>
          <w:pgSz w:w="11906" w:h="16838"/>
          <w:pgMar w:top="1440" w:right="1797" w:bottom="1618" w:left="1797" w:header="709" w:footer="709" w:gutter="0"/>
          <w:cols w:space="708"/>
          <w:docGrid w:linePitch="360"/>
        </w:sectPr>
      </w:pPr>
    </w:p>
    <w:p w14:paraId="4503F975"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4485C450"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5AC8FD7D" w14:textId="77777777" w:rsidR="00F52BE8" w:rsidRPr="00522904" w:rsidRDefault="00F52BE8" w:rsidP="00F52BE8">
      <w:pPr>
        <w:pStyle w:val="ListNumber2"/>
        <w:numPr>
          <w:ilvl w:val="0"/>
          <w:numId w:val="0"/>
        </w:numPr>
        <w:ind w:left="720" w:hanging="720"/>
        <w:rPr>
          <w:b/>
          <w:color w:val="FF0000"/>
          <w:szCs w:val="24"/>
        </w:rPr>
      </w:pPr>
    </w:p>
    <w:p w14:paraId="6BB188BD"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14D79CD2"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204"/>
      </w:tblGrid>
      <w:tr w:rsidR="00F52BE8" w:rsidRPr="0036077E" w14:paraId="5A8ABC63" w14:textId="77777777" w:rsidTr="00D70EBF">
        <w:tc>
          <w:tcPr>
            <w:tcW w:w="5098" w:type="dxa"/>
            <w:shd w:val="clear" w:color="auto" w:fill="auto"/>
          </w:tcPr>
          <w:p w14:paraId="2EA7D5F8" w14:textId="77777777" w:rsidR="00F52BE8" w:rsidRPr="0036077E" w:rsidRDefault="00F52BE8" w:rsidP="00A86302">
            <w:pPr>
              <w:pStyle w:val="ListNumber"/>
              <w:numPr>
                <w:ilvl w:val="0"/>
                <w:numId w:val="0"/>
              </w:numPr>
              <w:spacing w:before="0" w:after="0"/>
              <w:rPr>
                <w:rFonts w:cs="Arial"/>
                <w:b/>
              </w:rPr>
            </w:pPr>
            <w:r w:rsidRPr="0036077E">
              <w:rPr>
                <w:rFonts w:cs="Arial"/>
                <w:b/>
              </w:rPr>
              <w:t>Element</w:t>
            </w:r>
          </w:p>
        </w:tc>
        <w:tc>
          <w:tcPr>
            <w:tcW w:w="3204" w:type="dxa"/>
            <w:shd w:val="clear" w:color="auto" w:fill="auto"/>
          </w:tcPr>
          <w:p w14:paraId="77C84EFA" w14:textId="77777777" w:rsidR="00F52BE8" w:rsidRPr="00D70EBF" w:rsidRDefault="00F52BE8" w:rsidP="00A86302">
            <w:pPr>
              <w:pStyle w:val="ListNumber"/>
              <w:numPr>
                <w:ilvl w:val="0"/>
                <w:numId w:val="0"/>
              </w:numPr>
              <w:spacing w:before="0" w:after="0"/>
              <w:rPr>
                <w:rFonts w:cs="Arial"/>
                <w:b/>
              </w:rPr>
            </w:pPr>
            <w:r w:rsidRPr="00D70EBF">
              <w:rPr>
                <w:rFonts w:cs="Arial"/>
                <w:b/>
              </w:rPr>
              <w:t>Timescale</w:t>
            </w:r>
          </w:p>
        </w:tc>
      </w:tr>
      <w:tr w:rsidR="00F52BE8" w:rsidRPr="00D70EBF" w14:paraId="611AC998" w14:textId="77777777" w:rsidTr="00D70EBF">
        <w:tc>
          <w:tcPr>
            <w:tcW w:w="5098" w:type="dxa"/>
            <w:shd w:val="clear" w:color="auto" w:fill="auto"/>
          </w:tcPr>
          <w:p w14:paraId="176A0DA4" w14:textId="77777777" w:rsidR="00F52BE8" w:rsidRPr="00D70EBF" w:rsidRDefault="00F52BE8" w:rsidP="00A86302">
            <w:pPr>
              <w:pStyle w:val="ListNumber"/>
              <w:numPr>
                <w:ilvl w:val="0"/>
                <w:numId w:val="0"/>
              </w:numPr>
              <w:spacing w:before="0" w:after="0"/>
              <w:rPr>
                <w:rFonts w:cs="Arial"/>
              </w:rPr>
            </w:pPr>
            <w:r w:rsidRPr="00D70EBF">
              <w:rPr>
                <w:rFonts w:cs="Arial"/>
              </w:rPr>
              <w:t>Invitation to tender issued</w:t>
            </w:r>
          </w:p>
        </w:tc>
        <w:tc>
          <w:tcPr>
            <w:tcW w:w="3204" w:type="dxa"/>
            <w:shd w:val="clear" w:color="auto" w:fill="auto"/>
          </w:tcPr>
          <w:p w14:paraId="5A9A00BA" w14:textId="0CF083B9" w:rsidR="00F52BE8" w:rsidRPr="00D70EBF" w:rsidRDefault="002D5DBE" w:rsidP="00D70EBF">
            <w:pPr>
              <w:pStyle w:val="ListNumber"/>
              <w:numPr>
                <w:ilvl w:val="0"/>
                <w:numId w:val="0"/>
              </w:numPr>
              <w:spacing w:before="0" w:after="0"/>
              <w:rPr>
                <w:rFonts w:cs="Arial"/>
              </w:rPr>
            </w:pPr>
            <w:r w:rsidRPr="00D70EBF">
              <w:rPr>
                <w:rFonts w:cs="Arial"/>
              </w:rPr>
              <w:t>1</w:t>
            </w:r>
            <w:r w:rsidR="00D70EBF">
              <w:rPr>
                <w:rFonts w:cs="Arial"/>
              </w:rPr>
              <w:t>1</w:t>
            </w:r>
            <w:r w:rsidRPr="00D70EBF">
              <w:rPr>
                <w:rFonts w:cs="Arial"/>
              </w:rPr>
              <w:t xml:space="preserve"> </w:t>
            </w:r>
            <w:r w:rsidR="00F92E23" w:rsidRPr="00D70EBF">
              <w:rPr>
                <w:rFonts w:cs="Arial"/>
              </w:rPr>
              <w:t>November</w:t>
            </w:r>
            <w:r w:rsidR="00B95909" w:rsidRPr="00D70EBF">
              <w:rPr>
                <w:rFonts w:cs="Arial"/>
              </w:rPr>
              <w:t xml:space="preserve"> </w:t>
            </w:r>
            <w:r w:rsidR="00FB2233" w:rsidRPr="00D70EBF">
              <w:rPr>
                <w:rFonts w:cs="Arial"/>
              </w:rPr>
              <w:t>2020</w:t>
            </w:r>
          </w:p>
        </w:tc>
      </w:tr>
      <w:tr w:rsidR="00F52BE8" w:rsidRPr="00D70EBF" w14:paraId="227B8E73" w14:textId="77777777" w:rsidTr="00D70EBF">
        <w:tc>
          <w:tcPr>
            <w:tcW w:w="5098" w:type="dxa"/>
            <w:shd w:val="clear" w:color="auto" w:fill="auto"/>
          </w:tcPr>
          <w:p w14:paraId="5BB4A6E1" w14:textId="77777777" w:rsidR="00F52BE8" w:rsidRPr="00D70EBF" w:rsidRDefault="00F52BE8" w:rsidP="00A86302">
            <w:pPr>
              <w:pStyle w:val="ListNumber"/>
              <w:numPr>
                <w:ilvl w:val="0"/>
                <w:numId w:val="0"/>
              </w:numPr>
              <w:spacing w:before="0" w:after="0"/>
              <w:rPr>
                <w:rFonts w:cs="Arial"/>
              </w:rPr>
            </w:pPr>
            <w:r w:rsidRPr="00D70EBF">
              <w:rPr>
                <w:rFonts w:cs="Arial"/>
              </w:rPr>
              <w:t>Deadline for the submission of clarification questions</w:t>
            </w:r>
          </w:p>
        </w:tc>
        <w:tc>
          <w:tcPr>
            <w:tcW w:w="3204" w:type="dxa"/>
            <w:shd w:val="clear" w:color="auto" w:fill="auto"/>
          </w:tcPr>
          <w:p w14:paraId="3C72FDB3" w14:textId="7B2744DA" w:rsidR="00F52BE8" w:rsidRPr="00D70EBF" w:rsidRDefault="00FB2233" w:rsidP="00F92E23">
            <w:pPr>
              <w:pStyle w:val="ListNumber"/>
              <w:numPr>
                <w:ilvl w:val="0"/>
                <w:numId w:val="0"/>
              </w:numPr>
              <w:spacing w:before="0" w:after="0"/>
              <w:rPr>
                <w:rFonts w:cs="Arial"/>
              </w:rPr>
            </w:pPr>
            <w:r w:rsidRPr="00D70EBF">
              <w:rPr>
                <w:rFonts w:cs="Arial"/>
              </w:rPr>
              <w:t>20</w:t>
            </w:r>
            <w:r w:rsidR="00CB6DBC">
              <w:rPr>
                <w:rFonts w:cs="Arial"/>
              </w:rPr>
              <w:t xml:space="preserve"> </w:t>
            </w:r>
            <w:r w:rsidR="00F92E23" w:rsidRPr="00D70EBF">
              <w:rPr>
                <w:rFonts w:cs="Arial"/>
              </w:rPr>
              <w:t>November 1</w:t>
            </w:r>
            <w:r w:rsidR="00B95909" w:rsidRPr="00D70EBF">
              <w:rPr>
                <w:rFonts w:cs="Arial"/>
              </w:rPr>
              <w:t>2:00pm</w:t>
            </w:r>
          </w:p>
        </w:tc>
      </w:tr>
      <w:tr w:rsidR="00F52BE8" w:rsidRPr="00D70EBF" w14:paraId="37239503" w14:textId="77777777" w:rsidTr="00D70EBF">
        <w:tc>
          <w:tcPr>
            <w:tcW w:w="5098" w:type="dxa"/>
            <w:shd w:val="clear" w:color="auto" w:fill="auto"/>
          </w:tcPr>
          <w:p w14:paraId="7914A41F" w14:textId="77777777" w:rsidR="00F52BE8" w:rsidRPr="00D70EBF" w:rsidRDefault="00F52BE8" w:rsidP="00A86302">
            <w:pPr>
              <w:pStyle w:val="ListNumber"/>
              <w:numPr>
                <w:ilvl w:val="0"/>
                <w:numId w:val="0"/>
              </w:numPr>
              <w:spacing w:before="0" w:after="0"/>
              <w:rPr>
                <w:rFonts w:cs="Arial"/>
              </w:rPr>
            </w:pPr>
            <w:r w:rsidRPr="00D70EBF">
              <w:rPr>
                <w:rFonts w:cs="Arial"/>
              </w:rPr>
              <w:t>Deadline for submission of proposals</w:t>
            </w:r>
          </w:p>
        </w:tc>
        <w:tc>
          <w:tcPr>
            <w:tcW w:w="3204" w:type="dxa"/>
            <w:shd w:val="clear" w:color="auto" w:fill="auto"/>
          </w:tcPr>
          <w:p w14:paraId="27E92B01" w14:textId="2F0927C3" w:rsidR="00F52BE8" w:rsidRPr="00D70EBF" w:rsidRDefault="00FB2233" w:rsidP="00FB2233">
            <w:pPr>
              <w:pStyle w:val="ListNumber"/>
              <w:numPr>
                <w:ilvl w:val="0"/>
                <w:numId w:val="0"/>
              </w:numPr>
              <w:spacing w:before="0" w:after="0"/>
              <w:rPr>
                <w:rFonts w:cs="Arial"/>
              </w:rPr>
            </w:pPr>
            <w:r w:rsidRPr="00D70EBF">
              <w:rPr>
                <w:rFonts w:cs="Arial"/>
              </w:rPr>
              <w:t xml:space="preserve">27 </w:t>
            </w:r>
            <w:r w:rsidR="00F92E23" w:rsidRPr="00D70EBF">
              <w:rPr>
                <w:rFonts w:cs="Arial"/>
              </w:rPr>
              <w:t>November</w:t>
            </w:r>
            <w:r w:rsidR="00B95909" w:rsidRPr="00D70EBF">
              <w:rPr>
                <w:rFonts w:cs="Arial"/>
              </w:rPr>
              <w:t xml:space="preserve"> 12:00pm</w:t>
            </w:r>
          </w:p>
        </w:tc>
      </w:tr>
      <w:tr w:rsidR="00F52BE8" w:rsidRPr="00D70EBF" w14:paraId="25915C1E" w14:textId="77777777" w:rsidTr="00D70EBF">
        <w:tc>
          <w:tcPr>
            <w:tcW w:w="5098" w:type="dxa"/>
            <w:shd w:val="clear" w:color="auto" w:fill="auto"/>
          </w:tcPr>
          <w:p w14:paraId="6B187126" w14:textId="77777777" w:rsidR="00F52BE8" w:rsidRPr="00D70EBF" w:rsidRDefault="00F52BE8" w:rsidP="00A86302">
            <w:pPr>
              <w:pStyle w:val="ListNumber"/>
              <w:numPr>
                <w:ilvl w:val="0"/>
                <w:numId w:val="0"/>
              </w:numPr>
              <w:spacing w:before="0" w:after="0"/>
              <w:rPr>
                <w:rFonts w:cs="Arial"/>
              </w:rPr>
            </w:pPr>
            <w:r w:rsidRPr="00D70EBF">
              <w:rPr>
                <w:rFonts w:cs="Arial"/>
              </w:rPr>
              <w:t>Shortlisted suppliers notified</w:t>
            </w:r>
          </w:p>
        </w:tc>
        <w:tc>
          <w:tcPr>
            <w:tcW w:w="3204" w:type="dxa"/>
            <w:shd w:val="clear" w:color="auto" w:fill="auto"/>
          </w:tcPr>
          <w:p w14:paraId="23B9AF93" w14:textId="65A5B779" w:rsidR="00F52BE8" w:rsidRPr="00D70EBF" w:rsidRDefault="00CB6DBC" w:rsidP="00F92E23">
            <w:pPr>
              <w:pStyle w:val="ListNumber"/>
              <w:numPr>
                <w:ilvl w:val="0"/>
                <w:numId w:val="0"/>
              </w:numPr>
              <w:spacing w:before="0" w:after="0"/>
              <w:rPr>
                <w:rFonts w:cs="Arial"/>
              </w:rPr>
            </w:pPr>
            <w:r>
              <w:rPr>
                <w:rFonts w:cs="Arial"/>
              </w:rPr>
              <w:t>0</w:t>
            </w:r>
            <w:r w:rsidR="00FC6C2C">
              <w:rPr>
                <w:rFonts w:cs="Arial"/>
              </w:rPr>
              <w:t>4 December</w:t>
            </w:r>
          </w:p>
        </w:tc>
      </w:tr>
      <w:tr w:rsidR="00F52BE8" w:rsidRPr="00D70EBF" w14:paraId="45F20F85" w14:textId="77777777" w:rsidTr="00D70EBF">
        <w:tc>
          <w:tcPr>
            <w:tcW w:w="5098" w:type="dxa"/>
            <w:shd w:val="clear" w:color="auto" w:fill="auto"/>
          </w:tcPr>
          <w:p w14:paraId="5487A9D6" w14:textId="77777777" w:rsidR="00F52BE8" w:rsidRPr="00D70EBF" w:rsidRDefault="00F52BE8" w:rsidP="00A86302">
            <w:pPr>
              <w:pStyle w:val="ListNumber"/>
              <w:numPr>
                <w:ilvl w:val="0"/>
                <w:numId w:val="0"/>
              </w:numPr>
              <w:spacing w:before="0" w:after="0"/>
              <w:rPr>
                <w:rFonts w:cs="Arial"/>
              </w:rPr>
            </w:pPr>
            <w:r w:rsidRPr="00D70EBF">
              <w:rPr>
                <w:rFonts w:cs="Arial"/>
              </w:rPr>
              <w:t>Interviews and presentations*</w:t>
            </w:r>
          </w:p>
        </w:tc>
        <w:tc>
          <w:tcPr>
            <w:tcW w:w="3204" w:type="dxa"/>
            <w:shd w:val="clear" w:color="auto" w:fill="auto"/>
          </w:tcPr>
          <w:p w14:paraId="738B66C2" w14:textId="09FF4926" w:rsidR="00F52BE8" w:rsidRPr="00D70EBF" w:rsidRDefault="00B95909" w:rsidP="00FC6C2C">
            <w:pPr>
              <w:pStyle w:val="ListNumber"/>
              <w:numPr>
                <w:ilvl w:val="0"/>
                <w:numId w:val="0"/>
              </w:numPr>
              <w:spacing w:before="0" w:after="0"/>
              <w:rPr>
                <w:rFonts w:cs="Arial"/>
              </w:rPr>
            </w:pPr>
            <w:r w:rsidRPr="00D70EBF">
              <w:rPr>
                <w:rFonts w:cs="Arial"/>
              </w:rPr>
              <w:t>w</w:t>
            </w:r>
            <w:r w:rsidR="000808A1" w:rsidRPr="00D70EBF">
              <w:rPr>
                <w:rFonts w:cs="Arial"/>
              </w:rPr>
              <w:t xml:space="preserve">/c </w:t>
            </w:r>
            <w:r w:rsidR="00CB6DBC">
              <w:rPr>
                <w:rFonts w:cs="Arial"/>
              </w:rPr>
              <w:t>0</w:t>
            </w:r>
            <w:r w:rsidR="00FC6C2C">
              <w:rPr>
                <w:rFonts w:cs="Arial"/>
              </w:rPr>
              <w:t>7 December</w:t>
            </w:r>
          </w:p>
        </w:tc>
      </w:tr>
      <w:tr w:rsidR="00F52BE8" w:rsidRPr="00D70EBF" w14:paraId="5E22E47F" w14:textId="77777777" w:rsidTr="00D70EBF">
        <w:tc>
          <w:tcPr>
            <w:tcW w:w="5098" w:type="dxa"/>
            <w:shd w:val="clear" w:color="auto" w:fill="auto"/>
          </w:tcPr>
          <w:p w14:paraId="724A42A5" w14:textId="77777777" w:rsidR="00F52BE8" w:rsidRPr="00D70EBF" w:rsidRDefault="00F52BE8" w:rsidP="00A86302">
            <w:pPr>
              <w:pStyle w:val="ListNumber"/>
              <w:numPr>
                <w:ilvl w:val="0"/>
                <w:numId w:val="0"/>
              </w:numPr>
              <w:spacing w:before="0" w:after="0"/>
              <w:rPr>
                <w:rFonts w:cs="Arial"/>
              </w:rPr>
            </w:pPr>
            <w:r w:rsidRPr="00D70EBF">
              <w:rPr>
                <w:rFonts w:cs="Arial"/>
              </w:rPr>
              <w:t>Award contract</w:t>
            </w:r>
          </w:p>
        </w:tc>
        <w:tc>
          <w:tcPr>
            <w:tcW w:w="3204" w:type="dxa"/>
            <w:shd w:val="clear" w:color="auto" w:fill="auto"/>
          </w:tcPr>
          <w:p w14:paraId="25EBB246" w14:textId="023E0222" w:rsidR="00F52BE8" w:rsidRPr="00D70EBF" w:rsidRDefault="00B95909" w:rsidP="00FC6C2C">
            <w:pPr>
              <w:pStyle w:val="ListNumber"/>
              <w:numPr>
                <w:ilvl w:val="0"/>
                <w:numId w:val="0"/>
              </w:numPr>
              <w:spacing w:before="0" w:after="0"/>
              <w:rPr>
                <w:rFonts w:cs="Arial"/>
              </w:rPr>
            </w:pPr>
            <w:r w:rsidRPr="00D70EBF">
              <w:rPr>
                <w:rFonts w:cs="Arial"/>
              </w:rPr>
              <w:t>w</w:t>
            </w:r>
            <w:r w:rsidR="000808A1" w:rsidRPr="00D70EBF">
              <w:rPr>
                <w:rFonts w:cs="Arial"/>
              </w:rPr>
              <w:t xml:space="preserve">/c </w:t>
            </w:r>
            <w:r w:rsidR="00CB6DBC">
              <w:rPr>
                <w:rFonts w:cs="Arial"/>
              </w:rPr>
              <w:t>0</w:t>
            </w:r>
            <w:r w:rsidR="00FC6C2C">
              <w:rPr>
                <w:rFonts w:cs="Arial"/>
              </w:rPr>
              <w:t>7</w:t>
            </w:r>
            <w:r w:rsidR="00F92E23" w:rsidRPr="00D70EBF">
              <w:rPr>
                <w:rFonts w:cs="Arial"/>
              </w:rPr>
              <w:t xml:space="preserve"> December</w:t>
            </w:r>
          </w:p>
        </w:tc>
      </w:tr>
      <w:tr w:rsidR="00F52BE8" w:rsidRPr="00D70EBF" w14:paraId="5B40DC29" w14:textId="77777777" w:rsidTr="00D70EBF">
        <w:tc>
          <w:tcPr>
            <w:tcW w:w="5098" w:type="dxa"/>
            <w:shd w:val="clear" w:color="auto" w:fill="auto"/>
          </w:tcPr>
          <w:p w14:paraId="7BA4B765" w14:textId="77777777" w:rsidR="00F52BE8" w:rsidRPr="00D70EBF" w:rsidRDefault="00F52BE8" w:rsidP="00A86302">
            <w:pPr>
              <w:pStyle w:val="ListNumber"/>
              <w:numPr>
                <w:ilvl w:val="0"/>
                <w:numId w:val="0"/>
              </w:numPr>
              <w:spacing w:before="0" w:after="0"/>
              <w:rPr>
                <w:rFonts w:cs="Arial"/>
              </w:rPr>
            </w:pPr>
            <w:r w:rsidRPr="00D70EBF">
              <w:rPr>
                <w:rFonts w:cs="Arial"/>
              </w:rPr>
              <w:t>Project Inception Meeting</w:t>
            </w:r>
          </w:p>
        </w:tc>
        <w:tc>
          <w:tcPr>
            <w:tcW w:w="3204" w:type="dxa"/>
            <w:shd w:val="clear" w:color="auto" w:fill="auto"/>
          </w:tcPr>
          <w:p w14:paraId="791CA708" w14:textId="1E5357A8" w:rsidR="00F52BE8" w:rsidRPr="00D70EBF" w:rsidRDefault="00B95909" w:rsidP="00D70EBF">
            <w:pPr>
              <w:pStyle w:val="ListNumber"/>
              <w:numPr>
                <w:ilvl w:val="0"/>
                <w:numId w:val="0"/>
              </w:numPr>
              <w:spacing w:before="0" w:after="0"/>
              <w:rPr>
                <w:rFonts w:cs="Arial"/>
              </w:rPr>
            </w:pPr>
            <w:r w:rsidRPr="00D70EBF">
              <w:rPr>
                <w:rFonts w:cs="Arial"/>
              </w:rPr>
              <w:t>w</w:t>
            </w:r>
            <w:r w:rsidR="00F92E23" w:rsidRPr="00D70EBF">
              <w:rPr>
                <w:rFonts w:cs="Arial"/>
              </w:rPr>
              <w:t xml:space="preserve">/c </w:t>
            </w:r>
            <w:r w:rsidR="00D70EBF" w:rsidRPr="00D70EBF">
              <w:rPr>
                <w:rFonts w:cs="Arial"/>
              </w:rPr>
              <w:t xml:space="preserve">14 </w:t>
            </w:r>
            <w:r w:rsidR="00F92E23" w:rsidRPr="00D70EBF">
              <w:rPr>
                <w:rFonts w:cs="Arial"/>
              </w:rPr>
              <w:t>December</w:t>
            </w:r>
          </w:p>
        </w:tc>
      </w:tr>
    </w:tbl>
    <w:p w14:paraId="624AED48"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6F7DBB92" w14:textId="77777777" w:rsidR="00F52BE8" w:rsidRDefault="00F52BE8" w:rsidP="00F52BE8">
      <w:pPr>
        <w:jc w:val="both"/>
        <w:rPr>
          <w:rFonts w:cs="Arial"/>
          <w:sz w:val="28"/>
          <w:szCs w:val="28"/>
          <w:u w:val="single"/>
        </w:rPr>
      </w:pPr>
    </w:p>
    <w:p w14:paraId="4591B6C4"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021D583F" w14:textId="77777777" w:rsidR="00F52BE8" w:rsidRDefault="00F52BE8" w:rsidP="00F52BE8">
      <w:pPr>
        <w:jc w:val="both"/>
        <w:rPr>
          <w:rFonts w:cs="Arial"/>
          <w:b/>
        </w:rPr>
      </w:pPr>
      <w:r>
        <w:rPr>
          <w:rFonts w:cs="Arial"/>
          <w:b/>
        </w:rPr>
        <w:t>Amendments to ITT document</w:t>
      </w:r>
    </w:p>
    <w:p w14:paraId="3ACF1099"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34BCA1C4" w14:textId="77777777" w:rsidR="00F52BE8" w:rsidRPr="0041543F" w:rsidRDefault="00F52BE8" w:rsidP="00F52BE8">
      <w:pPr>
        <w:keepNext/>
        <w:jc w:val="both"/>
        <w:rPr>
          <w:b/>
        </w:rPr>
      </w:pPr>
      <w:r>
        <w:rPr>
          <w:b/>
        </w:rPr>
        <w:t>Clarifications &amp; Queries</w:t>
      </w:r>
    </w:p>
    <w:p w14:paraId="4396A110"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via the ORR eTendering portal.</w:t>
      </w:r>
      <w:r>
        <w:rPr>
          <w:b/>
          <w:bCs/>
        </w:rPr>
        <w:t xml:space="preserve"> </w:t>
      </w:r>
      <w:r>
        <w:t xml:space="preserve">The response, as well as the nature of the query, will be notified to all suppliers without disclosing the name of the Supplier who initiated the query. </w:t>
      </w:r>
    </w:p>
    <w:p w14:paraId="04ADB9E2" w14:textId="77777777" w:rsidR="00F52BE8" w:rsidRPr="0041543F" w:rsidRDefault="00F52BE8" w:rsidP="00F52BE8">
      <w:pPr>
        <w:jc w:val="both"/>
        <w:rPr>
          <w:rFonts w:cs="Arial"/>
          <w:b/>
        </w:rPr>
      </w:pPr>
      <w:r>
        <w:rPr>
          <w:rFonts w:cs="Arial"/>
          <w:b/>
        </w:rPr>
        <w:t>Submission Process</w:t>
      </w:r>
    </w:p>
    <w:p w14:paraId="17C0C921" w14:textId="77777777" w:rsidR="00F52BE8" w:rsidRPr="00EA42A1" w:rsidRDefault="00F52BE8" w:rsidP="00F52BE8">
      <w:pPr>
        <w:pStyle w:val="ListNumber"/>
        <w:numPr>
          <w:ilvl w:val="0"/>
          <w:numId w:val="0"/>
        </w:numPr>
      </w:pPr>
      <w:r w:rsidRPr="005E6626">
        <w:t>Tenders</w:t>
      </w:r>
      <w:r>
        <w:t xml:space="preserve"> must be uploaded to the ORR eTendering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59F0A90A" w14:textId="77777777" w:rsidR="00F52BE8" w:rsidRDefault="00F52BE8" w:rsidP="00F52BE8">
      <w:pPr>
        <w:pStyle w:val="ListNumber"/>
        <w:numPr>
          <w:ilvl w:val="0"/>
          <w:numId w:val="0"/>
        </w:numPr>
      </w:pPr>
      <w:r w:rsidRPr="0041543F">
        <w:t>Please submit the Form of Tender and Disclaimer certificate along with your proposal</w:t>
      </w:r>
      <w:r>
        <w:t>. If you are already registered on our eTendering portal but have forgotten your login details, please contact the portal administrator.</w:t>
      </w:r>
    </w:p>
    <w:p w14:paraId="0091CB5D" w14:textId="77777777" w:rsidR="00A8697E" w:rsidRDefault="00F52BE8" w:rsidP="00F52BE8">
      <w:pPr>
        <w:pStyle w:val="ListNumber"/>
        <w:numPr>
          <w:ilvl w:val="0"/>
          <w:numId w:val="0"/>
        </w:numPr>
      </w:pPr>
      <w:r>
        <w:t xml:space="preserve">An evaluation team will evaluate all tenders correctly submitted against the stated evaluation criteria. </w:t>
      </w:r>
    </w:p>
    <w:p w14:paraId="74336362" w14:textId="77777777" w:rsidR="00F52BE8" w:rsidRPr="00476755" w:rsidRDefault="00F52BE8" w:rsidP="00F52BE8">
      <w:pPr>
        <w:pStyle w:val="ListNumber"/>
        <w:numPr>
          <w:ilvl w:val="0"/>
          <w:numId w:val="0"/>
        </w:numPr>
      </w:pPr>
      <w:r>
        <w:lastRenderedPageBreak/>
        <w:t>By issuing this Invitation to Tender ORR does not undertake to accept the lowest tender, or part or all of any tender. No part of the tender submitted will be returned to the supplier</w:t>
      </w:r>
      <w:r w:rsidRPr="00841452">
        <w:t xml:space="preserve"> </w:t>
      </w:r>
    </w:p>
    <w:p w14:paraId="72789412" w14:textId="77777777" w:rsidR="00F52BE8" w:rsidRDefault="00F52BE8" w:rsidP="00F52BE8">
      <w:pPr>
        <w:jc w:val="both"/>
        <w:rPr>
          <w:rFonts w:cs="Arial"/>
          <w:b/>
        </w:rPr>
      </w:pPr>
    </w:p>
    <w:p w14:paraId="16D56A75" w14:textId="77777777" w:rsidR="00F52BE8" w:rsidRPr="0075067D" w:rsidRDefault="00F52BE8" w:rsidP="00F52BE8">
      <w:pPr>
        <w:jc w:val="both"/>
        <w:rPr>
          <w:rFonts w:cs="Arial"/>
        </w:rPr>
      </w:pPr>
      <w:r>
        <w:rPr>
          <w:rFonts w:cs="Arial"/>
          <w:b/>
        </w:rPr>
        <w:t>Cost &amp; Pricing Information</w:t>
      </w:r>
    </w:p>
    <w:p w14:paraId="1461BDFC"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04C217DC" w14:textId="77777777" w:rsidR="00F52BE8" w:rsidRDefault="00F52BE8" w:rsidP="00F52BE8">
      <w:pPr>
        <w:pStyle w:val="ListNumber"/>
        <w:numPr>
          <w:ilvl w:val="0"/>
          <w:numId w:val="0"/>
        </w:numPr>
      </w:pPr>
      <w:r>
        <w:t xml:space="preserve">Tender prices must be in </w:t>
      </w:r>
      <w:smartTag w:uri="urn:schemas-microsoft-com:office:smarttags" w:element="place">
        <w:smartTag w:uri="urn:schemas-microsoft-com:office:smarttags" w:element="City">
          <w:r>
            <w:t>Sterling</w:t>
          </w:r>
        </w:smartTag>
      </w:smartTag>
      <w:r>
        <w:t>.</w:t>
      </w:r>
    </w:p>
    <w:p w14:paraId="251A05F3"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72630980" w14:textId="77777777" w:rsidR="00F52BE8" w:rsidRDefault="00F52BE8" w:rsidP="00F52BE8">
      <w:pPr>
        <w:pStyle w:val="ListNumber"/>
        <w:numPr>
          <w:ilvl w:val="0"/>
          <w:numId w:val="0"/>
        </w:numPr>
        <w:rPr>
          <w:b/>
        </w:rPr>
      </w:pPr>
    </w:p>
    <w:p w14:paraId="5C70659D" w14:textId="77777777" w:rsidR="00F52BE8" w:rsidRPr="00720321" w:rsidRDefault="00F52BE8" w:rsidP="00F52BE8">
      <w:pPr>
        <w:pStyle w:val="ListNumber"/>
        <w:numPr>
          <w:ilvl w:val="0"/>
          <w:numId w:val="0"/>
        </w:numPr>
        <w:rPr>
          <w:b/>
        </w:rPr>
      </w:pPr>
      <w:r w:rsidRPr="00720321">
        <w:rPr>
          <w:b/>
        </w:rPr>
        <w:t>References</w:t>
      </w:r>
    </w:p>
    <w:p w14:paraId="5EF72A73" w14:textId="77777777" w:rsidR="00F52BE8" w:rsidRDefault="00F52BE8" w:rsidP="00F52BE8">
      <w:pPr>
        <w:pStyle w:val="ListNumber"/>
        <w:numPr>
          <w:ilvl w:val="0"/>
          <w:numId w:val="0"/>
        </w:numPr>
      </w:pPr>
      <w:r>
        <w:t>References provided as part of the tender may be approached during the tender stage</w:t>
      </w:r>
    </w:p>
    <w:p w14:paraId="4B2465A1" w14:textId="77777777" w:rsidR="00F52BE8" w:rsidRDefault="00F52BE8" w:rsidP="00F52BE8">
      <w:pPr>
        <w:pStyle w:val="ListNumber"/>
        <w:numPr>
          <w:ilvl w:val="0"/>
          <w:numId w:val="0"/>
        </w:numPr>
      </w:pPr>
    </w:p>
    <w:p w14:paraId="4E5BA1E3" w14:textId="77777777" w:rsidR="00F52BE8" w:rsidRPr="00720321" w:rsidRDefault="00F52BE8" w:rsidP="00F52BE8">
      <w:pPr>
        <w:pStyle w:val="ListNumber"/>
        <w:numPr>
          <w:ilvl w:val="0"/>
          <w:numId w:val="0"/>
        </w:numPr>
        <w:rPr>
          <w:b/>
        </w:rPr>
      </w:pPr>
      <w:r w:rsidRPr="00720321">
        <w:rPr>
          <w:b/>
        </w:rPr>
        <w:t>Contractual Information</w:t>
      </w:r>
    </w:p>
    <w:p w14:paraId="2C5E577C"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3A4EF79B" w14:textId="77777777" w:rsidR="00F52BE8" w:rsidRPr="00720321" w:rsidRDefault="00F52BE8" w:rsidP="00F52BE8">
      <w:pPr>
        <w:pStyle w:val="Default"/>
      </w:pPr>
    </w:p>
    <w:p w14:paraId="027DBAB2"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2C6FF9C9" w14:textId="77777777" w:rsidR="00F52BE8" w:rsidRDefault="00F52BE8" w:rsidP="00F52BE8">
      <w:pPr>
        <w:pStyle w:val="Default"/>
        <w:rPr>
          <w:sz w:val="22"/>
          <w:szCs w:val="22"/>
        </w:rPr>
      </w:pPr>
    </w:p>
    <w:p w14:paraId="5ECE538F"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2C6886FE" w14:textId="77777777" w:rsidR="00F52BE8" w:rsidRDefault="00F52BE8" w:rsidP="00F52BE8">
      <w:pPr>
        <w:pStyle w:val="Default"/>
      </w:pPr>
    </w:p>
    <w:p w14:paraId="410F8348"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0B2C462A" w14:textId="77777777" w:rsidR="00F52BE8" w:rsidRDefault="00F52BE8" w:rsidP="00F52BE8">
      <w:pPr>
        <w:pStyle w:val="ListNumber"/>
        <w:numPr>
          <w:ilvl w:val="0"/>
          <w:numId w:val="0"/>
        </w:numPr>
      </w:pPr>
      <w:r>
        <w:rPr>
          <w:u w:val="single"/>
        </w:rPr>
        <w:t xml:space="preserve">The ORR may be prepared to consider non-fundamental changes to the standard terms and conditions in exceptional circumstances.  If there are any areas where you feel you are not able to comply with the standard ORR terms </w:t>
      </w:r>
      <w:r>
        <w:rPr>
          <w:u w:val="single"/>
        </w:rPr>
        <w:lastRenderedPageBreak/>
        <w:t>and conditions, then d</w:t>
      </w:r>
      <w:r w:rsidRPr="00171AA4">
        <w:rPr>
          <w:u w:val="single"/>
        </w:rPr>
        <w:t>etails</w:t>
      </w:r>
      <w:r>
        <w:rPr>
          <w:u w:val="single"/>
        </w:rPr>
        <w:t xml:space="preserve"> should be submitted as a separate annex to the proposal using the following format:</w:t>
      </w:r>
    </w:p>
    <w:p w14:paraId="3C8C670A"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1EE93C0E" w14:textId="77777777" w:rsidTr="00A86302">
        <w:tc>
          <w:tcPr>
            <w:tcW w:w="2132" w:type="dxa"/>
            <w:shd w:val="clear" w:color="auto" w:fill="auto"/>
          </w:tcPr>
          <w:p w14:paraId="7159C3CB" w14:textId="77777777" w:rsidR="00F52BE8" w:rsidRPr="0036077E" w:rsidRDefault="00F52BE8" w:rsidP="00A86302">
            <w:pPr>
              <w:pStyle w:val="ListNumber"/>
              <w:numPr>
                <w:ilvl w:val="0"/>
                <w:numId w:val="0"/>
              </w:numPr>
              <w:rPr>
                <w:b/>
                <w:i/>
                <w:sz w:val="22"/>
                <w:szCs w:val="22"/>
              </w:rPr>
            </w:pPr>
            <w:r w:rsidRPr="0036077E">
              <w:rPr>
                <w:b/>
                <w:i/>
                <w:sz w:val="22"/>
                <w:szCs w:val="22"/>
              </w:rPr>
              <w:t>Clause Number</w:t>
            </w:r>
          </w:p>
        </w:tc>
        <w:tc>
          <w:tcPr>
            <w:tcW w:w="2132" w:type="dxa"/>
            <w:shd w:val="clear" w:color="auto" w:fill="auto"/>
          </w:tcPr>
          <w:p w14:paraId="1BB948CC" w14:textId="77777777" w:rsidR="00F52BE8" w:rsidRPr="0036077E" w:rsidRDefault="00F52BE8" w:rsidP="00A86302">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2E2A6BF0" w14:textId="77777777" w:rsidR="00F52BE8" w:rsidRPr="0036077E" w:rsidRDefault="00F52BE8" w:rsidP="00A86302">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2C7BA803" w14:textId="77777777" w:rsidR="00F52BE8" w:rsidRPr="0036077E" w:rsidRDefault="00F52BE8" w:rsidP="00A86302">
            <w:pPr>
              <w:pStyle w:val="ListNumber"/>
              <w:numPr>
                <w:ilvl w:val="0"/>
                <w:numId w:val="0"/>
              </w:numPr>
              <w:rPr>
                <w:b/>
                <w:i/>
                <w:sz w:val="22"/>
                <w:szCs w:val="22"/>
              </w:rPr>
            </w:pPr>
            <w:r w:rsidRPr="0036077E">
              <w:rPr>
                <w:b/>
                <w:i/>
                <w:sz w:val="22"/>
                <w:szCs w:val="22"/>
              </w:rPr>
              <w:t>Rational for amendment</w:t>
            </w:r>
          </w:p>
        </w:tc>
      </w:tr>
      <w:tr w:rsidR="00F52BE8" w14:paraId="072A024C" w14:textId="77777777" w:rsidTr="00A86302">
        <w:tc>
          <w:tcPr>
            <w:tcW w:w="2132" w:type="dxa"/>
            <w:shd w:val="clear" w:color="auto" w:fill="auto"/>
          </w:tcPr>
          <w:p w14:paraId="74B1AB11" w14:textId="77777777" w:rsidR="00F52BE8" w:rsidRDefault="00F52BE8" w:rsidP="00A86302">
            <w:pPr>
              <w:pStyle w:val="ListNumber"/>
              <w:numPr>
                <w:ilvl w:val="0"/>
                <w:numId w:val="0"/>
              </w:numPr>
            </w:pPr>
          </w:p>
        </w:tc>
        <w:tc>
          <w:tcPr>
            <w:tcW w:w="2132" w:type="dxa"/>
            <w:shd w:val="clear" w:color="auto" w:fill="auto"/>
          </w:tcPr>
          <w:p w14:paraId="5EFC9E0A" w14:textId="77777777" w:rsidR="00F52BE8" w:rsidRDefault="00F52BE8" w:rsidP="00A86302">
            <w:pPr>
              <w:pStyle w:val="ListNumber"/>
              <w:numPr>
                <w:ilvl w:val="0"/>
                <w:numId w:val="0"/>
              </w:numPr>
            </w:pPr>
          </w:p>
        </w:tc>
        <w:tc>
          <w:tcPr>
            <w:tcW w:w="2132" w:type="dxa"/>
            <w:shd w:val="clear" w:color="auto" w:fill="auto"/>
          </w:tcPr>
          <w:p w14:paraId="1C47D102" w14:textId="77777777" w:rsidR="00F52BE8" w:rsidRDefault="00F52BE8" w:rsidP="00A86302">
            <w:pPr>
              <w:pStyle w:val="ListNumber"/>
              <w:numPr>
                <w:ilvl w:val="0"/>
                <w:numId w:val="0"/>
              </w:numPr>
            </w:pPr>
          </w:p>
        </w:tc>
        <w:tc>
          <w:tcPr>
            <w:tcW w:w="2132" w:type="dxa"/>
            <w:shd w:val="clear" w:color="auto" w:fill="auto"/>
          </w:tcPr>
          <w:p w14:paraId="0A29F85F" w14:textId="77777777" w:rsidR="00F52BE8" w:rsidRDefault="00F52BE8" w:rsidP="00A86302">
            <w:pPr>
              <w:pStyle w:val="ListNumber"/>
              <w:numPr>
                <w:ilvl w:val="0"/>
                <w:numId w:val="0"/>
              </w:numPr>
            </w:pPr>
          </w:p>
        </w:tc>
      </w:tr>
      <w:tr w:rsidR="00F52BE8" w14:paraId="7803B33A" w14:textId="77777777" w:rsidTr="00A86302">
        <w:tc>
          <w:tcPr>
            <w:tcW w:w="2132" w:type="dxa"/>
            <w:shd w:val="clear" w:color="auto" w:fill="auto"/>
          </w:tcPr>
          <w:p w14:paraId="71A6D068" w14:textId="77777777" w:rsidR="00F52BE8" w:rsidRDefault="00F52BE8" w:rsidP="00A86302">
            <w:pPr>
              <w:pStyle w:val="ListNumber"/>
              <w:numPr>
                <w:ilvl w:val="0"/>
                <w:numId w:val="0"/>
              </w:numPr>
            </w:pPr>
          </w:p>
        </w:tc>
        <w:tc>
          <w:tcPr>
            <w:tcW w:w="2132" w:type="dxa"/>
            <w:shd w:val="clear" w:color="auto" w:fill="auto"/>
          </w:tcPr>
          <w:p w14:paraId="27962BD4" w14:textId="77777777" w:rsidR="00F52BE8" w:rsidRDefault="00F52BE8" w:rsidP="00A86302">
            <w:pPr>
              <w:pStyle w:val="ListNumber"/>
              <w:numPr>
                <w:ilvl w:val="0"/>
                <w:numId w:val="0"/>
              </w:numPr>
            </w:pPr>
          </w:p>
        </w:tc>
        <w:tc>
          <w:tcPr>
            <w:tcW w:w="2132" w:type="dxa"/>
            <w:shd w:val="clear" w:color="auto" w:fill="auto"/>
          </w:tcPr>
          <w:p w14:paraId="471C3C35" w14:textId="77777777" w:rsidR="00F52BE8" w:rsidRDefault="00F52BE8" w:rsidP="00A86302">
            <w:pPr>
              <w:pStyle w:val="ListNumber"/>
              <w:numPr>
                <w:ilvl w:val="0"/>
                <w:numId w:val="0"/>
              </w:numPr>
            </w:pPr>
          </w:p>
        </w:tc>
        <w:tc>
          <w:tcPr>
            <w:tcW w:w="2132" w:type="dxa"/>
            <w:shd w:val="clear" w:color="auto" w:fill="auto"/>
          </w:tcPr>
          <w:p w14:paraId="213E8F14" w14:textId="77777777" w:rsidR="00F52BE8" w:rsidRDefault="00F52BE8" w:rsidP="00A86302">
            <w:pPr>
              <w:pStyle w:val="ListNumber"/>
              <w:numPr>
                <w:ilvl w:val="0"/>
                <w:numId w:val="0"/>
              </w:numPr>
            </w:pPr>
          </w:p>
        </w:tc>
      </w:tr>
    </w:tbl>
    <w:p w14:paraId="40FFA46B" w14:textId="77777777" w:rsidR="00F52BE8" w:rsidRPr="00720321" w:rsidRDefault="00F52BE8" w:rsidP="00F52BE8">
      <w:pPr>
        <w:pStyle w:val="Default"/>
      </w:pPr>
    </w:p>
    <w:p w14:paraId="2A536986" w14:textId="77777777" w:rsidR="00F52BE8" w:rsidRDefault="00F52BE8" w:rsidP="00F52BE8">
      <w:pPr>
        <w:pStyle w:val="Default"/>
        <w:rPr>
          <w:sz w:val="22"/>
          <w:szCs w:val="22"/>
        </w:rPr>
      </w:pPr>
    </w:p>
    <w:p w14:paraId="5D040C8D" w14:textId="77777777" w:rsidR="00F52BE8" w:rsidRPr="00497E02" w:rsidRDefault="00F52BE8" w:rsidP="00F52BE8">
      <w:pPr>
        <w:pStyle w:val="Default"/>
      </w:pPr>
      <w:r w:rsidRPr="00497E02">
        <w:t xml:space="preserve">Any services arising from this ITT will be carried out pursuant to the contract which comprises of: </w:t>
      </w:r>
    </w:p>
    <w:p w14:paraId="7F625303" w14:textId="77777777" w:rsidR="00F52BE8" w:rsidRPr="00497E02" w:rsidRDefault="00F52BE8" w:rsidP="00F52BE8">
      <w:pPr>
        <w:pStyle w:val="Default"/>
      </w:pPr>
    </w:p>
    <w:p w14:paraId="7A179977" w14:textId="77777777" w:rsidR="00F52BE8" w:rsidRPr="00497E02" w:rsidRDefault="00F52BE8" w:rsidP="00F52BE8">
      <w:pPr>
        <w:pStyle w:val="Default"/>
        <w:numPr>
          <w:ilvl w:val="0"/>
          <w:numId w:val="14"/>
        </w:numPr>
      </w:pPr>
      <w:r>
        <w:t>ORR Terms &amp; Conditions</w:t>
      </w:r>
      <w:r w:rsidRPr="00497E02">
        <w:t xml:space="preserve">; </w:t>
      </w:r>
    </w:p>
    <w:p w14:paraId="76676256" w14:textId="77777777" w:rsidR="00F52BE8" w:rsidRPr="00497E02" w:rsidRDefault="00F52BE8" w:rsidP="00F52BE8">
      <w:pPr>
        <w:pStyle w:val="Default"/>
      </w:pPr>
    </w:p>
    <w:p w14:paraId="77348409" w14:textId="77777777" w:rsidR="00F52BE8" w:rsidRPr="00497E02" w:rsidRDefault="00F52BE8" w:rsidP="00F52BE8">
      <w:pPr>
        <w:pStyle w:val="Default"/>
        <w:numPr>
          <w:ilvl w:val="0"/>
          <w:numId w:val="14"/>
        </w:numPr>
      </w:pPr>
      <w:r w:rsidRPr="00497E02">
        <w:t>Service Schedules;</w:t>
      </w:r>
    </w:p>
    <w:p w14:paraId="34BA44C8" w14:textId="77777777" w:rsidR="00F52BE8" w:rsidRPr="00497E02" w:rsidRDefault="00F52BE8" w:rsidP="00F52BE8">
      <w:pPr>
        <w:pStyle w:val="Default"/>
      </w:pPr>
    </w:p>
    <w:p w14:paraId="68ED7BB4"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79AF9A6E" w14:textId="77777777" w:rsidR="00F52BE8" w:rsidRPr="00497E02" w:rsidRDefault="00F52BE8" w:rsidP="00F52BE8">
      <w:pPr>
        <w:pStyle w:val="Default"/>
      </w:pPr>
    </w:p>
    <w:p w14:paraId="60C45955"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67A3F6F4" w14:textId="77777777" w:rsidR="00F52BE8" w:rsidRDefault="00F52BE8" w:rsidP="00F52BE8">
      <w:pPr>
        <w:pStyle w:val="ListNumber"/>
        <w:numPr>
          <w:ilvl w:val="0"/>
          <w:numId w:val="0"/>
        </w:numPr>
      </w:pPr>
    </w:p>
    <w:p w14:paraId="1845F01F" w14:textId="77777777" w:rsidR="00F52BE8" w:rsidRDefault="00F52BE8" w:rsidP="00F52BE8">
      <w:pPr>
        <w:pStyle w:val="Heading2"/>
      </w:pPr>
      <w:r>
        <w:t>ORR’s Transparency Obligations and the Freedom of Information Act 2000 (the Act)</w:t>
      </w:r>
    </w:p>
    <w:p w14:paraId="4E1983F1"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3E7949C" w14:textId="77777777" w:rsidR="00F52BE8" w:rsidRDefault="00F52BE8" w:rsidP="00F52BE8">
      <w:pPr>
        <w:pStyle w:val="ListNumber"/>
        <w:numPr>
          <w:ilvl w:val="0"/>
          <w:numId w:val="0"/>
        </w:numPr>
      </w:pPr>
      <w:r>
        <w:t>Typically the following information will be published:</w:t>
      </w:r>
    </w:p>
    <w:p w14:paraId="263CF945" w14:textId="77777777" w:rsidR="00F52BE8" w:rsidRDefault="00F52BE8" w:rsidP="00F52BE8">
      <w:pPr>
        <w:pStyle w:val="ListNumber"/>
        <w:numPr>
          <w:ilvl w:val="0"/>
          <w:numId w:val="20"/>
        </w:numPr>
      </w:pPr>
      <w:r>
        <w:t>contract price and any incentivisation mechanisms</w:t>
      </w:r>
    </w:p>
    <w:p w14:paraId="0C338251" w14:textId="77777777" w:rsidR="00F52BE8" w:rsidRDefault="00F52BE8" w:rsidP="00F52BE8">
      <w:pPr>
        <w:pStyle w:val="ListNumber"/>
        <w:numPr>
          <w:ilvl w:val="0"/>
          <w:numId w:val="20"/>
        </w:numPr>
      </w:pPr>
      <w:r>
        <w:t>performance metrics and management of them</w:t>
      </w:r>
    </w:p>
    <w:p w14:paraId="2F1B2462" w14:textId="77777777" w:rsidR="00F52BE8" w:rsidRDefault="00F52BE8" w:rsidP="00F52BE8">
      <w:pPr>
        <w:pStyle w:val="ListNumber"/>
        <w:numPr>
          <w:ilvl w:val="0"/>
          <w:numId w:val="20"/>
        </w:numPr>
      </w:pPr>
      <w:r>
        <w:t>plans for management of underperformance and its financial impact</w:t>
      </w:r>
    </w:p>
    <w:p w14:paraId="3F4F9DF7"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6C6BE8D1" w14:textId="77777777" w:rsidR="00F52BE8" w:rsidRDefault="00F52BE8" w:rsidP="00F52BE8">
      <w:pPr>
        <w:pStyle w:val="ListNumber"/>
        <w:numPr>
          <w:ilvl w:val="0"/>
          <w:numId w:val="20"/>
        </w:numPr>
      </w:pPr>
      <w:r>
        <w:t>resource plans</w:t>
      </w:r>
    </w:p>
    <w:p w14:paraId="02CF7CD6" w14:textId="77777777" w:rsidR="00F52BE8" w:rsidRDefault="00F52BE8" w:rsidP="00F52BE8">
      <w:pPr>
        <w:pStyle w:val="ListNumber"/>
        <w:numPr>
          <w:ilvl w:val="0"/>
          <w:numId w:val="20"/>
        </w:numPr>
      </w:pPr>
      <w:r>
        <w:t>service improvement plans</w:t>
      </w:r>
    </w:p>
    <w:p w14:paraId="6CF4C839"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05B2328A" w14:textId="77777777" w:rsidR="00F52BE8" w:rsidRDefault="00F52BE8" w:rsidP="00F52BE8">
      <w:pPr>
        <w:pStyle w:val="ListNumber"/>
        <w:numPr>
          <w:ilvl w:val="0"/>
          <w:numId w:val="0"/>
        </w:numPr>
      </w:pPr>
    </w:p>
    <w:p w14:paraId="20499E0B" w14:textId="77777777" w:rsidR="00F52BE8" w:rsidRDefault="00F52BE8" w:rsidP="00F52BE8">
      <w:pPr>
        <w:pStyle w:val="ListNumber"/>
        <w:numPr>
          <w:ilvl w:val="0"/>
          <w:numId w:val="0"/>
        </w:numPr>
      </w:pPr>
      <w:r>
        <w:lastRenderedPageBreak/>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4340D188"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56450F7C" w14:textId="77777777" w:rsidTr="00A86302">
        <w:tc>
          <w:tcPr>
            <w:tcW w:w="1368" w:type="dxa"/>
            <w:shd w:val="clear" w:color="auto" w:fill="auto"/>
          </w:tcPr>
          <w:p w14:paraId="28B31777" w14:textId="77777777" w:rsidR="00F52BE8" w:rsidRDefault="00F52BE8" w:rsidP="00A86302">
            <w:pPr>
              <w:pStyle w:val="ListNumber"/>
              <w:numPr>
                <w:ilvl w:val="0"/>
                <w:numId w:val="0"/>
              </w:numPr>
            </w:pPr>
            <w:smartTag w:uri="urn:schemas-microsoft-com:office:smarttags" w:element="place">
              <w:r>
                <w:t>Para</w:t>
              </w:r>
            </w:smartTag>
            <w:r>
              <w:t>. No.</w:t>
            </w:r>
          </w:p>
        </w:tc>
        <w:tc>
          <w:tcPr>
            <w:tcW w:w="3600" w:type="dxa"/>
            <w:shd w:val="clear" w:color="auto" w:fill="auto"/>
          </w:tcPr>
          <w:p w14:paraId="7997E786" w14:textId="77777777" w:rsidR="00F52BE8" w:rsidRDefault="00F52BE8" w:rsidP="00A86302">
            <w:pPr>
              <w:pStyle w:val="ListNumber"/>
              <w:numPr>
                <w:ilvl w:val="0"/>
                <w:numId w:val="0"/>
              </w:numPr>
            </w:pPr>
            <w:r>
              <w:t>Description</w:t>
            </w:r>
          </w:p>
        </w:tc>
        <w:tc>
          <w:tcPr>
            <w:tcW w:w="3560" w:type="dxa"/>
            <w:shd w:val="clear" w:color="auto" w:fill="auto"/>
          </w:tcPr>
          <w:p w14:paraId="539A01D4" w14:textId="77777777" w:rsidR="00F52BE8" w:rsidRDefault="00F52BE8" w:rsidP="00A86302">
            <w:pPr>
              <w:pStyle w:val="ListNumber"/>
              <w:numPr>
                <w:ilvl w:val="0"/>
                <w:numId w:val="0"/>
              </w:numPr>
            </w:pPr>
            <w:r>
              <w:t>Applicable exemption under FOIA 2000</w:t>
            </w:r>
          </w:p>
        </w:tc>
      </w:tr>
      <w:tr w:rsidR="00F52BE8" w14:paraId="0977742C" w14:textId="77777777" w:rsidTr="00A86302">
        <w:tc>
          <w:tcPr>
            <w:tcW w:w="1368" w:type="dxa"/>
            <w:shd w:val="clear" w:color="auto" w:fill="auto"/>
          </w:tcPr>
          <w:p w14:paraId="326FF059" w14:textId="77777777" w:rsidR="00F52BE8" w:rsidRDefault="00F52BE8" w:rsidP="00A86302">
            <w:pPr>
              <w:pStyle w:val="ListNumber"/>
              <w:numPr>
                <w:ilvl w:val="0"/>
                <w:numId w:val="0"/>
              </w:numPr>
            </w:pPr>
          </w:p>
        </w:tc>
        <w:tc>
          <w:tcPr>
            <w:tcW w:w="3600" w:type="dxa"/>
            <w:shd w:val="clear" w:color="auto" w:fill="auto"/>
          </w:tcPr>
          <w:p w14:paraId="0B645A2E" w14:textId="77777777" w:rsidR="00F52BE8" w:rsidRDefault="00F52BE8" w:rsidP="00A86302">
            <w:pPr>
              <w:pStyle w:val="ListNumber"/>
              <w:numPr>
                <w:ilvl w:val="0"/>
                <w:numId w:val="0"/>
              </w:numPr>
            </w:pPr>
          </w:p>
        </w:tc>
        <w:tc>
          <w:tcPr>
            <w:tcW w:w="3560" w:type="dxa"/>
            <w:shd w:val="clear" w:color="auto" w:fill="auto"/>
          </w:tcPr>
          <w:p w14:paraId="23E45401" w14:textId="77777777" w:rsidR="00F52BE8" w:rsidRDefault="00F52BE8" w:rsidP="00A86302">
            <w:pPr>
              <w:pStyle w:val="ListNumber"/>
              <w:numPr>
                <w:ilvl w:val="0"/>
                <w:numId w:val="0"/>
              </w:numPr>
            </w:pPr>
          </w:p>
        </w:tc>
      </w:tr>
      <w:tr w:rsidR="00F52BE8" w14:paraId="67242055" w14:textId="77777777" w:rsidTr="00A86302">
        <w:tc>
          <w:tcPr>
            <w:tcW w:w="1368" w:type="dxa"/>
            <w:shd w:val="clear" w:color="auto" w:fill="auto"/>
          </w:tcPr>
          <w:p w14:paraId="46B06C3D" w14:textId="77777777" w:rsidR="00F52BE8" w:rsidRDefault="00F52BE8" w:rsidP="00A86302">
            <w:pPr>
              <w:pStyle w:val="ListNumber"/>
              <w:numPr>
                <w:ilvl w:val="0"/>
                <w:numId w:val="0"/>
              </w:numPr>
            </w:pPr>
          </w:p>
        </w:tc>
        <w:tc>
          <w:tcPr>
            <w:tcW w:w="3600" w:type="dxa"/>
            <w:shd w:val="clear" w:color="auto" w:fill="auto"/>
          </w:tcPr>
          <w:p w14:paraId="79353919" w14:textId="77777777" w:rsidR="00F52BE8" w:rsidRDefault="00F52BE8" w:rsidP="00A86302">
            <w:pPr>
              <w:pStyle w:val="ListNumber"/>
              <w:numPr>
                <w:ilvl w:val="0"/>
                <w:numId w:val="0"/>
              </w:numPr>
            </w:pPr>
          </w:p>
        </w:tc>
        <w:tc>
          <w:tcPr>
            <w:tcW w:w="3560" w:type="dxa"/>
            <w:shd w:val="clear" w:color="auto" w:fill="auto"/>
          </w:tcPr>
          <w:p w14:paraId="09DC653A" w14:textId="77777777" w:rsidR="00F52BE8" w:rsidRDefault="00F52BE8" w:rsidP="00A86302">
            <w:pPr>
              <w:pStyle w:val="ListNumber"/>
              <w:numPr>
                <w:ilvl w:val="0"/>
                <w:numId w:val="0"/>
              </w:numPr>
            </w:pPr>
          </w:p>
        </w:tc>
      </w:tr>
      <w:tr w:rsidR="00F52BE8" w14:paraId="2B713F01" w14:textId="77777777" w:rsidTr="00A86302">
        <w:tc>
          <w:tcPr>
            <w:tcW w:w="1368" w:type="dxa"/>
            <w:shd w:val="clear" w:color="auto" w:fill="auto"/>
          </w:tcPr>
          <w:p w14:paraId="6FF95AE8" w14:textId="77777777" w:rsidR="00F52BE8" w:rsidRDefault="00F52BE8" w:rsidP="00A86302">
            <w:pPr>
              <w:pStyle w:val="ListNumber"/>
              <w:numPr>
                <w:ilvl w:val="0"/>
                <w:numId w:val="0"/>
              </w:numPr>
            </w:pPr>
          </w:p>
        </w:tc>
        <w:tc>
          <w:tcPr>
            <w:tcW w:w="3600" w:type="dxa"/>
            <w:shd w:val="clear" w:color="auto" w:fill="auto"/>
          </w:tcPr>
          <w:p w14:paraId="4C21640D" w14:textId="77777777" w:rsidR="00F52BE8" w:rsidRDefault="00F52BE8" w:rsidP="00A86302">
            <w:pPr>
              <w:pStyle w:val="ListNumber"/>
              <w:numPr>
                <w:ilvl w:val="0"/>
                <w:numId w:val="0"/>
              </w:numPr>
            </w:pPr>
          </w:p>
        </w:tc>
        <w:tc>
          <w:tcPr>
            <w:tcW w:w="3560" w:type="dxa"/>
            <w:shd w:val="clear" w:color="auto" w:fill="auto"/>
          </w:tcPr>
          <w:p w14:paraId="3808249C" w14:textId="77777777" w:rsidR="00F52BE8" w:rsidRDefault="00F52BE8" w:rsidP="00A86302">
            <w:pPr>
              <w:pStyle w:val="ListNumber"/>
              <w:numPr>
                <w:ilvl w:val="0"/>
                <w:numId w:val="0"/>
              </w:numPr>
            </w:pPr>
          </w:p>
        </w:tc>
      </w:tr>
    </w:tbl>
    <w:p w14:paraId="328AC409" w14:textId="77777777" w:rsidR="00F52BE8" w:rsidRDefault="00F52BE8" w:rsidP="00F52BE8">
      <w:pPr>
        <w:pStyle w:val="ListNumber"/>
        <w:numPr>
          <w:ilvl w:val="0"/>
          <w:numId w:val="0"/>
        </w:numPr>
      </w:pPr>
    </w:p>
    <w:p w14:paraId="108F495E" w14:textId="77777777" w:rsidR="00F52BE8" w:rsidRPr="00B251F0" w:rsidRDefault="00F52BE8" w:rsidP="00F52BE8">
      <w:pPr>
        <w:pStyle w:val="ListNumber"/>
        <w:numPr>
          <w:ilvl w:val="0"/>
          <w:numId w:val="0"/>
        </w:numPr>
      </w:pPr>
    </w:p>
    <w:p w14:paraId="63FE422F" w14:textId="77777777" w:rsidR="00F92E23" w:rsidRDefault="00F92E23">
      <w:pPr>
        <w:spacing w:after="160" w:line="259" w:lineRule="auto"/>
      </w:pPr>
    </w:p>
    <w:p w14:paraId="2C3DF744" w14:textId="77777777" w:rsidR="00492423" w:rsidRDefault="00F92E23" w:rsidP="00F92E23">
      <w:pPr>
        <w:tabs>
          <w:tab w:val="left" w:pos="7455"/>
        </w:tabs>
        <w:spacing w:after="160" w:line="259" w:lineRule="auto"/>
      </w:pPr>
      <w:r>
        <w:tab/>
      </w:r>
    </w:p>
    <w:sectPr w:rsidR="00492423">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19401" w14:textId="77777777" w:rsidR="003E4500" w:rsidRDefault="003E4500">
      <w:pPr>
        <w:spacing w:after="0"/>
      </w:pPr>
      <w:r>
        <w:separator/>
      </w:r>
    </w:p>
  </w:endnote>
  <w:endnote w:type="continuationSeparator" w:id="0">
    <w:p w14:paraId="6073CF5C" w14:textId="77777777" w:rsidR="003E4500" w:rsidRDefault="003E4500">
      <w:pPr>
        <w:spacing w:after="0"/>
      </w:pPr>
      <w:r>
        <w:continuationSeparator/>
      </w:r>
    </w:p>
  </w:endnote>
  <w:endnote w:type="continuationNotice" w:id="1">
    <w:p w14:paraId="13E0481A" w14:textId="77777777" w:rsidR="003E4500" w:rsidRDefault="003E45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B1341" w14:textId="77777777" w:rsidR="00441BBA" w:rsidRPr="00673759" w:rsidRDefault="00441BBA" w:rsidP="00A86302">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378D8" w14:textId="77777777" w:rsidR="003E4500" w:rsidRDefault="003E4500">
      <w:pPr>
        <w:spacing w:after="0"/>
      </w:pPr>
      <w:r>
        <w:separator/>
      </w:r>
    </w:p>
  </w:footnote>
  <w:footnote w:type="continuationSeparator" w:id="0">
    <w:p w14:paraId="214C6508" w14:textId="77777777" w:rsidR="003E4500" w:rsidRDefault="003E4500">
      <w:pPr>
        <w:spacing w:after="0"/>
      </w:pPr>
      <w:r>
        <w:continuationSeparator/>
      </w:r>
    </w:p>
  </w:footnote>
  <w:footnote w:type="continuationNotice" w:id="1">
    <w:p w14:paraId="67CF65A4" w14:textId="77777777" w:rsidR="003E4500" w:rsidRDefault="003E450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31EA1"/>
    <w:multiLevelType w:val="hybridMultilevel"/>
    <w:tmpl w:val="758023A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7251F1"/>
    <w:multiLevelType w:val="multilevel"/>
    <w:tmpl w:val="E826C20E"/>
    <w:lvl w:ilvl="0">
      <w:start w:val="1"/>
      <w:numFmt w:val="decimal"/>
      <w:pStyle w:val="Heading2double"/>
      <w:lvlText w:val="%1."/>
      <w:lvlJc w:val="left"/>
      <w:pPr>
        <w:tabs>
          <w:tab w:val="num" w:pos="567"/>
        </w:tabs>
        <w:ind w:left="567" w:hanging="567"/>
      </w:pPr>
      <w:rPr>
        <w:rFonts w:ascii="Arial" w:hAnsi="Arial" w:hint="default"/>
        <w:b/>
        <w:color w:val="00476B"/>
        <w:sz w:val="40"/>
      </w:rPr>
    </w:lvl>
    <w:lvl w:ilvl="1">
      <w:start w:val="1"/>
      <w:numFmt w:val="decimal"/>
      <w:pStyle w:val="Numberedparagraphdouble"/>
      <w:lvlText w:val="%1.%2"/>
      <w:lvlJc w:val="left"/>
      <w:pPr>
        <w:tabs>
          <w:tab w:val="num" w:pos="709"/>
        </w:tabs>
        <w:ind w:left="709" w:hanging="567"/>
      </w:pPr>
      <w:rPr>
        <w:rFonts w:ascii="Arial" w:hAnsi="Arial" w:hint="default"/>
        <w:i w:val="0"/>
        <w:sz w:val="24"/>
      </w:rPr>
    </w:lvl>
    <w:lvl w:ilvl="2">
      <w:start w:val="1"/>
      <w:numFmt w:val="bullet"/>
      <w:lvlText w:val=""/>
      <w:lvlJc w:val="left"/>
      <w:pPr>
        <w:tabs>
          <w:tab w:val="num" w:pos="1247"/>
        </w:tabs>
        <w:ind w:left="1134" w:hanging="567"/>
      </w:pPr>
      <w:rPr>
        <w:rFonts w:ascii="Wingdings" w:hAnsi="Wingdings" w:hint="default"/>
        <w:color w:val="731472"/>
        <w:sz w:val="24"/>
      </w:rPr>
    </w:lvl>
    <w:lvl w:ilvl="3">
      <w:start w:val="1"/>
      <w:numFmt w:val="bullet"/>
      <w:lvlText w:val="­"/>
      <w:lvlJc w:val="left"/>
      <w:pPr>
        <w:tabs>
          <w:tab w:val="num" w:pos="1701"/>
        </w:tabs>
        <w:ind w:left="1701" w:hanging="567"/>
      </w:pPr>
      <w:rPr>
        <w:rFonts w:ascii="Courier New" w:hAnsi="Courier New" w:hint="default"/>
        <w:color w:val="731472"/>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701"/>
        </w:tabs>
        <w:ind w:left="1701" w:hanging="567"/>
      </w:pPr>
      <w:rPr>
        <w:rFonts w:hint="default"/>
      </w:rPr>
    </w:lvl>
    <w:lvl w:ilvl="6">
      <w:start w:val="1"/>
      <w:numFmt w:val="bullet"/>
      <w:lvlText w:val=""/>
      <w:lvlJc w:val="left"/>
      <w:pPr>
        <w:tabs>
          <w:tab w:val="num" w:pos="2268"/>
        </w:tabs>
        <w:ind w:left="2268" w:hanging="567"/>
      </w:pPr>
      <w:rPr>
        <w:rFonts w:ascii="Wingdings" w:hAnsi="Wingdings" w:hint="default"/>
        <w:color w:val="731472"/>
      </w:rPr>
    </w:lvl>
    <w:lvl w:ilvl="7">
      <w:start w:val="1"/>
      <w:numFmt w:val="upperLetter"/>
      <w:lvlText w:val="(%8)"/>
      <w:lvlJc w:val="left"/>
      <w:pPr>
        <w:tabs>
          <w:tab w:val="num" w:pos="2268"/>
        </w:tabs>
        <w:ind w:left="2268" w:hanging="567"/>
      </w:pPr>
      <w:rPr>
        <w:rFonts w:hint="default"/>
        <w:color w:val="000000" w:themeColor="text1"/>
      </w:rPr>
    </w:lvl>
    <w:lvl w:ilvl="8">
      <w:start w:val="1"/>
      <w:numFmt w:val="decimal"/>
      <w:lvlText w:val="(%9)"/>
      <w:lvlJc w:val="left"/>
      <w:pPr>
        <w:tabs>
          <w:tab w:val="num" w:pos="2835"/>
        </w:tabs>
        <w:ind w:left="2835" w:hanging="567"/>
      </w:pPr>
      <w:rPr>
        <w:rFonts w:hint="default"/>
        <w:color w:val="000000" w:themeColor="text1"/>
      </w:rPr>
    </w:lvl>
  </w:abstractNum>
  <w:abstractNum w:abstractNumId="4" w15:restartNumberingAfterBreak="0">
    <w:nsid w:val="17FA02C8"/>
    <w:multiLevelType w:val="multilevel"/>
    <w:tmpl w:val="37E4B654"/>
    <w:name w:val="ORRDoubleNumbers2322"/>
    <w:styleLink w:val="ORRNumberings"/>
    <w:lvl w:ilvl="0">
      <w:start w:val="1"/>
      <w:numFmt w:val="decimal"/>
      <w:lvlText w:val="%1."/>
      <w:lvlJc w:val="left"/>
      <w:pPr>
        <w:tabs>
          <w:tab w:val="num" w:pos="567"/>
        </w:tabs>
        <w:ind w:left="567" w:hanging="567"/>
      </w:pPr>
      <w:rPr>
        <w:rFonts w:ascii="Arial" w:hAnsi="Arial" w:hint="default"/>
        <w:b/>
        <w:color w:val="00476B"/>
        <w:sz w:val="40"/>
      </w:rPr>
    </w:lvl>
    <w:lvl w:ilvl="1">
      <w:start w:val="1"/>
      <w:numFmt w:val="decimal"/>
      <w:lvlText w:val="%1.%2"/>
      <w:lvlJc w:val="left"/>
      <w:pPr>
        <w:tabs>
          <w:tab w:val="num" w:pos="567"/>
        </w:tabs>
        <w:ind w:left="567" w:hanging="567"/>
      </w:pPr>
      <w:rPr>
        <w:rFonts w:ascii="Arial" w:hAnsi="Arial" w:hint="default"/>
        <w:sz w:val="24"/>
      </w:rPr>
    </w:lvl>
    <w:lvl w:ilvl="2">
      <w:start w:val="1"/>
      <w:numFmt w:val="bullet"/>
      <w:lvlText w:val=""/>
      <w:lvlJc w:val="left"/>
      <w:pPr>
        <w:tabs>
          <w:tab w:val="num" w:pos="1247"/>
        </w:tabs>
        <w:ind w:left="1134" w:hanging="567"/>
      </w:pPr>
      <w:rPr>
        <w:rFonts w:ascii="Wingdings" w:hAnsi="Wingdings" w:hint="default"/>
        <w:color w:val="731472"/>
        <w:sz w:val="24"/>
      </w:rPr>
    </w:lvl>
    <w:lvl w:ilvl="3">
      <w:start w:val="1"/>
      <w:numFmt w:val="bullet"/>
      <w:lvlText w:val="­"/>
      <w:lvlJc w:val="left"/>
      <w:pPr>
        <w:tabs>
          <w:tab w:val="num" w:pos="1701"/>
        </w:tabs>
        <w:ind w:left="1701" w:hanging="567"/>
      </w:pPr>
      <w:rPr>
        <w:rFonts w:ascii="Courier New" w:hAnsi="Courier New" w:hint="default"/>
        <w:color w:val="731472"/>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701"/>
        </w:tabs>
        <w:ind w:left="1701" w:hanging="567"/>
      </w:pPr>
      <w:rPr>
        <w:rFonts w:hint="default"/>
      </w:rPr>
    </w:lvl>
    <w:lvl w:ilvl="6">
      <w:start w:val="1"/>
      <w:numFmt w:val="bullet"/>
      <w:lvlText w:val=""/>
      <w:lvlJc w:val="left"/>
      <w:pPr>
        <w:tabs>
          <w:tab w:val="num" w:pos="2268"/>
        </w:tabs>
        <w:ind w:left="2268" w:hanging="567"/>
      </w:pPr>
      <w:rPr>
        <w:rFonts w:ascii="Wingdings" w:hAnsi="Wingdings" w:hint="default"/>
        <w:color w:val="731472"/>
      </w:rPr>
    </w:lvl>
    <w:lvl w:ilvl="7">
      <w:start w:val="1"/>
      <w:numFmt w:val="upperLetter"/>
      <w:lvlText w:val="(%8)"/>
      <w:lvlJc w:val="left"/>
      <w:pPr>
        <w:tabs>
          <w:tab w:val="num" w:pos="2268"/>
        </w:tabs>
        <w:ind w:left="2268" w:hanging="567"/>
      </w:pPr>
      <w:rPr>
        <w:rFonts w:hint="default"/>
        <w:color w:val="000000" w:themeColor="text1"/>
      </w:rPr>
    </w:lvl>
    <w:lvl w:ilvl="8">
      <w:start w:val="1"/>
      <w:numFmt w:val="decimal"/>
      <w:lvlText w:val="(%9)"/>
      <w:lvlJc w:val="left"/>
      <w:pPr>
        <w:tabs>
          <w:tab w:val="num" w:pos="2835"/>
        </w:tabs>
        <w:ind w:left="2835" w:hanging="567"/>
      </w:pPr>
      <w:rPr>
        <w:rFonts w:hint="default"/>
        <w:color w:val="000000" w:themeColor="text1"/>
      </w:rPr>
    </w:lvl>
  </w:abstractNum>
  <w:abstractNum w:abstractNumId="5"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F9708F7"/>
    <w:multiLevelType w:val="multilevel"/>
    <w:tmpl w:val="357664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E50AFC"/>
    <w:multiLevelType w:val="hybridMultilevel"/>
    <w:tmpl w:val="5380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4B197E"/>
    <w:multiLevelType w:val="hybridMultilevel"/>
    <w:tmpl w:val="D062D2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A117ED"/>
    <w:multiLevelType w:val="hybridMultilevel"/>
    <w:tmpl w:val="1350371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C56DA3"/>
    <w:multiLevelType w:val="hybridMultilevel"/>
    <w:tmpl w:val="9E989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10"/>
  </w:num>
  <w:num w:numId="4">
    <w:abstractNumId w:val="22"/>
  </w:num>
  <w:num w:numId="5">
    <w:abstractNumId w:val="15"/>
  </w:num>
  <w:num w:numId="6">
    <w:abstractNumId w:val="1"/>
  </w:num>
  <w:num w:numId="7">
    <w:abstractNumId w:val="19"/>
  </w:num>
  <w:num w:numId="8">
    <w:abstractNumId w:val="7"/>
  </w:num>
  <w:num w:numId="9">
    <w:abstractNumId w:val="11"/>
  </w:num>
  <w:num w:numId="10">
    <w:abstractNumId w:val="17"/>
  </w:num>
  <w:num w:numId="11">
    <w:abstractNumId w:val="26"/>
  </w:num>
  <w:num w:numId="12">
    <w:abstractNumId w:val="8"/>
  </w:num>
  <w:num w:numId="13">
    <w:abstractNumId w:val="5"/>
  </w:num>
  <w:num w:numId="14">
    <w:abstractNumId w:val="16"/>
  </w:num>
  <w:num w:numId="15">
    <w:abstractNumId w:val="27"/>
  </w:num>
  <w:num w:numId="16">
    <w:abstractNumId w:val="2"/>
  </w:num>
  <w:num w:numId="17">
    <w:abstractNumId w:val="25"/>
  </w:num>
  <w:num w:numId="18">
    <w:abstractNumId w:val="14"/>
  </w:num>
  <w:num w:numId="19">
    <w:abstractNumId w:val="12"/>
  </w:num>
  <w:num w:numId="20">
    <w:abstractNumId w:val="21"/>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4"/>
  </w:num>
  <w:num w:numId="24">
    <w:abstractNumId w:val="18"/>
  </w:num>
  <w:num w:numId="25">
    <w:abstractNumId w:val="9"/>
  </w:num>
  <w:num w:numId="26">
    <w:abstractNumId w:val="4"/>
  </w:num>
  <w:num w:numId="27">
    <w:abstractNumId w:val="3"/>
  </w:num>
  <w:num w:numId="28">
    <w:abstractNumId w:val="0"/>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03D5F"/>
    <w:rsid w:val="00007956"/>
    <w:rsid w:val="00020FBE"/>
    <w:rsid w:val="000808A1"/>
    <w:rsid w:val="00095A5E"/>
    <w:rsid w:val="000D0471"/>
    <w:rsid w:val="000E39DA"/>
    <w:rsid w:val="000F75B8"/>
    <w:rsid w:val="0010494D"/>
    <w:rsid w:val="00105DE2"/>
    <w:rsid w:val="00113486"/>
    <w:rsid w:val="001510FF"/>
    <w:rsid w:val="00154F8F"/>
    <w:rsid w:val="00174F5D"/>
    <w:rsid w:val="001845B5"/>
    <w:rsid w:val="001919A3"/>
    <w:rsid w:val="00195F24"/>
    <w:rsid w:val="001A5D12"/>
    <w:rsid w:val="001D7BF5"/>
    <w:rsid w:val="001F11A8"/>
    <w:rsid w:val="00200179"/>
    <w:rsid w:val="002008A3"/>
    <w:rsid w:val="00204C0E"/>
    <w:rsid w:val="00235AEE"/>
    <w:rsid w:val="00235E4D"/>
    <w:rsid w:val="00243C6B"/>
    <w:rsid w:val="002545A4"/>
    <w:rsid w:val="00261D27"/>
    <w:rsid w:val="00266E39"/>
    <w:rsid w:val="00271677"/>
    <w:rsid w:val="00295F1A"/>
    <w:rsid w:val="00296648"/>
    <w:rsid w:val="002C4FBC"/>
    <w:rsid w:val="002D5DBE"/>
    <w:rsid w:val="002E4293"/>
    <w:rsid w:val="002F1450"/>
    <w:rsid w:val="002F7846"/>
    <w:rsid w:val="00320048"/>
    <w:rsid w:val="00332227"/>
    <w:rsid w:val="003617FA"/>
    <w:rsid w:val="0037682C"/>
    <w:rsid w:val="00385354"/>
    <w:rsid w:val="003E2033"/>
    <w:rsid w:val="003E4500"/>
    <w:rsid w:val="00400E39"/>
    <w:rsid w:val="004073E3"/>
    <w:rsid w:val="0042411A"/>
    <w:rsid w:val="0042738B"/>
    <w:rsid w:val="00441BBA"/>
    <w:rsid w:val="00453075"/>
    <w:rsid w:val="00454EC9"/>
    <w:rsid w:val="00492423"/>
    <w:rsid w:val="00492AA5"/>
    <w:rsid w:val="00494E47"/>
    <w:rsid w:val="004976A3"/>
    <w:rsid w:val="004B0EEA"/>
    <w:rsid w:val="004B6F8D"/>
    <w:rsid w:val="004C4C7E"/>
    <w:rsid w:val="004F5C25"/>
    <w:rsid w:val="005217A1"/>
    <w:rsid w:val="005532ED"/>
    <w:rsid w:val="005565A6"/>
    <w:rsid w:val="005846FB"/>
    <w:rsid w:val="005B48F4"/>
    <w:rsid w:val="005D11FB"/>
    <w:rsid w:val="005E78CE"/>
    <w:rsid w:val="00624B8A"/>
    <w:rsid w:val="00690B55"/>
    <w:rsid w:val="006A16CB"/>
    <w:rsid w:val="006A30B9"/>
    <w:rsid w:val="006E6367"/>
    <w:rsid w:val="00711801"/>
    <w:rsid w:val="007208EB"/>
    <w:rsid w:val="007257CD"/>
    <w:rsid w:val="00730DD0"/>
    <w:rsid w:val="007729B9"/>
    <w:rsid w:val="00780BDA"/>
    <w:rsid w:val="00781AF9"/>
    <w:rsid w:val="0078615B"/>
    <w:rsid w:val="00787D48"/>
    <w:rsid w:val="007929C5"/>
    <w:rsid w:val="007A34B8"/>
    <w:rsid w:val="007C33DF"/>
    <w:rsid w:val="007D728A"/>
    <w:rsid w:val="008064DC"/>
    <w:rsid w:val="008200E5"/>
    <w:rsid w:val="00864D82"/>
    <w:rsid w:val="008679F1"/>
    <w:rsid w:val="008878C5"/>
    <w:rsid w:val="008A38E4"/>
    <w:rsid w:val="008F388B"/>
    <w:rsid w:val="00907369"/>
    <w:rsid w:val="00913F8B"/>
    <w:rsid w:val="00951FB1"/>
    <w:rsid w:val="009878A7"/>
    <w:rsid w:val="009A512D"/>
    <w:rsid w:val="009B1A8F"/>
    <w:rsid w:val="009B2BC0"/>
    <w:rsid w:val="00A023D5"/>
    <w:rsid w:val="00A11FA1"/>
    <w:rsid w:val="00A16D9B"/>
    <w:rsid w:val="00A31A88"/>
    <w:rsid w:val="00A37A6E"/>
    <w:rsid w:val="00A86302"/>
    <w:rsid w:val="00A8697E"/>
    <w:rsid w:val="00AB2204"/>
    <w:rsid w:val="00AB7E6E"/>
    <w:rsid w:val="00AD1E41"/>
    <w:rsid w:val="00AE5DDA"/>
    <w:rsid w:val="00AE65AA"/>
    <w:rsid w:val="00AF3FCD"/>
    <w:rsid w:val="00AF676E"/>
    <w:rsid w:val="00AF7891"/>
    <w:rsid w:val="00B07215"/>
    <w:rsid w:val="00B30E15"/>
    <w:rsid w:val="00B329B7"/>
    <w:rsid w:val="00B679D6"/>
    <w:rsid w:val="00B734C5"/>
    <w:rsid w:val="00B95909"/>
    <w:rsid w:val="00BA52C1"/>
    <w:rsid w:val="00BC178E"/>
    <w:rsid w:val="00BD24D2"/>
    <w:rsid w:val="00BD5CF3"/>
    <w:rsid w:val="00BE4E6E"/>
    <w:rsid w:val="00C02EB0"/>
    <w:rsid w:val="00C04C45"/>
    <w:rsid w:val="00C051DC"/>
    <w:rsid w:val="00C05EE4"/>
    <w:rsid w:val="00C25BFE"/>
    <w:rsid w:val="00C35843"/>
    <w:rsid w:val="00C909E8"/>
    <w:rsid w:val="00C9234A"/>
    <w:rsid w:val="00CA28F0"/>
    <w:rsid w:val="00CB008C"/>
    <w:rsid w:val="00CB6DBC"/>
    <w:rsid w:val="00CB7DC1"/>
    <w:rsid w:val="00D0028E"/>
    <w:rsid w:val="00D22CBB"/>
    <w:rsid w:val="00D458E9"/>
    <w:rsid w:val="00D5136C"/>
    <w:rsid w:val="00D70EBF"/>
    <w:rsid w:val="00D7492E"/>
    <w:rsid w:val="00D74997"/>
    <w:rsid w:val="00D80B70"/>
    <w:rsid w:val="00DB2123"/>
    <w:rsid w:val="00DC0C7B"/>
    <w:rsid w:val="00DC1F6C"/>
    <w:rsid w:val="00DC4564"/>
    <w:rsid w:val="00DE0F6A"/>
    <w:rsid w:val="00DE5080"/>
    <w:rsid w:val="00E04812"/>
    <w:rsid w:val="00E049E7"/>
    <w:rsid w:val="00E153C2"/>
    <w:rsid w:val="00E25E59"/>
    <w:rsid w:val="00E44640"/>
    <w:rsid w:val="00E6386B"/>
    <w:rsid w:val="00E9262A"/>
    <w:rsid w:val="00E9772B"/>
    <w:rsid w:val="00EB4932"/>
    <w:rsid w:val="00EC1840"/>
    <w:rsid w:val="00ED52BE"/>
    <w:rsid w:val="00ED79FB"/>
    <w:rsid w:val="00EE2846"/>
    <w:rsid w:val="00EE76C4"/>
    <w:rsid w:val="00F06A8F"/>
    <w:rsid w:val="00F26B55"/>
    <w:rsid w:val="00F33CF7"/>
    <w:rsid w:val="00F52BE8"/>
    <w:rsid w:val="00F75137"/>
    <w:rsid w:val="00F805C2"/>
    <w:rsid w:val="00F901DE"/>
    <w:rsid w:val="00F92E23"/>
    <w:rsid w:val="00FA6A84"/>
    <w:rsid w:val="00FB2233"/>
    <w:rsid w:val="00FC6C2C"/>
    <w:rsid w:val="00FE4B57"/>
    <w:rsid w:val="3D702455"/>
    <w:rsid w:val="6B4DF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5C343A6"/>
  <w15:chartTrackingRefBased/>
  <w15:docId w15:val="{765348A8-FA4C-4316-BCC8-722AB549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1">
    <w:name w:val="heading 1"/>
    <w:basedOn w:val="Normal"/>
    <w:next w:val="Normal"/>
    <w:link w:val="Heading1Char"/>
    <w:uiPriority w:val="9"/>
    <w:qFormat/>
    <w:rsid w:val="00235E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unhideWhenUsed/>
    <w:rsid w:val="00907369"/>
    <w:pPr>
      <w:spacing w:after="120"/>
      <w:ind w:left="283"/>
    </w:pPr>
  </w:style>
  <w:style w:type="character" w:customStyle="1" w:styleId="BodyTextIndentChar">
    <w:name w:val="Body Text Indent Char"/>
    <w:basedOn w:val="DefaultParagraphFont"/>
    <w:link w:val="BodyTextIndent"/>
    <w:uiPriority w:val="99"/>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4B6F8D"/>
    <w:rPr>
      <w:color w:val="954F72" w:themeColor="followedHyperlink"/>
      <w:u w:val="single"/>
    </w:rPr>
  </w:style>
  <w:style w:type="paragraph" w:styleId="FootnoteText">
    <w:name w:val="footnote text"/>
    <w:basedOn w:val="Normal"/>
    <w:link w:val="FootnoteTextChar"/>
    <w:uiPriority w:val="99"/>
    <w:semiHidden/>
    <w:unhideWhenUsed/>
    <w:rsid w:val="00DC4564"/>
    <w:pPr>
      <w:spacing w:after="0"/>
    </w:pPr>
    <w:rPr>
      <w:sz w:val="20"/>
    </w:rPr>
  </w:style>
  <w:style w:type="character" w:customStyle="1" w:styleId="FootnoteTextChar">
    <w:name w:val="Footnote Text Char"/>
    <w:basedOn w:val="DefaultParagraphFont"/>
    <w:link w:val="FootnoteText"/>
    <w:uiPriority w:val="99"/>
    <w:semiHidden/>
    <w:rsid w:val="00DC4564"/>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DC4564"/>
    <w:rPr>
      <w:vertAlign w:val="superscript"/>
    </w:rPr>
  </w:style>
  <w:style w:type="character" w:customStyle="1" w:styleId="Heading1Char">
    <w:name w:val="Heading 1 Char"/>
    <w:basedOn w:val="DefaultParagraphFont"/>
    <w:link w:val="Heading1"/>
    <w:uiPriority w:val="9"/>
    <w:rsid w:val="00235E4D"/>
    <w:rPr>
      <w:rFonts w:asciiTheme="majorHAnsi" w:eastAsiaTheme="majorEastAsia" w:hAnsiTheme="majorHAnsi" w:cstheme="majorBidi"/>
      <w:color w:val="2E74B5" w:themeColor="accent1" w:themeShade="BF"/>
      <w:sz w:val="32"/>
      <w:szCs w:val="32"/>
      <w:lang w:val="en-GB"/>
    </w:rPr>
  </w:style>
  <w:style w:type="paragraph" w:customStyle="1" w:styleId="BodyCopyPlain">
    <w:name w:val="Body Copy Plain"/>
    <w:basedOn w:val="Normal"/>
    <w:rsid w:val="00235E4D"/>
    <w:pPr>
      <w:spacing w:after="0" w:line="280" w:lineRule="exact"/>
    </w:pPr>
    <w:rPr>
      <w:spacing w:val="10"/>
      <w:sz w:val="20"/>
    </w:rPr>
  </w:style>
  <w:style w:type="table" w:styleId="TableGrid">
    <w:name w:val="Table Grid"/>
    <w:basedOn w:val="TableNormal"/>
    <w:rsid w:val="00235E4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79FB"/>
    <w:rPr>
      <w:sz w:val="16"/>
      <w:szCs w:val="16"/>
    </w:rPr>
  </w:style>
  <w:style w:type="paragraph" w:styleId="CommentText">
    <w:name w:val="annotation text"/>
    <w:basedOn w:val="Normal"/>
    <w:link w:val="CommentTextChar"/>
    <w:uiPriority w:val="99"/>
    <w:semiHidden/>
    <w:unhideWhenUsed/>
    <w:rsid w:val="00ED79FB"/>
    <w:rPr>
      <w:sz w:val="20"/>
    </w:rPr>
  </w:style>
  <w:style w:type="character" w:customStyle="1" w:styleId="CommentTextChar">
    <w:name w:val="Comment Text Char"/>
    <w:basedOn w:val="DefaultParagraphFont"/>
    <w:link w:val="CommentText"/>
    <w:uiPriority w:val="99"/>
    <w:semiHidden/>
    <w:rsid w:val="00ED79FB"/>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D79FB"/>
    <w:rPr>
      <w:b/>
      <w:bCs/>
    </w:rPr>
  </w:style>
  <w:style w:type="character" w:customStyle="1" w:styleId="CommentSubjectChar">
    <w:name w:val="Comment Subject Char"/>
    <w:basedOn w:val="CommentTextChar"/>
    <w:link w:val="CommentSubject"/>
    <w:uiPriority w:val="99"/>
    <w:semiHidden/>
    <w:rsid w:val="00ED79FB"/>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ED79F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FB"/>
    <w:rPr>
      <w:rFonts w:ascii="Segoe UI" w:eastAsia="Times New Roman" w:hAnsi="Segoe UI" w:cs="Segoe UI"/>
      <w:sz w:val="18"/>
      <w:szCs w:val="18"/>
      <w:lang w:val="en-GB"/>
    </w:rPr>
  </w:style>
  <w:style w:type="paragraph" w:customStyle="1" w:styleId="Numberedparagraphdouble">
    <w:name w:val="Numbered paragraph (double)"/>
    <w:link w:val="NumberedparagraphdoubleChar"/>
    <w:rsid w:val="002E4293"/>
    <w:pPr>
      <w:numPr>
        <w:ilvl w:val="1"/>
        <w:numId w:val="27"/>
      </w:numPr>
      <w:spacing w:before="240" w:after="200" w:line="288" w:lineRule="auto"/>
      <w:ind w:left="822" w:hanging="680"/>
    </w:pPr>
    <w:rPr>
      <w:rFonts w:ascii="Arial" w:eastAsiaTheme="majorEastAsia" w:hAnsi="Arial" w:cstheme="majorBidi"/>
      <w:color w:val="000000" w:themeColor="text1"/>
      <w:sz w:val="24"/>
      <w:szCs w:val="26"/>
      <w:lang w:val="en-GB"/>
    </w:rPr>
  </w:style>
  <w:style w:type="character" w:customStyle="1" w:styleId="NumberedparagraphdoubleChar">
    <w:name w:val="Numbered paragraph (double) Char"/>
    <w:basedOn w:val="Heading2Char"/>
    <w:link w:val="Numberedparagraphdouble"/>
    <w:rsid w:val="002E4293"/>
    <w:rPr>
      <w:rFonts w:ascii="Arial" w:eastAsiaTheme="majorEastAsia" w:hAnsi="Arial" w:cstheme="majorBidi"/>
      <w:b w:val="0"/>
      <w:bCs w:val="0"/>
      <w:iCs w:val="0"/>
      <w:color w:val="000000" w:themeColor="text1"/>
      <w:sz w:val="24"/>
      <w:szCs w:val="26"/>
      <w:lang w:val="en-GB"/>
    </w:rPr>
  </w:style>
  <w:style w:type="paragraph" w:customStyle="1" w:styleId="Heading2double">
    <w:name w:val="Heading 2 (double)"/>
    <w:basedOn w:val="Heading2"/>
    <w:next w:val="Numberedparagraphdouble"/>
    <w:rsid w:val="002E4293"/>
    <w:pPr>
      <w:keepLines/>
      <w:pageBreakBefore/>
      <w:numPr>
        <w:numId w:val="27"/>
      </w:numPr>
      <w:tabs>
        <w:tab w:val="clear" w:pos="720"/>
        <w:tab w:val="clear" w:pos="1440"/>
      </w:tabs>
      <w:spacing w:before="0" w:after="240"/>
    </w:pPr>
    <w:rPr>
      <w:rFonts w:eastAsiaTheme="majorEastAsia" w:cstheme="majorBidi"/>
      <w:iCs w:val="0"/>
      <w:color w:val="00476B"/>
      <w:sz w:val="40"/>
      <w:szCs w:val="26"/>
    </w:rPr>
  </w:style>
  <w:style w:type="numbering" w:customStyle="1" w:styleId="ORRNumberings">
    <w:name w:val="ORRNumberings"/>
    <w:uiPriority w:val="99"/>
    <w:rsid w:val="002E4293"/>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83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tworkrail.co.uk/communities/environment/climate-change-and-weather-resilience/climate-change-adaptation/" TargetMode="External"/><Relationship Id="rId5" Type="http://schemas.openxmlformats.org/officeDocument/2006/relationships/webSettings" Target="webSettings.xml"/><Relationship Id="rId10" Type="http://schemas.openxmlformats.org/officeDocument/2006/relationships/hyperlink" Target="https://safety.networkrail.co.uk/home-2/environment-and-sustainable-development/wrcca/wrcca-strategy-2/" TargetMode="External"/><Relationship Id="rId4" Type="http://schemas.openxmlformats.org/officeDocument/2006/relationships/settings" Target="settings.xml"/><Relationship Id="rId9" Type="http://schemas.openxmlformats.org/officeDocument/2006/relationships/hyperlink" Target="http://www.orr.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4BC9D-85EF-4B7B-ACF9-3F9491D6C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4147</Words>
  <Characters>23642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6</cp:revision>
  <dcterms:created xsi:type="dcterms:W3CDTF">2020-11-10T13:17:00Z</dcterms:created>
  <dcterms:modified xsi:type="dcterms:W3CDTF">2020-11-11T16:40:00Z</dcterms:modified>
</cp:coreProperties>
</file>