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22F75" w14:textId="6644299A"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B818C3">
      <w:pPr>
        <w:pStyle w:val="Heading1"/>
        <w:jc w:val="center"/>
        <w:rPr>
          <w:sz w:val="44"/>
          <w:szCs w:val="44"/>
        </w:rPr>
      </w:pPr>
      <w:r w:rsidRPr="00B818C3">
        <w:rPr>
          <w:sz w:val="44"/>
          <w:szCs w:val="44"/>
        </w:rPr>
        <w:t>Expression of interest</w:t>
      </w:r>
    </w:p>
    <w:p w14:paraId="53740045" w14:textId="047C37F5" w:rsidR="00A57128" w:rsidRDefault="00A57128" w:rsidP="00A57128"/>
    <w:p w14:paraId="6329DEC5" w14:textId="4FA8F295" w:rsidR="00A57128" w:rsidRPr="007E0083" w:rsidRDefault="00A57128" w:rsidP="00EE71A2">
      <w:pPr>
        <w:pStyle w:val="Heading1"/>
      </w:pPr>
      <w:r w:rsidRPr="007E0083">
        <w:t>Title:</w:t>
      </w:r>
      <w:r w:rsidR="009B535B">
        <w:t xml:space="preserve"> </w:t>
      </w:r>
      <w:r w:rsidR="009B535B" w:rsidRPr="009B535B">
        <w:t>Evaluation of a trial extension of SEND Tribunal powers</w:t>
      </w:r>
    </w:p>
    <w:p w14:paraId="2B434E3D" w14:textId="10DC3AD6" w:rsidR="00A57128" w:rsidRPr="007E0083" w:rsidRDefault="00A57128" w:rsidP="00A57128">
      <w:pPr>
        <w:rPr>
          <w:b/>
        </w:rPr>
      </w:pPr>
      <w:r w:rsidRPr="007E0083">
        <w:rPr>
          <w:b/>
        </w:rPr>
        <w:t xml:space="preserve">Project reference: </w:t>
      </w:r>
      <w:r w:rsidR="00BA3674">
        <w:rPr>
          <w:b/>
        </w:rPr>
        <w:t>2017/052</w:t>
      </w:r>
    </w:p>
    <w:p w14:paraId="501D40E4" w14:textId="3FCE15BC" w:rsidR="00A57128" w:rsidRPr="007E0083" w:rsidRDefault="00A57128" w:rsidP="00A57128">
      <w:pPr>
        <w:rPr>
          <w:b/>
        </w:rPr>
      </w:pPr>
      <w:r w:rsidRPr="007E0083">
        <w:rPr>
          <w:b/>
        </w:rPr>
        <w:t>Deadline for expressions of interest:</w:t>
      </w:r>
      <w:r w:rsidR="009B535B">
        <w:rPr>
          <w:b/>
        </w:rPr>
        <w:t xml:space="preserve"> </w:t>
      </w:r>
      <w:r w:rsidR="00BA3674">
        <w:rPr>
          <w:b/>
        </w:rPr>
        <w:t xml:space="preserve">5pm on </w:t>
      </w:r>
      <w:r w:rsidR="009B535B">
        <w:rPr>
          <w:b/>
        </w:rPr>
        <w:t>1</w:t>
      </w:r>
      <w:r w:rsidR="009A5382">
        <w:rPr>
          <w:b/>
        </w:rPr>
        <w:t>3</w:t>
      </w:r>
      <w:r w:rsidR="009B535B">
        <w:rPr>
          <w:b/>
        </w:rPr>
        <w:t xml:space="preserve"> October 2017</w:t>
      </w:r>
    </w:p>
    <w:p w14:paraId="0CFBF484" w14:textId="184FA1CF" w:rsidR="00A57128" w:rsidRPr="001F2CE2" w:rsidRDefault="00A57128" w:rsidP="001F2CE2">
      <w:pPr>
        <w:pStyle w:val="Heading2"/>
      </w:pPr>
      <w:r w:rsidRPr="001F2CE2">
        <w:t>Summary</w:t>
      </w:r>
    </w:p>
    <w:p w14:paraId="145C54D2" w14:textId="3786ABEF" w:rsidR="00DD580E" w:rsidRPr="00A57128" w:rsidRDefault="00DD580E" w:rsidP="00DD580E">
      <w:r w:rsidRPr="003E05F9">
        <w:rPr>
          <w:szCs w:val="22"/>
        </w:rPr>
        <w:t>Express</w:t>
      </w:r>
      <w:r>
        <w:rPr>
          <w:szCs w:val="22"/>
        </w:rPr>
        <w:t xml:space="preserve">ions of interest are sought for a multi-mode process </w:t>
      </w:r>
      <w:r w:rsidR="00093EDE">
        <w:rPr>
          <w:szCs w:val="22"/>
        </w:rPr>
        <w:t xml:space="preserve">and perception </w:t>
      </w:r>
      <w:r>
        <w:rPr>
          <w:szCs w:val="22"/>
        </w:rPr>
        <w:t xml:space="preserve">evaluation of a </w:t>
      </w:r>
      <w:proofErr w:type="gramStart"/>
      <w:r>
        <w:rPr>
          <w:szCs w:val="22"/>
        </w:rPr>
        <w:t>two year</w:t>
      </w:r>
      <w:proofErr w:type="gramEnd"/>
      <w:r>
        <w:rPr>
          <w:szCs w:val="22"/>
        </w:rPr>
        <w:t xml:space="preserve"> national trial to extend the powers of the First-tier Tribunal SEND (the Tribunal) to make non-binding recommendations about health and social care aspects of EHC plans alongside educational aspects. </w:t>
      </w:r>
    </w:p>
    <w:p w14:paraId="0BF9ADD3" w14:textId="1A5D6761" w:rsidR="00A57128" w:rsidRDefault="00A57128" w:rsidP="001F2CE2">
      <w:pPr>
        <w:pStyle w:val="Heading2"/>
      </w:pPr>
      <w:r>
        <w:t>Background</w:t>
      </w:r>
    </w:p>
    <w:p w14:paraId="1E3C0333" w14:textId="77777777" w:rsidR="00494346" w:rsidRPr="00494346" w:rsidRDefault="00494346" w:rsidP="00494346">
      <w:pPr>
        <w:rPr>
          <w:rFonts w:cs="Arial"/>
        </w:rPr>
      </w:pPr>
      <w:r w:rsidRPr="00494346">
        <w:rPr>
          <w:rFonts w:cs="Arial"/>
        </w:rPr>
        <w:t>Part 3 of the Children and Families Act 2014, which came into force on 1 September 2014, made important changes to the system of support for children and young people who have special educational needs or a disability (SEND), including statutory assessments and statements being replaced by Education, Health and Care (EHC) needs assessments and plans.</w:t>
      </w:r>
    </w:p>
    <w:p w14:paraId="7F536E2D" w14:textId="0FE70100" w:rsidR="00494346" w:rsidRDefault="00494346" w:rsidP="00494346">
      <w:pPr>
        <w:rPr>
          <w:rFonts w:cs="Arial"/>
        </w:rPr>
      </w:pPr>
      <w:proofErr w:type="gramStart"/>
      <w:r w:rsidRPr="00494346">
        <w:rPr>
          <w:rFonts w:cs="Arial"/>
        </w:rPr>
        <w:t>The reforms implement a new approach which seeks to join up help across education, health and care, from birth to 25</w:t>
      </w:r>
      <w:r w:rsidR="00BA6A1B">
        <w:rPr>
          <w:rFonts w:cs="Arial"/>
        </w:rPr>
        <w:t>, and e</w:t>
      </w:r>
      <w:r w:rsidR="00BA6A1B" w:rsidRPr="00BA6A1B">
        <w:rPr>
          <w:rFonts w:cs="Arial"/>
        </w:rPr>
        <w:t>nsure children and young people’s needs are identified early</w:t>
      </w:r>
      <w:r w:rsidRPr="00494346">
        <w:rPr>
          <w:rFonts w:cs="Arial"/>
        </w:rPr>
        <w:t>, with children and young people with SEN</w:t>
      </w:r>
      <w:r w:rsidR="00D70670">
        <w:rPr>
          <w:rFonts w:cs="Arial"/>
        </w:rPr>
        <w:t>D</w:t>
      </w:r>
      <w:r w:rsidRPr="00494346">
        <w:rPr>
          <w:rFonts w:cs="Arial"/>
        </w:rPr>
        <w:t xml:space="preserve"> and their parents or carers fully involved in decisions about their support and what they want to achieve, with a strong focus on outcomes.</w:t>
      </w:r>
      <w:proofErr w:type="gramEnd"/>
    </w:p>
    <w:p w14:paraId="6C88E08A" w14:textId="0163292D" w:rsidR="00494346" w:rsidRPr="00027BDB" w:rsidRDefault="00494346" w:rsidP="00494346">
      <w:r>
        <w:t xml:space="preserve">It also introduced a system of mediation for disagreements between parents or young people and the local authority (LA) </w:t>
      </w:r>
      <w:proofErr w:type="gramStart"/>
      <w:r>
        <w:t>about</w:t>
      </w:r>
      <w:proofErr w:type="gramEnd"/>
      <w:r>
        <w:t xml:space="preserve"> EHC needs assessments or plans and a requirement for LAs to make disagreement resolution services available to parents and young people for disagreements about any aspect of SEN</w:t>
      </w:r>
      <w:r w:rsidR="00D70670">
        <w:t>D</w:t>
      </w:r>
      <w:r>
        <w:t xml:space="preserve"> provision.</w:t>
      </w:r>
    </w:p>
    <w:p w14:paraId="0C0335C1" w14:textId="2D6E760C" w:rsidR="002A3FB8" w:rsidRDefault="002A3FB8" w:rsidP="002A3FB8">
      <w:pPr>
        <w:rPr>
          <w:rFonts w:cs="Arial"/>
        </w:rPr>
      </w:pPr>
      <w:r>
        <w:rPr>
          <w:rFonts w:cs="Arial"/>
        </w:rPr>
        <w:t xml:space="preserve">The Tribunal hears families’ appeals </w:t>
      </w:r>
      <w:r w:rsidRPr="00760665">
        <w:rPr>
          <w:rFonts w:cs="Arial"/>
        </w:rPr>
        <w:t xml:space="preserve">against decisions made by </w:t>
      </w:r>
      <w:r w:rsidR="00027BDB">
        <w:rPr>
          <w:rFonts w:cs="Arial"/>
        </w:rPr>
        <w:t>LAs</w:t>
      </w:r>
      <w:r w:rsidRPr="00760665">
        <w:rPr>
          <w:rFonts w:cs="Arial"/>
        </w:rPr>
        <w:t xml:space="preserve"> in England in relation</w:t>
      </w:r>
      <w:r>
        <w:rPr>
          <w:rFonts w:cs="Arial"/>
        </w:rPr>
        <w:t xml:space="preserve"> to the </w:t>
      </w:r>
      <w:r w:rsidRPr="004B064F">
        <w:rPr>
          <w:rFonts w:cs="Arial"/>
          <w:i/>
        </w:rPr>
        <w:t>education</w:t>
      </w:r>
      <w:r>
        <w:rPr>
          <w:rFonts w:cs="Arial"/>
        </w:rPr>
        <w:t xml:space="preserve"> element of children and young people’s </w:t>
      </w:r>
      <w:r w:rsidR="00494346">
        <w:rPr>
          <w:rFonts w:cs="Arial"/>
        </w:rPr>
        <w:t>EHC</w:t>
      </w:r>
      <w:r>
        <w:rPr>
          <w:rFonts w:cs="Arial"/>
        </w:rPr>
        <w:t xml:space="preserve"> assessment and plans. The Tribunal</w:t>
      </w:r>
      <w:r w:rsidR="00F63547">
        <w:rPr>
          <w:rFonts w:cs="Arial"/>
        </w:rPr>
        <w:t>,</w:t>
      </w:r>
      <w:r>
        <w:rPr>
          <w:rFonts w:cs="Arial"/>
        </w:rPr>
        <w:t xml:space="preserve"> however</w:t>
      </w:r>
      <w:r w:rsidR="00F63547">
        <w:rPr>
          <w:rFonts w:cs="Arial"/>
        </w:rPr>
        <w:t>,</w:t>
      </w:r>
      <w:r>
        <w:rPr>
          <w:rFonts w:cs="Arial"/>
        </w:rPr>
        <w:t xml:space="preserve"> cannot rule on the </w:t>
      </w:r>
      <w:r w:rsidRPr="006223E1">
        <w:rPr>
          <w:rFonts w:cs="Arial"/>
          <w:i/>
        </w:rPr>
        <w:t>health</w:t>
      </w:r>
      <w:r>
        <w:rPr>
          <w:rFonts w:cs="Arial"/>
        </w:rPr>
        <w:t xml:space="preserve"> and </w:t>
      </w:r>
      <w:r w:rsidRPr="006223E1">
        <w:rPr>
          <w:rFonts w:cs="Arial"/>
          <w:i/>
        </w:rPr>
        <w:t>social care</w:t>
      </w:r>
      <w:r>
        <w:rPr>
          <w:rFonts w:cs="Arial"/>
        </w:rPr>
        <w:t xml:space="preserve"> elements of assessments and plans; there are separate complaint processes for these that families can use. </w:t>
      </w:r>
      <w:r w:rsidRPr="003514CF">
        <w:rPr>
          <w:rFonts w:cs="Arial"/>
        </w:rPr>
        <w:t>During the development of the Children a</w:t>
      </w:r>
      <w:r>
        <w:rPr>
          <w:rFonts w:cs="Arial"/>
        </w:rPr>
        <w:t xml:space="preserve">nd Families Act 2014, </w:t>
      </w:r>
      <w:r w:rsidR="00DD580E">
        <w:rPr>
          <w:rFonts w:cs="Arial"/>
        </w:rPr>
        <w:t>Government considered whether the Tribunal</w:t>
      </w:r>
      <w:r>
        <w:rPr>
          <w:rFonts w:cs="Arial"/>
        </w:rPr>
        <w:t xml:space="preserve"> </w:t>
      </w:r>
      <w:r w:rsidR="00DD580E">
        <w:rPr>
          <w:rFonts w:cs="Arial"/>
        </w:rPr>
        <w:t>should</w:t>
      </w:r>
      <w:r>
        <w:rPr>
          <w:rFonts w:cs="Arial"/>
        </w:rPr>
        <w:t xml:space="preserve"> rule on the </w:t>
      </w:r>
      <w:r w:rsidRPr="004B064F">
        <w:rPr>
          <w:rFonts w:cs="Arial"/>
          <w:i/>
        </w:rPr>
        <w:lastRenderedPageBreak/>
        <w:t>health</w:t>
      </w:r>
      <w:r w:rsidR="00027BDB">
        <w:rPr>
          <w:rFonts w:cs="Arial"/>
        </w:rPr>
        <w:t xml:space="preserve"> and</w:t>
      </w:r>
      <w:r w:rsidRPr="004B064F">
        <w:rPr>
          <w:rFonts w:cs="Arial"/>
          <w:i/>
        </w:rPr>
        <w:t xml:space="preserve"> social care</w:t>
      </w:r>
      <w:r w:rsidRPr="003514CF">
        <w:rPr>
          <w:rFonts w:cs="Arial"/>
        </w:rPr>
        <w:t xml:space="preserve"> sections</w:t>
      </w:r>
      <w:r>
        <w:rPr>
          <w:rFonts w:cs="Arial"/>
        </w:rPr>
        <w:t xml:space="preserve"> to take </w:t>
      </w:r>
      <w:r w:rsidRPr="003514CF">
        <w:rPr>
          <w:rFonts w:cs="Arial"/>
        </w:rPr>
        <w:t xml:space="preserve">a </w:t>
      </w:r>
      <w:r>
        <w:rPr>
          <w:rFonts w:cs="Arial"/>
        </w:rPr>
        <w:t xml:space="preserve">more </w:t>
      </w:r>
      <w:r w:rsidRPr="003514CF">
        <w:rPr>
          <w:rFonts w:cs="Arial"/>
        </w:rPr>
        <w:t>holistic view of the needs</w:t>
      </w:r>
      <w:r>
        <w:rPr>
          <w:rFonts w:cs="Arial"/>
        </w:rPr>
        <w:t xml:space="preserve"> of the </w:t>
      </w:r>
      <w:r w:rsidRPr="003514CF">
        <w:rPr>
          <w:rFonts w:cs="Arial"/>
        </w:rPr>
        <w:t>child/young person</w:t>
      </w:r>
      <w:r>
        <w:rPr>
          <w:rFonts w:cs="Arial"/>
        </w:rPr>
        <w:t xml:space="preserve"> and reduce burdens on parents who may need to access three separate routes of redress</w:t>
      </w:r>
      <w:r w:rsidRPr="003514CF">
        <w:rPr>
          <w:rFonts w:cs="Arial"/>
        </w:rPr>
        <w:t xml:space="preserve">. </w:t>
      </w:r>
    </w:p>
    <w:p w14:paraId="6B77A56B" w14:textId="65152845" w:rsidR="00DD580E" w:rsidRDefault="002A3FB8" w:rsidP="002A3FB8">
      <w:pPr>
        <w:rPr>
          <w:rFonts w:cs="Arial"/>
        </w:rPr>
      </w:pPr>
      <w:r>
        <w:rPr>
          <w:rFonts w:cs="Arial"/>
        </w:rPr>
        <w:t xml:space="preserve">The Government </w:t>
      </w:r>
      <w:r w:rsidR="00DD580E">
        <w:rPr>
          <w:rFonts w:cs="Arial"/>
        </w:rPr>
        <w:t>tried</w:t>
      </w:r>
      <w:r>
        <w:rPr>
          <w:rFonts w:cs="Arial"/>
        </w:rPr>
        <w:t xml:space="preserve"> out (‘pilot</w:t>
      </w:r>
      <w:r w:rsidR="00DD580E">
        <w:rPr>
          <w:rFonts w:cs="Arial"/>
        </w:rPr>
        <w:t>ed</w:t>
      </w:r>
      <w:r>
        <w:rPr>
          <w:rFonts w:cs="Arial"/>
        </w:rPr>
        <w:t xml:space="preserve">’) </w:t>
      </w:r>
      <w:r w:rsidRPr="003514CF">
        <w:rPr>
          <w:rFonts w:cs="Arial"/>
        </w:rPr>
        <w:t>what effect it would have if the Tribun</w:t>
      </w:r>
      <w:r>
        <w:rPr>
          <w:rFonts w:cs="Arial"/>
        </w:rPr>
        <w:t xml:space="preserve">al </w:t>
      </w:r>
      <w:proofErr w:type="gramStart"/>
      <w:r>
        <w:rPr>
          <w:rFonts w:cs="Arial"/>
        </w:rPr>
        <w:t>were given</w:t>
      </w:r>
      <w:proofErr w:type="gramEnd"/>
      <w:r>
        <w:rPr>
          <w:rFonts w:cs="Arial"/>
        </w:rPr>
        <w:t xml:space="preserve"> the power to </w:t>
      </w:r>
      <w:r w:rsidRPr="003514CF">
        <w:rPr>
          <w:rFonts w:cs="Arial"/>
        </w:rPr>
        <w:t>consider</w:t>
      </w:r>
      <w:r>
        <w:rPr>
          <w:rFonts w:cs="Arial"/>
        </w:rPr>
        <w:t>, on the application of the parent or young person,</w:t>
      </w:r>
      <w:r w:rsidRPr="003514CF">
        <w:rPr>
          <w:rFonts w:cs="Arial"/>
        </w:rPr>
        <w:t xml:space="preserve"> the health and social care </w:t>
      </w:r>
      <w:r>
        <w:rPr>
          <w:rFonts w:cs="Arial"/>
        </w:rPr>
        <w:t>provisions of the plan</w:t>
      </w:r>
      <w:r w:rsidRPr="003514CF">
        <w:rPr>
          <w:rFonts w:cs="Arial"/>
        </w:rPr>
        <w:t xml:space="preserve"> and to make non-binding</w:t>
      </w:r>
      <w:r>
        <w:rPr>
          <w:rFonts w:cs="Arial"/>
        </w:rPr>
        <w:t xml:space="preserve"> </w:t>
      </w:r>
      <w:r w:rsidRPr="003514CF">
        <w:rPr>
          <w:rFonts w:cs="Arial"/>
        </w:rPr>
        <w:t>recommendations</w:t>
      </w:r>
      <w:r>
        <w:rPr>
          <w:rFonts w:cs="Arial"/>
        </w:rPr>
        <w:t xml:space="preserve"> </w:t>
      </w:r>
      <w:r w:rsidRPr="003514CF">
        <w:rPr>
          <w:rFonts w:cs="Arial"/>
        </w:rPr>
        <w:t>where appropriate.</w:t>
      </w:r>
      <w:r>
        <w:rPr>
          <w:rFonts w:cs="Arial"/>
        </w:rPr>
        <w:t xml:space="preserve"> The pilot </w:t>
      </w:r>
      <w:proofErr w:type="gramStart"/>
      <w:r>
        <w:rPr>
          <w:rFonts w:cs="Arial"/>
        </w:rPr>
        <w:t>was undertaken</w:t>
      </w:r>
      <w:proofErr w:type="gramEnd"/>
      <w:r>
        <w:rPr>
          <w:rFonts w:cs="Arial"/>
        </w:rPr>
        <w:t xml:space="preserve"> </w:t>
      </w:r>
      <w:r w:rsidR="00F63547">
        <w:rPr>
          <w:rFonts w:cs="Arial"/>
        </w:rPr>
        <w:t xml:space="preserve">on a voluntary basis in 17 local areas </w:t>
      </w:r>
      <w:r>
        <w:rPr>
          <w:rFonts w:cs="Arial"/>
        </w:rPr>
        <w:t>be</w:t>
      </w:r>
      <w:r w:rsidR="00D70670">
        <w:rPr>
          <w:rFonts w:cs="Arial"/>
        </w:rPr>
        <w:t>tween June 2015 and August 2016</w:t>
      </w:r>
      <w:r w:rsidR="00F63547">
        <w:rPr>
          <w:rFonts w:cs="Arial"/>
        </w:rPr>
        <w:t xml:space="preserve">, </w:t>
      </w:r>
      <w:r>
        <w:rPr>
          <w:rFonts w:cs="Arial"/>
        </w:rPr>
        <w:t xml:space="preserve">and was evaluated as part of a wider review of the effectiveness of all SEND disagreement resolution processes. </w:t>
      </w:r>
      <w:r w:rsidR="00DD580E">
        <w:rPr>
          <w:rFonts w:cs="Arial"/>
        </w:rPr>
        <w:t>The review and government response to the review</w:t>
      </w:r>
      <w:r w:rsidR="00494346">
        <w:rPr>
          <w:rFonts w:cs="Arial"/>
        </w:rPr>
        <w:t>, published in March 2017,</w:t>
      </w:r>
      <w:r w:rsidR="00DD580E">
        <w:rPr>
          <w:rFonts w:cs="Arial"/>
        </w:rPr>
        <w:t xml:space="preserve"> </w:t>
      </w:r>
      <w:proofErr w:type="gramStart"/>
      <w:r w:rsidR="00DD580E">
        <w:rPr>
          <w:rFonts w:cs="Arial"/>
        </w:rPr>
        <w:t>can be found</w:t>
      </w:r>
      <w:proofErr w:type="gramEnd"/>
      <w:r w:rsidR="00DD580E">
        <w:rPr>
          <w:rFonts w:cs="Arial"/>
        </w:rPr>
        <w:t xml:space="preserve"> </w:t>
      </w:r>
      <w:hyperlink r:id="rId14" w:history="1">
        <w:r w:rsidR="00DD580E" w:rsidRPr="00494346">
          <w:rPr>
            <w:rStyle w:val="Hyperlink"/>
            <w:rFonts w:cs="Arial"/>
            <w:sz w:val="22"/>
          </w:rPr>
          <w:t>here</w:t>
        </w:r>
      </w:hyperlink>
      <w:r w:rsidR="00494346">
        <w:rPr>
          <w:rFonts w:cs="Arial"/>
        </w:rPr>
        <w:t>.</w:t>
      </w:r>
    </w:p>
    <w:p w14:paraId="7231D2B9" w14:textId="4F2BEAC7" w:rsidR="002A3FB8" w:rsidRDefault="002A3FB8" w:rsidP="002A3FB8">
      <w:pPr>
        <w:rPr>
          <w:rFonts w:cs="Arial"/>
        </w:rPr>
      </w:pPr>
      <w:r>
        <w:rPr>
          <w:rFonts w:cs="Arial"/>
        </w:rPr>
        <w:t xml:space="preserve">The evaluation provided some qualitative evidence that extended powers </w:t>
      </w:r>
      <w:r w:rsidRPr="004F67CF">
        <w:rPr>
          <w:rFonts w:cs="Arial"/>
        </w:rPr>
        <w:t xml:space="preserve">resolved </w:t>
      </w:r>
      <w:r>
        <w:rPr>
          <w:rFonts w:cs="Arial"/>
        </w:rPr>
        <w:t xml:space="preserve">the health and social care </w:t>
      </w:r>
      <w:r w:rsidRPr="004F67CF">
        <w:rPr>
          <w:rFonts w:cs="Arial"/>
        </w:rPr>
        <w:t>i</w:t>
      </w:r>
      <w:r>
        <w:rPr>
          <w:rFonts w:cs="Arial"/>
        </w:rPr>
        <w:t xml:space="preserve">ssues presented to </w:t>
      </w:r>
      <w:r w:rsidR="00027BDB">
        <w:rPr>
          <w:rFonts w:cs="Arial"/>
        </w:rPr>
        <w:t xml:space="preserve">the </w:t>
      </w:r>
      <w:r>
        <w:rPr>
          <w:rFonts w:cs="Arial"/>
        </w:rPr>
        <w:t xml:space="preserve">Tribunal and led to some </w:t>
      </w:r>
      <w:r w:rsidRPr="004F67CF">
        <w:rPr>
          <w:rFonts w:cs="Arial"/>
        </w:rPr>
        <w:t xml:space="preserve">improvements in joint working </w:t>
      </w:r>
      <w:r>
        <w:rPr>
          <w:rFonts w:cs="Arial"/>
        </w:rPr>
        <w:t xml:space="preserve">between the education, health and social </w:t>
      </w:r>
      <w:r w:rsidRPr="004F67CF">
        <w:rPr>
          <w:rFonts w:cs="Arial"/>
        </w:rPr>
        <w:t>care</w:t>
      </w:r>
      <w:r>
        <w:rPr>
          <w:rFonts w:cs="Arial"/>
        </w:rPr>
        <w:t xml:space="preserve"> teams</w:t>
      </w:r>
      <w:r w:rsidRPr="004F67CF">
        <w:rPr>
          <w:rFonts w:cs="Arial"/>
        </w:rPr>
        <w:t xml:space="preserve">. </w:t>
      </w:r>
      <w:r>
        <w:rPr>
          <w:rFonts w:cs="Arial"/>
        </w:rPr>
        <w:t>There was also support in principle for the pilot as a</w:t>
      </w:r>
      <w:r w:rsidRPr="004F67CF">
        <w:rPr>
          <w:rFonts w:cs="Arial"/>
        </w:rPr>
        <w:t xml:space="preserve">lmost </w:t>
      </w:r>
      <w:r>
        <w:rPr>
          <w:rFonts w:cs="Arial"/>
        </w:rPr>
        <w:t>all interviewed stakeholders</w:t>
      </w:r>
      <w:r w:rsidRPr="004F67CF">
        <w:rPr>
          <w:rFonts w:cs="Arial"/>
        </w:rPr>
        <w:t xml:space="preserve"> </w:t>
      </w:r>
      <w:r>
        <w:rPr>
          <w:rFonts w:cs="Arial"/>
        </w:rPr>
        <w:t>thought the pilot was a sensible approach</w:t>
      </w:r>
      <w:r w:rsidRPr="004F67CF">
        <w:rPr>
          <w:rFonts w:cs="Arial"/>
        </w:rPr>
        <w:t xml:space="preserve"> given the development of </w:t>
      </w:r>
      <w:r>
        <w:rPr>
          <w:rFonts w:cs="Arial"/>
        </w:rPr>
        <w:t xml:space="preserve">the holistic </w:t>
      </w:r>
      <w:r w:rsidRPr="004F67CF">
        <w:rPr>
          <w:rFonts w:cs="Arial"/>
        </w:rPr>
        <w:t xml:space="preserve">EHC </w:t>
      </w:r>
      <w:r>
        <w:rPr>
          <w:rFonts w:cs="Arial"/>
        </w:rPr>
        <w:t>plan</w:t>
      </w:r>
      <w:r w:rsidRPr="004F67CF">
        <w:rPr>
          <w:rFonts w:cs="Arial"/>
        </w:rPr>
        <w:t>.</w:t>
      </w:r>
      <w:r>
        <w:rPr>
          <w:rFonts w:cs="Arial"/>
        </w:rPr>
        <w:t xml:space="preserve"> However, t</w:t>
      </w:r>
      <w:r w:rsidRPr="004F67CF">
        <w:rPr>
          <w:rFonts w:cs="Arial"/>
        </w:rPr>
        <w:t xml:space="preserve">he small number of </w:t>
      </w:r>
      <w:r>
        <w:rPr>
          <w:rFonts w:cs="Arial"/>
        </w:rPr>
        <w:t xml:space="preserve">cases that resulted from the pilot and small number of </w:t>
      </w:r>
      <w:r w:rsidRPr="004F67CF">
        <w:rPr>
          <w:rFonts w:cs="Arial"/>
        </w:rPr>
        <w:t xml:space="preserve">recommendations made </w:t>
      </w:r>
      <w:r>
        <w:rPr>
          <w:rFonts w:cs="Arial"/>
        </w:rPr>
        <w:t xml:space="preserve">by Tribunal </w:t>
      </w:r>
      <w:r w:rsidRPr="004F67CF">
        <w:rPr>
          <w:rFonts w:cs="Arial"/>
        </w:rPr>
        <w:t>t</w:t>
      </w:r>
      <w:r>
        <w:rPr>
          <w:rFonts w:cs="Arial"/>
        </w:rPr>
        <w:t>o health or social care agencies (30 cases with 11 decisions in total) meant that there was</w:t>
      </w:r>
      <w:r w:rsidRPr="004F67CF">
        <w:rPr>
          <w:rFonts w:cs="Arial"/>
        </w:rPr>
        <w:t xml:space="preserve"> </w:t>
      </w:r>
      <w:r>
        <w:rPr>
          <w:rFonts w:cs="Arial"/>
        </w:rPr>
        <w:t>an in</w:t>
      </w:r>
      <w:r w:rsidRPr="004F67CF">
        <w:rPr>
          <w:rFonts w:cs="Arial"/>
        </w:rPr>
        <w:t xml:space="preserve">sufficient </w:t>
      </w:r>
      <w:r>
        <w:rPr>
          <w:rFonts w:cs="Arial"/>
        </w:rPr>
        <w:t>amount of data</w:t>
      </w:r>
      <w:r w:rsidRPr="004F67CF">
        <w:rPr>
          <w:rFonts w:cs="Arial"/>
        </w:rPr>
        <w:t xml:space="preserve"> to assess</w:t>
      </w:r>
      <w:r>
        <w:rPr>
          <w:rFonts w:cs="Arial"/>
        </w:rPr>
        <w:t xml:space="preserve"> whether the policy </w:t>
      </w:r>
      <w:proofErr w:type="gramStart"/>
      <w:r>
        <w:rPr>
          <w:rFonts w:cs="Arial"/>
        </w:rPr>
        <w:t>should be rolled</w:t>
      </w:r>
      <w:r w:rsidR="00F63547">
        <w:rPr>
          <w:rFonts w:cs="Arial"/>
        </w:rPr>
        <w:t xml:space="preserve"> </w:t>
      </w:r>
      <w:r>
        <w:rPr>
          <w:rFonts w:cs="Arial"/>
        </w:rPr>
        <w:t>out</w:t>
      </w:r>
      <w:proofErr w:type="gramEnd"/>
      <w:r>
        <w:rPr>
          <w:rFonts w:cs="Arial"/>
        </w:rPr>
        <w:t xml:space="preserve"> nationally. </w:t>
      </w:r>
    </w:p>
    <w:p w14:paraId="3BB396CF" w14:textId="30CD383B" w:rsidR="002A3FB8" w:rsidRDefault="002A3FB8" w:rsidP="002A3FB8">
      <w:pPr>
        <w:rPr>
          <w:rFonts w:cs="Arial"/>
        </w:rPr>
      </w:pPr>
      <w:r>
        <w:rPr>
          <w:rFonts w:cs="Arial"/>
        </w:rPr>
        <w:t xml:space="preserve">In response to the wider review of disagreement resolution published in March 2017, the government committed to a two-year national </w:t>
      </w:r>
      <w:r w:rsidRPr="00A07B71">
        <w:rPr>
          <w:rFonts w:cs="Arial"/>
        </w:rPr>
        <w:t>trial</w:t>
      </w:r>
      <w:r>
        <w:rPr>
          <w:rFonts w:cs="Arial"/>
        </w:rPr>
        <w:t xml:space="preserve"> in early 2018 that, like the pilot,</w:t>
      </w:r>
      <w:r w:rsidRPr="00A07B71">
        <w:rPr>
          <w:rFonts w:cs="Arial"/>
        </w:rPr>
        <w:t xml:space="preserve"> will extend the powers of the Tribunal so that they can make </w:t>
      </w:r>
      <w:r>
        <w:rPr>
          <w:rFonts w:cs="Arial"/>
        </w:rPr>
        <w:t xml:space="preserve">non-binding </w:t>
      </w:r>
      <w:r w:rsidRPr="00A07B71">
        <w:rPr>
          <w:rFonts w:cs="Arial"/>
        </w:rPr>
        <w:t xml:space="preserve">recommendations on the health and social care aspects of EHC </w:t>
      </w:r>
      <w:r>
        <w:rPr>
          <w:rFonts w:cs="Arial"/>
        </w:rPr>
        <w:t xml:space="preserve">assessments and </w:t>
      </w:r>
      <w:r w:rsidRPr="00A07B71">
        <w:rPr>
          <w:rFonts w:cs="Arial"/>
        </w:rPr>
        <w:t>plans.</w:t>
      </w:r>
      <w:r>
        <w:rPr>
          <w:rFonts w:cs="Arial"/>
        </w:rPr>
        <w:t xml:space="preserve"> </w:t>
      </w:r>
      <w:r w:rsidR="00093EDE">
        <w:rPr>
          <w:rFonts w:cs="Arial"/>
        </w:rPr>
        <w:t>The national scale of the trial, and the extended timeframe, will enable collection of considerably more evidence on a higher volume of cases than the previous study.</w:t>
      </w:r>
    </w:p>
    <w:p w14:paraId="2DA3BB87" w14:textId="08E7A3EF" w:rsidR="00A57128" w:rsidRDefault="00A57128" w:rsidP="001F2CE2">
      <w:pPr>
        <w:pStyle w:val="Heading2"/>
      </w:pPr>
      <w:r w:rsidRPr="003E05F9">
        <w:t>Evaluation aims</w:t>
      </w:r>
    </w:p>
    <w:p w14:paraId="2D5DF5AA" w14:textId="4BFE5B24" w:rsidR="00512D07" w:rsidRDefault="002F3F8E" w:rsidP="000A0A6E">
      <w:pPr>
        <w:rPr>
          <w:rFonts w:cs="Arial"/>
        </w:rPr>
      </w:pPr>
      <w:r w:rsidRPr="002F3F8E">
        <w:rPr>
          <w:rFonts w:cs="Arial"/>
        </w:rPr>
        <w:t xml:space="preserve">In order </w:t>
      </w:r>
      <w:r w:rsidR="00512D07">
        <w:rPr>
          <w:rFonts w:cs="Arial"/>
        </w:rPr>
        <w:t>for the Department to</w:t>
      </w:r>
      <w:r w:rsidRPr="002F3F8E">
        <w:rPr>
          <w:rFonts w:cs="Arial"/>
        </w:rPr>
        <w:t xml:space="preserve"> make a decision on </w:t>
      </w:r>
      <w:proofErr w:type="gramStart"/>
      <w:r w:rsidRPr="002F3F8E">
        <w:rPr>
          <w:rFonts w:cs="Arial"/>
        </w:rPr>
        <w:t>roll-out</w:t>
      </w:r>
      <w:proofErr w:type="gramEnd"/>
      <w:r w:rsidRPr="002F3F8E">
        <w:rPr>
          <w:rFonts w:cs="Arial"/>
        </w:rPr>
        <w:t xml:space="preserve"> at the end of the trial, </w:t>
      </w:r>
      <w:r w:rsidR="00512D07">
        <w:rPr>
          <w:rFonts w:cs="Arial"/>
        </w:rPr>
        <w:t>the</w:t>
      </w:r>
      <w:r w:rsidRPr="002F3F8E">
        <w:rPr>
          <w:rFonts w:cs="Arial"/>
        </w:rPr>
        <w:t xml:space="preserve"> evaluation</w:t>
      </w:r>
      <w:r w:rsidR="00512D07">
        <w:rPr>
          <w:rFonts w:cs="Arial"/>
        </w:rPr>
        <w:t xml:space="preserve"> will:</w:t>
      </w:r>
    </w:p>
    <w:p w14:paraId="5F34A99D" w14:textId="63A03EED" w:rsidR="00512D07" w:rsidRDefault="00512D07" w:rsidP="00512D07">
      <w:pPr>
        <w:pStyle w:val="ListParagraph"/>
        <w:numPr>
          <w:ilvl w:val="0"/>
          <w:numId w:val="31"/>
        </w:numPr>
        <w:rPr>
          <w:rFonts w:cs="Arial"/>
        </w:rPr>
      </w:pPr>
      <w:r>
        <w:rPr>
          <w:rFonts w:cs="Arial"/>
        </w:rPr>
        <w:t xml:space="preserve">assess </w:t>
      </w:r>
      <w:r w:rsidR="002F3F8E" w:rsidRPr="00512D07">
        <w:rPr>
          <w:rFonts w:cs="Arial"/>
        </w:rPr>
        <w:t>whether the extended powers</w:t>
      </w:r>
      <w:r w:rsidR="00352556">
        <w:rPr>
          <w:rFonts w:cs="Arial"/>
        </w:rPr>
        <w:t xml:space="preserve"> </w:t>
      </w:r>
      <w:r w:rsidR="00785F16">
        <w:rPr>
          <w:rFonts w:cs="Arial"/>
        </w:rPr>
        <w:t>were implemented as intended</w:t>
      </w:r>
      <w:r w:rsidR="00352556">
        <w:rPr>
          <w:rFonts w:cs="Arial"/>
        </w:rPr>
        <w:t xml:space="preserve"> and whether they are</w:t>
      </w:r>
      <w:r w:rsidR="002F3F8E" w:rsidRPr="00512D07">
        <w:rPr>
          <w:rFonts w:cs="Arial"/>
        </w:rPr>
        <w:t xml:space="preserve"> deliverable and sustainable; </w:t>
      </w:r>
    </w:p>
    <w:p w14:paraId="65CD4497" w14:textId="4D5CFFF2" w:rsidR="00512D07" w:rsidRDefault="002F3F8E" w:rsidP="00512D07">
      <w:pPr>
        <w:pStyle w:val="ListParagraph"/>
        <w:numPr>
          <w:ilvl w:val="0"/>
          <w:numId w:val="31"/>
        </w:numPr>
        <w:rPr>
          <w:rFonts w:cs="Arial"/>
        </w:rPr>
      </w:pPr>
      <w:r w:rsidRPr="00512D07">
        <w:rPr>
          <w:rFonts w:cs="Arial"/>
        </w:rPr>
        <w:t>test processes/user-satisfa</w:t>
      </w:r>
      <w:r w:rsidR="003503CF">
        <w:rPr>
          <w:rFonts w:cs="Arial"/>
        </w:rPr>
        <w:t>c</w:t>
      </w:r>
      <w:r w:rsidRPr="00512D07">
        <w:rPr>
          <w:rFonts w:cs="Arial"/>
        </w:rPr>
        <w:t>tion</w:t>
      </w:r>
      <w:r w:rsidR="00F650D3">
        <w:rPr>
          <w:rFonts w:cs="Arial"/>
        </w:rPr>
        <w:t xml:space="preserve"> and assess whether </w:t>
      </w:r>
      <w:r w:rsidR="00352556">
        <w:rPr>
          <w:rFonts w:cs="Arial"/>
        </w:rPr>
        <w:t>any changes to the process or policy need to be made;</w:t>
      </w:r>
    </w:p>
    <w:p w14:paraId="64969736" w14:textId="5A60BD8C" w:rsidR="00512D07" w:rsidRDefault="002F3F8E" w:rsidP="00512D07">
      <w:pPr>
        <w:pStyle w:val="ListParagraph"/>
        <w:numPr>
          <w:ilvl w:val="0"/>
          <w:numId w:val="31"/>
        </w:numPr>
        <w:rPr>
          <w:rFonts w:cs="Arial"/>
        </w:rPr>
      </w:pPr>
      <w:r w:rsidRPr="00512D07">
        <w:rPr>
          <w:rFonts w:cs="Arial"/>
        </w:rPr>
        <w:t>provide indicative evidence on impact on children and young people with SEND</w:t>
      </w:r>
      <w:r w:rsidR="00512D07" w:rsidRPr="00512D07">
        <w:rPr>
          <w:rFonts w:cs="Arial"/>
        </w:rPr>
        <w:t xml:space="preserve"> and on commissioners</w:t>
      </w:r>
      <w:r w:rsidR="00F650D3">
        <w:rPr>
          <w:rFonts w:cs="Arial"/>
        </w:rPr>
        <w:t xml:space="preserve"> and services</w:t>
      </w:r>
      <w:r w:rsidR="00352556">
        <w:rPr>
          <w:rFonts w:cs="Arial"/>
        </w:rPr>
        <w:t>;</w:t>
      </w:r>
      <w:r w:rsidRPr="00512D07">
        <w:rPr>
          <w:rFonts w:cs="Arial"/>
        </w:rPr>
        <w:t xml:space="preserve"> </w:t>
      </w:r>
    </w:p>
    <w:p w14:paraId="13001369" w14:textId="5F1A4AB3" w:rsidR="00512D07" w:rsidRDefault="00352556" w:rsidP="00512D07">
      <w:pPr>
        <w:pStyle w:val="ListParagraph"/>
        <w:numPr>
          <w:ilvl w:val="0"/>
          <w:numId w:val="31"/>
        </w:numPr>
        <w:rPr>
          <w:rFonts w:cs="Arial"/>
        </w:rPr>
      </w:pPr>
      <w:r>
        <w:rPr>
          <w:rFonts w:cs="Arial"/>
        </w:rPr>
        <w:t>a</w:t>
      </w:r>
      <w:r w:rsidR="00512D07">
        <w:rPr>
          <w:rFonts w:cs="Arial"/>
        </w:rPr>
        <w:t xml:space="preserve">ssess </w:t>
      </w:r>
      <w:r w:rsidR="00F650D3">
        <w:rPr>
          <w:rFonts w:cs="Arial"/>
        </w:rPr>
        <w:t xml:space="preserve">any </w:t>
      </w:r>
      <w:r w:rsidR="00512D07" w:rsidRPr="00512D07">
        <w:rPr>
          <w:rFonts w:cs="Arial"/>
        </w:rPr>
        <w:t xml:space="preserve">wider implications for the health and care sectors and the </w:t>
      </w:r>
      <w:r>
        <w:rPr>
          <w:rFonts w:cs="Arial"/>
        </w:rPr>
        <w:t xml:space="preserve">broader </w:t>
      </w:r>
      <w:r w:rsidR="00512D07" w:rsidRPr="00512D07">
        <w:rPr>
          <w:rFonts w:cs="Arial"/>
        </w:rPr>
        <w:t>SEND system</w:t>
      </w:r>
      <w:r>
        <w:rPr>
          <w:rFonts w:cs="Arial"/>
        </w:rPr>
        <w:t>; and</w:t>
      </w:r>
    </w:p>
    <w:p w14:paraId="1B014D71" w14:textId="5813DE01" w:rsidR="00512D07" w:rsidRDefault="00352556" w:rsidP="00512D07">
      <w:pPr>
        <w:pStyle w:val="ListParagraph"/>
        <w:numPr>
          <w:ilvl w:val="0"/>
          <w:numId w:val="31"/>
        </w:numPr>
        <w:rPr>
          <w:rFonts w:cs="Arial"/>
        </w:rPr>
      </w:pPr>
      <w:proofErr w:type="gramStart"/>
      <w:r>
        <w:rPr>
          <w:rFonts w:cs="Arial"/>
        </w:rPr>
        <w:t>review</w:t>
      </w:r>
      <w:proofErr w:type="gramEnd"/>
      <w:r>
        <w:rPr>
          <w:rFonts w:cs="Arial"/>
        </w:rPr>
        <w:t xml:space="preserve"> </w:t>
      </w:r>
      <w:r w:rsidR="00F650D3" w:rsidRPr="000A0A6E">
        <w:rPr>
          <w:rFonts w:cs="Arial"/>
        </w:rPr>
        <w:t xml:space="preserve">whether there are lessons for improving the </w:t>
      </w:r>
      <w:r w:rsidR="00785F16">
        <w:rPr>
          <w:rFonts w:cs="Arial"/>
        </w:rPr>
        <w:t xml:space="preserve">SEND </w:t>
      </w:r>
      <w:r w:rsidR="00F650D3" w:rsidRPr="000A0A6E">
        <w:rPr>
          <w:rFonts w:cs="Arial"/>
        </w:rPr>
        <w:t>system</w:t>
      </w:r>
      <w:r w:rsidR="00785F16">
        <w:rPr>
          <w:rFonts w:cs="Arial"/>
        </w:rPr>
        <w:t xml:space="preserve"> to prevent and resolve disagreements</w:t>
      </w:r>
      <w:r>
        <w:rPr>
          <w:rFonts w:cs="Arial"/>
        </w:rPr>
        <w:t>.</w:t>
      </w:r>
    </w:p>
    <w:p w14:paraId="373DFB63" w14:textId="6B564D33" w:rsidR="000A0A6E" w:rsidRPr="000A0A6E" w:rsidRDefault="000A0A6E" w:rsidP="000A0A6E">
      <w:pPr>
        <w:rPr>
          <w:rFonts w:cs="Arial"/>
        </w:rPr>
      </w:pPr>
      <w:r w:rsidRPr="000A0A6E">
        <w:rPr>
          <w:rFonts w:cs="Arial"/>
        </w:rPr>
        <w:t>We suggest that the study address</w:t>
      </w:r>
      <w:r w:rsidR="00093EDE">
        <w:rPr>
          <w:rFonts w:cs="Arial"/>
        </w:rPr>
        <w:t>es</w:t>
      </w:r>
      <w:r w:rsidRPr="000A0A6E">
        <w:rPr>
          <w:rFonts w:cs="Arial"/>
        </w:rPr>
        <w:t xml:space="preserve"> the following main research questions:</w:t>
      </w:r>
    </w:p>
    <w:p w14:paraId="5FE1C51A" w14:textId="131B1AF1" w:rsidR="000A0A6E" w:rsidRPr="00093EDE" w:rsidRDefault="000A0A6E" w:rsidP="00093EDE">
      <w:pPr>
        <w:pStyle w:val="ListParagraph"/>
        <w:numPr>
          <w:ilvl w:val="0"/>
          <w:numId w:val="30"/>
        </w:numPr>
        <w:rPr>
          <w:rFonts w:cs="Arial"/>
        </w:rPr>
      </w:pPr>
      <w:r w:rsidRPr="00093EDE">
        <w:rPr>
          <w:rFonts w:cs="Arial"/>
        </w:rPr>
        <w:t xml:space="preserve">What is the perceived effect of Tribunal powers being extended on: </w:t>
      </w:r>
    </w:p>
    <w:p w14:paraId="735362DD" w14:textId="4C86F2DB" w:rsidR="000A0A6E" w:rsidRPr="00093EDE" w:rsidRDefault="000A0A6E" w:rsidP="00093EDE">
      <w:pPr>
        <w:pStyle w:val="ListParagraph"/>
        <w:numPr>
          <w:ilvl w:val="1"/>
          <w:numId w:val="30"/>
        </w:numPr>
        <w:rPr>
          <w:rFonts w:cs="Arial"/>
        </w:rPr>
      </w:pPr>
      <w:r w:rsidRPr="00093EDE">
        <w:rPr>
          <w:rFonts w:cs="Arial"/>
        </w:rPr>
        <w:t xml:space="preserve">Children’s and young people’s health and social care outcomes and needs? </w:t>
      </w:r>
    </w:p>
    <w:p w14:paraId="6104B21E" w14:textId="009B0EE1" w:rsidR="000A0A6E" w:rsidRPr="00093EDE" w:rsidRDefault="000A0A6E" w:rsidP="00093EDE">
      <w:pPr>
        <w:pStyle w:val="ListParagraph"/>
        <w:numPr>
          <w:ilvl w:val="1"/>
          <w:numId w:val="30"/>
        </w:numPr>
        <w:rPr>
          <w:rFonts w:cs="Arial"/>
        </w:rPr>
      </w:pPr>
      <w:r w:rsidRPr="00093EDE">
        <w:rPr>
          <w:rFonts w:cs="Arial"/>
        </w:rPr>
        <w:t>The process for families and commissioners?</w:t>
      </w:r>
    </w:p>
    <w:p w14:paraId="0C32103A" w14:textId="43B52B19" w:rsidR="000A0A6E" w:rsidRPr="00093EDE" w:rsidRDefault="000A0A6E" w:rsidP="00093EDE">
      <w:pPr>
        <w:pStyle w:val="ListParagraph"/>
        <w:numPr>
          <w:ilvl w:val="1"/>
          <w:numId w:val="30"/>
        </w:numPr>
        <w:rPr>
          <w:rFonts w:cs="Arial"/>
        </w:rPr>
      </w:pPr>
      <w:r w:rsidRPr="00093EDE">
        <w:rPr>
          <w:rFonts w:cs="Arial"/>
        </w:rPr>
        <w:t>The broader SEND system for services and commissioners?</w:t>
      </w:r>
    </w:p>
    <w:p w14:paraId="77A5470D" w14:textId="61B18AAD" w:rsidR="000A0A6E" w:rsidRPr="00093EDE" w:rsidRDefault="000A0A6E" w:rsidP="00093EDE">
      <w:pPr>
        <w:pStyle w:val="ListParagraph"/>
        <w:numPr>
          <w:ilvl w:val="0"/>
          <w:numId w:val="30"/>
        </w:numPr>
        <w:rPr>
          <w:rFonts w:cs="Arial"/>
        </w:rPr>
      </w:pPr>
      <w:r w:rsidRPr="00093EDE">
        <w:rPr>
          <w:rFonts w:cs="Arial"/>
        </w:rPr>
        <w:t xml:space="preserve">What additional costs are associated with the trial </w:t>
      </w:r>
      <w:r w:rsidR="0079160A">
        <w:rPr>
          <w:rFonts w:cs="Arial"/>
        </w:rPr>
        <w:t>for</w:t>
      </w:r>
      <w:r w:rsidRPr="00093EDE">
        <w:rPr>
          <w:rFonts w:cs="Arial"/>
        </w:rPr>
        <w:t xml:space="preserve">: </w:t>
      </w:r>
    </w:p>
    <w:p w14:paraId="1AA3B097" w14:textId="73220BFA" w:rsidR="000A0A6E" w:rsidRPr="00093EDE" w:rsidRDefault="0079160A" w:rsidP="00093EDE">
      <w:pPr>
        <w:pStyle w:val="ListParagraph"/>
        <w:numPr>
          <w:ilvl w:val="1"/>
          <w:numId w:val="30"/>
        </w:numPr>
        <w:rPr>
          <w:rFonts w:cs="Arial"/>
        </w:rPr>
      </w:pPr>
      <w:r>
        <w:rPr>
          <w:rFonts w:cs="Arial"/>
        </w:rPr>
        <w:t>LAs, CCGs and the Tribunal for</w:t>
      </w:r>
      <w:r w:rsidR="00D70670">
        <w:rPr>
          <w:rFonts w:cs="Arial"/>
        </w:rPr>
        <w:t xml:space="preserve"> </w:t>
      </w:r>
      <w:r>
        <w:rPr>
          <w:rFonts w:cs="Arial"/>
        </w:rPr>
        <w:t>o</w:t>
      </w:r>
      <w:r w:rsidR="000A0A6E" w:rsidRPr="00093EDE">
        <w:rPr>
          <w:rFonts w:cs="Arial"/>
        </w:rPr>
        <w:t>rganising and running the trial?</w:t>
      </w:r>
    </w:p>
    <w:p w14:paraId="14BA55DE" w14:textId="538EF382" w:rsidR="000A0A6E" w:rsidRPr="00093EDE" w:rsidRDefault="0079160A" w:rsidP="00093EDE">
      <w:pPr>
        <w:pStyle w:val="ListParagraph"/>
        <w:numPr>
          <w:ilvl w:val="1"/>
          <w:numId w:val="30"/>
        </w:numPr>
        <w:rPr>
          <w:rFonts w:cs="Arial"/>
        </w:rPr>
      </w:pPr>
      <w:r>
        <w:rPr>
          <w:rFonts w:cs="Arial"/>
        </w:rPr>
        <w:t xml:space="preserve">LAs, CCGs, </w:t>
      </w:r>
      <w:r w:rsidR="00D70670">
        <w:rPr>
          <w:rFonts w:cs="Arial"/>
        </w:rPr>
        <w:t>the Tribun</w:t>
      </w:r>
      <w:r>
        <w:rPr>
          <w:rFonts w:cs="Arial"/>
        </w:rPr>
        <w:t>al and appellants for p</w:t>
      </w:r>
      <w:r w:rsidR="000A0A6E" w:rsidRPr="00093EDE">
        <w:rPr>
          <w:rFonts w:cs="Arial"/>
        </w:rPr>
        <w:t>reparing and attending a hearing?</w:t>
      </w:r>
    </w:p>
    <w:p w14:paraId="5684B2B4" w14:textId="70A9C630" w:rsidR="00093EDE" w:rsidRDefault="0079160A" w:rsidP="000A0A6E">
      <w:pPr>
        <w:pStyle w:val="ListParagraph"/>
        <w:numPr>
          <w:ilvl w:val="1"/>
          <w:numId w:val="30"/>
        </w:numPr>
        <w:rPr>
          <w:rFonts w:cs="Arial"/>
        </w:rPr>
      </w:pPr>
      <w:r>
        <w:rPr>
          <w:rFonts w:cs="Arial"/>
        </w:rPr>
        <w:lastRenderedPageBreak/>
        <w:t>Local education, health and social care services and to families</w:t>
      </w:r>
      <w:r w:rsidR="009629FF">
        <w:rPr>
          <w:rFonts w:cs="Arial"/>
        </w:rPr>
        <w:t xml:space="preserve"> regarding i</w:t>
      </w:r>
      <w:r w:rsidR="000A0A6E" w:rsidRPr="00093EDE">
        <w:rPr>
          <w:rFonts w:cs="Arial"/>
        </w:rPr>
        <w:t>mplement</w:t>
      </w:r>
      <w:r w:rsidR="009629FF">
        <w:rPr>
          <w:rFonts w:cs="Arial"/>
        </w:rPr>
        <w:t>ation</w:t>
      </w:r>
      <w:r w:rsidR="000A0A6E" w:rsidRPr="00093EDE">
        <w:rPr>
          <w:rFonts w:cs="Arial"/>
        </w:rPr>
        <w:t xml:space="preserve"> </w:t>
      </w:r>
      <w:r w:rsidR="009629FF">
        <w:rPr>
          <w:rFonts w:cs="Arial"/>
        </w:rPr>
        <w:t xml:space="preserve">of </w:t>
      </w:r>
      <w:r w:rsidR="000A0A6E" w:rsidRPr="00093EDE">
        <w:rPr>
          <w:rFonts w:cs="Arial"/>
        </w:rPr>
        <w:t>the recommendations?</w:t>
      </w:r>
    </w:p>
    <w:p w14:paraId="6936B165" w14:textId="77777777" w:rsidR="00093EDE" w:rsidRDefault="000A0A6E" w:rsidP="004A600B">
      <w:pPr>
        <w:pStyle w:val="ListParagraph"/>
        <w:numPr>
          <w:ilvl w:val="0"/>
          <w:numId w:val="30"/>
        </w:numPr>
        <w:rPr>
          <w:rFonts w:cs="Arial"/>
        </w:rPr>
      </w:pPr>
      <w:r w:rsidRPr="00093EDE">
        <w:rPr>
          <w:rFonts w:cs="Arial"/>
        </w:rPr>
        <w:t xml:space="preserve">What is the evidence that the trial represented good value? </w:t>
      </w:r>
    </w:p>
    <w:p w14:paraId="402D5CE7" w14:textId="7CA536DD" w:rsidR="004A600B" w:rsidRPr="00093EDE" w:rsidRDefault="000A0A6E" w:rsidP="004A600B">
      <w:pPr>
        <w:pStyle w:val="ListParagraph"/>
        <w:numPr>
          <w:ilvl w:val="0"/>
          <w:numId w:val="30"/>
        </w:numPr>
        <w:rPr>
          <w:rFonts w:cs="Arial"/>
        </w:rPr>
      </w:pPr>
      <w:proofErr w:type="gramStart"/>
      <w:r w:rsidRPr="00093EDE">
        <w:rPr>
          <w:rFonts w:cs="Arial"/>
        </w:rPr>
        <w:t>Was the trial implemented as intended and are there any wider lessons for improving the system?</w:t>
      </w:r>
      <w:proofErr w:type="gramEnd"/>
    </w:p>
    <w:p w14:paraId="0E6B3F4B" w14:textId="2751E8B4" w:rsidR="004A600B" w:rsidRPr="004A600B" w:rsidRDefault="004A600B" w:rsidP="001F2CE2">
      <w:pPr>
        <w:pStyle w:val="Heading2"/>
      </w:pPr>
      <w:r>
        <w:t>Methodology</w:t>
      </w:r>
    </w:p>
    <w:p w14:paraId="3E34312C" w14:textId="045AA6A0" w:rsidR="00A731DA" w:rsidRPr="00327D08" w:rsidRDefault="00093EDE" w:rsidP="00A731DA">
      <w:r>
        <w:rPr>
          <w:rFonts w:cs="Arial"/>
        </w:rPr>
        <w:t>We are proposing a process and perception evaluation that will</w:t>
      </w:r>
      <w:r w:rsidRPr="00760665">
        <w:rPr>
          <w:rFonts w:cs="Arial"/>
        </w:rPr>
        <w:t xml:space="preserve"> gather evidence</w:t>
      </w:r>
      <w:r>
        <w:rPr>
          <w:rFonts w:cs="Arial"/>
        </w:rPr>
        <w:t xml:space="preserve"> on the implementation and</w:t>
      </w:r>
      <w:r w:rsidRPr="00760665">
        <w:rPr>
          <w:rFonts w:cs="Arial"/>
        </w:rPr>
        <w:t xml:space="preserve"> effectiveness</w:t>
      </w:r>
      <w:r>
        <w:rPr>
          <w:rFonts w:cs="Arial"/>
        </w:rPr>
        <w:t xml:space="preserve"> of the trial. </w:t>
      </w:r>
      <w:r w:rsidR="00C240D4" w:rsidRPr="00C240D4">
        <w:t xml:space="preserve">The </w:t>
      </w:r>
      <w:r w:rsidR="00C240D4">
        <w:t>design and</w:t>
      </w:r>
      <w:r w:rsidR="00C240D4" w:rsidRPr="00C240D4">
        <w:t xml:space="preserve"> content </w:t>
      </w:r>
      <w:r w:rsidR="00C240D4">
        <w:t xml:space="preserve">of the evaluation </w:t>
      </w:r>
      <w:proofErr w:type="gramStart"/>
      <w:r w:rsidR="00C240D4" w:rsidRPr="00C240D4">
        <w:t>will be co</w:t>
      </w:r>
      <w:r>
        <w:t>-</w:t>
      </w:r>
      <w:r w:rsidR="00C240D4" w:rsidRPr="00C240D4">
        <w:t>produced</w:t>
      </w:r>
      <w:proofErr w:type="gramEnd"/>
      <w:r w:rsidR="00C240D4" w:rsidRPr="00C240D4">
        <w:t xml:space="preserve"> with DfE policy experts and an external </w:t>
      </w:r>
      <w:r w:rsidR="00C240D4">
        <w:t>steering</w:t>
      </w:r>
      <w:r w:rsidR="00C240D4" w:rsidRPr="00C240D4">
        <w:t xml:space="preserve"> group.</w:t>
      </w:r>
      <w:r w:rsidR="00C240D4">
        <w:t xml:space="preserve"> </w:t>
      </w:r>
      <w:r w:rsidR="00C240D4" w:rsidRPr="00C240D4">
        <w:t xml:space="preserve">Contractors </w:t>
      </w:r>
      <w:proofErr w:type="gramStart"/>
      <w:r w:rsidR="00C240D4" w:rsidRPr="00C240D4">
        <w:t>are invited</w:t>
      </w:r>
      <w:proofErr w:type="gramEnd"/>
      <w:r w:rsidR="00C240D4" w:rsidRPr="00C240D4">
        <w:t xml:space="preserve"> to propose </w:t>
      </w:r>
      <w:r w:rsidR="00327D08">
        <w:t>the most suitable study design,</w:t>
      </w:r>
      <w:r w:rsidR="00C240D4" w:rsidRPr="00327D08">
        <w:t xml:space="preserve"> however, it is suggested that t</w:t>
      </w:r>
      <w:r w:rsidR="00A731DA" w:rsidRPr="00327D08">
        <w:t>his</w:t>
      </w:r>
      <w:r w:rsidR="00C240D4" w:rsidRPr="00327D08">
        <w:t xml:space="preserve"> use</w:t>
      </w:r>
      <w:r w:rsidR="00CF7878" w:rsidRPr="00327D08">
        <w:t>s</w:t>
      </w:r>
      <w:r w:rsidR="00C240D4" w:rsidRPr="00327D08">
        <w:t xml:space="preserve"> a combination of quantitative and qualitative methods</w:t>
      </w:r>
      <w:r w:rsidR="00A731DA" w:rsidRPr="00327D08">
        <w:t xml:space="preserve"> </w:t>
      </w:r>
      <w:r w:rsidR="00C240D4" w:rsidRPr="00327D08">
        <w:t xml:space="preserve">and </w:t>
      </w:r>
      <w:r w:rsidR="00A731DA" w:rsidRPr="00327D08">
        <w:t>include</w:t>
      </w:r>
      <w:r w:rsidR="00027BDB" w:rsidRPr="00327D08">
        <w:t>s</w:t>
      </w:r>
      <w:r w:rsidR="009F26F9" w:rsidRPr="00327D08">
        <w:t xml:space="preserve"> the following</w:t>
      </w:r>
      <w:r w:rsidR="00327D08">
        <w:t>:</w:t>
      </w:r>
    </w:p>
    <w:p w14:paraId="547AA9D9" w14:textId="462544AA" w:rsidR="000A0A6E" w:rsidRPr="00327D08" w:rsidRDefault="009A5382" w:rsidP="00FA5EFC">
      <w:pPr>
        <w:pStyle w:val="ListParagraph"/>
        <w:numPr>
          <w:ilvl w:val="0"/>
          <w:numId w:val="21"/>
        </w:numPr>
        <w:rPr>
          <w:rFonts w:cs="Arial"/>
        </w:rPr>
      </w:pPr>
      <w:r w:rsidRPr="00327D08">
        <w:t xml:space="preserve">A survey of appellants passing through the trial - appellants </w:t>
      </w:r>
      <w:proofErr w:type="gramStart"/>
      <w:r w:rsidRPr="00327D08">
        <w:t>should be contacted</w:t>
      </w:r>
      <w:proofErr w:type="gramEnd"/>
      <w:r w:rsidRPr="00327D08">
        <w:t xml:space="preserve"> as soon as possible after the conclusion of their appeal</w:t>
      </w:r>
      <w:r w:rsidR="00327D08">
        <w:t>,</w:t>
      </w:r>
      <w:r w:rsidRPr="00327D08">
        <w:t xml:space="preserve"> </w:t>
      </w:r>
      <w:r w:rsidR="00327D08">
        <w:t>and again at a determined period, to</w:t>
      </w:r>
      <w:r w:rsidRPr="00327D08">
        <w:t xml:space="preserve"> be invited to complete a survey either online or via phone. </w:t>
      </w:r>
    </w:p>
    <w:p w14:paraId="6D2BB9B6" w14:textId="77777777" w:rsidR="001C672F" w:rsidRPr="00327D08" w:rsidRDefault="001C672F" w:rsidP="001C672F">
      <w:pPr>
        <w:pStyle w:val="ListParagraph"/>
        <w:numPr>
          <w:ilvl w:val="0"/>
          <w:numId w:val="0"/>
        </w:numPr>
        <w:ind w:left="720"/>
      </w:pPr>
    </w:p>
    <w:p w14:paraId="0F6D3CAC" w14:textId="330F3C33" w:rsidR="00327D08" w:rsidRDefault="007A5DA6" w:rsidP="00327D08">
      <w:pPr>
        <w:pStyle w:val="ListParagraph"/>
        <w:numPr>
          <w:ilvl w:val="0"/>
          <w:numId w:val="21"/>
        </w:numPr>
      </w:pPr>
      <w:r w:rsidRPr="00327D08">
        <w:t>Multi-method</w:t>
      </w:r>
      <w:r w:rsidR="009A782E">
        <w:t xml:space="preserve">, </w:t>
      </w:r>
      <w:r w:rsidR="003C1F1B">
        <w:t>multi-agency</w:t>
      </w:r>
      <w:r w:rsidRPr="007A5DA6">
        <w:t xml:space="preserve"> case studies</w:t>
      </w:r>
      <w:r>
        <w:t xml:space="preserve"> </w:t>
      </w:r>
      <w:r w:rsidR="00D1326B">
        <w:t>–</w:t>
      </w:r>
      <w:r>
        <w:t xml:space="preserve"> </w:t>
      </w:r>
      <w:r w:rsidR="00D1326B">
        <w:t xml:space="preserve">the </w:t>
      </w:r>
      <w:r w:rsidR="00D1326B" w:rsidRPr="00D1326B">
        <w:t xml:space="preserve">contractor </w:t>
      </w:r>
      <w:r w:rsidR="00D1326B">
        <w:t>should</w:t>
      </w:r>
      <w:r w:rsidR="00D1326B" w:rsidRPr="00D1326B">
        <w:t xml:space="preserve"> undertake qualitative research (</w:t>
      </w:r>
      <w:proofErr w:type="spellStart"/>
      <w:r w:rsidR="00D1326B">
        <w:t>eg</w:t>
      </w:r>
      <w:proofErr w:type="spellEnd"/>
      <w:r w:rsidR="00D1326B">
        <w:t xml:space="preserve"> </w:t>
      </w:r>
      <w:r w:rsidR="00D1326B" w:rsidRPr="00D1326B">
        <w:t>face-to-face and telephone interviews, and multi-agency focus groups) in 10 to 15 local case study areas.</w:t>
      </w:r>
      <w:r w:rsidR="00D1326B">
        <w:t xml:space="preserve"> </w:t>
      </w:r>
    </w:p>
    <w:p w14:paraId="2A0521F3" w14:textId="77777777" w:rsidR="00327D08" w:rsidRPr="00D1326B" w:rsidRDefault="00327D08" w:rsidP="00327D08">
      <w:pPr>
        <w:pStyle w:val="ListParagraph"/>
        <w:numPr>
          <w:ilvl w:val="0"/>
          <w:numId w:val="0"/>
        </w:numPr>
        <w:ind w:left="720"/>
      </w:pPr>
    </w:p>
    <w:p w14:paraId="0CC3D608" w14:textId="6A6A4975" w:rsidR="00167210" w:rsidRPr="001C672F" w:rsidRDefault="00D1326B" w:rsidP="00167210">
      <w:pPr>
        <w:pStyle w:val="ListParagraph"/>
        <w:numPr>
          <w:ilvl w:val="0"/>
          <w:numId w:val="21"/>
        </w:numPr>
      </w:pPr>
      <w:r w:rsidRPr="00D1326B">
        <w:t xml:space="preserve">Cost case studies </w:t>
      </w:r>
      <w:r w:rsidR="00027BDB">
        <w:t>–</w:t>
      </w:r>
      <w:r w:rsidR="002A3FB8">
        <w:t xml:space="preserve"> </w:t>
      </w:r>
      <w:r w:rsidR="00027BDB">
        <w:t>The cost to b</w:t>
      </w:r>
      <w:r w:rsidR="002A3FB8" w:rsidRPr="002A3FB8">
        <w:t xml:space="preserve">oth public services and families will need to </w:t>
      </w:r>
      <w:proofErr w:type="gramStart"/>
      <w:r w:rsidR="002A3FB8" w:rsidRPr="002A3FB8">
        <w:t>be estimated</w:t>
      </w:r>
      <w:proofErr w:type="gramEnd"/>
      <w:r w:rsidR="002A3FB8" w:rsidRPr="002A3FB8">
        <w:t xml:space="preserve"> in order to understand the extent of additional financial requirements the trial may present.</w:t>
      </w:r>
      <w:r w:rsidR="00167210">
        <w:t xml:space="preserve"> </w:t>
      </w:r>
    </w:p>
    <w:p w14:paraId="22EA2748" w14:textId="77777777" w:rsidR="001C672F" w:rsidRDefault="001C672F" w:rsidP="001C672F">
      <w:pPr>
        <w:pStyle w:val="ListParagraph"/>
        <w:numPr>
          <w:ilvl w:val="0"/>
          <w:numId w:val="0"/>
        </w:numPr>
        <w:ind w:left="720"/>
      </w:pPr>
    </w:p>
    <w:p w14:paraId="0BA5F4B0" w14:textId="4719D401" w:rsidR="001C672F" w:rsidRDefault="001C672F" w:rsidP="001C672F">
      <w:pPr>
        <w:pStyle w:val="ListParagraph"/>
      </w:pPr>
      <w:r>
        <w:t>National LA and CCG survey - The contractor should set up an online national survey for education, health and social care commissioners to fill in at the point of appeal asking them how much time and resource they had committed in preparing for and attending trial Tribunal cases. We hope that this national survey will provide a quantitative sample of cost data to analyse alongside the more detailed cost evidence collected through qualitative case studies.</w:t>
      </w:r>
    </w:p>
    <w:p w14:paraId="44E70ED8" w14:textId="77777777" w:rsidR="001C672F" w:rsidRDefault="001C672F" w:rsidP="001C672F">
      <w:pPr>
        <w:pStyle w:val="ListParagraph"/>
        <w:numPr>
          <w:ilvl w:val="0"/>
          <w:numId w:val="0"/>
        </w:numPr>
        <w:ind w:left="720"/>
      </w:pPr>
    </w:p>
    <w:p w14:paraId="6B01A38F" w14:textId="7E447349" w:rsidR="001C672F" w:rsidRPr="00167210" w:rsidRDefault="001C672F" w:rsidP="001C672F">
      <w:pPr>
        <w:pStyle w:val="ListParagraph"/>
      </w:pPr>
      <w:r w:rsidRPr="004139E1">
        <w:t xml:space="preserve">Statistical analysis of </w:t>
      </w:r>
      <w:r w:rsidR="003C6265">
        <w:t>management information (</w:t>
      </w:r>
      <w:r>
        <w:t>MI</w:t>
      </w:r>
      <w:r w:rsidR="003C6265">
        <w:t>)</w:t>
      </w:r>
      <w:r>
        <w:t xml:space="preserve"> </w:t>
      </w:r>
      <w:r w:rsidRPr="004139E1">
        <w:t>data collected by the Tribunal</w:t>
      </w:r>
      <w:r>
        <w:t xml:space="preserve"> – analysis o</w:t>
      </w:r>
      <w:r>
        <w:rPr>
          <w:rFonts w:cs="Arial"/>
        </w:rPr>
        <w:t>f pertinent data on appeals collected by the Tribunal during the trial.</w:t>
      </w:r>
    </w:p>
    <w:p w14:paraId="38EC8BC0" w14:textId="77777777" w:rsidR="001C672F" w:rsidRPr="004139E1" w:rsidRDefault="001C672F" w:rsidP="001C672F">
      <w:pPr>
        <w:pStyle w:val="ListParagraph"/>
        <w:numPr>
          <w:ilvl w:val="0"/>
          <w:numId w:val="0"/>
        </w:numPr>
        <w:ind w:left="720"/>
      </w:pPr>
    </w:p>
    <w:p w14:paraId="65BA26AE" w14:textId="77777777" w:rsidR="001C672F" w:rsidRDefault="001C672F" w:rsidP="001C672F">
      <w:pPr>
        <w:pStyle w:val="ListParagraph"/>
      </w:pPr>
      <w:r>
        <w:t>M</w:t>
      </w:r>
      <w:r w:rsidRPr="004139E1">
        <w:t>easuring case flow in traditional health and social care redress routes</w:t>
      </w:r>
      <w:r>
        <w:t xml:space="preserve"> – this could involve, for example,</w:t>
      </w:r>
      <w:r w:rsidRPr="004139E1">
        <w:t xml:space="preserve"> analysis of existing MI that relevant organisations might hold on volume of cases pre and post-trial or professional opinion sought in case study interviews.</w:t>
      </w:r>
    </w:p>
    <w:p w14:paraId="316ACA90" w14:textId="77777777" w:rsidR="001C672F" w:rsidRDefault="001C672F" w:rsidP="001C672F">
      <w:pPr>
        <w:pStyle w:val="ListParagraph"/>
        <w:numPr>
          <w:ilvl w:val="0"/>
          <w:numId w:val="0"/>
        </w:numPr>
        <w:ind w:left="720"/>
      </w:pPr>
    </w:p>
    <w:p w14:paraId="5D05F440" w14:textId="6E25FC97" w:rsidR="00167210" w:rsidRDefault="001C672F" w:rsidP="00327D08">
      <w:pPr>
        <w:pStyle w:val="ListParagraph"/>
        <w:numPr>
          <w:ilvl w:val="0"/>
          <w:numId w:val="32"/>
        </w:numPr>
      </w:pPr>
      <w:r w:rsidRPr="00CB2467">
        <w:t xml:space="preserve">Analysis of a sample of response to recommendations letters </w:t>
      </w:r>
      <w:r w:rsidR="003C1F1B">
        <w:t>–</w:t>
      </w:r>
      <w:r w:rsidRPr="00CB2467">
        <w:t xml:space="preserve"> </w:t>
      </w:r>
      <w:r w:rsidR="003C1F1B">
        <w:t xml:space="preserve">the contractor should </w:t>
      </w:r>
      <w:r w:rsidRPr="007A5DA6">
        <w:t xml:space="preserve">collect the response to recommendation letters from health and social care commissioners to enable an analysis of why recommendations were/were not followed. </w:t>
      </w:r>
    </w:p>
    <w:p w14:paraId="1D1945EE" w14:textId="77777777" w:rsidR="00327D08" w:rsidRDefault="00327D08" w:rsidP="00327D08">
      <w:pPr>
        <w:pStyle w:val="ListParagraph"/>
        <w:numPr>
          <w:ilvl w:val="0"/>
          <w:numId w:val="0"/>
        </w:numPr>
        <w:ind w:left="720"/>
      </w:pPr>
    </w:p>
    <w:p w14:paraId="10B06B9B" w14:textId="719696BF" w:rsidR="009A782E" w:rsidRPr="00327D08" w:rsidRDefault="00D1326B" w:rsidP="00327D08">
      <w:pPr>
        <w:pStyle w:val="ListParagraph"/>
        <w:numPr>
          <w:ilvl w:val="0"/>
          <w:numId w:val="21"/>
        </w:numPr>
        <w:rPr>
          <w:rFonts w:cs="Arial"/>
        </w:rPr>
      </w:pPr>
      <w:r w:rsidRPr="00D1326B">
        <w:t>An analysis drawing on all data sources to support a decision on making the trial permanent</w:t>
      </w:r>
      <w:r w:rsidR="00167210">
        <w:t xml:space="preserve"> - </w:t>
      </w:r>
      <w:r w:rsidR="00EF531B">
        <w:t>r</w:t>
      </w:r>
      <w:r w:rsidR="00167210" w:rsidRPr="00167210">
        <w:t>esearcher will synt</w:t>
      </w:r>
      <w:r w:rsidR="005D57E2">
        <w:t>hesi</w:t>
      </w:r>
      <w:r w:rsidR="00D70670">
        <w:t>s</w:t>
      </w:r>
      <w:r w:rsidR="00EF531B">
        <w:t>e</w:t>
      </w:r>
      <w:r w:rsidR="005D57E2">
        <w:t xml:space="preserve"> the</w:t>
      </w:r>
      <w:r w:rsidR="00167210" w:rsidRPr="00167210">
        <w:t xml:space="preserve"> evidence </w:t>
      </w:r>
      <w:r w:rsidR="005D57E2">
        <w:t xml:space="preserve">collected above </w:t>
      </w:r>
      <w:r w:rsidR="00167210" w:rsidRPr="00167210">
        <w:t xml:space="preserve">to support a decision on </w:t>
      </w:r>
      <w:proofErr w:type="gramStart"/>
      <w:r w:rsidR="00167210" w:rsidRPr="00167210">
        <w:t>roll-out</w:t>
      </w:r>
      <w:proofErr w:type="gramEnd"/>
      <w:r w:rsidR="00167210" w:rsidRPr="00167210">
        <w:t xml:space="preserve">. </w:t>
      </w:r>
    </w:p>
    <w:p w14:paraId="39220A7C" w14:textId="77777777" w:rsidR="00327D08" w:rsidRPr="00327D08" w:rsidRDefault="00327D08" w:rsidP="00327D08">
      <w:pPr>
        <w:pStyle w:val="ListParagraph"/>
        <w:numPr>
          <w:ilvl w:val="0"/>
          <w:numId w:val="0"/>
        </w:numPr>
        <w:ind w:left="720"/>
        <w:rPr>
          <w:rFonts w:cs="Arial"/>
        </w:rPr>
      </w:pPr>
    </w:p>
    <w:p w14:paraId="0B233AD4" w14:textId="59654110" w:rsidR="00785F16" w:rsidRPr="00327D08" w:rsidRDefault="00785F16" w:rsidP="00327D08">
      <w:pPr>
        <w:rPr>
          <w:rFonts w:cs="Arial"/>
        </w:rPr>
      </w:pPr>
      <w:r w:rsidRPr="00327D08">
        <w:rPr>
          <w:rFonts w:cs="Arial"/>
        </w:rPr>
        <w:lastRenderedPageBreak/>
        <w:t>Because the proposal is to run a national pilot, there will not be a control group, which means that we do not expect the study to provide a full impact evaluation with cost benefit analysis</w:t>
      </w:r>
      <w:r w:rsidR="00E25136" w:rsidRPr="00327D08">
        <w:rPr>
          <w:rFonts w:cs="Arial"/>
        </w:rPr>
        <w:t xml:space="preserve">. The purpose of the research is </w:t>
      </w:r>
      <w:r w:rsidR="00327D08" w:rsidRPr="00327D08">
        <w:rPr>
          <w:rFonts w:cs="Arial"/>
        </w:rPr>
        <w:t xml:space="preserve">to </w:t>
      </w:r>
      <w:r w:rsidR="009A782E" w:rsidRPr="00327D08">
        <w:rPr>
          <w:rFonts w:cs="Arial"/>
        </w:rPr>
        <w:t>deliver evidence on the</w:t>
      </w:r>
      <w:r w:rsidR="00E25136" w:rsidRPr="00327D08">
        <w:rPr>
          <w:rFonts w:cs="Arial"/>
        </w:rPr>
        <w:t xml:space="preserve"> process </w:t>
      </w:r>
      <w:r w:rsidR="00FA5EFC" w:rsidRPr="00327D08">
        <w:rPr>
          <w:rFonts w:cs="Arial"/>
        </w:rPr>
        <w:t xml:space="preserve">and perceptions </w:t>
      </w:r>
      <w:r w:rsidR="00E25136" w:rsidRPr="00327D08">
        <w:rPr>
          <w:rFonts w:cs="Arial"/>
        </w:rPr>
        <w:t xml:space="preserve">of implementation </w:t>
      </w:r>
      <w:r w:rsidR="00FA5EFC" w:rsidRPr="00327D08">
        <w:rPr>
          <w:rFonts w:cs="Arial"/>
        </w:rPr>
        <w:t>as set out in the evaluation aims above</w:t>
      </w:r>
      <w:r w:rsidRPr="00327D08">
        <w:rPr>
          <w:rFonts w:cs="Arial"/>
        </w:rPr>
        <w:t xml:space="preserve">. </w:t>
      </w:r>
    </w:p>
    <w:p w14:paraId="6731D112" w14:textId="6BE7F78C" w:rsidR="00A731DA" w:rsidRDefault="00A731DA" w:rsidP="00A731DA">
      <w:r>
        <w:t>We expect applicants who are invited to submit a full tender to include advice on the most appropriate and cost-effective methodologies.</w:t>
      </w:r>
    </w:p>
    <w:p w14:paraId="502BE6FA" w14:textId="25273FA5" w:rsidR="004A600B" w:rsidRDefault="004A600B" w:rsidP="001F2CE2">
      <w:pPr>
        <w:pStyle w:val="Heading2"/>
      </w:pPr>
      <w:r>
        <w:t>Timing</w:t>
      </w:r>
    </w:p>
    <w:p w14:paraId="603063C9" w14:textId="504F2300" w:rsidR="00A731DA" w:rsidRDefault="00A731DA" w:rsidP="00A731DA">
      <w:r>
        <w:t xml:space="preserve">The national trial </w:t>
      </w:r>
      <w:proofErr w:type="gramStart"/>
      <w:r>
        <w:t>is expected</w:t>
      </w:r>
      <w:proofErr w:type="gramEnd"/>
      <w:r>
        <w:t xml:space="preserve"> to start in March 2018 and </w:t>
      </w:r>
      <w:r w:rsidR="00C240D4">
        <w:t>is due to finish in March 2020.  W</w:t>
      </w:r>
      <w:r w:rsidR="000A0A6E" w:rsidRPr="000A0A6E">
        <w:t xml:space="preserve">e expect a final report from the evaluators in summer 2020 </w:t>
      </w:r>
      <w:r w:rsidR="00C240D4">
        <w:t>and</w:t>
      </w:r>
      <w:r w:rsidR="000A0A6E" w:rsidRPr="000A0A6E">
        <w:t xml:space="preserve"> a provisional report in September 2019 following one year of trial data.</w:t>
      </w:r>
    </w:p>
    <w:p w14:paraId="1D6A978F" w14:textId="77777777" w:rsidR="00C240D4" w:rsidRDefault="00C240D4" w:rsidP="00C240D4">
      <w:r>
        <w:t xml:space="preserve">The tendering process will follow the timetable below: </w:t>
      </w:r>
    </w:p>
    <w:p w14:paraId="3B70EE36" w14:textId="4CEFCFDF" w:rsidR="00A731DA" w:rsidRDefault="00A731DA" w:rsidP="00C240D4">
      <w:pPr>
        <w:pStyle w:val="ListParagraph"/>
        <w:numPr>
          <w:ilvl w:val="0"/>
          <w:numId w:val="22"/>
        </w:numPr>
      </w:pPr>
      <w:r>
        <w:t xml:space="preserve">Deadline for return of EOIs to the Department – </w:t>
      </w:r>
      <w:r w:rsidR="0094251B">
        <w:t>1</w:t>
      </w:r>
      <w:r w:rsidR="009A5382">
        <w:t>3</w:t>
      </w:r>
      <w:r w:rsidR="0094251B">
        <w:t xml:space="preserve"> October 2017</w:t>
      </w:r>
      <w:r w:rsidR="00C240D4">
        <w:t xml:space="preserve"> (10 days)</w:t>
      </w:r>
    </w:p>
    <w:p w14:paraId="766F6D13" w14:textId="272447AB" w:rsidR="00A731DA" w:rsidRDefault="00A731DA" w:rsidP="00A731DA">
      <w:pPr>
        <w:pStyle w:val="ListParagraph"/>
        <w:numPr>
          <w:ilvl w:val="0"/>
          <w:numId w:val="18"/>
        </w:numPr>
      </w:pPr>
      <w:r>
        <w:t xml:space="preserve">Invitations to Tender issued – </w:t>
      </w:r>
      <w:r w:rsidR="009A5382">
        <w:t>23 October 2017</w:t>
      </w:r>
    </w:p>
    <w:p w14:paraId="2BB85B7A" w14:textId="7730AD66" w:rsidR="00A731DA" w:rsidRDefault="00A731DA" w:rsidP="00A731DA">
      <w:pPr>
        <w:pStyle w:val="ListParagraph"/>
        <w:numPr>
          <w:ilvl w:val="0"/>
          <w:numId w:val="18"/>
        </w:numPr>
      </w:pPr>
      <w:r>
        <w:t xml:space="preserve">Deadline for bids to be submitted to the Department – </w:t>
      </w:r>
      <w:r w:rsidR="009A5382">
        <w:t>10 November 2017</w:t>
      </w:r>
      <w:r w:rsidR="00C240D4">
        <w:t xml:space="preserve"> (15 days)</w:t>
      </w:r>
    </w:p>
    <w:p w14:paraId="0B622DB4" w14:textId="22F0EA6D" w:rsidR="007E0083" w:rsidRPr="007E0083" w:rsidRDefault="00A731DA" w:rsidP="00A731DA">
      <w:pPr>
        <w:pStyle w:val="ListParagraph"/>
        <w:numPr>
          <w:ilvl w:val="0"/>
          <w:numId w:val="18"/>
        </w:numPr>
      </w:pPr>
      <w:r>
        <w:t xml:space="preserve">Contract signed – by </w:t>
      </w:r>
      <w:r w:rsidR="009A5382">
        <w:t>15 December 2017</w:t>
      </w:r>
    </w:p>
    <w:p w14:paraId="0D2B2C65" w14:textId="41DF3DE1" w:rsidR="004A600B" w:rsidRPr="004A600B" w:rsidRDefault="004A600B" w:rsidP="007E0083">
      <w:pPr>
        <w:pStyle w:val="Heading2"/>
      </w:pPr>
      <w:r w:rsidRPr="004A600B">
        <w:t>Assessment criteria</w:t>
      </w:r>
    </w:p>
    <w:p w14:paraId="36AF5767" w14:textId="77777777" w:rsidR="00A731DA" w:rsidRDefault="00A731DA" w:rsidP="00A731DA">
      <w:r>
        <w:t xml:space="preserve">Expressions of interest </w:t>
      </w:r>
      <w:proofErr w:type="gramStart"/>
      <w:r>
        <w:t>will be assessed</w:t>
      </w:r>
      <w:proofErr w:type="gramEnd"/>
      <w:r>
        <w:t xml:space="preserve"> against the following criteria: </w:t>
      </w:r>
    </w:p>
    <w:p w14:paraId="62925949" w14:textId="1B60B602" w:rsidR="00A731DA" w:rsidRDefault="00A731DA" w:rsidP="00A731DA">
      <w:pPr>
        <w:pStyle w:val="ListParagraph"/>
        <w:numPr>
          <w:ilvl w:val="0"/>
          <w:numId w:val="20"/>
        </w:numPr>
      </w:pPr>
      <w:r>
        <w:t xml:space="preserve">Capacity to develop an appropriate methodology </w:t>
      </w:r>
      <w:r w:rsidR="00D70670">
        <w:t xml:space="preserve">that offers value for money </w:t>
      </w:r>
      <w:r>
        <w:t>and</w:t>
      </w:r>
      <w:r w:rsidR="00AB298C">
        <w:t xml:space="preserve"> to</w:t>
      </w:r>
      <w:r>
        <w:t xml:space="preserve"> conduct the necessary fieldwork, analysis and reporting</w:t>
      </w:r>
      <w:r w:rsidR="00027BDB">
        <w:t xml:space="preserve"> to the timelines indicated</w:t>
      </w:r>
    </w:p>
    <w:p w14:paraId="7D708D8A" w14:textId="402F3A6D" w:rsidR="00D70670" w:rsidRDefault="00A731DA" w:rsidP="00A731DA">
      <w:pPr>
        <w:pStyle w:val="ListParagraph"/>
        <w:numPr>
          <w:ilvl w:val="0"/>
          <w:numId w:val="20"/>
        </w:numPr>
      </w:pPr>
      <w:r>
        <w:t xml:space="preserve">Evidence of experience </w:t>
      </w:r>
      <w:r w:rsidR="00B13AFE">
        <w:t>of the methodologies to be used for the</w:t>
      </w:r>
      <w:r w:rsidR="00D70670">
        <w:t xml:space="preserve"> process evaluation</w:t>
      </w:r>
      <w:r>
        <w:t xml:space="preserve"> </w:t>
      </w:r>
      <w:r w:rsidR="00D70670">
        <w:t>and a successful track record in project management skills and delivering to tight timescales</w:t>
      </w:r>
    </w:p>
    <w:p w14:paraId="2C6E163B" w14:textId="20075793" w:rsidR="00A731DA" w:rsidRDefault="00A731DA" w:rsidP="00A731DA">
      <w:pPr>
        <w:pStyle w:val="ListParagraph"/>
        <w:numPr>
          <w:ilvl w:val="0"/>
          <w:numId w:val="20"/>
        </w:numPr>
      </w:pPr>
      <w:r>
        <w:t xml:space="preserve">Evidence of experience in delivering </w:t>
      </w:r>
      <w:r w:rsidR="00B13AFE">
        <w:t xml:space="preserve">a </w:t>
      </w:r>
      <w:r>
        <w:t xml:space="preserve">clear </w:t>
      </w:r>
      <w:r w:rsidR="00B13AFE">
        <w:t>report</w:t>
      </w:r>
      <w:r>
        <w:t xml:space="preserve"> with real practical applications</w:t>
      </w:r>
    </w:p>
    <w:p w14:paraId="54B76A7C" w14:textId="47EF7B02" w:rsidR="00BA6A1B" w:rsidRDefault="00BA6A1B" w:rsidP="00BA6A1B">
      <w:pPr>
        <w:pStyle w:val="ListParagraph"/>
        <w:numPr>
          <w:ilvl w:val="0"/>
          <w:numId w:val="20"/>
        </w:numPr>
      </w:pPr>
      <w:r>
        <w:t>Understanding of SEND policy and practice, and the department’s requirements</w:t>
      </w:r>
    </w:p>
    <w:p w14:paraId="2C6D261A" w14:textId="3534FBEA" w:rsidR="00B13AFE" w:rsidRPr="00915C18" w:rsidRDefault="00B13AFE" w:rsidP="00B13AFE">
      <w:pPr>
        <w:pStyle w:val="ListParagraph"/>
        <w:numPr>
          <w:ilvl w:val="0"/>
          <w:numId w:val="0"/>
        </w:numPr>
        <w:ind w:left="720"/>
      </w:pP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4216A9EE" w:rsidR="00915C18" w:rsidRDefault="00915C18" w:rsidP="00915C18">
            <w:pPr>
              <w:spacing w:before="160"/>
              <w:rPr>
                <w:b/>
                <w:bCs/>
                <w:sz w:val="28"/>
                <w:szCs w:val="20"/>
              </w:rPr>
            </w:pPr>
            <w:r w:rsidRPr="00915C18">
              <w:rPr>
                <w:b/>
                <w:bCs/>
                <w:sz w:val="28"/>
                <w:szCs w:val="20"/>
              </w:rPr>
              <w:t>Closing date for EOIs:</w:t>
            </w:r>
            <w:r w:rsidR="00A731DA">
              <w:rPr>
                <w:b/>
                <w:bCs/>
                <w:sz w:val="28"/>
                <w:szCs w:val="20"/>
              </w:rPr>
              <w:t xml:space="preserve"> </w:t>
            </w:r>
            <w:r w:rsidR="00BA3674">
              <w:rPr>
                <w:b/>
                <w:bCs/>
                <w:sz w:val="28"/>
                <w:szCs w:val="20"/>
              </w:rPr>
              <w:t xml:space="preserve">5pm on </w:t>
            </w:r>
            <w:r w:rsidR="00A731DA">
              <w:rPr>
                <w:b/>
                <w:bCs/>
                <w:sz w:val="28"/>
                <w:szCs w:val="20"/>
              </w:rPr>
              <w:t>1</w:t>
            </w:r>
            <w:r w:rsidR="009A5382">
              <w:rPr>
                <w:b/>
                <w:bCs/>
                <w:sz w:val="28"/>
                <w:szCs w:val="20"/>
              </w:rPr>
              <w:t>3</w:t>
            </w:r>
            <w:r w:rsidR="00A731DA">
              <w:rPr>
                <w:b/>
                <w:bCs/>
                <w:sz w:val="28"/>
                <w:szCs w:val="20"/>
              </w:rPr>
              <w:t xml:space="preserve"> October 2017</w:t>
            </w:r>
          </w:p>
          <w:p w14:paraId="665D7CA7" w14:textId="77777777" w:rsidR="001A2AFA" w:rsidRDefault="00915C18" w:rsidP="007519C2">
            <w:pPr>
              <w:rPr>
                <w:b/>
                <w:bCs/>
                <w:sz w:val="28"/>
                <w:szCs w:val="20"/>
              </w:rPr>
            </w:pPr>
            <w:r w:rsidRPr="00915C18">
              <w:rPr>
                <w:b/>
                <w:bCs/>
                <w:sz w:val="28"/>
                <w:szCs w:val="20"/>
              </w:rPr>
              <w:t>Send your EOI form to:</w:t>
            </w:r>
            <w:r w:rsidR="00A731DA">
              <w:rPr>
                <w:b/>
                <w:bCs/>
                <w:sz w:val="28"/>
                <w:szCs w:val="20"/>
              </w:rPr>
              <w:t xml:space="preserve"> </w:t>
            </w:r>
            <w:hyperlink r:id="rId15" w:history="1">
              <w:r w:rsidR="00BA6A1B" w:rsidRPr="00082B69">
                <w:rPr>
                  <w:rStyle w:val="Hyperlink"/>
                  <w:b/>
                  <w:bCs/>
                  <w:sz w:val="28"/>
                  <w:szCs w:val="20"/>
                </w:rPr>
                <w:t>Contracts2018-19.SEND@education.gov.uk</w:t>
              </w:r>
            </w:hyperlink>
            <w:r w:rsidR="00BA6A1B">
              <w:rPr>
                <w:b/>
                <w:bCs/>
                <w:sz w:val="28"/>
                <w:szCs w:val="20"/>
              </w:rPr>
              <w:t xml:space="preserve"> </w:t>
            </w:r>
          </w:p>
          <w:p w14:paraId="5178F3E6" w14:textId="444D11B2" w:rsidR="001A2AFA" w:rsidRPr="001A2AFA" w:rsidRDefault="001A2AFA" w:rsidP="007519C2">
            <w:pPr>
              <w:rPr>
                <w:b/>
                <w:bCs/>
                <w:sz w:val="28"/>
                <w:szCs w:val="20"/>
              </w:rPr>
            </w:pPr>
            <w:r>
              <w:rPr>
                <w:b/>
                <w:bCs/>
                <w:sz w:val="28"/>
                <w:szCs w:val="20"/>
              </w:rPr>
              <w:t xml:space="preserve">EOI word limit - </w:t>
            </w:r>
            <w:bookmarkStart w:id="0" w:name="_GoBack"/>
            <w:bookmarkEnd w:id="0"/>
            <w:r>
              <w:rPr>
                <w:b/>
                <w:bCs/>
                <w:sz w:val="28"/>
                <w:szCs w:val="20"/>
              </w:rPr>
              <w:t>1000 words</w:t>
            </w:r>
          </w:p>
        </w:tc>
      </w:tr>
    </w:tbl>
    <w:p w14:paraId="5CE1D345" w14:textId="77777777" w:rsidR="00FC2B3C" w:rsidRDefault="00FC2B3C" w:rsidP="00995398">
      <w:pPr>
        <w:pStyle w:val="EndBox"/>
      </w:pPr>
    </w:p>
    <w:p w14:paraId="3EA17F59" w14:textId="33DE1A8B" w:rsidR="00915C18" w:rsidRPr="003E05F9" w:rsidRDefault="00094338" w:rsidP="001F2CE2">
      <w:pPr>
        <w:pStyle w:val="Heading2"/>
      </w:pPr>
      <w:r>
        <w:t>H</w:t>
      </w:r>
      <w:r w:rsidR="00915C18" w:rsidRPr="003E05F9">
        <w:t xml:space="preserve">ow to submit an </w:t>
      </w:r>
      <w:r w:rsidRPr="00094338">
        <w:t>e</w:t>
      </w:r>
      <w:r w:rsidR="004229E6">
        <w:t>xpression</w:t>
      </w:r>
      <w:r w:rsidRPr="00094338">
        <w:t xml:space="preserve"> of interest</w:t>
      </w:r>
    </w:p>
    <w:p w14:paraId="53D8E246" w14:textId="115FC61B" w:rsidR="00814CCF" w:rsidRDefault="00814CCF" w:rsidP="00814CCF">
      <w:r>
        <w:t xml:space="preserve">You must submit an expression of interest (EOI) in order to </w:t>
      </w:r>
      <w:proofErr w:type="gramStart"/>
      <w:r>
        <w:t>be considered to be invited</w:t>
      </w:r>
      <w:proofErr w:type="gramEnd"/>
      <w:r>
        <w:t xml:space="preserve"> to tender. To do so, please complete the Expression of Interest Research template found on the Department’s </w:t>
      </w:r>
      <w:r w:rsidR="007E0083">
        <w:t>r</w:t>
      </w:r>
      <w:r>
        <w:t xml:space="preserve">esearch website. A submission of an EOI does not guarantee an invitation to tender and the Department does not routinely advise organisations that they have not been successful in </w:t>
      </w:r>
      <w:proofErr w:type="gramStart"/>
      <w:r>
        <w:t>being invited</w:t>
      </w:r>
      <w:proofErr w:type="gramEnd"/>
      <w:r>
        <w:t xml:space="preserve"> to tender. Feedback is however available on request. </w:t>
      </w:r>
    </w:p>
    <w:p w14:paraId="426D85CD" w14:textId="00A6C874" w:rsidR="00814CCF" w:rsidRDefault="00814CCF" w:rsidP="00814CCF">
      <w:r>
        <w:lastRenderedPageBreak/>
        <w:t xml:space="preserve">In order to express an interest you </w:t>
      </w:r>
      <w:proofErr w:type="gramStart"/>
      <w:r>
        <w:t>must be registered</w:t>
      </w:r>
      <w:proofErr w:type="gramEnd"/>
      <w:r>
        <w:t xml:space="preserve"> with us and you will need your ID number. If you need to register then please do so using the online </w:t>
      </w:r>
      <w:r w:rsidR="007E0083">
        <w:t xml:space="preserve">supplier registration </w:t>
      </w:r>
      <w:proofErr w:type="gramStart"/>
      <w:r w:rsidR="007E0083">
        <w:t>form</w:t>
      </w:r>
      <w:r>
        <w:t>.</w:t>
      </w:r>
      <w:proofErr w:type="gramEnd"/>
      <w:r>
        <w:t xml:space="preserve"> If you have already registered and have forgotten your ID number, please send an email to </w:t>
      </w:r>
      <w:hyperlink r:id="rId16" w:history="1">
        <w:r w:rsidR="003E3ED2" w:rsidRPr="00DF7B06">
          <w:rPr>
            <w:rStyle w:val="Hyperlink"/>
            <w:sz w:val="22"/>
          </w:rPr>
          <w:t>Enquiries.RBU@education.gov.uk</w:t>
        </w:r>
      </w:hyperlink>
    </w:p>
    <w:p w14:paraId="78F73462" w14:textId="6E60D760" w:rsidR="00915C18" w:rsidRDefault="00814CCF" w:rsidP="00814CCF">
      <w:r>
        <w:t xml:space="preserve">All contracts are let </w:t>
      </w:r>
      <w:proofErr w:type="gramStart"/>
      <w:r>
        <w:t>on the basis of</w:t>
      </w:r>
      <w:proofErr w:type="gramEnd"/>
      <w:r>
        <w:t xml:space="preserve"> the </w:t>
      </w:r>
      <w:hyperlink r:id="rId17"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50BCB5CE" w14:textId="77777777" w:rsidR="005A0891" w:rsidRDefault="005A0891" w:rsidP="00814CCF"/>
    <w:p w14:paraId="5944612C" w14:textId="2286A7D7" w:rsidR="005D3B59" w:rsidRPr="00531385" w:rsidRDefault="00C2496D" w:rsidP="005D3B59">
      <w:r w:rsidRPr="00995398">
        <w:t>©</w:t>
      </w:r>
      <w:r w:rsidR="005D3B59" w:rsidRPr="005D3B59">
        <w:t xml:space="preserve"> </w:t>
      </w:r>
      <w:r w:rsidR="00EE71A2">
        <w:t xml:space="preserve">Crown copyright </w:t>
      </w:r>
      <w:r w:rsidR="004229E6">
        <w:t>2017</w:t>
      </w:r>
    </w:p>
    <w:sectPr w:rsidR="005D3B59" w:rsidRPr="00531385" w:rsidSect="00622501">
      <w:footerReference w:type="default" r:id="rId18"/>
      <w:footerReference w:type="first" r:id="rId19"/>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E18918" w14:textId="77777777" w:rsidR="00DC346E" w:rsidRDefault="00DC346E" w:rsidP="002B6D93">
      <w:r>
        <w:separator/>
      </w:r>
    </w:p>
    <w:p w14:paraId="7755341C" w14:textId="77777777" w:rsidR="00DC346E" w:rsidRDefault="00DC346E"/>
  </w:endnote>
  <w:endnote w:type="continuationSeparator" w:id="0">
    <w:p w14:paraId="5FCBB82E" w14:textId="77777777" w:rsidR="00DC346E" w:rsidRDefault="00DC346E" w:rsidP="002B6D93">
      <w:r>
        <w:continuationSeparator/>
      </w:r>
    </w:p>
    <w:p w14:paraId="2565A011" w14:textId="77777777" w:rsidR="00DC346E" w:rsidRDefault="00DC34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66A84460" w14:textId="4B79D1B6"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1A2AFA">
          <w:rPr>
            <w:noProof/>
          </w:rPr>
          <w:t>5</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54E66" w14:textId="63A8048B" w:rsidR="00DA0AD5" w:rsidRPr="006E6ADB" w:rsidRDefault="00DA0AD5" w:rsidP="004A3626">
    <w:pPr>
      <w:tabs>
        <w:tab w:val="left" w:pos="7088"/>
      </w:tabs>
      <w:spacing w:before="240"/>
      <w:rPr>
        <w:szCs w:val="20"/>
      </w:rPr>
    </w:pPr>
    <w:r w:rsidRPr="006E6ADB">
      <w:rPr>
        <w:szCs w:val="20"/>
      </w:rPr>
      <w:tab/>
      <w:t xml:space="preserve">Published: </w:t>
    </w:r>
    <w:r>
      <w:rPr>
        <w:szCs w:val="20"/>
      </w:rPr>
      <w:t>[Month]</w:t>
    </w:r>
    <w:r w:rsidR="00F85AA7">
      <w:rPr>
        <w:szCs w:val="20"/>
      </w:rPr>
      <w:t xml:space="preserve"> </w:t>
    </w:r>
    <w:r>
      <w:rPr>
        <w:szCs w:val="20"/>
      </w:rPr>
      <w:t>201[X]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7535F1" w14:textId="77777777" w:rsidR="00DC346E" w:rsidRDefault="00DC346E" w:rsidP="002B6D93">
      <w:r>
        <w:separator/>
      </w:r>
    </w:p>
    <w:p w14:paraId="64A31971" w14:textId="77777777" w:rsidR="00DC346E" w:rsidRDefault="00DC346E"/>
  </w:footnote>
  <w:footnote w:type="continuationSeparator" w:id="0">
    <w:p w14:paraId="79A0D28B" w14:textId="77777777" w:rsidR="00DC346E" w:rsidRDefault="00DC346E" w:rsidP="002B6D93">
      <w:r>
        <w:continuationSeparator/>
      </w:r>
    </w:p>
    <w:p w14:paraId="29BA11D0" w14:textId="77777777" w:rsidR="00DC346E" w:rsidRDefault="00DC346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75F7CCE"/>
    <w:multiLevelType w:val="hybridMultilevel"/>
    <w:tmpl w:val="5F0CD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B05262"/>
    <w:multiLevelType w:val="hybridMultilevel"/>
    <w:tmpl w:val="975AC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E523D5"/>
    <w:multiLevelType w:val="hybridMultilevel"/>
    <w:tmpl w:val="E03C0E34"/>
    <w:lvl w:ilvl="0" w:tplc="0809000F">
      <w:start w:val="1"/>
      <w:numFmt w:val="decimal"/>
      <w:lvlText w:val="%1."/>
      <w:lvlJc w:val="left"/>
      <w:pPr>
        <w:ind w:left="1080" w:hanging="720"/>
      </w:pPr>
      <w:rPr>
        <w:rFonts w:hint="default"/>
      </w:rPr>
    </w:lvl>
    <w:lvl w:ilvl="1" w:tplc="4DDA2AAA">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1" w15:restartNumberingAfterBreak="0">
    <w:nsid w:val="22AE2D8A"/>
    <w:multiLevelType w:val="hybridMultilevel"/>
    <w:tmpl w:val="66C65308"/>
    <w:lvl w:ilvl="0" w:tplc="CCC0878C">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25AD2973"/>
    <w:multiLevelType w:val="hybridMultilevel"/>
    <w:tmpl w:val="9E4C40C0"/>
    <w:lvl w:ilvl="0" w:tplc="0809000F">
      <w:start w:val="1"/>
      <w:numFmt w:val="decimal"/>
      <w:lvlText w:val="%1."/>
      <w:lvlJc w:val="left"/>
      <w:pPr>
        <w:ind w:left="1080" w:hanging="720"/>
      </w:pPr>
      <w:rPr>
        <w:rFonts w:hint="default"/>
      </w:rPr>
    </w:lvl>
    <w:lvl w:ilvl="1" w:tplc="CCC0878C">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D91BC3"/>
    <w:multiLevelType w:val="hybridMultilevel"/>
    <w:tmpl w:val="9C8873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3D467C"/>
    <w:multiLevelType w:val="hybridMultilevel"/>
    <w:tmpl w:val="E6B2B6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C86CB2"/>
    <w:multiLevelType w:val="hybridMultilevel"/>
    <w:tmpl w:val="648851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AA18E6"/>
    <w:multiLevelType w:val="hybridMultilevel"/>
    <w:tmpl w:val="F06E7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1" w15:restartNumberingAfterBreak="0">
    <w:nsid w:val="4C6A4A8A"/>
    <w:multiLevelType w:val="hybridMultilevel"/>
    <w:tmpl w:val="C5D06E42"/>
    <w:lvl w:ilvl="0" w:tplc="47B07D7E">
      <w:start w:val="1"/>
      <w:numFmt w:val="decimal"/>
      <w:lvlText w:val="%1."/>
      <w:lvlJc w:val="left"/>
      <w:pPr>
        <w:tabs>
          <w:tab w:val="num" w:pos="720"/>
        </w:tabs>
        <w:ind w:left="720" w:hanging="360"/>
      </w:pPr>
    </w:lvl>
    <w:lvl w:ilvl="1" w:tplc="CCC0878C">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360"/>
      </w:pPr>
    </w:lvl>
    <w:lvl w:ilvl="3" w:tplc="DA0A48DE" w:tentative="1">
      <w:start w:val="1"/>
      <w:numFmt w:val="decimal"/>
      <w:lvlText w:val="%4."/>
      <w:lvlJc w:val="left"/>
      <w:pPr>
        <w:tabs>
          <w:tab w:val="num" w:pos="2880"/>
        </w:tabs>
        <w:ind w:left="2880" w:hanging="360"/>
      </w:pPr>
    </w:lvl>
    <w:lvl w:ilvl="4" w:tplc="FF2A7972" w:tentative="1">
      <w:start w:val="1"/>
      <w:numFmt w:val="decimal"/>
      <w:lvlText w:val="%5."/>
      <w:lvlJc w:val="left"/>
      <w:pPr>
        <w:tabs>
          <w:tab w:val="num" w:pos="3600"/>
        </w:tabs>
        <w:ind w:left="3600" w:hanging="360"/>
      </w:pPr>
    </w:lvl>
    <w:lvl w:ilvl="5" w:tplc="8592AAE0" w:tentative="1">
      <w:start w:val="1"/>
      <w:numFmt w:val="decimal"/>
      <w:lvlText w:val="%6."/>
      <w:lvlJc w:val="left"/>
      <w:pPr>
        <w:tabs>
          <w:tab w:val="num" w:pos="4320"/>
        </w:tabs>
        <w:ind w:left="4320" w:hanging="360"/>
      </w:pPr>
    </w:lvl>
    <w:lvl w:ilvl="6" w:tplc="FF88B78E" w:tentative="1">
      <w:start w:val="1"/>
      <w:numFmt w:val="decimal"/>
      <w:lvlText w:val="%7."/>
      <w:lvlJc w:val="left"/>
      <w:pPr>
        <w:tabs>
          <w:tab w:val="num" w:pos="5040"/>
        </w:tabs>
        <w:ind w:left="5040" w:hanging="360"/>
      </w:pPr>
    </w:lvl>
    <w:lvl w:ilvl="7" w:tplc="6E6A3974" w:tentative="1">
      <w:start w:val="1"/>
      <w:numFmt w:val="decimal"/>
      <w:lvlText w:val="%8."/>
      <w:lvlJc w:val="left"/>
      <w:pPr>
        <w:tabs>
          <w:tab w:val="num" w:pos="5760"/>
        </w:tabs>
        <w:ind w:left="5760" w:hanging="360"/>
      </w:pPr>
    </w:lvl>
    <w:lvl w:ilvl="8" w:tplc="7D3CDA42" w:tentative="1">
      <w:start w:val="1"/>
      <w:numFmt w:val="decimal"/>
      <w:lvlText w:val="%9."/>
      <w:lvlJc w:val="left"/>
      <w:pPr>
        <w:tabs>
          <w:tab w:val="num" w:pos="6480"/>
        </w:tabs>
        <w:ind w:left="6480" w:hanging="360"/>
      </w:pPr>
    </w:lvl>
  </w:abstractNum>
  <w:abstractNum w:abstractNumId="22"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FAF786A"/>
    <w:multiLevelType w:val="hybridMultilevel"/>
    <w:tmpl w:val="7D0CA6CE"/>
    <w:lvl w:ilvl="0" w:tplc="0809000F">
      <w:start w:val="1"/>
      <w:numFmt w:val="decimal"/>
      <w:lvlText w:val="%1."/>
      <w:lvlJc w:val="left"/>
      <w:pPr>
        <w:ind w:left="1080" w:hanging="720"/>
      </w:pPr>
      <w:rPr>
        <w:rFonts w:hint="default"/>
      </w:rPr>
    </w:lvl>
    <w:lvl w:ilvl="1" w:tplc="CCC0878C">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5"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6A6E3D89"/>
    <w:multiLevelType w:val="hybridMultilevel"/>
    <w:tmpl w:val="E870C980"/>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27" w15:restartNumberingAfterBreak="0">
    <w:nsid w:val="71EC3183"/>
    <w:multiLevelType w:val="hybridMultilevel"/>
    <w:tmpl w:val="51162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CC19A9"/>
    <w:multiLevelType w:val="hybridMultilevel"/>
    <w:tmpl w:val="4ABA4644"/>
    <w:lvl w:ilvl="0" w:tplc="CCC0878C">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5"/>
  </w:num>
  <w:num w:numId="3">
    <w:abstractNumId w:val="24"/>
  </w:num>
  <w:num w:numId="4">
    <w:abstractNumId w:val="15"/>
  </w:num>
  <w:num w:numId="5">
    <w:abstractNumId w:val="10"/>
  </w:num>
  <w:num w:numId="6">
    <w:abstractNumId w:val="20"/>
  </w:num>
  <w:num w:numId="7">
    <w:abstractNumId w:val="3"/>
  </w:num>
  <w:num w:numId="8">
    <w:abstractNumId w:val="1"/>
  </w:num>
  <w:num w:numId="9">
    <w:abstractNumId w:val="0"/>
  </w:num>
  <w:num w:numId="10">
    <w:abstractNumId w:val="22"/>
  </w:num>
  <w:num w:numId="11">
    <w:abstractNumId w:val="20"/>
  </w:num>
  <w:num w:numId="12">
    <w:abstractNumId w:val="29"/>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8"/>
  </w:num>
  <w:num w:numId="17">
    <w:abstractNumId w:val="13"/>
  </w:num>
  <w:num w:numId="18">
    <w:abstractNumId w:val="16"/>
  </w:num>
  <w:num w:numId="19">
    <w:abstractNumId w:val="21"/>
  </w:num>
  <w:num w:numId="20">
    <w:abstractNumId w:val="27"/>
  </w:num>
  <w:num w:numId="21">
    <w:abstractNumId w:val="17"/>
  </w:num>
  <w:num w:numId="22">
    <w:abstractNumId w:val="5"/>
  </w:num>
  <w:num w:numId="23">
    <w:abstractNumId w:val="6"/>
  </w:num>
  <w:num w:numId="24">
    <w:abstractNumId w:val="14"/>
  </w:num>
  <w:num w:numId="25">
    <w:abstractNumId w:val="9"/>
  </w:num>
  <w:num w:numId="26">
    <w:abstractNumId w:val="23"/>
  </w:num>
  <w:num w:numId="27">
    <w:abstractNumId w:val="12"/>
  </w:num>
  <w:num w:numId="28">
    <w:abstractNumId w:val="11"/>
  </w:num>
  <w:num w:numId="29">
    <w:abstractNumId w:val="28"/>
  </w:num>
  <w:num w:numId="30">
    <w:abstractNumId w:val="18"/>
  </w:num>
  <w:num w:numId="31">
    <w:abstractNumId w:val="26"/>
  </w:num>
  <w:num w:numId="32">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481">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11A88"/>
    <w:rsid w:val="00012381"/>
    <w:rsid w:val="00013A6E"/>
    <w:rsid w:val="0002203B"/>
    <w:rsid w:val="00027BDB"/>
    <w:rsid w:val="00031F36"/>
    <w:rsid w:val="000442BD"/>
    <w:rsid w:val="00057100"/>
    <w:rsid w:val="00065E86"/>
    <w:rsid w:val="00066B1C"/>
    <w:rsid w:val="000720CD"/>
    <w:rsid w:val="00083A73"/>
    <w:rsid w:val="00093EDE"/>
    <w:rsid w:val="00094338"/>
    <w:rsid w:val="000A0A6E"/>
    <w:rsid w:val="000A10F4"/>
    <w:rsid w:val="000B3DE0"/>
    <w:rsid w:val="000D1D30"/>
    <w:rsid w:val="000D4433"/>
    <w:rsid w:val="000E1407"/>
    <w:rsid w:val="000E3350"/>
    <w:rsid w:val="000F73F3"/>
    <w:rsid w:val="00103E77"/>
    <w:rsid w:val="0011494F"/>
    <w:rsid w:val="00121C6C"/>
    <w:rsid w:val="001264D9"/>
    <w:rsid w:val="001272A9"/>
    <w:rsid w:val="00133075"/>
    <w:rsid w:val="001330F5"/>
    <w:rsid w:val="00147214"/>
    <w:rsid w:val="00147697"/>
    <w:rsid w:val="001534B2"/>
    <w:rsid w:val="001540AB"/>
    <w:rsid w:val="001612C8"/>
    <w:rsid w:val="00167210"/>
    <w:rsid w:val="001747E2"/>
    <w:rsid w:val="00176EB9"/>
    <w:rsid w:val="0017793A"/>
    <w:rsid w:val="00190C3A"/>
    <w:rsid w:val="00196306"/>
    <w:rsid w:val="001975D1"/>
    <w:rsid w:val="001A2AFA"/>
    <w:rsid w:val="001A3A04"/>
    <w:rsid w:val="001B2AE2"/>
    <w:rsid w:val="001B4452"/>
    <w:rsid w:val="001B5C15"/>
    <w:rsid w:val="001B796F"/>
    <w:rsid w:val="001C5A63"/>
    <w:rsid w:val="001C5EB6"/>
    <w:rsid w:val="001C672F"/>
    <w:rsid w:val="001D5770"/>
    <w:rsid w:val="001F1B30"/>
    <w:rsid w:val="001F2CE2"/>
    <w:rsid w:val="00203EC9"/>
    <w:rsid w:val="002113CF"/>
    <w:rsid w:val="0022255C"/>
    <w:rsid w:val="0022489D"/>
    <w:rsid w:val="002262F3"/>
    <w:rsid w:val="00230559"/>
    <w:rsid w:val="002332F8"/>
    <w:rsid w:val="00234F75"/>
    <w:rsid w:val="00240F4B"/>
    <w:rsid w:val="002575C5"/>
    <w:rsid w:val="002639B5"/>
    <w:rsid w:val="0027231C"/>
    <w:rsid w:val="0027252F"/>
    <w:rsid w:val="002839B5"/>
    <w:rsid w:val="00287788"/>
    <w:rsid w:val="002A28F7"/>
    <w:rsid w:val="002A3153"/>
    <w:rsid w:val="002A3FB8"/>
    <w:rsid w:val="002A5858"/>
    <w:rsid w:val="002B6D93"/>
    <w:rsid w:val="002C34D4"/>
    <w:rsid w:val="002C3AA4"/>
    <w:rsid w:val="002E463F"/>
    <w:rsid w:val="002E4E9A"/>
    <w:rsid w:val="002E508B"/>
    <w:rsid w:val="002E5F9F"/>
    <w:rsid w:val="002E7849"/>
    <w:rsid w:val="002F3F8E"/>
    <w:rsid w:val="002F7128"/>
    <w:rsid w:val="00300F99"/>
    <w:rsid w:val="003011E9"/>
    <w:rsid w:val="00305421"/>
    <w:rsid w:val="00327D08"/>
    <w:rsid w:val="00342F8B"/>
    <w:rsid w:val="003503CF"/>
    <w:rsid w:val="00352556"/>
    <w:rsid w:val="00361752"/>
    <w:rsid w:val="00374981"/>
    <w:rsid w:val="003810D8"/>
    <w:rsid w:val="003853A4"/>
    <w:rsid w:val="0039725F"/>
    <w:rsid w:val="003A1CC2"/>
    <w:rsid w:val="003C1F1B"/>
    <w:rsid w:val="003C60B5"/>
    <w:rsid w:val="003C6265"/>
    <w:rsid w:val="003D1EFE"/>
    <w:rsid w:val="003E1329"/>
    <w:rsid w:val="003E3ED2"/>
    <w:rsid w:val="00400E1D"/>
    <w:rsid w:val="00403D1C"/>
    <w:rsid w:val="004139E1"/>
    <w:rsid w:val="004216FF"/>
    <w:rsid w:val="004229E6"/>
    <w:rsid w:val="004242C5"/>
    <w:rsid w:val="004339FB"/>
    <w:rsid w:val="004509BE"/>
    <w:rsid w:val="00456560"/>
    <w:rsid w:val="00470223"/>
    <w:rsid w:val="004866AD"/>
    <w:rsid w:val="00494346"/>
    <w:rsid w:val="00496181"/>
    <w:rsid w:val="004A3626"/>
    <w:rsid w:val="004A3E98"/>
    <w:rsid w:val="004A600B"/>
    <w:rsid w:val="004B08AC"/>
    <w:rsid w:val="004C5600"/>
    <w:rsid w:val="004D13A3"/>
    <w:rsid w:val="004D73C6"/>
    <w:rsid w:val="004E5405"/>
    <w:rsid w:val="004E6CD9"/>
    <w:rsid w:val="004F20E3"/>
    <w:rsid w:val="004F211A"/>
    <w:rsid w:val="004F3159"/>
    <w:rsid w:val="004F4AEF"/>
    <w:rsid w:val="00505CC3"/>
    <w:rsid w:val="00512D07"/>
    <w:rsid w:val="005247AD"/>
    <w:rsid w:val="00531108"/>
    <w:rsid w:val="005360B7"/>
    <w:rsid w:val="00536E0B"/>
    <w:rsid w:val="005535E5"/>
    <w:rsid w:val="00560451"/>
    <w:rsid w:val="0057250B"/>
    <w:rsid w:val="00574294"/>
    <w:rsid w:val="005749C5"/>
    <w:rsid w:val="0057670A"/>
    <w:rsid w:val="00581D79"/>
    <w:rsid w:val="005905B1"/>
    <w:rsid w:val="005914F1"/>
    <w:rsid w:val="005946C7"/>
    <w:rsid w:val="005A016F"/>
    <w:rsid w:val="005A07FF"/>
    <w:rsid w:val="005A0891"/>
    <w:rsid w:val="005C0B41"/>
    <w:rsid w:val="005C1770"/>
    <w:rsid w:val="005C2D94"/>
    <w:rsid w:val="005C657D"/>
    <w:rsid w:val="005D3B59"/>
    <w:rsid w:val="005D57E2"/>
    <w:rsid w:val="005E3024"/>
    <w:rsid w:val="005F107C"/>
    <w:rsid w:val="0060702F"/>
    <w:rsid w:val="006108B3"/>
    <w:rsid w:val="00622501"/>
    <w:rsid w:val="006237FB"/>
    <w:rsid w:val="0062451E"/>
    <w:rsid w:val="00635D57"/>
    <w:rsid w:val="00640032"/>
    <w:rsid w:val="006418B2"/>
    <w:rsid w:val="00642404"/>
    <w:rsid w:val="00647EFA"/>
    <w:rsid w:val="00652973"/>
    <w:rsid w:val="00653AA1"/>
    <w:rsid w:val="006558CA"/>
    <w:rsid w:val="00657E79"/>
    <w:rsid w:val="006606F5"/>
    <w:rsid w:val="00670ADC"/>
    <w:rsid w:val="0067185E"/>
    <w:rsid w:val="00671D5B"/>
    <w:rsid w:val="006775FA"/>
    <w:rsid w:val="00684973"/>
    <w:rsid w:val="0068544D"/>
    <w:rsid w:val="00695D08"/>
    <w:rsid w:val="006A27AA"/>
    <w:rsid w:val="006A3602"/>
    <w:rsid w:val="006B1F9F"/>
    <w:rsid w:val="006C382D"/>
    <w:rsid w:val="006D1162"/>
    <w:rsid w:val="006E6ADB"/>
    <w:rsid w:val="006E7F39"/>
    <w:rsid w:val="006F1F96"/>
    <w:rsid w:val="00700B01"/>
    <w:rsid w:val="00702EBF"/>
    <w:rsid w:val="00713414"/>
    <w:rsid w:val="00727EC4"/>
    <w:rsid w:val="00730350"/>
    <w:rsid w:val="0073516C"/>
    <w:rsid w:val="007403F5"/>
    <w:rsid w:val="007426B3"/>
    <w:rsid w:val="00743353"/>
    <w:rsid w:val="0075096B"/>
    <w:rsid w:val="00751648"/>
    <w:rsid w:val="00754145"/>
    <w:rsid w:val="00760615"/>
    <w:rsid w:val="0076231A"/>
    <w:rsid w:val="00764D03"/>
    <w:rsid w:val="00766597"/>
    <w:rsid w:val="00774F55"/>
    <w:rsid w:val="00775D8A"/>
    <w:rsid w:val="0077659E"/>
    <w:rsid w:val="00777AD4"/>
    <w:rsid w:val="00780950"/>
    <w:rsid w:val="007809EF"/>
    <w:rsid w:val="00783D2C"/>
    <w:rsid w:val="00785F16"/>
    <w:rsid w:val="0079160A"/>
    <w:rsid w:val="00794F29"/>
    <w:rsid w:val="007A2250"/>
    <w:rsid w:val="007A5759"/>
    <w:rsid w:val="007A5DA6"/>
    <w:rsid w:val="007B3CFE"/>
    <w:rsid w:val="007C19E4"/>
    <w:rsid w:val="007C41A5"/>
    <w:rsid w:val="007C58BE"/>
    <w:rsid w:val="007D080B"/>
    <w:rsid w:val="007E0083"/>
    <w:rsid w:val="00814CCF"/>
    <w:rsid w:val="00816E77"/>
    <w:rsid w:val="00831263"/>
    <w:rsid w:val="00831DB7"/>
    <w:rsid w:val="00832EBF"/>
    <w:rsid w:val="008366CB"/>
    <w:rsid w:val="00837F3A"/>
    <w:rsid w:val="00860341"/>
    <w:rsid w:val="008620F3"/>
    <w:rsid w:val="00863986"/>
    <w:rsid w:val="00866257"/>
    <w:rsid w:val="00874F24"/>
    <w:rsid w:val="00876230"/>
    <w:rsid w:val="00877D5B"/>
    <w:rsid w:val="00880441"/>
    <w:rsid w:val="00880B83"/>
    <w:rsid w:val="00886B1E"/>
    <w:rsid w:val="008A460D"/>
    <w:rsid w:val="008A4CD5"/>
    <w:rsid w:val="008A588F"/>
    <w:rsid w:val="008A644A"/>
    <w:rsid w:val="008A6821"/>
    <w:rsid w:val="008B05BD"/>
    <w:rsid w:val="008B0C03"/>
    <w:rsid w:val="008B0DD1"/>
    <w:rsid w:val="008B427B"/>
    <w:rsid w:val="008B6009"/>
    <w:rsid w:val="008C46DC"/>
    <w:rsid w:val="008D15AA"/>
    <w:rsid w:val="008D6968"/>
    <w:rsid w:val="008E3F07"/>
    <w:rsid w:val="008E5F36"/>
    <w:rsid w:val="008F2757"/>
    <w:rsid w:val="008F2E4F"/>
    <w:rsid w:val="008F7436"/>
    <w:rsid w:val="009055E4"/>
    <w:rsid w:val="00915C18"/>
    <w:rsid w:val="00917E9C"/>
    <w:rsid w:val="00926A3C"/>
    <w:rsid w:val="0093027C"/>
    <w:rsid w:val="0094189B"/>
    <w:rsid w:val="0094251B"/>
    <w:rsid w:val="00951C56"/>
    <w:rsid w:val="0095599F"/>
    <w:rsid w:val="009629FF"/>
    <w:rsid w:val="0096424B"/>
    <w:rsid w:val="009701C8"/>
    <w:rsid w:val="00972EFD"/>
    <w:rsid w:val="00986616"/>
    <w:rsid w:val="00995398"/>
    <w:rsid w:val="009A5382"/>
    <w:rsid w:val="009A782E"/>
    <w:rsid w:val="009B32FA"/>
    <w:rsid w:val="009B535B"/>
    <w:rsid w:val="009C2C02"/>
    <w:rsid w:val="009C73CF"/>
    <w:rsid w:val="009E00AE"/>
    <w:rsid w:val="009E09D3"/>
    <w:rsid w:val="009E6E74"/>
    <w:rsid w:val="009E7EE1"/>
    <w:rsid w:val="009E7F32"/>
    <w:rsid w:val="009F26F9"/>
    <w:rsid w:val="00A30BA1"/>
    <w:rsid w:val="00A37DEE"/>
    <w:rsid w:val="00A433C3"/>
    <w:rsid w:val="00A54BB7"/>
    <w:rsid w:val="00A5643A"/>
    <w:rsid w:val="00A57128"/>
    <w:rsid w:val="00A5723C"/>
    <w:rsid w:val="00A707A4"/>
    <w:rsid w:val="00A7274B"/>
    <w:rsid w:val="00A731DA"/>
    <w:rsid w:val="00A73FB8"/>
    <w:rsid w:val="00A75086"/>
    <w:rsid w:val="00A763CB"/>
    <w:rsid w:val="00A801D1"/>
    <w:rsid w:val="00A81F69"/>
    <w:rsid w:val="00A85EBD"/>
    <w:rsid w:val="00AA3484"/>
    <w:rsid w:val="00AA7E7B"/>
    <w:rsid w:val="00AB298C"/>
    <w:rsid w:val="00AB6D0F"/>
    <w:rsid w:val="00AB7858"/>
    <w:rsid w:val="00AC61A6"/>
    <w:rsid w:val="00AD1BE5"/>
    <w:rsid w:val="00AD1DD2"/>
    <w:rsid w:val="00AD2062"/>
    <w:rsid w:val="00AD2F1D"/>
    <w:rsid w:val="00AE1E46"/>
    <w:rsid w:val="00AE4296"/>
    <w:rsid w:val="00AF0989"/>
    <w:rsid w:val="00AF2191"/>
    <w:rsid w:val="00AF785C"/>
    <w:rsid w:val="00B13AFE"/>
    <w:rsid w:val="00B336AF"/>
    <w:rsid w:val="00B3498C"/>
    <w:rsid w:val="00B43CAD"/>
    <w:rsid w:val="00B53333"/>
    <w:rsid w:val="00B55A49"/>
    <w:rsid w:val="00B64265"/>
    <w:rsid w:val="00B67F76"/>
    <w:rsid w:val="00B70EFF"/>
    <w:rsid w:val="00B7558C"/>
    <w:rsid w:val="00B818C3"/>
    <w:rsid w:val="00B9194F"/>
    <w:rsid w:val="00BA003B"/>
    <w:rsid w:val="00BA3674"/>
    <w:rsid w:val="00BA6A1B"/>
    <w:rsid w:val="00BB05E2"/>
    <w:rsid w:val="00BD1111"/>
    <w:rsid w:val="00BD26B6"/>
    <w:rsid w:val="00BE01C6"/>
    <w:rsid w:val="00BE4DAC"/>
    <w:rsid w:val="00BF13F8"/>
    <w:rsid w:val="00C01CFF"/>
    <w:rsid w:val="00C026F2"/>
    <w:rsid w:val="00C02D89"/>
    <w:rsid w:val="00C15B78"/>
    <w:rsid w:val="00C2207B"/>
    <w:rsid w:val="00C22BA0"/>
    <w:rsid w:val="00C240D4"/>
    <w:rsid w:val="00C2496D"/>
    <w:rsid w:val="00C278D7"/>
    <w:rsid w:val="00C46129"/>
    <w:rsid w:val="00C4624B"/>
    <w:rsid w:val="00C529E8"/>
    <w:rsid w:val="00C5454B"/>
    <w:rsid w:val="00C6013F"/>
    <w:rsid w:val="00C71238"/>
    <w:rsid w:val="00C71561"/>
    <w:rsid w:val="00C76325"/>
    <w:rsid w:val="00C8124F"/>
    <w:rsid w:val="00C81513"/>
    <w:rsid w:val="00C84637"/>
    <w:rsid w:val="00C92AD3"/>
    <w:rsid w:val="00CA1009"/>
    <w:rsid w:val="00CA1F32"/>
    <w:rsid w:val="00CA30B4"/>
    <w:rsid w:val="00CA610B"/>
    <w:rsid w:val="00CA72FC"/>
    <w:rsid w:val="00CB2467"/>
    <w:rsid w:val="00CB56F5"/>
    <w:rsid w:val="00CB6E04"/>
    <w:rsid w:val="00CC2512"/>
    <w:rsid w:val="00CC547F"/>
    <w:rsid w:val="00CD5D21"/>
    <w:rsid w:val="00CE2652"/>
    <w:rsid w:val="00CE7906"/>
    <w:rsid w:val="00CF0E19"/>
    <w:rsid w:val="00CF7878"/>
    <w:rsid w:val="00D11353"/>
    <w:rsid w:val="00D1326B"/>
    <w:rsid w:val="00D27D9B"/>
    <w:rsid w:val="00D376DB"/>
    <w:rsid w:val="00D408A5"/>
    <w:rsid w:val="00D40DE9"/>
    <w:rsid w:val="00D41212"/>
    <w:rsid w:val="00D42B45"/>
    <w:rsid w:val="00D57EE0"/>
    <w:rsid w:val="00D660A1"/>
    <w:rsid w:val="00D70670"/>
    <w:rsid w:val="00D73A74"/>
    <w:rsid w:val="00D75416"/>
    <w:rsid w:val="00D85D3D"/>
    <w:rsid w:val="00D92274"/>
    <w:rsid w:val="00D94339"/>
    <w:rsid w:val="00D9522C"/>
    <w:rsid w:val="00D9707F"/>
    <w:rsid w:val="00D97DD2"/>
    <w:rsid w:val="00DA0AD5"/>
    <w:rsid w:val="00DA1B01"/>
    <w:rsid w:val="00DA1F8E"/>
    <w:rsid w:val="00DA57A4"/>
    <w:rsid w:val="00DB0D07"/>
    <w:rsid w:val="00DB56EB"/>
    <w:rsid w:val="00DC346E"/>
    <w:rsid w:val="00DC39E8"/>
    <w:rsid w:val="00DC4922"/>
    <w:rsid w:val="00DD234A"/>
    <w:rsid w:val="00DD3A4E"/>
    <w:rsid w:val="00DD51B7"/>
    <w:rsid w:val="00DD580E"/>
    <w:rsid w:val="00DD788A"/>
    <w:rsid w:val="00DE2205"/>
    <w:rsid w:val="00DE6998"/>
    <w:rsid w:val="00DF0054"/>
    <w:rsid w:val="00DF3309"/>
    <w:rsid w:val="00DF5124"/>
    <w:rsid w:val="00DF7F39"/>
    <w:rsid w:val="00E1702C"/>
    <w:rsid w:val="00E20B43"/>
    <w:rsid w:val="00E22EE8"/>
    <w:rsid w:val="00E23ABB"/>
    <w:rsid w:val="00E23E99"/>
    <w:rsid w:val="00E25136"/>
    <w:rsid w:val="00E3093A"/>
    <w:rsid w:val="00E33078"/>
    <w:rsid w:val="00E335AB"/>
    <w:rsid w:val="00E33AB6"/>
    <w:rsid w:val="00E4012C"/>
    <w:rsid w:val="00E42A8F"/>
    <w:rsid w:val="00E5223F"/>
    <w:rsid w:val="00E534F0"/>
    <w:rsid w:val="00E66B4F"/>
    <w:rsid w:val="00E741D5"/>
    <w:rsid w:val="00E74474"/>
    <w:rsid w:val="00E87A6A"/>
    <w:rsid w:val="00E9232A"/>
    <w:rsid w:val="00EA4D1B"/>
    <w:rsid w:val="00EB1D11"/>
    <w:rsid w:val="00EC3DC1"/>
    <w:rsid w:val="00ED2F1C"/>
    <w:rsid w:val="00ED3D05"/>
    <w:rsid w:val="00EE64AE"/>
    <w:rsid w:val="00EE71A2"/>
    <w:rsid w:val="00EF531B"/>
    <w:rsid w:val="00F06445"/>
    <w:rsid w:val="00F07114"/>
    <w:rsid w:val="00F206A7"/>
    <w:rsid w:val="00F3105E"/>
    <w:rsid w:val="00F41591"/>
    <w:rsid w:val="00F41A63"/>
    <w:rsid w:val="00F45BEB"/>
    <w:rsid w:val="00F54523"/>
    <w:rsid w:val="00F54B50"/>
    <w:rsid w:val="00F63547"/>
    <w:rsid w:val="00F650D3"/>
    <w:rsid w:val="00F84544"/>
    <w:rsid w:val="00F85AA7"/>
    <w:rsid w:val="00F954FA"/>
    <w:rsid w:val="00F95B1F"/>
    <w:rsid w:val="00FA05B2"/>
    <w:rsid w:val="00FA5EFC"/>
    <w:rsid w:val="00FA68A7"/>
    <w:rsid w:val="00FC0C51"/>
    <w:rsid w:val="00FC2B3C"/>
    <w:rsid w:val="00FD1CD8"/>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colormru v:ext="edit" colors="#104f75,#260859,#004712,#8a2529,#c2a204,#e87d1e"/>
    </o:shapedefaults>
    <o:shapelayout v:ext="edit">
      <o:idmap v:ext="edit" data="1"/>
    </o:shapelayout>
  </w:shapeDefaults>
  <w:decimalSymbol w:val="."/>
  <w:listSeparator w:val=","/>
  <w14:docId w14:val="0E60741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MAIN CONTENT,List Paragraph12,Colorful List - Accent 11,List Paragraph2,Normal numbered,List Paragraph11,OBC Bullet,F5 List Paragraph,List Paragraph1,Dot pt,No Spacing1,List Paragraph Char Char Char,Indicator Text,Numbered Para 1,Bullet 1"/>
    <w:basedOn w:val="Normal"/>
    <w:link w:val="ListParagraphChar"/>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uiPriority w:val="39"/>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character" w:customStyle="1" w:styleId="ListParagraphChar">
    <w:name w:val="List Paragraph Char"/>
    <w:aliases w:val="MAIN CONTENT Char,List Paragraph12 Char,Colorful List - Accent 11 Char,List Paragraph2 Char,Normal numbered Char,List Paragraph11 Char,OBC Bullet Char,F5 List Paragraph Char,List Paragraph1 Char,Dot pt Char,No Spacing1 Char"/>
    <w:basedOn w:val="DefaultParagraphFont"/>
    <w:link w:val="ListParagraph"/>
    <w:uiPriority w:val="34"/>
    <w:locked/>
    <w:rsid w:val="009B535B"/>
    <w:rPr>
      <w:sz w:val="22"/>
      <w:szCs w:val="24"/>
    </w:rPr>
  </w:style>
  <w:style w:type="paragraph" w:styleId="FootnoteText">
    <w:name w:val="footnote text"/>
    <w:basedOn w:val="Normal"/>
    <w:link w:val="FootnoteTextChar"/>
    <w:uiPriority w:val="99"/>
    <w:semiHidden/>
    <w:unhideWhenUsed/>
    <w:rsid w:val="009B535B"/>
    <w:pPr>
      <w:widowControl w:val="0"/>
      <w:overflowPunct w:val="0"/>
      <w:autoSpaceDE w:val="0"/>
      <w:autoSpaceDN w:val="0"/>
      <w:adjustRightInd w:val="0"/>
      <w:spacing w:after="0" w:line="240" w:lineRule="auto"/>
    </w:pPr>
    <w:rPr>
      <w:sz w:val="20"/>
      <w:szCs w:val="20"/>
      <w:lang w:eastAsia="en-US"/>
    </w:rPr>
  </w:style>
  <w:style w:type="character" w:customStyle="1" w:styleId="FootnoteTextChar">
    <w:name w:val="Footnote Text Char"/>
    <w:basedOn w:val="DefaultParagraphFont"/>
    <w:link w:val="FootnoteText"/>
    <w:uiPriority w:val="99"/>
    <w:semiHidden/>
    <w:rsid w:val="009B535B"/>
    <w:rPr>
      <w:lang w:eastAsia="en-US"/>
    </w:rPr>
  </w:style>
  <w:style w:type="character" w:styleId="FootnoteReference">
    <w:name w:val="footnote reference"/>
    <w:basedOn w:val="DefaultParagraphFont"/>
    <w:uiPriority w:val="99"/>
    <w:semiHidden/>
    <w:unhideWhenUsed/>
    <w:rsid w:val="009B53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publications/eoi-guide" TargetMode="External"/><Relationship Id="rId2" Type="http://schemas.openxmlformats.org/officeDocument/2006/relationships/customXml" Target="../customXml/item2.xml"/><Relationship Id="rId16" Type="http://schemas.openxmlformats.org/officeDocument/2006/relationships/hyperlink" Target="mailto:Enquiries.RBU@education.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Contracts2018-19.SEND@education.gov.uk"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send-disagreement-resolution-arrangements-in-england-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Unmanaged Document" ma:contentTypeID="0x01010022FB6F5B673DE24C929721332B4C6E921000462366E4CAAA4749A3B3F2C700F0AFB2" ma:contentTypeVersion="24" ma:contentTypeDescription="For working documents that do not need to be declared as records.  Will be deleted two years after last modified date." ma:contentTypeScope="" ma:versionID="de9f3c9b921cb1784af655d5e54b3d32">
  <xsd:schema xmlns:xsd="http://www.w3.org/2001/XMLSchema" xmlns:xs="http://www.w3.org/2001/XMLSchema" xmlns:p="http://schemas.microsoft.com/office/2006/metadata/properties" xmlns:ns1="http://schemas.microsoft.com/sharepoint/v3" xmlns:ns2="ad312983-9933-4586-87ae-0dd55f2c5b7f" xmlns:ns3="65c01043-0666-442f-acb7-2528b588859a" xmlns:ns4="1d8741c7-de4e-4a2d-a0c7-324270fb0e97" targetNamespace="http://schemas.microsoft.com/office/2006/metadata/properties" ma:root="true" ma:fieldsID="ca02fadf12b3a03543aaca7f9712607d" ns1:_="" ns2:_="" ns3:_="" ns4:_="">
    <xsd:import namespace="http://schemas.microsoft.com/sharepoint/v3"/>
    <xsd:import namespace="ad312983-9933-4586-87ae-0dd55f2c5b7f"/>
    <xsd:import namespace="65c01043-0666-442f-acb7-2528b588859a"/>
    <xsd:import namespace="1d8741c7-de4e-4a2d-a0c7-324270fb0e97"/>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8741c7-de4e-4a2d-a0c7-324270fb0e97"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ad312983-9933-4586-87ae-0dd55f2c5b7f">
      <Value>3</Value>
      <Value>2</Value>
      <Value>1</Value>
    </TaxCatchAll>
    <h5181134883947a99a38d116ffff0006 xmlns="1d8741c7-de4e-4a2d-a0c7-324270fb0e97">
      <Terms xmlns="http://schemas.microsoft.com/office/infopath/2007/PartnerControls"/>
    </h5181134883947a99a38d116ffff0006>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TaxCatchAllLabel xmlns="ad312983-9933-4586-87ae-0dd55f2c5b7f"/>
    <ga3ea8c7e930478d895ebe88afb198cd xmlns="ad312983-9933-4586-87ae-0dd55f2c5b7f">
      <Terms xmlns="http://schemas.microsoft.com/office/infopath/2007/PartnerControls"/>
    </ga3ea8c7e930478d895ebe88afb198cd>
    <_vti_ItemDeclaredRecord xmlns="http://schemas.microsoft.com/sharepoint/v3" xsi:nil="true"/>
    <IWPContributor xmlns="65c01043-0666-442f-acb7-2528b588859a">
      <UserInfo>
        <DisplayName/>
        <AccountId xsi:nil="true"/>
        <AccountType/>
      </UserInfo>
    </IWPContributor>
    <Comments xmlns="http://schemas.microsoft.com/sharepoint/v3" xsi:nil="true"/>
    <_dlc_DocId xmlns="ad312983-9933-4586-87ae-0dd55f2c5b7f">2CYMDDFJX5CA-878373478-397</_dlc_DocId>
    <_dlc_DocIdUrl xmlns="ad312983-9933-4586-87ae-0dd55f2c5b7f">
      <Url>https://educationgovuk.sharepoint.com/sites/sarpi/g/_layouts/15/DocIdRedir.aspx?ID=2CYMDDFJX5CA-878373478-397</Url>
      <Description>2CYMDDFJX5CA-878373478-397</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2.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3.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4.xml><?xml version="1.0" encoding="utf-8"?>
<ds:datastoreItem xmlns:ds="http://schemas.openxmlformats.org/officeDocument/2006/customXml" ds:itemID="{D7F9B3B1-F904-4E85-AD1E-DD835A848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65c01043-0666-442f-acb7-2528b588859a"/>
    <ds:schemaRef ds:uri="1d8741c7-de4e-4a2d-a0c7-324270fb0e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B7DCE39-AB92-4048-BD16-472514B227E0}">
  <ds:schemaRefs>
    <ds:schemaRef ds:uri="http://purl.org/dc/terms/"/>
    <ds:schemaRef ds:uri="http://schemas.openxmlformats.org/package/2006/metadata/core-properties"/>
    <ds:schemaRef ds:uri="ad312983-9933-4586-87ae-0dd55f2c5b7f"/>
    <ds:schemaRef ds:uri="http://schemas.microsoft.com/office/2006/documentManagement/types"/>
    <ds:schemaRef ds:uri="http://schemas.microsoft.com/office/infopath/2007/PartnerControls"/>
    <ds:schemaRef ds:uri="65c01043-0666-442f-acb7-2528b588859a"/>
    <ds:schemaRef ds:uri="http://purl.org/dc/elements/1.1/"/>
    <ds:schemaRef ds:uri="http://schemas.microsoft.com/office/2006/metadata/properties"/>
    <ds:schemaRef ds:uri="http://schemas.microsoft.com/sharepoint/v3"/>
    <ds:schemaRef ds:uri="1d8741c7-de4e-4a2d-a0c7-324270fb0e97"/>
    <ds:schemaRef ds:uri="http://www.w3.org/XML/1998/namespace"/>
    <ds:schemaRef ds:uri="http://purl.org/dc/dcmitype/"/>
  </ds:schemaRefs>
</ds:datastoreItem>
</file>

<file path=customXml/itemProps6.xml><?xml version="1.0" encoding="utf-8"?>
<ds:datastoreItem xmlns:ds="http://schemas.openxmlformats.org/officeDocument/2006/customXml" ds:itemID="{B670F0BD-6BE8-41CB-92EB-67403D10E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1627</Words>
  <Characters>9278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10884</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HARDY, Louise</cp:lastModifiedBy>
  <cp:revision>2</cp:revision>
  <cp:lastPrinted>2013-07-11T10:35:00Z</cp:lastPrinted>
  <dcterms:created xsi:type="dcterms:W3CDTF">2017-10-10T12:07:00Z</dcterms:created>
  <dcterms:modified xsi:type="dcterms:W3CDTF">2017-10-10T12:07:00Z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0x01010022FB6F5B673DE24C929721332B4C6E921000462366E4CAAA4749A3B3F2C700F0AFB2</vt:lpwstr>
  </property>
  <property fmtid="{D5CDD505-2E9C-101B-9397-08002B2CF9AE}" pid="4" name="_dlc_DocIdItemGuid">
    <vt:lpwstr>b4fe5599-b26e-471e-92cc-94150a273d39</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