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D7AAC" w14:textId="26A413AC" w:rsidR="00251AE6" w:rsidRPr="0085371C" w:rsidRDefault="007837A5" w:rsidP="00DB246F">
      <w:pPr>
        <w:spacing w:after="120" w:line="240" w:lineRule="auto"/>
        <w:rPr>
          <w:rFonts w:ascii="Arial" w:hAnsi="Arial" w:cs="Arial"/>
        </w:rPr>
      </w:pPr>
      <w:r w:rsidRPr="00DD620A">
        <w:rPr>
          <w:noProof/>
        </w:rPr>
        <w:drawing>
          <wp:anchor distT="0" distB="0" distL="114300" distR="114300" simplePos="0" relativeHeight="251659264" behindDoc="1" locked="0" layoutInCell="1" allowOverlap="1" wp14:anchorId="7F93629B" wp14:editId="543ACC31">
            <wp:simplePos x="0" y="0"/>
            <wp:positionH relativeFrom="column">
              <wp:posOffset>0</wp:posOffset>
            </wp:positionH>
            <wp:positionV relativeFrom="paragraph">
              <wp:posOffset>-635</wp:posOffset>
            </wp:positionV>
            <wp:extent cx="1695450" cy="1371600"/>
            <wp:effectExtent l="0" t="0" r="0" b="0"/>
            <wp:wrapNone/>
            <wp:docPr id="10" name="Picture 6" descr="Crown Commercial Service Logo"/>
            <wp:cNvGraphicFramePr/>
            <a:graphic xmlns:a="http://schemas.openxmlformats.org/drawingml/2006/main">
              <a:graphicData uri="http://schemas.openxmlformats.org/drawingml/2006/picture">
                <pic:pic xmlns:pic="http://schemas.openxmlformats.org/drawingml/2006/picture">
                  <pic:nvPicPr>
                    <pic:cNvPr id="1029" name="Picture 5" descr="Crown Commercial Service Logo"/>
                    <pic:cNvPicPr>
                      <a:picLocks noChangeAspect="1" noChangeArrowheads="1"/>
                    </pic:cNvPicPr>
                  </pic:nvPicPr>
                  <pic:blipFill>
                    <a:blip r:embed="rId11" cstate="print"/>
                    <a:srcRect/>
                    <a:stretch>
                      <a:fillRect/>
                    </a:stretch>
                  </pic:blipFill>
                  <pic:spPr bwMode="auto">
                    <a:xfrm>
                      <a:off x="0" y="0"/>
                      <a:ext cx="1695450" cy="1371600"/>
                    </a:xfrm>
                    <a:prstGeom prst="rect">
                      <a:avLst/>
                    </a:prstGeom>
                    <a:noFill/>
                  </pic:spPr>
                </pic:pic>
              </a:graphicData>
            </a:graphic>
          </wp:anchor>
        </w:drawing>
      </w:r>
    </w:p>
    <w:p w14:paraId="0FD7FF84" w14:textId="509A948F" w:rsidR="00AE4296" w:rsidRPr="0085371C" w:rsidRDefault="00536E1B" w:rsidP="00536E1B">
      <w:pPr>
        <w:pStyle w:val="BodyText"/>
        <w:tabs>
          <w:tab w:val="left" w:pos="600"/>
        </w:tabs>
        <w:jc w:val="left"/>
        <w:rPr>
          <w:rFonts w:cs="Arial"/>
          <w:b/>
          <w:sz w:val="22"/>
          <w:szCs w:val="22"/>
        </w:rPr>
      </w:pPr>
      <w:r>
        <w:rPr>
          <w:rFonts w:cs="Arial"/>
          <w:b/>
          <w:sz w:val="22"/>
          <w:szCs w:val="22"/>
        </w:rPr>
        <w:tab/>
      </w:r>
    </w:p>
    <w:p w14:paraId="6F9EE3CC" w14:textId="55420977" w:rsidR="00197A49" w:rsidRPr="0085371C" w:rsidRDefault="00197A49" w:rsidP="00DB246F">
      <w:pPr>
        <w:spacing w:after="120" w:line="240" w:lineRule="auto"/>
        <w:ind w:right="-469"/>
        <w:rPr>
          <w:rFonts w:ascii="Arial" w:hAnsi="Arial" w:cs="Arial"/>
          <w:lang w:val="en-US"/>
        </w:rPr>
      </w:pPr>
    </w:p>
    <w:p w14:paraId="3D95F2FC" w14:textId="77777777" w:rsidR="00197A49" w:rsidRPr="0085371C" w:rsidRDefault="00197A49" w:rsidP="00DB246F">
      <w:pPr>
        <w:spacing w:after="120" w:line="240" w:lineRule="auto"/>
        <w:jc w:val="right"/>
        <w:rPr>
          <w:rFonts w:ascii="Arial" w:hAnsi="Arial" w:cs="Arial"/>
        </w:rPr>
      </w:pPr>
    </w:p>
    <w:p w14:paraId="3C977A59" w14:textId="6C6FFA87" w:rsidR="00197A49" w:rsidRPr="0085371C" w:rsidRDefault="00536E1B" w:rsidP="00536E1B">
      <w:pPr>
        <w:tabs>
          <w:tab w:val="left" w:pos="1125"/>
        </w:tabs>
        <w:spacing w:after="120" w:line="240" w:lineRule="auto"/>
        <w:rPr>
          <w:rFonts w:ascii="Arial" w:hAnsi="Arial" w:cs="Arial"/>
          <w:b/>
          <w:lang w:val="en-US"/>
        </w:rPr>
      </w:pPr>
      <w:r>
        <w:rPr>
          <w:rFonts w:ascii="Arial" w:hAnsi="Arial" w:cs="Arial"/>
          <w:b/>
          <w:lang w:val="en-US"/>
        </w:rPr>
        <w:tab/>
      </w:r>
    </w:p>
    <w:p w14:paraId="1A3D8924" w14:textId="77777777" w:rsidR="00197A49" w:rsidRPr="0085371C" w:rsidRDefault="00197A49" w:rsidP="00DB246F">
      <w:pPr>
        <w:spacing w:after="120" w:line="240" w:lineRule="auto"/>
        <w:jc w:val="center"/>
        <w:rPr>
          <w:rFonts w:ascii="Arial" w:hAnsi="Arial" w:cs="Arial"/>
          <w:b/>
          <w:lang w:val="en-US"/>
        </w:rPr>
      </w:pPr>
    </w:p>
    <w:p w14:paraId="45C2F7A1" w14:textId="77777777" w:rsidR="00197A49" w:rsidRPr="0085371C" w:rsidRDefault="00197A49" w:rsidP="00DB246F">
      <w:pPr>
        <w:spacing w:after="120" w:line="240" w:lineRule="auto"/>
        <w:jc w:val="center"/>
        <w:rPr>
          <w:rFonts w:ascii="Arial" w:hAnsi="Arial" w:cs="Arial"/>
          <w:b/>
          <w:lang w:val="en-US"/>
        </w:rPr>
      </w:pPr>
    </w:p>
    <w:p w14:paraId="63A2B540" w14:textId="77777777" w:rsidR="00197A49" w:rsidRPr="0085371C" w:rsidRDefault="00197A49" w:rsidP="00DB246F">
      <w:pPr>
        <w:spacing w:after="120" w:line="240" w:lineRule="auto"/>
        <w:jc w:val="center"/>
        <w:rPr>
          <w:rFonts w:ascii="Arial" w:hAnsi="Arial" w:cs="Arial"/>
          <w:b/>
          <w:lang w:val="en-US"/>
        </w:rPr>
      </w:pPr>
    </w:p>
    <w:p w14:paraId="74104950" w14:textId="77777777" w:rsidR="00197A49" w:rsidRPr="0085371C" w:rsidRDefault="00197A49" w:rsidP="00DB246F">
      <w:pPr>
        <w:spacing w:after="120" w:line="240" w:lineRule="auto"/>
        <w:jc w:val="center"/>
        <w:rPr>
          <w:rFonts w:ascii="Arial" w:hAnsi="Arial" w:cs="Arial"/>
          <w:b/>
          <w:lang w:val="en-US"/>
        </w:rPr>
      </w:pPr>
    </w:p>
    <w:p w14:paraId="2FD985F0" w14:textId="77777777" w:rsidR="00197A49" w:rsidRPr="0085371C" w:rsidRDefault="00197A49" w:rsidP="00DB246F">
      <w:pPr>
        <w:spacing w:after="120" w:line="240" w:lineRule="auto"/>
        <w:jc w:val="center"/>
        <w:rPr>
          <w:rFonts w:ascii="Arial" w:hAnsi="Arial" w:cs="Arial"/>
          <w:lang w:val="en-US"/>
        </w:rPr>
      </w:pPr>
    </w:p>
    <w:p w14:paraId="55BBBC3F" w14:textId="7B6FEEA9" w:rsidR="003E56C4" w:rsidRDefault="003E56C4" w:rsidP="00DB246F">
      <w:pPr>
        <w:spacing w:after="120" w:line="240" w:lineRule="auto"/>
        <w:jc w:val="center"/>
        <w:rPr>
          <w:rFonts w:ascii="Arial" w:hAnsi="Arial" w:cs="Arial"/>
          <w:b/>
          <w:caps/>
          <w:lang w:val="en-US"/>
        </w:rPr>
      </w:pPr>
      <w:r>
        <w:rPr>
          <w:rFonts w:ascii="Arial" w:hAnsi="Arial" w:cs="Arial"/>
          <w:b/>
          <w:lang w:val="en-US"/>
        </w:rPr>
        <w:t xml:space="preserve">ATTACHMENT </w:t>
      </w:r>
      <w:r w:rsidR="00B34B19">
        <w:rPr>
          <w:rFonts w:ascii="Arial" w:hAnsi="Arial" w:cs="Arial"/>
          <w:b/>
          <w:lang w:val="en-US"/>
        </w:rPr>
        <w:t>15</w:t>
      </w:r>
    </w:p>
    <w:p w14:paraId="71FF91C1" w14:textId="254603C0" w:rsidR="003E56C4" w:rsidRDefault="003E56C4" w:rsidP="00DB246F">
      <w:pPr>
        <w:spacing w:after="120" w:line="240" w:lineRule="auto"/>
        <w:jc w:val="center"/>
        <w:rPr>
          <w:rFonts w:ascii="Arial" w:hAnsi="Arial" w:cs="Arial"/>
          <w:b/>
          <w:caps/>
          <w:lang w:val="en-US"/>
        </w:rPr>
      </w:pPr>
    </w:p>
    <w:p w14:paraId="46F4160A" w14:textId="1656C459" w:rsidR="00197A49" w:rsidRPr="0085371C" w:rsidRDefault="004D4BF4" w:rsidP="00DB246F">
      <w:pPr>
        <w:spacing w:after="120" w:line="240" w:lineRule="auto"/>
        <w:jc w:val="center"/>
        <w:rPr>
          <w:rFonts w:ascii="Arial" w:hAnsi="Arial" w:cs="Arial"/>
          <w:b/>
          <w:caps/>
          <w:lang w:val="en-US"/>
        </w:rPr>
      </w:pPr>
      <w:r>
        <w:rPr>
          <w:rFonts w:ascii="Arial" w:hAnsi="Arial" w:cs="Arial"/>
          <w:b/>
          <w:caps/>
          <w:lang w:val="en-US"/>
        </w:rPr>
        <w:t>FM Services KPI Model</w:t>
      </w:r>
      <w:r w:rsidR="003E56C4">
        <w:rPr>
          <w:rFonts w:ascii="Arial" w:hAnsi="Arial" w:cs="Arial"/>
          <w:b/>
          <w:caps/>
          <w:lang w:val="en-US"/>
        </w:rPr>
        <w:t xml:space="preserve"> Instructions</w:t>
      </w:r>
    </w:p>
    <w:p w14:paraId="2B66F97B" w14:textId="77777777" w:rsidR="00190F47" w:rsidRPr="0085371C" w:rsidRDefault="00190F47" w:rsidP="00DB246F">
      <w:pPr>
        <w:spacing w:after="120" w:line="240" w:lineRule="auto"/>
        <w:jc w:val="center"/>
        <w:rPr>
          <w:rFonts w:ascii="Arial" w:hAnsi="Arial" w:cs="Arial"/>
          <w:b/>
          <w:caps/>
          <w:lang w:val="en-US"/>
        </w:rPr>
      </w:pPr>
    </w:p>
    <w:p w14:paraId="53CEE646" w14:textId="77777777" w:rsidR="00190F47" w:rsidRPr="0085371C" w:rsidRDefault="00190F47" w:rsidP="00DB246F">
      <w:pPr>
        <w:overflowPunct w:val="0"/>
        <w:autoSpaceDE w:val="0"/>
        <w:autoSpaceDN w:val="0"/>
        <w:adjustRightInd w:val="0"/>
        <w:spacing w:after="120" w:line="240" w:lineRule="auto"/>
        <w:jc w:val="center"/>
        <w:textAlignment w:val="baseline"/>
        <w:rPr>
          <w:rFonts w:ascii="Arial" w:eastAsia="Times New Roman" w:hAnsi="Arial" w:cs="Arial"/>
          <w:b/>
        </w:rPr>
      </w:pPr>
      <w:r w:rsidRPr="0085371C">
        <w:rPr>
          <w:rFonts w:ascii="Arial" w:eastAsia="Times New Roman" w:hAnsi="Arial" w:cs="Arial"/>
          <w:b/>
        </w:rPr>
        <w:t>FURTHER COMPETITION UNDER</w:t>
      </w:r>
    </w:p>
    <w:p w14:paraId="4364DF46" w14:textId="6964053C" w:rsidR="00190F47" w:rsidRPr="0085371C" w:rsidRDefault="00190F47" w:rsidP="00DB246F">
      <w:pPr>
        <w:overflowPunct w:val="0"/>
        <w:autoSpaceDE w:val="0"/>
        <w:autoSpaceDN w:val="0"/>
        <w:adjustRightInd w:val="0"/>
        <w:spacing w:after="120" w:line="240" w:lineRule="auto"/>
        <w:jc w:val="center"/>
        <w:textAlignment w:val="baseline"/>
        <w:rPr>
          <w:rFonts w:ascii="Arial" w:eastAsia="Times New Roman" w:hAnsi="Arial" w:cs="Arial"/>
          <w:b/>
        </w:rPr>
      </w:pPr>
      <w:r w:rsidRPr="0085371C">
        <w:rPr>
          <w:rFonts w:ascii="Arial" w:eastAsia="Times New Roman" w:hAnsi="Arial" w:cs="Arial"/>
          <w:b/>
        </w:rPr>
        <w:t xml:space="preserve"> FM SERVICES FRAMEWORK AGREEMENT </w:t>
      </w:r>
      <w:r w:rsidR="00C61879">
        <w:rPr>
          <w:rFonts w:ascii="Arial" w:eastAsia="Times New Roman" w:hAnsi="Arial" w:cs="Arial"/>
          <w:b/>
        </w:rPr>
        <w:t>FOR TRAINING ESTATE SERVICES.</w:t>
      </w:r>
    </w:p>
    <w:p w14:paraId="0FD66416" w14:textId="77777777" w:rsidR="00190F47" w:rsidRPr="0085371C" w:rsidRDefault="00190F47" w:rsidP="00DB246F">
      <w:pPr>
        <w:overflowPunct w:val="0"/>
        <w:autoSpaceDE w:val="0"/>
        <w:autoSpaceDN w:val="0"/>
        <w:adjustRightInd w:val="0"/>
        <w:spacing w:after="120" w:line="240" w:lineRule="auto"/>
        <w:jc w:val="center"/>
        <w:textAlignment w:val="baseline"/>
        <w:rPr>
          <w:rFonts w:ascii="Arial" w:eastAsia="Times New Roman" w:hAnsi="Arial" w:cs="Arial"/>
          <w:b/>
        </w:rPr>
      </w:pPr>
    </w:p>
    <w:p w14:paraId="287D9FED" w14:textId="77777777" w:rsidR="00190F47" w:rsidRPr="0085371C" w:rsidRDefault="00190F47" w:rsidP="00DB246F">
      <w:pPr>
        <w:spacing w:after="120" w:line="240" w:lineRule="auto"/>
        <w:jc w:val="center"/>
        <w:rPr>
          <w:rFonts w:ascii="Arial" w:hAnsi="Arial" w:cs="Arial"/>
          <w:b/>
          <w:caps/>
          <w:lang w:val="en-US"/>
        </w:rPr>
      </w:pPr>
    </w:p>
    <w:p w14:paraId="7DAC530B" w14:textId="77777777" w:rsidR="00197A49" w:rsidRPr="0085371C" w:rsidRDefault="00197A49" w:rsidP="00DB246F">
      <w:pPr>
        <w:spacing w:after="120" w:line="240" w:lineRule="auto"/>
        <w:rPr>
          <w:rFonts w:ascii="Arial" w:hAnsi="Arial" w:cs="Arial"/>
        </w:rPr>
      </w:pPr>
    </w:p>
    <w:p w14:paraId="56FAB7EB" w14:textId="77777777" w:rsidR="00197A49" w:rsidRPr="0085371C" w:rsidRDefault="00197A49" w:rsidP="00DB246F">
      <w:pPr>
        <w:spacing w:after="120" w:line="240" w:lineRule="auto"/>
        <w:rPr>
          <w:rFonts w:ascii="Arial" w:hAnsi="Arial" w:cs="Arial"/>
        </w:rPr>
      </w:pPr>
    </w:p>
    <w:p w14:paraId="6B6E9400" w14:textId="77777777" w:rsidR="00197A49" w:rsidRPr="0085371C" w:rsidRDefault="00197A49" w:rsidP="00DB246F">
      <w:pPr>
        <w:spacing w:after="120" w:line="240" w:lineRule="auto"/>
        <w:rPr>
          <w:rFonts w:ascii="Arial" w:hAnsi="Arial" w:cs="Arial"/>
        </w:rPr>
      </w:pPr>
    </w:p>
    <w:p w14:paraId="0C30B7D8" w14:textId="77777777" w:rsidR="00197A49" w:rsidRPr="0085371C" w:rsidRDefault="00197A49" w:rsidP="00DB246F">
      <w:pPr>
        <w:spacing w:after="120" w:line="240" w:lineRule="auto"/>
        <w:rPr>
          <w:rFonts w:ascii="Arial" w:hAnsi="Arial" w:cs="Arial"/>
        </w:rPr>
      </w:pPr>
    </w:p>
    <w:p w14:paraId="4409860D" w14:textId="77777777" w:rsidR="00197A49" w:rsidRPr="0085371C" w:rsidRDefault="00197A49" w:rsidP="00DB246F">
      <w:pPr>
        <w:spacing w:after="120" w:line="240" w:lineRule="auto"/>
        <w:ind w:left="6804" w:firstLine="426"/>
        <w:jc w:val="right"/>
        <w:rPr>
          <w:rFonts w:ascii="Arial" w:hAnsi="Arial" w:cs="Arial"/>
        </w:rPr>
      </w:pPr>
    </w:p>
    <w:p w14:paraId="17711DBB" w14:textId="74141929" w:rsidR="00197A49" w:rsidRPr="0085371C" w:rsidRDefault="00197A49" w:rsidP="00DB246F">
      <w:pPr>
        <w:spacing w:after="120" w:line="240" w:lineRule="auto"/>
        <w:ind w:left="6804" w:firstLine="426"/>
        <w:jc w:val="right"/>
        <w:rPr>
          <w:rFonts w:ascii="Arial" w:hAnsi="Arial" w:cs="Arial"/>
        </w:rPr>
      </w:pPr>
      <w:r w:rsidRPr="0085371C">
        <w:rPr>
          <w:rFonts w:ascii="Arial" w:hAnsi="Arial" w:cs="Arial"/>
        </w:rPr>
        <w:t xml:space="preserve"> </w:t>
      </w:r>
    </w:p>
    <w:p w14:paraId="793B8F4A" w14:textId="29EA3347" w:rsidR="00AE4296" w:rsidRPr="0085371C" w:rsidRDefault="002A2FA8" w:rsidP="00DB246F">
      <w:pPr>
        <w:spacing w:after="120" w:line="240" w:lineRule="auto"/>
        <w:jc w:val="center"/>
        <w:rPr>
          <w:rFonts w:ascii="Arial" w:hAnsi="Arial" w:cs="Arial"/>
        </w:rPr>
      </w:pPr>
      <w:r w:rsidRPr="0085371C">
        <w:rPr>
          <w:rFonts w:ascii="Arial" w:hAnsi="Arial" w:cs="Arial"/>
          <w:b/>
        </w:rPr>
        <w:br w:type="page"/>
      </w:r>
      <w:r w:rsidR="00AE4296" w:rsidRPr="0085371C">
        <w:rPr>
          <w:rFonts w:ascii="Arial" w:hAnsi="Arial" w:cs="Arial"/>
        </w:rPr>
        <w:lastRenderedPageBreak/>
        <w:t>CONTENTS</w:t>
      </w:r>
    </w:p>
    <w:p w14:paraId="7CF50A75" w14:textId="77777777" w:rsidR="00AE4296" w:rsidRPr="0085371C" w:rsidRDefault="00AE4296" w:rsidP="00DB246F">
      <w:pPr>
        <w:spacing w:after="120" w:line="240" w:lineRule="auto"/>
        <w:jc w:val="center"/>
        <w:rPr>
          <w:rFonts w:ascii="Arial" w:hAnsi="Arial" w:cs="Arial"/>
        </w:rPr>
      </w:pPr>
    </w:p>
    <w:p w14:paraId="5F9F1F04" w14:textId="77777777" w:rsidR="00AE4296" w:rsidRPr="0085371C" w:rsidRDefault="00AE4296" w:rsidP="00DB246F">
      <w:pPr>
        <w:spacing w:after="120" w:line="240" w:lineRule="auto"/>
        <w:rPr>
          <w:rFonts w:ascii="Arial" w:hAnsi="Arial" w:cs="Arial"/>
        </w:rPr>
      </w:pPr>
    </w:p>
    <w:p w14:paraId="35A66515" w14:textId="077599DE" w:rsidR="00F4134D" w:rsidRDefault="00E7015C">
      <w:pPr>
        <w:pStyle w:val="TOC1"/>
        <w:rPr>
          <w:rFonts w:asciiTheme="minorHAnsi" w:eastAsiaTheme="minorEastAsia" w:hAnsiTheme="minorHAnsi" w:cstheme="minorBidi"/>
          <w:caps w:val="0"/>
          <w:noProof/>
          <w:szCs w:val="22"/>
          <w:lang w:eastAsia="en-GB"/>
        </w:rPr>
      </w:pPr>
      <w:r w:rsidRPr="0085371C">
        <w:rPr>
          <w:rFonts w:cs="Arial"/>
          <w:caps w:val="0"/>
          <w:szCs w:val="22"/>
        </w:rPr>
        <w:fldChar w:fldCharType="begin"/>
      </w:r>
      <w:r w:rsidR="00AE4296" w:rsidRPr="0085371C">
        <w:rPr>
          <w:rFonts w:cs="Arial"/>
          <w:caps w:val="0"/>
          <w:szCs w:val="22"/>
        </w:rPr>
        <w:instrText xml:space="preserve"> TOC \o "1-1" \h \z \u </w:instrText>
      </w:r>
      <w:r w:rsidRPr="0085371C">
        <w:rPr>
          <w:rFonts w:cs="Arial"/>
          <w:caps w:val="0"/>
          <w:szCs w:val="22"/>
        </w:rPr>
        <w:fldChar w:fldCharType="separate"/>
      </w:r>
      <w:hyperlink w:anchor="_Toc23768483" w:history="1">
        <w:r w:rsidR="00F4134D" w:rsidRPr="00AE08A8">
          <w:rPr>
            <w:rStyle w:val="Hyperlink"/>
            <w:noProof/>
          </w:rPr>
          <w:t>1.</w:t>
        </w:r>
        <w:r w:rsidR="00F4134D">
          <w:rPr>
            <w:rFonts w:asciiTheme="minorHAnsi" w:eastAsiaTheme="minorEastAsia" w:hAnsiTheme="minorHAnsi" w:cstheme="minorBidi"/>
            <w:caps w:val="0"/>
            <w:noProof/>
            <w:szCs w:val="22"/>
            <w:lang w:eastAsia="en-GB"/>
          </w:rPr>
          <w:tab/>
        </w:r>
        <w:r w:rsidR="00F4134D" w:rsidRPr="00AE08A8">
          <w:rPr>
            <w:rStyle w:val="Hyperlink"/>
            <w:noProof/>
          </w:rPr>
          <w:t>introduction</w:t>
        </w:r>
        <w:r w:rsidR="00F4134D">
          <w:rPr>
            <w:noProof/>
            <w:webHidden/>
          </w:rPr>
          <w:tab/>
        </w:r>
        <w:r w:rsidR="00F4134D">
          <w:rPr>
            <w:noProof/>
            <w:webHidden/>
          </w:rPr>
          <w:fldChar w:fldCharType="begin"/>
        </w:r>
        <w:r w:rsidR="00F4134D">
          <w:rPr>
            <w:noProof/>
            <w:webHidden/>
          </w:rPr>
          <w:instrText xml:space="preserve"> PAGEREF _Toc23768483 \h </w:instrText>
        </w:r>
        <w:r w:rsidR="00F4134D">
          <w:rPr>
            <w:noProof/>
            <w:webHidden/>
          </w:rPr>
        </w:r>
        <w:r w:rsidR="00F4134D">
          <w:rPr>
            <w:noProof/>
            <w:webHidden/>
          </w:rPr>
          <w:fldChar w:fldCharType="separate"/>
        </w:r>
        <w:r w:rsidR="00F4134D">
          <w:rPr>
            <w:noProof/>
            <w:webHidden/>
          </w:rPr>
          <w:t>3</w:t>
        </w:r>
        <w:r w:rsidR="00F4134D">
          <w:rPr>
            <w:noProof/>
            <w:webHidden/>
          </w:rPr>
          <w:fldChar w:fldCharType="end"/>
        </w:r>
      </w:hyperlink>
    </w:p>
    <w:p w14:paraId="4B80AA19" w14:textId="4651F8E2" w:rsidR="00F4134D" w:rsidRDefault="00EA22C4">
      <w:pPr>
        <w:pStyle w:val="TOC1"/>
        <w:rPr>
          <w:rFonts w:asciiTheme="minorHAnsi" w:eastAsiaTheme="minorEastAsia" w:hAnsiTheme="minorHAnsi" w:cstheme="minorBidi"/>
          <w:caps w:val="0"/>
          <w:noProof/>
          <w:szCs w:val="22"/>
          <w:lang w:eastAsia="en-GB"/>
        </w:rPr>
      </w:pPr>
      <w:hyperlink w:anchor="_Toc23768484" w:history="1">
        <w:r w:rsidR="00F4134D" w:rsidRPr="00AE08A8">
          <w:rPr>
            <w:rStyle w:val="Hyperlink"/>
            <w:noProof/>
          </w:rPr>
          <w:t>2.</w:t>
        </w:r>
        <w:r w:rsidR="00F4134D">
          <w:rPr>
            <w:rFonts w:asciiTheme="minorHAnsi" w:eastAsiaTheme="minorEastAsia" w:hAnsiTheme="minorHAnsi" w:cstheme="minorBidi"/>
            <w:caps w:val="0"/>
            <w:noProof/>
            <w:szCs w:val="22"/>
            <w:lang w:eastAsia="en-GB"/>
          </w:rPr>
          <w:tab/>
        </w:r>
        <w:r w:rsidR="00F4134D" w:rsidRPr="00AE08A8">
          <w:rPr>
            <w:rStyle w:val="Hyperlink"/>
            <w:noProof/>
          </w:rPr>
          <w:t>KPI Model Template for FM Services FOR TRAINING ESTATE</w:t>
        </w:r>
        <w:r w:rsidR="00F4134D">
          <w:rPr>
            <w:noProof/>
            <w:webHidden/>
          </w:rPr>
          <w:tab/>
        </w:r>
        <w:r w:rsidR="00F4134D">
          <w:rPr>
            <w:noProof/>
            <w:webHidden/>
          </w:rPr>
          <w:fldChar w:fldCharType="begin"/>
        </w:r>
        <w:r w:rsidR="00F4134D">
          <w:rPr>
            <w:noProof/>
            <w:webHidden/>
          </w:rPr>
          <w:instrText xml:space="preserve"> PAGEREF _Toc23768484 \h </w:instrText>
        </w:r>
        <w:r w:rsidR="00F4134D">
          <w:rPr>
            <w:noProof/>
            <w:webHidden/>
          </w:rPr>
        </w:r>
        <w:r w:rsidR="00F4134D">
          <w:rPr>
            <w:noProof/>
            <w:webHidden/>
          </w:rPr>
          <w:fldChar w:fldCharType="separate"/>
        </w:r>
        <w:r w:rsidR="00F4134D">
          <w:rPr>
            <w:noProof/>
            <w:webHidden/>
          </w:rPr>
          <w:t>4</w:t>
        </w:r>
        <w:r w:rsidR="00F4134D">
          <w:rPr>
            <w:noProof/>
            <w:webHidden/>
          </w:rPr>
          <w:fldChar w:fldCharType="end"/>
        </w:r>
      </w:hyperlink>
    </w:p>
    <w:p w14:paraId="220A6843" w14:textId="63BA636E" w:rsidR="00F4134D" w:rsidRDefault="00EA22C4">
      <w:pPr>
        <w:pStyle w:val="TOC1"/>
        <w:rPr>
          <w:rFonts w:asciiTheme="minorHAnsi" w:eastAsiaTheme="minorEastAsia" w:hAnsiTheme="minorHAnsi" w:cstheme="minorBidi"/>
          <w:caps w:val="0"/>
          <w:noProof/>
          <w:szCs w:val="22"/>
          <w:lang w:eastAsia="en-GB"/>
        </w:rPr>
      </w:pPr>
      <w:hyperlink w:anchor="_Toc23768485" w:history="1">
        <w:r w:rsidR="00F4134D" w:rsidRPr="00AE08A8">
          <w:rPr>
            <w:rStyle w:val="Hyperlink"/>
            <w:noProof/>
          </w:rPr>
          <w:t>3.</w:t>
        </w:r>
        <w:r w:rsidR="00F4134D">
          <w:rPr>
            <w:rFonts w:asciiTheme="minorHAnsi" w:eastAsiaTheme="minorEastAsia" w:hAnsiTheme="minorHAnsi" w:cstheme="minorBidi"/>
            <w:caps w:val="0"/>
            <w:noProof/>
            <w:szCs w:val="22"/>
            <w:lang w:eastAsia="en-GB"/>
          </w:rPr>
          <w:tab/>
        </w:r>
        <w:r w:rsidR="00F4134D" w:rsidRPr="00AE08A8">
          <w:rPr>
            <w:rStyle w:val="Hyperlink"/>
            <w:noProof/>
          </w:rPr>
          <w:t>Guidance worksheet</w:t>
        </w:r>
        <w:r w:rsidR="00F4134D">
          <w:rPr>
            <w:noProof/>
            <w:webHidden/>
          </w:rPr>
          <w:tab/>
        </w:r>
        <w:r w:rsidR="00F4134D">
          <w:rPr>
            <w:noProof/>
            <w:webHidden/>
          </w:rPr>
          <w:fldChar w:fldCharType="begin"/>
        </w:r>
        <w:r w:rsidR="00F4134D">
          <w:rPr>
            <w:noProof/>
            <w:webHidden/>
          </w:rPr>
          <w:instrText xml:space="preserve"> PAGEREF _Toc23768485 \h </w:instrText>
        </w:r>
        <w:r w:rsidR="00F4134D">
          <w:rPr>
            <w:noProof/>
            <w:webHidden/>
          </w:rPr>
        </w:r>
        <w:r w:rsidR="00F4134D">
          <w:rPr>
            <w:noProof/>
            <w:webHidden/>
          </w:rPr>
          <w:fldChar w:fldCharType="separate"/>
        </w:r>
        <w:r w:rsidR="00F4134D">
          <w:rPr>
            <w:noProof/>
            <w:webHidden/>
          </w:rPr>
          <w:t>5</w:t>
        </w:r>
        <w:r w:rsidR="00F4134D">
          <w:rPr>
            <w:noProof/>
            <w:webHidden/>
          </w:rPr>
          <w:fldChar w:fldCharType="end"/>
        </w:r>
      </w:hyperlink>
    </w:p>
    <w:p w14:paraId="044E8A64" w14:textId="7CEE344C" w:rsidR="00F4134D" w:rsidRDefault="00EA22C4">
      <w:pPr>
        <w:pStyle w:val="TOC1"/>
        <w:rPr>
          <w:rFonts w:asciiTheme="minorHAnsi" w:eastAsiaTheme="minorEastAsia" w:hAnsiTheme="minorHAnsi" w:cstheme="minorBidi"/>
          <w:caps w:val="0"/>
          <w:noProof/>
          <w:szCs w:val="22"/>
          <w:lang w:eastAsia="en-GB"/>
        </w:rPr>
      </w:pPr>
      <w:hyperlink w:anchor="_Toc23768486" w:history="1">
        <w:r w:rsidR="00F4134D" w:rsidRPr="00AE08A8">
          <w:rPr>
            <w:rStyle w:val="Hyperlink"/>
            <w:noProof/>
          </w:rPr>
          <w:t>4.</w:t>
        </w:r>
        <w:r w:rsidR="00F4134D">
          <w:rPr>
            <w:rFonts w:asciiTheme="minorHAnsi" w:eastAsiaTheme="minorEastAsia" w:hAnsiTheme="minorHAnsi" w:cstheme="minorBidi"/>
            <w:caps w:val="0"/>
            <w:noProof/>
            <w:szCs w:val="22"/>
            <w:lang w:eastAsia="en-GB"/>
          </w:rPr>
          <w:tab/>
        </w:r>
        <w:r w:rsidR="00F4134D" w:rsidRPr="00AE08A8">
          <w:rPr>
            <w:rStyle w:val="Hyperlink"/>
            <w:noProof/>
          </w:rPr>
          <w:t>Performance criteria worksheet</w:t>
        </w:r>
        <w:r w:rsidR="00F4134D">
          <w:rPr>
            <w:noProof/>
            <w:webHidden/>
          </w:rPr>
          <w:tab/>
        </w:r>
        <w:r w:rsidR="00F4134D">
          <w:rPr>
            <w:noProof/>
            <w:webHidden/>
          </w:rPr>
          <w:fldChar w:fldCharType="begin"/>
        </w:r>
        <w:r w:rsidR="00F4134D">
          <w:rPr>
            <w:noProof/>
            <w:webHidden/>
          </w:rPr>
          <w:instrText xml:space="preserve"> PAGEREF _Toc23768486 \h </w:instrText>
        </w:r>
        <w:r w:rsidR="00F4134D">
          <w:rPr>
            <w:noProof/>
            <w:webHidden/>
          </w:rPr>
        </w:r>
        <w:r w:rsidR="00F4134D">
          <w:rPr>
            <w:noProof/>
            <w:webHidden/>
          </w:rPr>
          <w:fldChar w:fldCharType="separate"/>
        </w:r>
        <w:r w:rsidR="00F4134D">
          <w:rPr>
            <w:noProof/>
            <w:webHidden/>
          </w:rPr>
          <w:t>5</w:t>
        </w:r>
        <w:r w:rsidR="00F4134D">
          <w:rPr>
            <w:noProof/>
            <w:webHidden/>
          </w:rPr>
          <w:fldChar w:fldCharType="end"/>
        </w:r>
      </w:hyperlink>
    </w:p>
    <w:p w14:paraId="541FCCB5" w14:textId="004927A4" w:rsidR="00F4134D" w:rsidRDefault="00EA22C4">
      <w:pPr>
        <w:pStyle w:val="TOC1"/>
        <w:rPr>
          <w:rFonts w:asciiTheme="minorHAnsi" w:eastAsiaTheme="minorEastAsia" w:hAnsiTheme="minorHAnsi" w:cstheme="minorBidi"/>
          <w:caps w:val="0"/>
          <w:noProof/>
          <w:szCs w:val="22"/>
          <w:lang w:eastAsia="en-GB"/>
        </w:rPr>
      </w:pPr>
      <w:hyperlink w:anchor="_Toc23768487" w:history="1">
        <w:r w:rsidR="00F4134D" w:rsidRPr="00AE08A8">
          <w:rPr>
            <w:rStyle w:val="Hyperlink"/>
            <w:noProof/>
          </w:rPr>
          <w:t>5.</w:t>
        </w:r>
        <w:r w:rsidR="00F4134D">
          <w:rPr>
            <w:rFonts w:asciiTheme="minorHAnsi" w:eastAsiaTheme="minorEastAsia" w:hAnsiTheme="minorHAnsi" w:cstheme="minorBidi"/>
            <w:caps w:val="0"/>
            <w:noProof/>
            <w:szCs w:val="22"/>
            <w:lang w:eastAsia="en-GB"/>
          </w:rPr>
          <w:tab/>
        </w:r>
        <w:r w:rsidR="00F4134D" w:rsidRPr="00AE08A8">
          <w:rPr>
            <w:rStyle w:val="Hyperlink"/>
            <w:noProof/>
          </w:rPr>
          <w:t>Measures Worksheet</w:t>
        </w:r>
        <w:r w:rsidR="00F4134D">
          <w:rPr>
            <w:noProof/>
            <w:webHidden/>
          </w:rPr>
          <w:tab/>
        </w:r>
        <w:r w:rsidR="00F4134D">
          <w:rPr>
            <w:noProof/>
            <w:webHidden/>
          </w:rPr>
          <w:fldChar w:fldCharType="begin"/>
        </w:r>
        <w:r w:rsidR="00F4134D">
          <w:rPr>
            <w:noProof/>
            <w:webHidden/>
          </w:rPr>
          <w:instrText xml:space="preserve"> PAGEREF _Toc23768487 \h </w:instrText>
        </w:r>
        <w:r w:rsidR="00F4134D">
          <w:rPr>
            <w:noProof/>
            <w:webHidden/>
          </w:rPr>
        </w:r>
        <w:r w:rsidR="00F4134D">
          <w:rPr>
            <w:noProof/>
            <w:webHidden/>
          </w:rPr>
          <w:fldChar w:fldCharType="separate"/>
        </w:r>
        <w:r w:rsidR="00F4134D">
          <w:rPr>
            <w:noProof/>
            <w:webHidden/>
          </w:rPr>
          <w:t>6</w:t>
        </w:r>
        <w:r w:rsidR="00F4134D">
          <w:rPr>
            <w:noProof/>
            <w:webHidden/>
          </w:rPr>
          <w:fldChar w:fldCharType="end"/>
        </w:r>
      </w:hyperlink>
    </w:p>
    <w:p w14:paraId="62FD264D" w14:textId="4AE91FFC" w:rsidR="00F4134D" w:rsidRDefault="00EA22C4">
      <w:pPr>
        <w:pStyle w:val="TOC1"/>
        <w:rPr>
          <w:rFonts w:asciiTheme="minorHAnsi" w:eastAsiaTheme="minorEastAsia" w:hAnsiTheme="minorHAnsi" w:cstheme="minorBidi"/>
          <w:caps w:val="0"/>
          <w:noProof/>
          <w:szCs w:val="22"/>
          <w:lang w:eastAsia="en-GB"/>
        </w:rPr>
      </w:pPr>
      <w:hyperlink w:anchor="_Toc23768488" w:history="1">
        <w:r w:rsidR="00F4134D" w:rsidRPr="00AE08A8">
          <w:rPr>
            <w:rStyle w:val="Hyperlink"/>
            <w:noProof/>
          </w:rPr>
          <w:t>6.</w:t>
        </w:r>
        <w:r w:rsidR="00F4134D">
          <w:rPr>
            <w:rFonts w:asciiTheme="minorHAnsi" w:eastAsiaTheme="minorEastAsia" w:hAnsiTheme="minorHAnsi" w:cstheme="minorBidi"/>
            <w:caps w:val="0"/>
            <w:noProof/>
            <w:szCs w:val="22"/>
            <w:lang w:eastAsia="en-GB"/>
          </w:rPr>
          <w:tab/>
        </w:r>
        <w:r w:rsidR="00F4134D" w:rsidRPr="00AE08A8">
          <w:rPr>
            <w:rStyle w:val="Hyperlink"/>
            <w:noProof/>
          </w:rPr>
          <w:t>Scoring scales worksheet</w:t>
        </w:r>
        <w:r w:rsidR="00F4134D">
          <w:rPr>
            <w:noProof/>
            <w:webHidden/>
          </w:rPr>
          <w:tab/>
        </w:r>
        <w:r w:rsidR="00F4134D">
          <w:rPr>
            <w:noProof/>
            <w:webHidden/>
          </w:rPr>
          <w:fldChar w:fldCharType="begin"/>
        </w:r>
        <w:r w:rsidR="00F4134D">
          <w:rPr>
            <w:noProof/>
            <w:webHidden/>
          </w:rPr>
          <w:instrText xml:space="preserve"> PAGEREF _Toc23768488 \h </w:instrText>
        </w:r>
        <w:r w:rsidR="00F4134D">
          <w:rPr>
            <w:noProof/>
            <w:webHidden/>
          </w:rPr>
        </w:r>
        <w:r w:rsidR="00F4134D">
          <w:rPr>
            <w:noProof/>
            <w:webHidden/>
          </w:rPr>
          <w:fldChar w:fldCharType="separate"/>
        </w:r>
        <w:r w:rsidR="00F4134D">
          <w:rPr>
            <w:noProof/>
            <w:webHidden/>
          </w:rPr>
          <w:t>8</w:t>
        </w:r>
        <w:r w:rsidR="00F4134D">
          <w:rPr>
            <w:noProof/>
            <w:webHidden/>
          </w:rPr>
          <w:fldChar w:fldCharType="end"/>
        </w:r>
      </w:hyperlink>
    </w:p>
    <w:p w14:paraId="18E2F828" w14:textId="49935EBD" w:rsidR="00197A49" w:rsidRPr="0085371C" w:rsidRDefault="00E7015C" w:rsidP="00DB246F">
      <w:pPr>
        <w:spacing w:after="120" w:line="240" w:lineRule="auto"/>
        <w:rPr>
          <w:rFonts w:ascii="Arial" w:eastAsia="STZhongsong" w:hAnsi="Arial" w:cs="Arial"/>
          <w:caps/>
        </w:rPr>
      </w:pPr>
      <w:r w:rsidRPr="0085371C">
        <w:rPr>
          <w:rFonts w:ascii="Arial" w:eastAsia="STZhongsong" w:hAnsi="Arial" w:cs="Arial"/>
          <w:caps/>
        </w:rPr>
        <w:fldChar w:fldCharType="end"/>
      </w:r>
    </w:p>
    <w:p w14:paraId="5656D1CC" w14:textId="1A3E09B2" w:rsidR="00197A49" w:rsidRPr="0085371C" w:rsidRDefault="00197A49" w:rsidP="00C61879">
      <w:pPr>
        <w:pStyle w:val="Heading1"/>
        <w:numPr>
          <w:ilvl w:val="0"/>
          <w:numId w:val="0"/>
        </w:numPr>
        <w:ind w:left="737"/>
        <w:rPr>
          <w:rFonts w:cs="Arial"/>
          <w:caps w:val="0"/>
        </w:rPr>
      </w:pPr>
      <w:bookmarkStart w:id="0" w:name="_GoBack"/>
      <w:bookmarkEnd w:id="0"/>
      <w:r w:rsidRPr="0085371C">
        <w:rPr>
          <w:rFonts w:cs="Arial"/>
        </w:rPr>
        <w:br w:type="page"/>
      </w:r>
      <w:r w:rsidR="00C61879" w:rsidRPr="0085371C">
        <w:rPr>
          <w:rFonts w:cs="Arial"/>
          <w:caps w:val="0"/>
        </w:rPr>
        <w:lastRenderedPageBreak/>
        <w:t xml:space="preserve"> </w:t>
      </w:r>
    </w:p>
    <w:p w14:paraId="5BBB72F2" w14:textId="77777777" w:rsidR="00197A49" w:rsidRPr="0085371C" w:rsidRDefault="00197A49" w:rsidP="00424100">
      <w:pPr>
        <w:pStyle w:val="Heading1"/>
      </w:pPr>
      <w:bookmarkStart w:id="1" w:name="_Toc414891583"/>
      <w:bookmarkStart w:id="2" w:name="_Toc415148389"/>
      <w:bookmarkStart w:id="3" w:name="_Toc427243666"/>
      <w:bookmarkStart w:id="4" w:name="_Toc23768483"/>
      <w:r w:rsidRPr="0085371C">
        <w:t>introduction</w:t>
      </w:r>
      <w:bookmarkEnd w:id="1"/>
      <w:bookmarkEnd w:id="2"/>
      <w:bookmarkEnd w:id="3"/>
      <w:bookmarkEnd w:id="4"/>
    </w:p>
    <w:p w14:paraId="3A0FD1D5" w14:textId="6F35B2E5" w:rsidR="000B62CF" w:rsidRPr="00F27A35" w:rsidRDefault="004D4BF4" w:rsidP="00287625">
      <w:pPr>
        <w:pStyle w:val="Heading2"/>
      </w:pPr>
      <w:r w:rsidRPr="00487343">
        <w:t xml:space="preserve">The following guidance provides </w:t>
      </w:r>
      <w:r>
        <w:t xml:space="preserve">the user with broad instructions on how to complete the Key Performance Indicator (KPI) Model template for FM Services </w:t>
      </w:r>
      <w:r w:rsidR="00C61879">
        <w:t>regarding Training Estate Services</w:t>
      </w:r>
      <w:r>
        <w:t xml:space="preserve">. It is important to note that the KPI Model template </w:t>
      </w:r>
      <w:r w:rsidR="00AD6DA2">
        <w:t>and</w:t>
      </w:r>
      <w:r>
        <w:t xml:space="preserve"> Payment Mechanism (Pay</w:t>
      </w:r>
      <w:r w:rsidR="006B2411">
        <w:t xml:space="preserve"> </w:t>
      </w:r>
      <w:r>
        <w:t>Mech) Model</w:t>
      </w:r>
      <w:r w:rsidR="00AD6DA2">
        <w:t xml:space="preserve"> both complement one another</w:t>
      </w:r>
      <w:r>
        <w:t xml:space="preserve">. Monthly figures will be taken from the KPI Model and placed into the Pay Mech Model, </w:t>
      </w:r>
      <w:r w:rsidR="00AD6DA2">
        <w:t xml:space="preserve">the latter </w:t>
      </w:r>
      <w:r>
        <w:t>calculating the Monthly Payment (MP) due</w:t>
      </w:r>
      <w:r w:rsidR="00AD6DA2">
        <w:t xml:space="preserve"> and the former informing any deduction necessary</w:t>
      </w:r>
      <w:r>
        <w:t xml:space="preserve">. </w:t>
      </w:r>
    </w:p>
    <w:p w14:paraId="537DFE63" w14:textId="346F0F8B" w:rsidR="00C773B4" w:rsidRDefault="004D4BF4" w:rsidP="00287625">
      <w:pPr>
        <w:pStyle w:val="Heading2"/>
      </w:pPr>
      <w:r>
        <w:t xml:space="preserve">The KPI Model is </w:t>
      </w:r>
      <w:r w:rsidR="006B2411">
        <w:t xml:space="preserve">provided as </w:t>
      </w:r>
      <w:r>
        <w:t xml:space="preserve">a standard template which may be adapted by the </w:t>
      </w:r>
      <w:r w:rsidR="00AF2336">
        <w:t>Buyer</w:t>
      </w:r>
      <w:r>
        <w:t xml:space="preserve">. This </w:t>
      </w:r>
      <w:r w:rsidR="00C773B4">
        <w:t>can</w:t>
      </w:r>
      <w:r>
        <w:t xml:space="preserve"> be done with the help of CCS (as part of a managed service arrangement). </w:t>
      </w:r>
      <w:r w:rsidR="00726553">
        <w:t>After the call off tender process, t</w:t>
      </w:r>
      <w:r>
        <w:t xml:space="preserve">he successful </w:t>
      </w:r>
      <w:r w:rsidR="00AF2336">
        <w:t>Supplier</w:t>
      </w:r>
      <w:r>
        <w:t xml:space="preserve"> may then have further input, working with the </w:t>
      </w:r>
      <w:r w:rsidR="00C773B4">
        <w:t>Buyer</w:t>
      </w:r>
      <w:r>
        <w:t xml:space="preserve">, to then refine the KPI Model as may be required in order to deliver the best outcome for the </w:t>
      </w:r>
      <w:r w:rsidR="00AF2336">
        <w:t>Buyer</w:t>
      </w:r>
      <w:r>
        <w:t xml:space="preserve">. The </w:t>
      </w:r>
      <w:r w:rsidR="00AF2336">
        <w:t>Buyer</w:t>
      </w:r>
      <w:r>
        <w:t xml:space="preserve"> may apply any number of measures in line with their requirements in order to help them monitor the performance of the </w:t>
      </w:r>
      <w:r w:rsidR="00AF2336">
        <w:t>Supplier</w:t>
      </w:r>
      <w:r>
        <w:t xml:space="preserve">. They will do this through the setting of </w:t>
      </w:r>
      <w:r w:rsidR="00AF2336">
        <w:t>‘Measure Requirements’</w:t>
      </w:r>
      <w:r>
        <w:t xml:space="preserve"> and </w:t>
      </w:r>
      <w:r w:rsidR="00AF2336">
        <w:t>‘</w:t>
      </w:r>
      <w:r w:rsidR="00405CCC">
        <w:t>Measure Achievement’ criteria</w:t>
      </w:r>
      <w:r>
        <w:t xml:space="preserve">, allowing </w:t>
      </w:r>
      <w:r w:rsidR="006B2411">
        <w:t>each stakeholder</w:t>
      </w:r>
      <w:r>
        <w:t xml:space="preserve"> to track and monitor the level of service being provided against agreed Service Level Requirement (SLR) and in line with the contract agreement. As part of successfully becoming a </w:t>
      </w:r>
      <w:r w:rsidR="006B2411">
        <w:t>F</w:t>
      </w:r>
      <w:r>
        <w:t xml:space="preserve">ramework </w:t>
      </w:r>
      <w:r w:rsidR="00AF2336">
        <w:t>Supplier</w:t>
      </w:r>
      <w:r>
        <w:t xml:space="preserve">, the </w:t>
      </w:r>
      <w:r w:rsidR="00405CCC">
        <w:t>Supplier</w:t>
      </w:r>
      <w:r>
        <w:t xml:space="preserve"> has signed up to meeting </w:t>
      </w:r>
      <w:r w:rsidR="00C61879">
        <w:t xml:space="preserve">appropriate and relevant </w:t>
      </w:r>
      <w:r>
        <w:t xml:space="preserve">Key Performance Indicators (KPI). These </w:t>
      </w:r>
      <w:r w:rsidR="00C773B4">
        <w:t xml:space="preserve">High Level </w:t>
      </w:r>
      <w:r>
        <w:t xml:space="preserve">KPIs </w:t>
      </w:r>
      <w:r w:rsidR="00405CCC">
        <w:t>are referred to as ‘KPI Name’</w:t>
      </w:r>
      <w:r>
        <w:t xml:space="preserve">. </w:t>
      </w:r>
      <w:r w:rsidR="00C61879">
        <w:t>In the first instance within the ‘standard’ KPI Model template, t</w:t>
      </w:r>
      <w:r w:rsidR="00C773B4">
        <w:t>hese are defined as</w:t>
      </w:r>
      <w:r w:rsidR="00237CDC">
        <w:t xml:space="preserve"> follows</w:t>
      </w:r>
      <w:r w:rsidR="00C773B4">
        <w:t>;</w:t>
      </w:r>
    </w:p>
    <w:p w14:paraId="4269E05C" w14:textId="54AF1E0E" w:rsidR="00C773B4" w:rsidRDefault="00237CDC" w:rsidP="00726553">
      <w:pPr>
        <w:pStyle w:val="Heading2"/>
        <w:ind w:left="3600"/>
      </w:pPr>
      <w:r>
        <w:t>C</w:t>
      </w:r>
      <w:r w:rsidR="00C61879">
        <w:t>ompliance &amp; Safety</w:t>
      </w:r>
    </w:p>
    <w:p w14:paraId="5D20E9DB" w14:textId="6AB13988" w:rsidR="00C61879" w:rsidRDefault="00C61879" w:rsidP="00726553">
      <w:pPr>
        <w:pStyle w:val="Heading2"/>
        <w:ind w:left="3600"/>
      </w:pPr>
      <w:r>
        <w:t>Service Delivery</w:t>
      </w:r>
    </w:p>
    <w:p w14:paraId="08C3EF40" w14:textId="2FDF4A3F" w:rsidR="00237CDC" w:rsidRDefault="00C61879" w:rsidP="00726553">
      <w:pPr>
        <w:pStyle w:val="Heading2"/>
        <w:ind w:left="3600"/>
      </w:pPr>
      <w:r>
        <w:t>Management Information</w:t>
      </w:r>
    </w:p>
    <w:p w14:paraId="17F076A8" w14:textId="74552FAA" w:rsidR="00237CDC" w:rsidRDefault="00237CDC" w:rsidP="00726553">
      <w:pPr>
        <w:pStyle w:val="Heading2"/>
        <w:ind w:left="3600"/>
      </w:pPr>
      <w:r>
        <w:t>Maintenance Services</w:t>
      </w:r>
    </w:p>
    <w:p w14:paraId="2BED4F39" w14:textId="5B86B7D1" w:rsidR="00C61879" w:rsidRDefault="00C61879" w:rsidP="00726553">
      <w:pPr>
        <w:pStyle w:val="Heading2"/>
        <w:ind w:left="3600"/>
      </w:pPr>
      <w:r>
        <w:t>Sustainability</w:t>
      </w:r>
    </w:p>
    <w:p w14:paraId="5A46A1F8" w14:textId="6C8EA4E8" w:rsidR="00C61879" w:rsidRDefault="00C61879" w:rsidP="00726553">
      <w:pPr>
        <w:pStyle w:val="Heading2"/>
        <w:ind w:left="3600"/>
      </w:pPr>
      <w:r>
        <w:t>Customer Satisfaction</w:t>
      </w:r>
    </w:p>
    <w:p w14:paraId="3759386A" w14:textId="5F636367" w:rsidR="00C61879" w:rsidRDefault="00C61879" w:rsidP="00726553">
      <w:pPr>
        <w:pStyle w:val="Heading2"/>
        <w:ind w:left="3600"/>
      </w:pPr>
      <w:r>
        <w:t>Collaboration &amp; Continuous Improvement</w:t>
      </w:r>
    </w:p>
    <w:p w14:paraId="02E94043" w14:textId="403495F3" w:rsidR="00C61879" w:rsidRDefault="00C61879" w:rsidP="00726553">
      <w:pPr>
        <w:pStyle w:val="Heading2"/>
        <w:ind w:left="3600"/>
      </w:pPr>
      <w:r>
        <w:t>Management of Change</w:t>
      </w:r>
    </w:p>
    <w:p w14:paraId="7F04C060" w14:textId="5FFDF001" w:rsidR="00237CDC" w:rsidRDefault="00237CDC" w:rsidP="00726553">
      <w:pPr>
        <w:pStyle w:val="Heading2"/>
        <w:ind w:left="3600"/>
      </w:pPr>
      <w:r>
        <w:t>Waste Services</w:t>
      </w:r>
    </w:p>
    <w:p w14:paraId="75B73927" w14:textId="1206868B" w:rsidR="00237CDC" w:rsidRDefault="00237CDC" w:rsidP="00726553">
      <w:pPr>
        <w:pStyle w:val="Heading2"/>
        <w:ind w:left="3600"/>
      </w:pPr>
      <w:r>
        <w:t>Cleaning Services</w:t>
      </w:r>
    </w:p>
    <w:p w14:paraId="47C10CC4" w14:textId="366CB057" w:rsidR="00237CDC" w:rsidRDefault="00237CDC" w:rsidP="00726553">
      <w:pPr>
        <w:pStyle w:val="Heading2"/>
        <w:ind w:left="3600"/>
      </w:pPr>
      <w:r>
        <w:t>Catering Services</w:t>
      </w:r>
    </w:p>
    <w:p w14:paraId="0E9CF4EC" w14:textId="6ED525E7" w:rsidR="00237CDC" w:rsidRDefault="00C61879" w:rsidP="00726553">
      <w:pPr>
        <w:pStyle w:val="Heading2"/>
        <w:ind w:left="3600"/>
      </w:pPr>
      <w:r>
        <w:t>Training Estate Delivery</w:t>
      </w:r>
    </w:p>
    <w:p w14:paraId="1742DB61" w14:textId="6EEA2753" w:rsidR="00237CDC" w:rsidRDefault="00C61879" w:rsidP="00726553">
      <w:pPr>
        <w:pStyle w:val="Heading2"/>
        <w:ind w:left="3600"/>
      </w:pPr>
      <w:r>
        <w:t>Rural Estate Management</w:t>
      </w:r>
    </w:p>
    <w:p w14:paraId="254AE08F" w14:textId="4125AB01" w:rsidR="006607CB" w:rsidRDefault="00405CCC" w:rsidP="00287625">
      <w:pPr>
        <w:pStyle w:val="Heading2"/>
      </w:pPr>
      <w:r>
        <w:t xml:space="preserve">Against each ‘KPI Name’, the Buyer may then apply more meaningful text which defines the measure required. Each </w:t>
      </w:r>
      <w:r w:rsidR="005F25B8">
        <w:t>‘M</w:t>
      </w:r>
      <w:r>
        <w:t>easure</w:t>
      </w:r>
      <w:r w:rsidR="005F25B8">
        <w:t xml:space="preserve"> Requirement’</w:t>
      </w:r>
      <w:r>
        <w:t xml:space="preserve"> is assigned a unique ‘Measure </w:t>
      </w:r>
      <w:r w:rsidR="00237CDC">
        <w:t>R</w:t>
      </w:r>
      <w:r>
        <w:t xml:space="preserve">eference’ to identify it. </w:t>
      </w:r>
      <w:r w:rsidR="004D4BF4">
        <w:t xml:space="preserve">These </w:t>
      </w:r>
      <w:r>
        <w:t xml:space="preserve">‘Measure References’ are </w:t>
      </w:r>
      <w:r w:rsidR="004D4BF4">
        <w:t xml:space="preserve">linked to any one of the </w:t>
      </w:r>
      <w:r>
        <w:t>high level</w:t>
      </w:r>
      <w:r w:rsidR="004D4BF4">
        <w:t xml:space="preserve"> KPIs. </w:t>
      </w:r>
    </w:p>
    <w:p w14:paraId="282799A2" w14:textId="6C4DBDFE" w:rsidR="006607CB" w:rsidRDefault="006607CB" w:rsidP="00287625">
      <w:pPr>
        <w:pStyle w:val="Heading2"/>
      </w:pPr>
      <w:r>
        <w:t>The following guidance explains how this process flows and how each ‘Measure Reference’ is assigned a weighting to indicate exactly how</w:t>
      </w:r>
      <w:r w:rsidR="00726553">
        <w:t xml:space="preserve"> and what level of</w:t>
      </w:r>
      <w:r>
        <w:t xml:space="preserve"> financial deduction will be applied to each KPI.</w:t>
      </w:r>
    </w:p>
    <w:p w14:paraId="45BDCCA1" w14:textId="1A891384" w:rsidR="000B202D" w:rsidRDefault="005F25B8" w:rsidP="00287625">
      <w:pPr>
        <w:pStyle w:val="Heading2"/>
      </w:pPr>
      <w:r w:rsidRPr="007A3890">
        <w:t xml:space="preserve">Note that the High Level KPI </w:t>
      </w:r>
      <w:r w:rsidR="007A3890" w:rsidRPr="007A3890">
        <w:t xml:space="preserve">stated above are flexible, and headings </w:t>
      </w:r>
      <w:r w:rsidR="000706AE" w:rsidRPr="007A3890">
        <w:t>may be updated to fit the Buyers need</w:t>
      </w:r>
      <w:r w:rsidRPr="007A3890">
        <w:t xml:space="preserve">. </w:t>
      </w:r>
      <w:r w:rsidR="007A3890">
        <w:t xml:space="preserve">Note that where appropriate for service based KPIs, a reference back to the Service Level Requirements (SLR) should be made by the Buyer for those services they are purchasing. </w:t>
      </w:r>
      <w:r w:rsidR="00C61879">
        <w:t xml:space="preserve">Against these </w:t>
      </w:r>
      <w:r w:rsidR="00726553">
        <w:t>High Level KPIs, t</w:t>
      </w:r>
      <w:r>
        <w:t xml:space="preserve">he </w:t>
      </w:r>
      <w:r>
        <w:lastRenderedPageBreak/>
        <w:t>‘Measure Requirements’ which are assigned a ‘Measure Reference’</w:t>
      </w:r>
      <w:r w:rsidR="004B4FD1">
        <w:t>,</w:t>
      </w:r>
      <w:r>
        <w:t xml:space="preserve"> may be either used as they are, updated or amended,</w:t>
      </w:r>
      <w:r w:rsidR="004B4FD1">
        <w:t xml:space="preserve"> </w:t>
      </w:r>
      <w:r>
        <w:t>removed completely and replaced with a requirement that better suits the Buyers need</w:t>
      </w:r>
      <w:r w:rsidR="00C61879">
        <w:t>,</w:t>
      </w:r>
      <w:r w:rsidR="004B4FD1">
        <w:t xml:space="preserve"> or new ones to suit the Buyers need may be added</w:t>
      </w:r>
      <w:r>
        <w:t>.</w:t>
      </w:r>
    </w:p>
    <w:p w14:paraId="7E624EDC" w14:textId="02539163" w:rsidR="00B03AD4" w:rsidRDefault="004D4BF4" w:rsidP="00287625">
      <w:pPr>
        <w:pStyle w:val="Heading2"/>
      </w:pPr>
      <w:r>
        <w:t xml:space="preserve">If KPI’s are not met, payment </w:t>
      </w:r>
      <w:r w:rsidR="004B4FD1">
        <w:t>d</w:t>
      </w:r>
      <w:r>
        <w:t xml:space="preserve">eductions may be applied by the </w:t>
      </w:r>
      <w:r w:rsidR="00AF2336">
        <w:t>Buyer</w:t>
      </w:r>
      <w:r>
        <w:t xml:space="preserve"> against the </w:t>
      </w:r>
      <w:r w:rsidR="00AF2336">
        <w:t>Supplier</w:t>
      </w:r>
      <w:r>
        <w:t xml:space="preserve"> for not meeting agreed service levels. This may be up to </w:t>
      </w:r>
      <w:r w:rsidR="004B4FD1">
        <w:t xml:space="preserve">and is capped at an amount of </w:t>
      </w:r>
      <w:r>
        <w:t>6% of the Value of the Call-Off Contract</w:t>
      </w:r>
      <w:r w:rsidR="004B4FD1">
        <w:t xml:space="preserve"> (or lower as the Buyer requires)</w:t>
      </w:r>
      <w:r>
        <w:t xml:space="preserve">. </w:t>
      </w:r>
      <w:r w:rsidR="008C033A">
        <w:t>If t</w:t>
      </w:r>
      <w:r>
        <w:t xml:space="preserve">he monthly deduction is </w:t>
      </w:r>
      <w:r w:rsidR="008C033A">
        <w:t xml:space="preserve">agreed at 6%, then this figure </w:t>
      </w:r>
      <w:r>
        <w:t xml:space="preserve">will not </w:t>
      </w:r>
      <w:r w:rsidR="008C033A">
        <w:t xml:space="preserve">be </w:t>
      </w:r>
      <w:r>
        <w:t>exceed</w:t>
      </w:r>
      <w:r w:rsidR="008C033A">
        <w:t>ed</w:t>
      </w:r>
      <w:r>
        <w:t xml:space="preserve"> under any circumstances. Table 1 below provides an example of the value of the contract at risk “</w:t>
      </w:r>
      <w:r w:rsidR="008C033A">
        <w:t xml:space="preserve">Call Off Contract Current </w:t>
      </w:r>
      <w:r w:rsidR="00C741B6">
        <w:t>Month</w:t>
      </w:r>
      <w:r w:rsidR="008C033A">
        <w:t xml:space="preserve"> Value”. This cell must be completed by either the Buyer or Supplier (as may be agreed between the </w:t>
      </w:r>
      <w:r w:rsidR="004B4FD1">
        <w:t>two entities), as must the “Valu</w:t>
      </w:r>
      <w:r w:rsidR="008C033A">
        <w:t>e of variation events in this month” field.</w:t>
      </w:r>
      <w:r>
        <w:t xml:space="preserve"> </w:t>
      </w:r>
      <w:r w:rsidR="00B03AD4">
        <w:t xml:space="preserve">The “Total Value at risk for the month” is then calculated in reference to these figures, in this example as £5000. </w:t>
      </w:r>
    </w:p>
    <w:p w14:paraId="2A325E20" w14:textId="27E71684" w:rsidR="004D4BF4" w:rsidRDefault="004D4BF4" w:rsidP="00287625">
      <w:pPr>
        <w:pStyle w:val="Heading2"/>
      </w:pPr>
      <w:r>
        <w:t xml:space="preserve">Continuous inability by the </w:t>
      </w:r>
      <w:r w:rsidR="00AF2336">
        <w:t>Supplier</w:t>
      </w:r>
      <w:r>
        <w:t xml:space="preserve"> to maintain agreed Service Levels will trigger a ratchet system (Table 2) whereby further payment reductions will increase in l</w:t>
      </w:r>
      <w:r w:rsidR="00B03AD4">
        <w:t>ine with an agreed scale (ratchets</w:t>
      </w:r>
      <w:r>
        <w:t xml:space="preserve"> will not </w:t>
      </w:r>
      <w:r w:rsidR="00B03AD4">
        <w:t xml:space="preserve">allow for the </w:t>
      </w:r>
      <w:r>
        <w:t>6% threshold</w:t>
      </w:r>
      <w:r w:rsidR="00B03AD4">
        <w:t xml:space="preserve"> to be exceeded</w:t>
      </w:r>
      <w:r>
        <w:t>).</w:t>
      </w:r>
    </w:p>
    <w:p w14:paraId="4D0D5BA6" w14:textId="77777777" w:rsidR="004D4BF4" w:rsidRPr="004D4BF4" w:rsidRDefault="004D4BF4" w:rsidP="00E67764">
      <w:pPr>
        <w:spacing w:after="0"/>
        <w:ind w:left="720" w:firstLine="720"/>
      </w:pPr>
      <w:r w:rsidRPr="004D4BF4">
        <w:t>Table 1</w:t>
      </w:r>
    </w:p>
    <w:p w14:paraId="4C234271" w14:textId="20760551" w:rsidR="004D4BF4" w:rsidRPr="004D4BF4" w:rsidRDefault="00C741B6" w:rsidP="00C741B6">
      <w:pPr>
        <w:ind w:left="720"/>
        <w:contextualSpacing/>
        <w:jc w:val="center"/>
        <w:rPr>
          <w:b/>
          <w:u w:val="single"/>
        </w:rPr>
      </w:pPr>
      <w:r>
        <w:rPr>
          <w:noProof/>
        </w:rPr>
        <w:drawing>
          <wp:inline distT="0" distB="0" distL="0" distR="0" wp14:anchorId="6AB6C113" wp14:editId="68DABF98">
            <wp:extent cx="4817533" cy="710931"/>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659" t="33059" r="40322" b="56423"/>
                    <a:stretch/>
                  </pic:blipFill>
                  <pic:spPr bwMode="auto">
                    <a:xfrm>
                      <a:off x="0" y="0"/>
                      <a:ext cx="4852971" cy="716161"/>
                    </a:xfrm>
                    <a:prstGeom prst="rect">
                      <a:avLst/>
                    </a:prstGeom>
                    <a:ln>
                      <a:noFill/>
                    </a:ln>
                    <a:extLst>
                      <a:ext uri="{53640926-AAD7-44D8-BBD7-CCE9431645EC}">
                        <a14:shadowObscured xmlns:a14="http://schemas.microsoft.com/office/drawing/2010/main"/>
                      </a:ext>
                    </a:extLst>
                  </pic:spPr>
                </pic:pic>
              </a:graphicData>
            </a:graphic>
          </wp:inline>
        </w:drawing>
      </w:r>
    </w:p>
    <w:p w14:paraId="7FB8C249" w14:textId="77777777" w:rsidR="004D4BF4" w:rsidRPr="004D4BF4" w:rsidRDefault="004D4BF4" w:rsidP="004D4BF4">
      <w:pPr>
        <w:ind w:left="1440"/>
        <w:contextualSpacing/>
      </w:pPr>
      <w:r w:rsidRPr="004D4BF4">
        <w:t>Table 2</w:t>
      </w:r>
    </w:p>
    <w:tbl>
      <w:tblPr>
        <w:tblW w:w="5560" w:type="dxa"/>
        <w:jc w:val="center"/>
        <w:tblLook w:val="04A0" w:firstRow="1" w:lastRow="0" w:firstColumn="1" w:lastColumn="0" w:noHBand="0" w:noVBand="1"/>
      </w:tblPr>
      <w:tblGrid>
        <w:gridCol w:w="1160"/>
        <w:gridCol w:w="2200"/>
        <w:gridCol w:w="2200"/>
      </w:tblGrid>
      <w:tr w:rsidR="004D4BF4" w:rsidRPr="004D4BF4" w14:paraId="129E1F9E" w14:textId="77777777" w:rsidTr="004D4BF4">
        <w:trPr>
          <w:trHeight w:val="840"/>
          <w:jc w:val="center"/>
        </w:trPr>
        <w:tc>
          <w:tcPr>
            <w:tcW w:w="11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E027788" w14:textId="77777777" w:rsidR="004D4BF4" w:rsidRPr="004D4BF4" w:rsidRDefault="004D4BF4" w:rsidP="004D4BF4">
            <w:pPr>
              <w:spacing w:after="0" w:line="240" w:lineRule="auto"/>
              <w:jc w:val="center"/>
              <w:rPr>
                <w:rFonts w:ascii="Arial" w:eastAsia="Times New Roman" w:hAnsi="Arial" w:cs="Arial"/>
                <w:b/>
                <w:bCs/>
                <w:color w:val="000000"/>
                <w:sz w:val="20"/>
                <w:szCs w:val="20"/>
              </w:rPr>
            </w:pPr>
            <w:r w:rsidRPr="004D4BF4">
              <w:rPr>
                <w:rFonts w:ascii="Arial" w:eastAsia="Times New Roman" w:hAnsi="Arial" w:cs="Arial"/>
                <w:b/>
                <w:bCs/>
                <w:color w:val="000000"/>
                <w:sz w:val="20"/>
                <w:szCs w:val="20"/>
              </w:rPr>
              <w:t>Ratchet Value</w:t>
            </w:r>
          </w:p>
        </w:tc>
        <w:tc>
          <w:tcPr>
            <w:tcW w:w="2200" w:type="dxa"/>
            <w:tcBorders>
              <w:top w:val="single" w:sz="4" w:space="0" w:color="auto"/>
              <w:left w:val="nil"/>
              <w:bottom w:val="single" w:sz="4" w:space="0" w:color="auto"/>
              <w:right w:val="single" w:sz="4" w:space="0" w:color="000000"/>
            </w:tcBorders>
            <w:shd w:val="clear" w:color="auto" w:fill="auto"/>
            <w:vAlign w:val="center"/>
            <w:hideMark/>
          </w:tcPr>
          <w:p w14:paraId="6FB096E9" w14:textId="77777777" w:rsidR="004D4BF4" w:rsidRPr="004D4BF4" w:rsidRDefault="004D4BF4" w:rsidP="004D4BF4">
            <w:pPr>
              <w:spacing w:after="0" w:line="240" w:lineRule="auto"/>
              <w:jc w:val="center"/>
              <w:rPr>
                <w:rFonts w:ascii="Arial" w:eastAsia="Times New Roman" w:hAnsi="Arial" w:cs="Arial"/>
                <w:b/>
                <w:bCs/>
                <w:color w:val="000000"/>
                <w:sz w:val="20"/>
                <w:szCs w:val="20"/>
              </w:rPr>
            </w:pPr>
            <w:r w:rsidRPr="004D4BF4">
              <w:rPr>
                <w:rFonts w:ascii="Arial" w:eastAsia="Times New Roman" w:hAnsi="Arial" w:cs="Arial"/>
                <w:b/>
                <w:bCs/>
                <w:color w:val="000000"/>
                <w:sz w:val="20"/>
                <w:szCs w:val="20"/>
              </w:rPr>
              <w:t>Consecutive Failure</w:t>
            </w:r>
          </w:p>
        </w:tc>
        <w:tc>
          <w:tcPr>
            <w:tcW w:w="2200" w:type="dxa"/>
            <w:tcBorders>
              <w:top w:val="single" w:sz="4" w:space="0" w:color="auto"/>
              <w:left w:val="nil"/>
              <w:bottom w:val="single" w:sz="4" w:space="0" w:color="auto"/>
              <w:right w:val="single" w:sz="4" w:space="0" w:color="000000"/>
            </w:tcBorders>
            <w:shd w:val="clear" w:color="auto" w:fill="auto"/>
            <w:vAlign w:val="center"/>
            <w:hideMark/>
          </w:tcPr>
          <w:p w14:paraId="649A683F" w14:textId="77777777" w:rsidR="004D4BF4" w:rsidRPr="004D4BF4" w:rsidRDefault="004D4BF4" w:rsidP="004D4BF4">
            <w:pPr>
              <w:spacing w:after="0" w:line="240" w:lineRule="auto"/>
              <w:jc w:val="center"/>
              <w:rPr>
                <w:rFonts w:ascii="Arial" w:eastAsia="Times New Roman" w:hAnsi="Arial" w:cs="Arial"/>
                <w:b/>
                <w:bCs/>
                <w:color w:val="000000"/>
                <w:sz w:val="20"/>
                <w:szCs w:val="20"/>
              </w:rPr>
            </w:pPr>
            <w:r w:rsidRPr="004D4BF4">
              <w:rPr>
                <w:rFonts w:ascii="Arial" w:eastAsia="Times New Roman" w:hAnsi="Arial" w:cs="Arial"/>
                <w:b/>
                <w:bCs/>
                <w:color w:val="000000"/>
                <w:sz w:val="20"/>
                <w:szCs w:val="20"/>
              </w:rPr>
              <w:t>Failure over a 12 Month Rolling Period</w:t>
            </w:r>
          </w:p>
        </w:tc>
      </w:tr>
      <w:tr w:rsidR="004D4BF4" w:rsidRPr="004D4BF4" w14:paraId="053B2205" w14:textId="77777777" w:rsidTr="004D4BF4">
        <w:trPr>
          <w:trHeight w:val="264"/>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572FA4FF"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1</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59D9B81B"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 </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078CC1D"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 </w:t>
            </w:r>
          </w:p>
        </w:tc>
      </w:tr>
      <w:tr w:rsidR="004D4BF4" w:rsidRPr="004D4BF4" w14:paraId="6A55E0A0" w14:textId="77777777" w:rsidTr="004D4BF4">
        <w:trPr>
          <w:trHeight w:val="264"/>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4894D71C"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1.5</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10D16FB"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2</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3E374B70"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3</w:t>
            </w:r>
          </w:p>
        </w:tc>
      </w:tr>
      <w:tr w:rsidR="004D4BF4" w:rsidRPr="004D4BF4" w14:paraId="4B07866E" w14:textId="77777777" w:rsidTr="004D4BF4">
        <w:trPr>
          <w:trHeight w:val="264"/>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B974B43"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1.75</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762F542E"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3</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10BD58E2"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4,5</w:t>
            </w:r>
          </w:p>
        </w:tc>
      </w:tr>
      <w:tr w:rsidR="004D4BF4" w:rsidRPr="004D4BF4" w14:paraId="2FF5B6E6" w14:textId="77777777" w:rsidTr="004D4BF4">
        <w:trPr>
          <w:trHeight w:val="264"/>
          <w:jc w:val="center"/>
        </w:trPr>
        <w:tc>
          <w:tcPr>
            <w:tcW w:w="1160" w:type="dxa"/>
            <w:tcBorders>
              <w:top w:val="nil"/>
              <w:left w:val="single" w:sz="4" w:space="0" w:color="auto"/>
              <w:bottom w:val="single" w:sz="4" w:space="0" w:color="auto"/>
              <w:right w:val="single" w:sz="4" w:space="0" w:color="auto"/>
            </w:tcBorders>
            <w:shd w:val="clear" w:color="auto" w:fill="auto"/>
            <w:noWrap/>
            <w:vAlign w:val="center"/>
            <w:hideMark/>
          </w:tcPr>
          <w:p w14:paraId="7ABD09DE"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2</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413076AB"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4</w:t>
            </w:r>
          </w:p>
        </w:tc>
        <w:tc>
          <w:tcPr>
            <w:tcW w:w="2200" w:type="dxa"/>
            <w:tcBorders>
              <w:top w:val="single" w:sz="4" w:space="0" w:color="auto"/>
              <w:left w:val="nil"/>
              <w:bottom w:val="single" w:sz="4" w:space="0" w:color="auto"/>
              <w:right w:val="single" w:sz="4" w:space="0" w:color="auto"/>
            </w:tcBorders>
            <w:shd w:val="clear" w:color="auto" w:fill="auto"/>
            <w:noWrap/>
            <w:vAlign w:val="center"/>
            <w:hideMark/>
          </w:tcPr>
          <w:p w14:paraId="7B45630C" w14:textId="77777777" w:rsidR="004D4BF4" w:rsidRPr="004D4BF4" w:rsidRDefault="004D4BF4" w:rsidP="004D4BF4">
            <w:pPr>
              <w:spacing w:after="0" w:line="240" w:lineRule="auto"/>
              <w:jc w:val="center"/>
              <w:rPr>
                <w:rFonts w:ascii="Arial" w:eastAsia="Times New Roman" w:hAnsi="Arial" w:cs="Arial"/>
                <w:color w:val="000000"/>
                <w:sz w:val="20"/>
                <w:szCs w:val="20"/>
              </w:rPr>
            </w:pPr>
            <w:r w:rsidRPr="004D4BF4">
              <w:rPr>
                <w:rFonts w:ascii="Arial" w:eastAsia="Times New Roman" w:hAnsi="Arial" w:cs="Arial"/>
                <w:color w:val="000000"/>
                <w:sz w:val="20"/>
                <w:szCs w:val="20"/>
              </w:rPr>
              <w:t>6,7,8,9,10,11,12</w:t>
            </w:r>
          </w:p>
        </w:tc>
      </w:tr>
    </w:tbl>
    <w:p w14:paraId="54931FCB" w14:textId="77777777" w:rsidR="004D4BF4" w:rsidRDefault="004D4BF4" w:rsidP="00287625">
      <w:pPr>
        <w:pStyle w:val="Heading2"/>
      </w:pPr>
    </w:p>
    <w:p w14:paraId="5F6804CF" w14:textId="61CCCF08" w:rsidR="00165627" w:rsidRDefault="00165627" w:rsidP="00287625">
      <w:pPr>
        <w:pStyle w:val="Heading2"/>
      </w:pPr>
      <w:r w:rsidRPr="008726E3">
        <w:rPr>
          <w:b/>
        </w:rPr>
        <w:t>Hints &amp; Tips</w:t>
      </w:r>
      <w:r>
        <w:t xml:space="preserve"> – when the Buyer updates the KPI Model to meet their need, care must be taken to ensure that formulas within the cells are maintained or amended accordingly. Care must also be taken to ensure that formulas point to the correct cells. All formulas must be tested accordingly to ensure that they are appropriate and are returning the required result. The CCS Data Team are available to consult if assistance is required.</w:t>
      </w:r>
    </w:p>
    <w:p w14:paraId="348D6971" w14:textId="77777777" w:rsidR="00165627" w:rsidRDefault="00165627" w:rsidP="00287625">
      <w:pPr>
        <w:pStyle w:val="Heading2"/>
      </w:pPr>
    </w:p>
    <w:p w14:paraId="52060BA2" w14:textId="0A0F3A80" w:rsidR="0085517E" w:rsidRPr="0085517E" w:rsidRDefault="00B728EC" w:rsidP="00424100">
      <w:pPr>
        <w:pStyle w:val="Heading1"/>
      </w:pPr>
      <w:bookmarkStart w:id="5" w:name="_Toc23768484"/>
      <w:r>
        <w:t>KPI Model Template for FM Services</w:t>
      </w:r>
      <w:r w:rsidR="006935A4">
        <w:t xml:space="preserve"> FOR TRAINING ESTATE</w:t>
      </w:r>
      <w:bookmarkEnd w:id="5"/>
    </w:p>
    <w:p w14:paraId="078D5DBD" w14:textId="6A6F404E" w:rsidR="0085517E" w:rsidRDefault="00B728EC" w:rsidP="00287625">
      <w:pPr>
        <w:pStyle w:val="Heading2"/>
      </w:pPr>
      <w:r w:rsidRPr="00B728EC">
        <w:t xml:space="preserve">The work book/spreadsheet for the FM Services KPI Model template is made up of 4 work sheets named below. They will be </w:t>
      </w:r>
      <w:r w:rsidR="00EF2D2B">
        <w:t>individually explained</w:t>
      </w:r>
      <w:r w:rsidRPr="00B728EC">
        <w:t xml:space="preserve"> throughout this guidance in more detail:</w:t>
      </w:r>
    </w:p>
    <w:p w14:paraId="7BD87814" w14:textId="1AE4447D" w:rsidR="00B728EC" w:rsidRPr="00B728EC" w:rsidRDefault="00EA0091" w:rsidP="00B728EC">
      <w:pPr>
        <w:pStyle w:val="ListParagraph"/>
        <w:numPr>
          <w:ilvl w:val="0"/>
          <w:numId w:val="20"/>
        </w:numPr>
        <w:spacing w:before="0" w:after="0"/>
        <w:contextualSpacing/>
        <w:rPr>
          <w:sz w:val="22"/>
          <w:szCs w:val="22"/>
        </w:rPr>
      </w:pPr>
      <w:r>
        <w:rPr>
          <w:sz w:val="22"/>
          <w:szCs w:val="22"/>
        </w:rPr>
        <w:t>Guidance</w:t>
      </w:r>
      <w:r w:rsidR="00B728EC" w:rsidRPr="00B728EC">
        <w:rPr>
          <w:sz w:val="22"/>
          <w:szCs w:val="22"/>
        </w:rPr>
        <w:t xml:space="preserve"> </w:t>
      </w:r>
    </w:p>
    <w:p w14:paraId="3A8394EC" w14:textId="1D7F4A6F" w:rsidR="00B728EC" w:rsidRPr="00B728EC" w:rsidRDefault="00B728EC" w:rsidP="00B728EC">
      <w:pPr>
        <w:pStyle w:val="ListParagraph"/>
        <w:numPr>
          <w:ilvl w:val="0"/>
          <w:numId w:val="20"/>
        </w:numPr>
        <w:spacing w:before="0" w:after="0"/>
        <w:contextualSpacing/>
        <w:rPr>
          <w:sz w:val="22"/>
          <w:szCs w:val="22"/>
        </w:rPr>
      </w:pPr>
      <w:r w:rsidRPr="00B728EC">
        <w:rPr>
          <w:sz w:val="22"/>
          <w:szCs w:val="22"/>
        </w:rPr>
        <w:t>Performance Criteria</w:t>
      </w:r>
    </w:p>
    <w:p w14:paraId="64F4ECBC" w14:textId="3B9E5975" w:rsidR="00B728EC" w:rsidRPr="00B728EC" w:rsidRDefault="00EA0091" w:rsidP="00B728EC">
      <w:pPr>
        <w:pStyle w:val="ListParagraph"/>
        <w:numPr>
          <w:ilvl w:val="0"/>
          <w:numId w:val="20"/>
        </w:numPr>
        <w:spacing w:before="0" w:after="0"/>
        <w:contextualSpacing/>
        <w:rPr>
          <w:sz w:val="22"/>
          <w:szCs w:val="22"/>
        </w:rPr>
      </w:pPr>
      <w:r>
        <w:rPr>
          <w:sz w:val="22"/>
          <w:szCs w:val="22"/>
        </w:rPr>
        <w:t>Measures</w:t>
      </w:r>
    </w:p>
    <w:p w14:paraId="232AE1AF" w14:textId="08E57F8A" w:rsidR="00B728EC" w:rsidRPr="00B728EC" w:rsidRDefault="00EA0091" w:rsidP="00B728EC">
      <w:pPr>
        <w:pStyle w:val="ListParagraph"/>
        <w:numPr>
          <w:ilvl w:val="0"/>
          <w:numId w:val="20"/>
        </w:numPr>
        <w:spacing w:before="0" w:after="0"/>
        <w:contextualSpacing/>
        <w:rPr>
          <w:sz w:val="22"/>
          <w:szCs w:val="22"/>
        </w:rPr>
      </w:pPr>
      <w:r>
        <w:rPr>
          <w:sz w:val="22"/>
          <w:szCs w:val="22"/>
        </w:rPr>
        <w:t>Scoring Scales</w:t>
      </w:r>
    </w:p>
    <w:p w14:paraId="7FD36E2A" w14:textId="77777777" w:rsidR="00B728EC" w:rsidRDefault="00B728EC" w:rsidP="00287625">
      <w:pPr>
        <w:pStyle w:val="Heading2"/>
      </w:pPr>
    </w:p>
    <w:p w14:paraId="357C5222" w14:textId="50F1E77C" w:rsidR="00B728EC" w:rsidRDefault="00B728EC" w:rsidP="00287625">
      <w:pPr>
        <w:pStyle w:val="Heading2"/>
      </w:pPr>
      <w:r w:rsidRPr="00B728EC">
        <w:t xml:space="preserve">The FM Services KPI Model template is provided in a ‘standard’ format. Pre award of any contract, the onus is with the </w:t>
      </w:r>
      <w:r w:rsidR="00AF2336">
        <w:t>Buyer</w:t>
      </w:r>
      <w:r w:rsidRPr="00B728EC">
        <w:t xml:space="preserve"> to decide which of the </w:t>
      </w:r>
      <w:r w:rsidR="00EA6D22">
        <w:t xml:space="preserve">High Level </w:t>
      </w:r>
      <w:r w:rsidRPr="00B728EC">
        <w:t xml:space="preserve">KPIs are most relevant and important to their organisation, and on this basis, </w:t>
      </w:r>
      <w:r w:rsidR="00FF527B">
        <w:t xml:space="preserve">what </w:t>
      </w:r>
      <w:r w:rsidR="00EA6D22">
        <w:t xml:space="preserve">‘Measure Requirements’ </w:t>
      </w:r>
      <w:r w:rsidRPr="00B728EC">
        <w:t xml:space="preserve">are </w:t>
      </w:r>
      <w:r w:rsidR="00EA6D22">
        <w:t>needed</w:t>
      </w:r>
      <w:r w:rsidR="00FF527B">
        <w:t xml:space="preserve"> against these</w:t>
      </w:r>
      <w:r w:rsidRPr="00B728EC">
        <w:t xml:space="preserve">. These measures may then be proposed </w:t>
      </w:r>
      <w:r w:rsidRPr="00B728EC">
        <w:lastRenderedPageBreak/>
        <w:t xml:space="preserve">and discussed internally, and subsequently with the </w:t>
      </w:r>
      <w:r w:rsidR="00AF2336">
        <w:t>Supplier</w:t>
      </w:r>
      <w:r w:rsidRPr="00B728EC">
        <w:t xml:space="preserve"> (post award). In as much as what the final version of these will be, these are agreed between the two parties but ultimately meet the need of the </w:t>
      </w:r>
      <w:r w:rsidR="00AF2336">
        <w:t>Buyer</w:t>
      </w:r>
      <w:r w:rsidRPr="00B728EC">
        <w:t xml:space="preserve">. Discussions on how the final </w:t>
      </w:r>
      <w:r w:rsidR="00EA6D22">
        <w:t>‘M</w:t>
      </w:r>
      <w:r w:rsidRPr="00B728EC">
        <w:t>easure</w:t>
      </w:r>
      <w:r w:rsidR="00EA6D22">
        <w:t xml:space="preserve"> Requirements’</w:t>
      </w:r>
      <w:r w:rsidRPr="00B728EC">
        <w:t xml:space="preserve"> should be tracked and monitored and how the quality of the data</w:t>
      </w:r>
      <w:r w:rsidR="00EA6D22">
        <w:t>/MI</w:t>
      </w:r>
      <w:r w:rsidRPr="00B728EC">
        <w:t xml:space="preserve"> fed back may be maintained </w:t>
      </w:r>
      <w:r w:rsidR="00EA6D22">
        <w:t xml:space="preserve">as agreed </w:t>
      </w:r>
      <w:r w:rsidRPr="00B728EC">
        <w:t xml:space="preserve">and satisfactorily audited, should also take place.  More detail on how these agreed KPIs will look for each </w:t>
      </w:r>
      <w:r w:rsidR="00AF2336">
        <w:t>Buyer</w:t>
      </w:r>
      <w:r w:rsidRPr="00B728EC">
        <w:t xml:space="preserve"> and how these will work is described </w:t>
      </w:r>
      <w:r w:rsidR="00EA6D22">
        <w:t>later on in this guidance</w:t>
      </w:r>
      <w:r w:rsidRPr="00B728EC">
        <w:t>.</w:t>
      </w:r>
    </w:p>
    <w:p w14:paraId="51EBA518" w14:textId="44F7D3AC" w:rsidR="00B728EC" w:rsidRPr="000B62CF" w:rsidRDefault="00B728EC" w:rsidP="00287625">
      <w:pPr>
        <w:pStyle w:val="Heading2"/>
      </w:pPr>
      <w:r w:rsidRPr="008726E3">
        <w:rPr>
          <w:b/>
        </w:rPr>
        <w:t>Hints &amp; Tips</w:t>
      </w:r>
      <w:r>
        <w:t xml:space="preserve"> – typically, final </w:t>
      </w:r>
      <w:r w:rsidR="00EA6D22">
        <w:t>‘Measure Requirements’ are</w:t>
      </w:r>
      <w:r>
        <w:t xml:space="preserve"> discussed with the successful </w:t>
      </w:r>
      <w:r w:rsidR="00AF2336">
        <w:t>Supplier</w:t>
      </w:r>
      <w:r>
        <w:t xml:space="preserve"> post award. </w:t>
      </w:r>
      <w:r w:rsidR="00EA6D22">
        <w:t>In the first instance, t</w:t>
      </w:r>
      <w:r>
        <w:t xml:space="preserve">he KPI Model is populated and provided to potential </w:t>
      </w:r>
      <w:r w:rsidR="00405CCC">
        <w:t>Supplier</w:t>
      </w:r>
      <w:r>
        <w:t xml:space="preserve">s at the tender stage. This is to give bidders an understanding of the initial KPI </w:t>
      </w:r>
      <w:r w:rsidR="00EA6D22">
        <w:t>requirements</w:t>
      </w:r>
      <w:r>
        <w:t xml:space="preserve"> to be met. The detail of how these will be delivered </w:t>
      </w:r>
      <w:r w:rsidR="00EA6D22">
        <w:t xml:space="preserve">may be </w:t>
      </w:r>
      <w:r>
        <w:t xml:space="preserve">discussed </w:t>
      </w:r>
      <w:r w:rsidR="00EA6D22">
        <w:t>post award</w:t>
      </w:r>
      <w:r>
        <w:t xml:space="preserve"> albeit an understanding of how this will/could happen will </w:t>
      </w:r>
      <w:r w:rsidR="00EA6D22">
        <w:t xml:space="preserve">have </w:t>
      </w:r>
      <w:r>
        <w:t>already be</w:t>
      </w:r>
      <w:r w:rsidR="00EA6D22">
        <w:t>en</w:t>
      </w:r>
      <w:r>
        <w:t xml:space="preserve"> described in the ITT documentation.</w:t>
      </w:r>
    </w:p>
    <w:p w14:paraId="3B9319AD" w14:textId="77777777" w:rsidR="005C63D5" w:rsidRDefault="005C63D5" w:rsidP="00986FB8">
      <w:pPr>
        <w:pStyle w:val="Heading3"/>
        <w:numPr>
          <w:ilvl w:val="0"/>
          <w:numId w:val="0"/>
        </w:numPr>
      </w:pPr>
    </w:p>
    <w:p w14:paraId="2EA6F9DF" w14:textId="42DE89C5" w:rsidR="0085517E" w:rsidRPr="00240E04" w:rsidRDefault="00FF527B" w:rsidP="00424100">
      <w:pPr>
        <w:pStyle w:val="Heading1"/>
      </w:pPr>
      <w:bookmarkStart w:id="6" w:name="_Toc23768485"/>
      <w:r>
        <w:t>Guidance</w:t>
      </w:r>
      <w:r w:rsidR="00CF7F20">
        <w:t xml:space="preserve"> worksheet</w:t>
      </w:r>
      <w:bookmarkEnd w:id="6"/>
    </w:p>
    <w:p w14:paraId="148515CD" w14:textId="66FD9A0F" w:rsidR="00EF1FC2" w:rsidRDefault="003234F2" w:rsidP="00287625">
      <w:pPr>
        <w:pStyle w:val="Heading2"/>
      </w:pPr>
      <w:r w:rsidRPr="003234F2">
        <w:t>The “</w:t>
      </w:r>
      <w:r w:rsidR="00FF527B">
        <w:t>Guidance</w:t>
      </w:r>
      <w:r w:rsidRPr="003234F2">
        <w:t>” tab within the FM Services KPI Model, is exactly that</w:t>
      </w:r>
      <w:r w:rsidR="00EF1FC2">
        <w:t>.</w:t>
      </w:r>
      <w:r w:rsidRPr="003234F2">
        <w:t xml:space="preserve"> I</w:t>
      </w:r>
      <w:r w:rsidR="00EF1FC2">
        <w:t>t provides guidance and context to each of the four tabs and should be consulted and used alongside this guidance document.</w:t>
      </w:r>
    </w:p>
    <w:p w14:paraId="435BE8AE" w14:textId="77777777" w:rsidR="0085517E" w:rsidRPr="006A441F" w:rsidRDefault="0085517E" w:rsidP="00287625">
      <w:pPr>
        <w:pStyle w:val="Heading2"/>
      </w:pPr>
    </w:p>
    <w:p w14:paraId="0DDD6E2B" w14:textId="3AEA201B" w:rsidR="0085517E" w:rsidRPr="00240E04" w:rsidRDefault="00676CD1" w:rsidP="00424100">
      <w:pPr>
        <w:pStyle w:val="Heading1"/>
      </w:pPr>
      <w:bookmarkStart w:id="7" w:name="_Toc23768486"/>
      <w:r>
        <w:t>Performance criteria</w:t>
      </w:r>
      <w:r w:rsidR="00CF7F20">
        <w:t xml:space="preserve"> worksheet</w:t>
      </w:r>
      <w:bookmarkEnd w:id="7"/>
    </w:p>
    <w:p w14:paraId="60DFAA8D" w14:textId="5A3084A6" w:rsidR="001020B8" w:rsidRDefault="001020B8" w:rsidP="00287625">
      <w:pPr>
        <w:pStyle w:val="Heading2"/>
      </w:pPr>
      <w:r>
        <w:t xml:space="preserve">This worksheet consists of 3 tables; Table 1 – Financials, Table 2 – KPIs and Table 3 – Measures. </w:t>
      </w:r>
    </w:p>
    <w:p w14:paraId="33086BD6" w14:textId="24C37098" w:rsidR="00DD41AA" w:rsidRDefault="001020B8" w:rsidP="00287625">
      <w:pPr>
        <w:pStyle w:val="Heading2"/>
      </w:pPr>
      <w:r w:rsidRPr="00EF7C03">
        <w:rPr>
          <w:b/>
        </w:rPr>
        <w:t>Table 1 – Financials</w:t>
      </w:r>
      <w:r>
        <w:t xml:space="preserve"> looks to establish the </w:t>
      </w:r>
      <w:r w:rsidR="00676CD1">
        <w:t>Contract Value at Risk (</w:t>
      </w:r>
      <w:r>
        <w:t xml:space="preserve">up to and capped at </w:t>
      </w:r>
      <w:r w:rsidR="00676CD1">
        <w:t xml:space="preserve">6% of the annual </w:t>
      </w:r>
      <w:r>
        <w:t xml:space="preserve">Call Off </w:t>
      </w:r>
      <w:r w:rsidR="00676CD1">
        <w:t xml:space="preserve">contract </w:t>
      </w:r>
      <w:r>
        <w:t xml:space="preserve">current </w:t>
      </w:r>
      <w:r w:rsidR="00676CD1">
        <w:t xml:space="preserve">value) </w:t>
      </w:r>
      <w:r w:rsidR="00DD41AA">
        <w:t>which will be spread across</w:t>
      </w:r>
      <w:r w:rsidR="00676CD1">
        <w:t xml:space="preserve"> the </w:t>
      </w:r>
      <w:r>
        <w:t>High Level KPIs</w:t>
      </w:r>
      <w:r w:rsidR="00676CD1">
        <w:t xml:space="preserve">. This represents the first task required to be performed in this tab and </w:t>
      </w:r>
      <w:r w:rsidR="00DD41AA">
        <w:t>when complete will prime</w:t>
      </w:r>
      <w:r w:rsidR="00676CD1">
        <w:t xml:space="preserve"> the KPI Model in its entirety to return the appropriate values </w:t>
      </w:r>
      <w:r>
        <w:t xml:space="preserve">at risk </w:t>
      </w:r>
      <w:r w:rsidR="00676CD1">
        <w:t xml:space="preserve">against each KPI </w:t>
      </w:r>
      <w:r>
        <w:t>and associated ‘Measure Requirement’.</w:t>
      </w:r>
      <w:r w:rsidR="00DD41AA">
        <w:t xml:space="preserve"> To complete Table 1 – Financials;</w:t>
      </w:r>
    </w:p>
    <w:p w14:paraId="224DA48B" w14:textId="171A4DA9" w:rsidR="00DD41AA" w:rsidRDefault="00DD41AA" w:rsidP="00287625">
      <w:pPr>
        <w:pStyle w:val="Heading2"/>
        <w:numPr>
          <w:ilvl w:val="0"/>
          <w:numId w:val="23"/>
        </w:numPr>
      </w:pPr>
      <w:r>
        <w:t>Percentage of the Call Off Contract Value at Risk – this should be completed on the % value at risk set by the Buyer. This is typically at the maximum cap of 6% but may be lower. It is important to set this percentage correctly at the agreed figure.</w:t>
      </w:r>
    </w:p>
    <w:p w14:paraId="4B299647" w14:textId="3DC9C632" w:rsidR="009C64D6" w:rsidRDefault="00676CD1" w:rsidP="00287625">
      <w:pPr>
        <w:pStyle w:val="Heading2"/>
        <w:numPr>
          <w:ilvl w:val="0"/>
          <w:numId w:val="23"/>
        </w:numPr>
      </w:pPr>
      <w:r>
        <w:t xml:space="preserve">Call Off Contract </w:t>
      </w:r>
      <w:r w:rsidR="00DD41AA">
        <w:t xml:space="preserve">Current </w:t>
      </w:r>
      <w:r w:rsidR="00C741B6">
        <w:t>Month Value</w:t>
      </w:r>
      <w:r w:rsidR="00DD41AA">
        <w:t xml:space="preserve"> – this figure </w:t>
      </w:r>
      <w:r>
        <w:t>is</w:t>
      </w:r>
      <w:r w:rsidR="00DD41AA">
        <w:t xml:space="preserve"> input and </w:t>
      </w:r>
      <w:r>
        <w:t xml:space="preserve">used to calculate the </w:t>
      </w:r>
      <w:r w:rsidR="002B5DF1">
        <w:t>‘</w:t>
      </w:r>
      <w:r w:rsidR="00DD41AA">
        <w:t>Total Value at risk for the month’</w:t>
      </w:r>
      <w:r w:rsidR="009C64D6">
        <w:t>,</w:t>
      </w:r>
      <w:r>
        <w:t xml:space="preserve"> and then c</w:t>
      </w:r>
      <w:r w:rsidR="00DD41AA">
        <w:t>onsidering the monthly percentage at risk – in this example 6%.</w:t>
      </w:r>
    </w:p>
    <w:p w14:paraId="227B3890" w14:textId="6E51A00E" w:rsidR="00676CD1" w:rsidRDefault="009C64D6" w:rsidP="00287625">
      <w:pPr>
        <w:pStyle w:val="Heading2"/>
        <w:numPr>
          <w:ilvl w:val="0"/>
          <w:numId w:val="23"/>
        </w:numPr>
      </w:pPr>
      <w:r>
        <w:t>Value of variation events in this month - a</w:t>
      </w:r>
      <w:r w:rsidR="00676CD1">
        <w:t xml:space="preserve">s may be appropriate, </w:t>
      </w:r>
      <w:r w:rsidR="00DD41AA">
        <w:t xml:space="preserve">the value of variations entered into the ‘Value of variation events in this month’ field </w:t>
      </w:r>
      <w:r w:rsidR="004A7A17">
        <w:t>will be</w:t>
      </w:r>
      <w:r w:rsidR="00676CD1">
        <w:t xml:space="preserve"> added to the </w:t>
      </w:r>
      <w:r>
        <w:t>‘</w:t>
      </w:r>
      <w:r w:rsidR="00C741B6">
        <w:t>Call Off Current</w:t>
      </w:r>
      <w:r w:rsidR="00DD41AA">
        <w:t xml:space="preserve"> </w:t>
      </w:r>
      <w:r w:rsidR="00C741B6">
        <w:t>Month Value</w:t>
      </w:r>
      <w:r>
        <w:t>’</w:t>
      </w:r>
      <w:r w:rsidR="00DD41AA">
        <w:t xml:space="preserve"> figure</w:t>
      </w:r>
      <w:r w:rsidR="00676CD1">
        <w:t>, to take account of these events</w:t>
      </w:r>
      <w:r>
        <w:t>.</w:t>
      </w:r>
    </w:p>
    <w:p w14:paraId="055BC366" w14:textId="3D777842" w:rsidR="009C64D6" w:rsidRDefault="009C64D6" w:rsidP="00287625">
      <w:pPr>
        <w:pStyle w:val="Heading2"/>
        <w:numPr>
          <w:ilvl w:val="0"/>
          <w:numId w:val="23"/>
        </w:numPr>
      </w:pPr>
      <w:r>
        <w:t>Total Value at risk for the month – in consideration of the aforementioned values being entered to Table 1 – Financials, the total value at risk is automatically calculated</w:t>
      </w:r>
    </w:p>
    <w:p w14:paraId="0B184764" w14:textId="1B68DC84" w:rsidR="009C64D6" w:rsidRDefault="009C64D6" w:rsidP="00287625">
      <w:pPr>
        <w:pStyle w:val="Heading2"/>
      </w:pPr>
      <w:r>
        <w:t xml:space="preserve">This ‘Total Value at risk for the month’ will be allocated across the KPIs and ‘Measure Requirements’ using Table 2 – KPIs and Table 3 - Measures. </w:t>
      </w:r>
    </w:p>
    <w:p w14:paraId="08158E69" w14:textId="1072A3AD" w:rsidR="00676CD1" w:rsidRDefault="00DD41AA" w:rsidP="00287625">
      <w:pPr>
        <w:pStyle w:val="Heading2"/>
      </w:pPr>
      <w:r>
        <w:t>Table 1 - Financials</w:t>
      </w:r>
      <w:r w:rsidR="0085517E">
        <w:t xml:space="preserve"> </w:t>
      </w:r>
    </w:p>
    <w:tbl>
      <w:tblPr>
        <w:tblW w:w="8720" w:type="dxa"/>
        <w:jc w:val="center"/>
        <w:tblLook w:val="04A0" w:firstRow="1" w:lastRow="0" w:firstColumn="1" w:lastColumn="0" w:noHBand="0" w:noVBand="1"/>
      </w:tblPr>
      <w:tblGrid>
        <w:gridCol w:w="6320"/>
        <w:gridCol w:w="2400"/>
      </w:tblGrid>
      <w:tr w:rsidR="001020B8" w:rsidRPr="00E67764" w14:paraId="595C536B" w14:textId="77777777" w:rsidTr="001020B8">
        <w:trPr>
          <w:trHeight w:val="255"/>
          <w:jc w:val="center"/>
        </w:trPr>
        <w:tc>
          <w:tcPr>
            <w:tcW w:w="8720" w:type="dxa"/>
            <w:gridSpan w:val="2"/>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558B3AD1" w14:textId="77777777" w:rsidR="001020B8" w:rsidRPr="00E67764" w:rsidRDefault="001020B8" w:rsidP="00CF7F20">
            <w:pPr>
              <w:spacing w:after="0" w:line="240" w:lineRule="auto"/>
              <w:jc w:val="center"/>
              <w:rPr>
                <w:rFonts w:ascii="Arial" w:eastAsia="Times New Roman" w:hAnsi="Arial" w:cs="Arial"/>
                <w:b/>
                <w:bCs/>
                <w:color w:val="000000"/>
                <w:sz w:val="20"/>
                <w:szCs w:val="20"/>
              </w:rPr>
            </w:pPr>
            <w:r w:rsidRPr="00E67764">
              <w:rPr>
                <w:rFonts w:ascii="Arial" w:eastAsia="Times New Roman" w:hAnsi="Arial" w:cs="Arial"/>
                <w:b/>
                <w:bCs/>
                <w:color w:val="000000"/>
                <w:sz w:val="20"/>
                <w:szCs w:val="20"/>
              </w:rPr>
              <w:t>Financial overview</w:t>
            </w:r>
          </w:p>
        </w:tc>
      </w:tr>
      <w:tr w:rsidR="001020B8" w:rsidRPr="00E67764" w14:paraId="76EE1B06" w14:textId="77777777" w:rsidTr="001020B8">
        <w:trPr>
          <w:trHeight w:val="252"/>
          <w:jc w:val="center"/>
        </w:trPr>
        <w:tc>
          <w:tcPr>
            <w:tcW w:w="6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5F91480" w14:textId="77777777" w:rsidR="001020B8" w:rsidRPr="00E67764" w:rsidRDefault="001020B8" w:rsidP="00CF7F20">
            <w:pPr>
              <w:spacing w:after="0" w:line="240" w:lineRule="auto"/>
              <w:rPr>
                <w:rFonts w:ascii="Arial" w:eastAsia="Times New Roman" w:hAnsi="Arial" w:cs="Arial"/>
                <w:color w:val="000000"/>
                <w:sz w:val="20"/>
                <w:szCs w:val="20"/>
              </w:rPr>
            </w:pPr>
            <w:r w:rsidRPr="00E67764">
              <w:rPr>
                <w:rFonts w:ascii="Arial" w:eastAsia="Times New Roman" w:hAnsi="Arial" w:cs="Arial"/>
                <w:color w:val="000000"/>
                <w:sz w:val="20"/>
                <w:szCs w:val="20"/>
              </w:rPr>
              <w:t>Percentage of the Call Off Contract value at risk</w:t>
            </w:r>
          </w:p>
        </w:tc>
        <w:tc>
          <w:tcPr>
            <w:tcW w:w="2400" w:type="dxa"/>
            <w:tcBorders>
              <w:top w:val="nil"/>
              <w:left w:val="nil"/>
              <w:bottom w:val="single" w:sz="4" w:space="0" w:color="auto"/>
              <w:right w:val="single" w:sz="4" w:space="0" w:color="auto"/>
            </w:tcBorders>
            <w:shd w:val="clear" w:color="000000" w:fill="FFFF00"/>
            <w:noWrap/>
            <w:vAlign w:val="center"/>
            <w:hideMark/>
          </w:tcPr>
          <w:p w14:paraId="7F944A2A" w14:textId="77777777" w:rsidR="001020B8" w:rsidRPr="00E67764" w:rsidRDefault="001020B8" w:rsidP="00CF7F20">
            <w:pPr>
              <w:spacing w:after="0" w:line="240" w:lineRule="auto"/>
              <w:jc w:val="center"/>
              <w:rPr>
                <w:rFonts w:ascii="Arial" w:eastAsia="Times New Roman" w:hAnsi="Arial" w:cs="Arial"/>
                <w:color w:val="000000"/>
                <w:sz w:val="20"/>
                <w:szCs w:val="20"/>
              </w:rPr>
            </w:pPr>
            <w:r w:rsidRPr="00E67764">
              <w:rPr>
                <w:rFonts w:ascii="Arial" w:eastAsia="Times New Roman" w:hAnsi="Arial" w:cs="Arial"/>
                <w:color w:val="000000"/>
                <w:sz w:val="20"/>
                <w:szCs w:val="20"/>
              </w:rPr>
              <w:t>6.00%</w:t>
            </w:r>
          </w:p>
        </w:tc>
      </w:tr>
      <w:tr w:rsidR="001020B8" w:rsidRPr="00E67764" w14:paraId="7F8E86C8" w14:textId="77777777" w:rsidTr="001020B8">
        <w:trPr>
          <w:trHeight w:val="252"/>
          <w:jc w:val="center"/>
        </w:trPr>
        <w:tc>
          <w:tcPr>
            <w:tcW w:w="6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78FB96E" w14:textId="33CBF80A" w:rsidR="001020B8" w:rsidRPr="00E67764" w:rsidRDefault="001020B8" w:rsidP="00C741B6">
            <w:pPr>
              <w:spacing w:after="0" w:line="240" w:lineRule="auto"/>
              <w:rPr>
                <w:rFonts w:ascii="Arial" w:eastAsia="Times New Roman" w:hAnsi="Arial" w:cs="Arial"/>
                <w:color w:val="000000"/>
                <w:sz w:val="20"/>
                <w:szCs w:val="20"/>
              </w:rPr>
            </w:pPr>
            <w:r w:rsidRPr="00E67764">
              <w:rPr>
                <w:rFonts w:ascii="Arial" w:eastAsia="Times New Roman" w:hAnsi="Arial" w:cs="Arial"/>
                <w:color w:val="000000"/>
                <w:sz w:val="20"/>
                <w:szCs w:val="20"/>
              </w:rPr>
              <w:t xml:space="preserve">Call Off Contract Current </w:t>
            </w:r>
            <w:r w:rsidR="00C741B6">
              <w:rPr>
                <w:rFonts w:ascii="Arial" w:eastAsia="Times New Roman" w:hAnsi="Arial" w:cs="Arial"/>
                <w:color w:val="000000"/>
                <w:sz w:val="20"/>
                <w:szCs w:val="20"/>
              </w:rPr>
              <w:t>Month</w:t>
            </w:r>
            <w:r w:rsidRPr="00E67764">
              <w:rPr>
                <w:rFonts w:ascii="Arial" w:eastAsia="Times New Roman" w:hAnsi="Arial" w:cs="Arial"/>
                <w:color w:val="000000"/>
                <w:sz w:val="20"/>
                <w:szCs w:val="20"/>
              </w:rPr>
              <w:t xml:space="preserve"> Value</w:t>
            </w:r>
          </w:p>
        </w:tc>
        <w:tc>
          <w:tcPr>
            <w:tcW w:w="2400" w:type="dxa"/>
            <w:tcBorders>
              <w:top w:val="nil"/>
              <w:left w:val="nil"/>
              <w:bottom w:val="single" w:sz="4" w:space="0" w:color="auto"/>
              <w:right w:val="single" w:sz="4" w:space="0" w:color="auto"/>
            </w:tcBorders>
            <w:shd w:val="clear" w:color="000000" w:fill="92D050"/>
            <w:noWrap/>
            <w:vAlign w:val="center"/>
            <w:hideMark/>
          </w:tcPr>
          <w:p w14:paraId="4FC97B5D" w14:textId="281D2AE1" w:rsidR="001020B8" w:rsidRPr="00E67764" w:rsidRDefault="001020B8" w:rsidP="00C741B6">
            <w:pPr>
              <w:spacing w:after="0" w:line="240" w:lineRule="auto"/>
              <w:jc w:val="center"/>
              <w:rPr>
                <w:rFonts w:ascii="Arial" w:eastAsia="Times New Roman" w:hAnsi="Arial" w:cs="Arial"/>
                <w:b/>
                <w:bCs/>
                <w:color w:val="000000"/>
                <w:sz w:val="20"/>
                <w:szCs w:val="20"/>
              </w:rPr>
            </w:pPr>
            <w:r w:rsidRPr="00E67764">
              <w:rPr>
                <w:rFonts w:ascii="Arial" w:eastAsia="Times New Roman" w:hAnsi="Arial" w:cs="Arial"/>
                <w:b/>
                <w:bCs/>
                <w:color w:val="000000"/>
                <w:sz w:val="20"/>
                <w:szCs w:val="20"/>
              </w:rPr>
              <w:t>£</w:t>
            </w:r>
            <w:r w:rsidR="00C741B6">
              <w:rPr>
                <w:rFonts w:ascii="Arial" w:eastAsia="Times New Roman" w:hAnsi="Arial" w:cs="Arial"/>
                <w:b/>
                <w:bCs/>
                <w:color w:val="000000"/>
                <w:sz w:val="20"/>
                <w:szCs w:val="20"/>
              </w:rPr>
              <w:t>83</w:t>
            </w:r>
            <w:r w:rsidRPr="00E67764">
              <w:rPr>
                <w:rFonts w:ascii="Arial" w:eastAsia="Times New Roman" w:hAnsi="Arial" w:cs="Arial"/>
                <w:b/>
                <w:bCs/>
                <w:color w:val="000000"/>
                <w:sz w:val="20"/>
                <w:szCs w:val="20"/>
              </w:rPr>
              <w:t>,</w:t>
            </w:r>
            <w:r w:rsidR="00C741B6">
              <w:rPr>
                <w:rFonts w:ascii="Arial" w:eastAsia="Times New Roman" w:hAnsi="Arial" w:cs="Arial"/>
                <w:b/>
                <w:bCs/>
                <w:color w:val="000000"/>
                <w:sz w:val="20"/>
                <w:szCs w:val="20"/>
              </w:rPr>
              <w:t>333</w:t>
            </w:r>
          </w:p>
        </w:tc>
      </w:tr>
      <w:tr w:rsidR="001020B8" w:rsidRPr="00E67764" w14:paraId="7D6CACEA" w14:textId="77777777" w:rsidTr="001020B8">
        <w:trPr>
          <w:trHeight w:val="252"/>
          <w:jc w:val="center"/>
        </w:trPr>
        <w:tc>
          <w:tcPr>
            <w:tcW w:w="6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D5AB5B" w14:textId="77777777" w:rsidR="001020B8" w:rsidRPr="00E67764" w:rsidRDefault="001020B8" w:rsidP="00CF7F20">
            <w:pPr>
              <w:spacing w:after="0" w:line="240" w:lineRule="auto"/>
              <w:rPr>
                <w:rFonts w:ascii="Arial" w:eastAsia="Times New Roman" w:hAnsi="Arial" w:cs="Arial"/>
                <w:color w:val="000000"/>
                <w:sz w:val="20"/>
                <w:szCs w:val="20"/>
              </w:rPr>
            </w:pPr>
            <w:r w:rsidRPr="00E67764">
              <w:rPr>
                <w:rFonts w:ascii="Arial" w:eastAsia="Times New Roman" w:hAnsi="Arial" w:cs="Arial"/>
                <w:color w:val="000000"/>
                <w:sz w:val="20"/>
                <w:szCs w:val="20"/>
              </w:rPr>
              <w:t>Value of variation events in this month</w:t>
            </w:r>
          </w:p>
        </w:tc>
        <w:tc>
          <w:tcPr>
            <w:tcW w:w="2400" w:type="dxa"/>
            <w:tcBorders>
              <w:top w:val="nil"/>
              <w:left w:val="nil"/>
              <w:bottom w:val="single" w:sz="4" w:space="0" w:color="auto"/>
              <w:right w:val="single" w:sz="4" w:space="0" w:color="auto"/>
            </w:tcBorders>
            <w:shd w:val="clear" w:color="000000" w:fill="92D050"/>
            <w:noWrap/>
            <w:vAlign w:val="center"/>
            <w:hideMark/>
          </w:tcPr>
          <w:p w14:paraId="351B8FE9" w14:textId="77777777" w:rsidR="001020B8" w:rsidRPr="00E67764" w:rsidRDefault="001020B8" w:rsidP="00CF7F20">
            <w:pPr>
              <w:spacing w:after="0" w:line="240" w:lineRule="auto"/>
              <w:jc w:val="center"/>
              <w:rPr>
                <w:rFonts w:ascii="Arial" w:eastAsia="Times New Roman" w:hAnsi="Arial" w:cs="Arial"/>
                <w:b/>
                <w:bCs/>
                <w:color w:val="000000"/>
                <w:sz w:val="20"/>
                <w:szCs w:val="20"/>
              </w:rPr>
            </w:pPr>
            <w:r w:rsidRPr="00E67764">
              <w:rPr>
                <w:rFonts w:ascii="Arial" w:eastAsia="Times New Roman" w:hAnsi="Arial" w:cs="Arial"/>
                <w:b/>
                <w:bCs/>
                <w:color w:val="000000"/>
                <w:sz w:val="20"/>
                <w:szCs w:val="20"/>
              </w:rPr>
              <w:t>£0</w:t>
            </w:r>
          </w:p>
        </w:tc>
      </w:tr>
      <w:tr w:rsidR="001020B8" w:rsidRPr="00E67764" w14:paraId="72D4644D" w14:textId="77777777" w:rsidTr="001020B8">
        <w:trPr>
          <w:trHeight w:val="252"/>
          <w:jc w:val="center"/>
        </w:trPr>
        <w:tc>
          <w:tcPr>
            <w:tcW w:w="632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D3293F4" w14:textId="77777777" w:rsidR="001020B8" w:rsidRPr="00E67764" w:rsidRDefault="001020B8" w:rsidP="00CF7F20">
            <w:pPr>
              <w:spacing w:after="0" w:line="240" w:lineRule="auto"/>
              <w:rPr>
                <w:rFonts w:ascii="Arial" w:eastAsia="Times New Roman" w:hAnsi="Arial" w:cs="Arial"/>
                <w:color w:val="000000"/>
                <w:sz w:val="20"/>
                <w:szCs w:val="20"/>
              </w:rPr>
            </w:pPr>
            <w:r w:rsidRPr="00E67764">
              <w:rPr>
                <w:rFonts w:ascii="Arial" w:eastAsia="Times New Roman" w:hAnsi="Arial" w:cs="Arial"/>
                <w:color w:val="000000"/>
                <w:sz w:val="20"/>
                <w:szCs w:val="20"/>
              </w:rPr>
              <w:lastRenderedPageBreak/>
              <w:t>Total Value at risk for the month</w:t>
            </w:r>
          </w:p>
        </w:tc>
        <w:tc>
          <w:tcPr>
            <w:tcW w:w="2400" w:type="dxa"/>
            <w:tcBorders>
              <w:top w:val="nil"/>
              <w:left w:val="nil"/>
              <w:bottom w:val="single" w:sz="4" w:space="0" w:color="auto"/>
              <w:right w:val="single" w:sz="4" w:space="0" w:color="auto"/>
            </w:tcBorders>
            <w:shd w:val="clear" w:color="auto" w:fill="auto"/>
            <w:noWrap/>
            <w:vAlign w:val="center"/>
            <w:hideMark/>
          </w:tcPr>
          <w:p w14:paraId="2862D6BA" w14:textId="77777777" w:rsidR="001020B8" w:rsidRPr="00E67764" w:rsidRDefault="001020B8" w:rsidP="00CF7F20">
            <w:pPr>
              <w:spacing w:after="0" w:line="240" w:lineRule="auto"/>
              <w:jc w:val="center"/>
              <w:rPr>
                <w:rFonts w:ascii="Arial" w:eastAsia="Times New Roman" w:hAnsi="Arial" w:cs="Arial"/>
                <w:color w:val="000000"/>
                <w:sz w:val="20"/>
                <w:szCs w:val="20"/>
              </w:rPr>
            </w:pPr>
            <w:r w:rsidRPr="00E67764">
              <w:rPr>
                <w:rFonts w:ascii="Arial" w:eastAsia="Times New Roman" w:hAnsi="Arial" w:cs="Arial"/>
                <w:color w:val="000000"/>
                <w:sz w:val="20"/>
                <w:szCs w:val="20"/>
              </w:rPr>
              <w:t>£5,000</w:t>
            </w:r>
          </w:p>
        </w:tc>
      </w:tr>
    </w:tbl>
    <w:p w14:paraId="1E2053DF" w14:textId="77777777" w:rsidR="002B5DF1" w:rsidRDefault="002B5DF1" w:rsidP="00287625">
      <w:pPr>
        <w:pStyle w:val="Heading2"/>
      </w:pPr>
    </w:p>
    <w:p w14:paraId="696C3FFD" w14:textId="1641E75B" w:rsidR="00EF7C03" w:rsidRDefault="00EF7C03" w:rsidP="00287625">
      <w:pPr>
        <w:pStyle w:val="Heading2"/>
      </w:pPr>
      <w:r w:rsidRPr="00EF7C03">
        <w:rPr>
          <w:b/>
        </w:rPr>
        <w:t>Table 2 – KPIs</w:t>
      </w:r>
      <w:r>
        <w:t xml:space="preserve"> looks to take the ‘Total Value at risk for the month’ and allocate this across the High Level KPIs. In this example, £5000 need</w:t>
      </w:r>
      <w:r w:rsidR="006935A4">
        <w:t xml:space="preserve">s to be allocated across those </w:t>
      </w:r>
      <w:r>
        <w:t xml:space="preserve">High Level KPIs that the Buyer intends to use. Note that not all of these High Level KPIs need to be selected if they are not required, i.e. if the Buyer simply wishes to allocate the sum at risk across say </w:t>
      </w:r>
      <w:r w:rsidR="006935A4">
        <w:t>‘Compliance &amp; Safety’</w:t>
      </w:r>
      <w:r>
        <w:t xml:space="preserve">, </w:t>
      </w:r>
      <w:r w:rsidR="006935A4">
        <w:t>‘Service Delivery’ and ‘Management Information’</w:t>
      </w:r>
      <w:r>
        <w:t xml:space="preserve"> they can certainly do this. In this case, the sum at risk value of £5000, will be allocated across </w:t>
      </w:r>
      <w:r w:rsidR="006935A4">
        <w:t>3</w:t>
      </w:r>
      <w:r>
        <w:t xml:space="preserve"> KPIs instead of 1</w:t>
      </w:r>
      <w:r w:rsidR="006935A4">
        <w:t>2</w:t>
      </w:r>
      <w:r>
        <w:t>. The following Table 2 – KPIs shows an even allocation across all 1</w:t>
      </w:r>
      <w:r w:rsidR="006935A4">
        <w:t>2</w:t>
      </w:r>
      <w:r>
        <w:t xml:space="preserve"> High Level KPIs. Note that the </w:t>
      </w:r>
      <w:r w:rsidR="009443D5">
        <w:t>‘</w:t>
      </w:r>
      <w:r>
        <w:t>KPI Weighting</w:t>
      </w:r>
      <w:r w:rsidR="009443D5">
        <w:t>’</w:t>
      </w:r>
      <w:r>
        <w:t xml:space="preserve"> column should always add up to 100%, signifying that the full value at risk </w:t>
      </w:r>
      <w:r w:rsidR="005448DD">
        <w:t>h</w:t>
      </w:r>
      <w:r>
        <w:t xml:space="preserve">as been fully allocated across the appropriate </w:t>
      </w:r>
      <w:r w:rsidR="005448DD">
        <w:t xml:space="preserve">high level KPIs. The </w:t>
      </w:r>
      <w:r w:rsidR="009443D5">
        <w:t>‘</w:t>
      </w:r>
      <w:r w:rsidR="005448DD">
        <w:t>KPI Weighting</w:t>
      </w:r>
      <w:r w:rsidR="009443D5">
        <w:t>’</w:t>
      </w:r>
      <w:r w:rsidR="005448DD">
        <w:t xml:space="preserve"> column does not need to show even allocation, as any combination totalling 100% is acceptable. This flexibility allows for appropriate allocation of risk by the Buyer depending on their need and priority for what they see as services critical to their business to be delivered appropriately. The </w:t>
      </w:r>
      <w:r w:rsidR="003B5FF1">
        <w:t>‘</w:t>
      </w:r>
      <w:r w:rsidR="005448DD">
        <w:t>KPI Value at Risk</w:t>
      </w:r>
      <w:r w:rsidR="003B5FF1">
        <w:t>’</w:t>
      </w:r>
      <w:r w:rsidR="005448DD">
        <w:t xml:space="preserve"> </w:t>
      </w:r>
      <w:r w:rsidR="003B5FF1">
        <w:t xml:space="preserve">column </w:t>
      </w:r>
      <w:r w:rsidR="005448DD">
        <w:t>in this example should total £5000, which it does.</w:t>
      </w:r>
    </w:p>
    <w:p w14:paraId="285F7CE4" w14:textId="1A43A5EA" w:rsidR="00EF7C03" w:rsidRDefault="00EF7C03" w:rsidP="00287625">
      <w:pPr>
        <w:pStyle w:val="Heading2"/>
      </w:pPr>
      <w:r w:rsidRPr="00EF7C03">
        <w:t xml:space="preserve">Table 2 </w:t>
      </w:r>
      <w:r>
        <w:t>–</w:t>
      </w:r>
      <w:r w:rsidRPr="00EF7C03">
        <w:t xml:space="preserve"> KPIs</w:t>
      </w:r>
    </w:p>
    <w:p w14:paraId="77008962" w14:textId="14E26C01" w:rsidR="00EF7C03" w:rsidRPr="00EF7C03" w:rsidRDefault="006935A4" w:rsidP="00287625">
      <w:pPr>
        <w:pStyle w:val="Heading2"/>
      </w:pPr>
      <w:r>
        <w:rPr>
          <w:noProof/>
          <w:lang w:eastAsia="en-GB"/>
        </w:rPr>
        <w:drawing>
          <wp:inline distT="0" distB="0" distL="0" distR="0" wp14:anchorId="6377C3B8" wp14:editId="1EE8A6DC">
            <wp:extent cx="5076825" cy="154323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19319" r="41502" b="58455"/>
                    <a:stretch/>
                  </pic:blipFill>
                  <pic:spPr bwMode="auto">
                    <a:xfrm>
                      <a:off x="0" y="0"/>
                      <a:ext cx="5134076" cy="1560642"/>
                    </a:xfrm>
                    <a:prstGeom prst="rect">
                      <a:avLst/>
                    </a:prstGeom>
                    <a:ln>
                      <a:noFill/>
                    </a:ln>
                    <a:extLst>
                      <a:ext uri="{53640926-AAD7-44D8-BBD7-CCE9431645EC}">
                        <a14:shadowObscured xmlns:a14="http://schemas.microsoft.com/office/drawing/2010/main"/>
                      </a:ext>
                    </a:extLst>
                  </pic:spPr>
                </pic:pic>
              </a:graphicData>
            </a:graphic>
          </wp:inline>
        </w:drawing>
      </w:r>
    </w:p>
    <w:p w14:paraId="6BC34E64" w14:textId="421A7016" w:rsidR="00287625" w:rsidRDefault="00780D07" w:rsidP="00287625">
      <w:pPr>
        <w:pStyle w:val="Heading2"/>
      </w:pPr>
      <w:r w:rsidRPr="000B12FE">
        <w:rPr>
          <w:b/>
        </w:rPr>
        <w:t>Table 3 – Measures</w:t>
      </w:r>
      <w:r>
        <w:t xml:space="preserve"> </w:t>
      </w:r>
      <w:r w:rsidR="004E256B">
        <w:t>In consideration of ‘Table 2 – KPIs’, ‘Table 3 – Measures’ deals with the allocation of the ‘KPI Value at Risk’ value across the appropriate number of measures required by the Buyer for each of the appropriate High Level KPIs</w:t>
      </w:r>
      <w:r w:rsidR="009443D5">
        <w:t xml:space="preserve"> they have chosen to use</w:t>
      </w:r>
      <w:r w:rsidR="004E256B">
        <w:t>. Using ‘</w:t>
      </w:r>
      <w:r w:rsidR="001B0E93">
        <w:t>Compliance &amp; Safety</w:t>
      </w:r>
      <w:r w:rsidR="004E256B">
        <w:t xml:space="preserve">’ as an example, ‘Table 3 – Measures’ below details 4 measures with unique ‘Measure </w:t>
      </w:r>
      <w:r w:rsidR="009443D5">
        <w:t>R</w:t>
      </w:r>
      <w:r w:rsidR="004E256B">
        <w:t>eferences</w:t>
      </w:r>
      <w:r w:rsidR="009443D5">
        <w:t>’</w:t>
      </w:r>
      <w:r w:rsidR="004E256B">
        <w:t xml:space="preserve"> spanning </w:t>
      </w:r>
      <w:r w:rsidR="001B0E93">
        <w:t>1.1</w:t>
      </w:r>
      <w:r w:rsidR="004E256B">
        <w:t xml:space="preserve"> to </w:t>
      </w:r>
      <w:r w:rsidR="001B0E93">
        <w:t>1.4</w:t>
      </w:r>
      <w:r w:rsidR="004E256B">
        <w:t>. Each of these unique reference relates to an individual measure for the ‘</w:t>
      </w:r>
      <w:r w:rsidR="001B0E93">
        <w:t>Compliance &amp; Safety</w:t>
      </w:r>
      <w:r w:rsidR="004E256B">
        <w:t>’ high level KPI. The measures are clearly detailed in the ‘Measures’ tab and will be explained later on in this guidance. The ‘KPI Value at Risk’ column in ‘Table 2 – KPIs’, for ‘</w:t>
      </w:r>
      <w:r w:rsidR="001B0E93">
        <w:t>Compliance &amp; Safety</w:t>
      </w:r>
      <w:r w:rsidR="004E256B">
        <w:t>’ totals £</w:t>
      </w:r>
      <w:r w:rsidR="001B0E93">
        <w:t>1,200</w:t>
      </w:r>
      <w:r w:rsidR="004E256B">
        <w:t xml:space="preserve">. In ‘Table 3 – Measures’ this value has been spread across the 4 unique measures, in this case </w:t>
      </w:r>
      <w:r w:rsidR="001B0E93">
        <w:t>two at 35% and two at 15%</w:t>
      </w:r>
      <w:r w:rsidR="004E256B">
        <w:t xml:space="preserve">. The </w:t>
      </w:r>
      <w:r w:rsidR="001B0E93">
        <w:t>B</w:t>
      </w:r>
      <w:r w:rsidR="004E256B">
        <w:t xml:space="preserve">uyer will set these percentage levels. They do not need to be </w:t>
      </w:r>
      <w:r w:rsidR="001B0E93">
        <w:t>at the aforementioned levels</w:t>
      </w:r>
      <w:r w:rsidR="00287625">
        <w:t xml:space="preserve"> but must total 100% in order that the total value at risk for the High Level KPI is fully disseminated across the 4 measures. In this example, the ‘Measure Weighting’ value totals 100% and as a result the total ‘KPI Value at Risk’ for ‘C</w:t>
      </w:r>
      <w:r w:rsidR="001B0E93">
        <w:t>ompliance &amp; Safety</w:t>
      </w:r>
      <w:r w:rsidR="00287625">
        <w:t>’ sums at £</w:t>
      </w:r>
      <w:r w:rsidR="001B0E93">
        <w:t>1,2</w:t>
      </w:r>
      <w:r w:rsidR="00287625">
        <w:t>00 (</w:t>
      </w:r>
      <w:r w:rsidR="001B0E93">
        <w:t>(</w:t>
      </w:r>
      <w:r w:rsidR="00287625">
        <w:t>£</w:t>
      </w:r>
      <w:r w:rsidR="001B0E93">
        <w:t>420</w:t>
      </w:r>
      <w:r w:rsidR="00287625">
        <w:t xml:space="preserve"> x </w:t>
      </w:r>
      <w:r w:rsidR="001B0E93">
        <w:t>2)+(£180 x 2)</w:t>
      </w:r>
      <w:r w:rsidR="00287625">
        <w:t>).</w:t>
      </w:r>
    </w:p>
    <w:p w14:paraId="516CDCC5" w14:textId="19472127" w:rsidR="00287625" w:rsidRDefault="00287625" w:rsidP="00287625">
      <w:pPr>
        <w:pStyle w:val="Heading2"/>
      </w:pPr>
      <w:r w:rsidRPr="00287625">
        <w:t>The Buyer may have as many measures as they wish against each required</w:t>
      </w:r>
      <w:r>
        <w:t xml:space="preserve"> High Level KPI. The values at risk and weightings explained above are disseminated against each High Level KPI in exactly the same way.</w:t>
      </w:r>
    </w:p>
    <w:p w14:paraId="12470FB0" w14:textId="10286CE0" w:rsidR="004A7A17" w:rsidRDefault="0009149B" w:rsidP="00287625">
      <w:pPr>
        <w:pStyle w:val="Heading2"/>
      </w:pPr>
      <w:r>
        <w:t>Table 3 - Measures</w:t>
      </w:r>
    </w:p>
    <w:p w14:paraId="586B7920" w14:textId="793F7749" w:rsidR="00676CD1" w:rsidRDefault="001B0E93" w:rsidP="00287625">
      <w:pPr>
        <w:pStyle w:val="Heading2"/>
        <w:ind w:left="0"/>
      </w:pPr>
      <w:r>
        <w:rPr>
          <w:noProof/>
          <w:lang w:eastAsia="en-GB"/>
        </w:rPr>
        <w:drawing>
          <wp:inline distT="0" distB="0" distL="0" distR="0" wp14:anchorId="110BBF89" wp14:editId="51ADCA6B">
            <wp:extent cx="6267450" cy="8001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66" t="18279" r="29536" b="70503"/>
                    <a:stretch/>
                  </pic:blipFill>
                  <pic:spPr bwMode="auto">
                    <a:xfrm>
                      <a:off x="0" y="0"/>
                      <a:ext cx="6274377" cy="800984"/>
                    </a:xfrm>
                    <a:prstGeom prst="rect">
                      <a:avLst/>
                    </a:prstGeom>
                    <a:ln>
                      <a:noFill/>
                    </a:ln>
                    <a:extLst>
                      <a:ext uri="{53640926-AAD7-44D8-BBD7-CCE9431645EC}">
                        <a14:shadowObscured xmlns:a14="http://schemas.microsoft.com/office/drawing/2010/main"/>
                      </a:ext>
                    </a:extLst>
                  </pic:spPr>
                </pic:pic>
              </a:graphicData>
            </a:graphic>
          </wp:inline>
        </w:drawing>
      </w:r>
    </w:p>
    <w:p w14:paraId="4EC07DCA" w14:textId="77777777" w:rsidR="00CF6587" w:rsidRDefault="00CF6587" w:rsidP="00287625">
      <w:pPr>
        <w:pStyle w:val="Heading2"/>
      </w:pPr>
    </w:p>
    <w:p w14:paraId="709D913F" w14:textId="590F4C2C" w:rsidR="001C3CC3" w:rsidRDefault="00CF7F20" w:rsidP="00CF1433">
      <w:pPr>
        <w:pStyle w:val="Heading1"/>
      </w:pPr>
      <w:bookmarkStart w:id="8" w:name="_Toc23768487"/>
      <w:r>
        <w:lastRenderedPageBreak/>
        <w:t>Measures Wo</w:t>
      </w:r>
      <w:r w:rsidR="00676CD1">
        <w:t>rksheet</w:t>
      </w:r>
      <w:bookmarkEnd w:id="8"/>
    </w:p>
    <w:p w14:paraId="14A1C3DF" w14:textId="3BA3D334" w:rsidR="00F03110" w:rsidRDefault="00CF7F20" w:rsidP="00287625">
      <w:pPr>
        <w:pStyle w:val="Heading2"/>
      </w:pPr>
      <w:r w:rsidRPr="00140C44">
        <w:t xml:space="preserve">This worksheet refers to the </w:t>
      </w:r>
      <w:r>
        <w:t>‘</w:t>
      </w:r>
      <w:r w:rsidR="00F03110">
        <w:t>Measure Requirement’. The ‘Measure Requirement’ is the actual detail of what needs to be done. Next to it is the ‘Measure Achievement Calculation’ which details a unit of measurement by which the measure will be assessed. Staying with the ‘C</w:t>
      </w:r>
      <w:r w:rsidR="001B0E93">
        <w:t>ompliance &amp; Safety</w:t>
      </w:r>
      <w:r w:rsidR="00F03110">
        <w:t xml:space="preserve">’ example, the 4 measures </w:t>
      </w:r>
      <w:r w:rsidR="001B0E93">
        <w:t>1.1 to 1.4</w:t>
      </w:r>
      <w:r w:rsidR="00F03110">
        <w:t xml:space="preserve"> are detailed</w:t>
      </w:r>
      <w:r w:rsidR="001B0E93">
        <w:t xml:space="preserve"> below in the following Table 4</w:t>
      </w:r>
      <w:r w:rsidR="00F03110">
        <w:t>. The Buyer will decide the text that goes to make up each measure based on their requirements. They may introduce their own measures, use the measures already in place or update existing measures to suit their needs or a combination of all of these options.</w:t>
      </w:r>
    </w:p>
    <w:p w14:paraId="74302155" w14:textId="77777777" w:rsidR="00F03110" w:rsidRDefault="00F03110" w:rsidP="00287625">
      <w:pPr>
        <w:pStyle w:val="Heading2"/>
      </w:pPr>
      <w:r>
        <w:t>Table 4</w:t>
      </w:r>
    </w:p>
    <w:p w14:paraId="25961547" w14:textId="2880AF4A" w:rsidR="00F03110" w:rsidRDefault="001B0E93" w:rsidP="00F03110">
      <w:pPr>
        <w:pStyle w:val="Heading2"/>
        <w:ind w:left="0"/>
      </w:pPr>
      <w:r>
        <w:rPr>
          <w:noProof/>
          <w:lang w:eastAsia="en-GB"/>
        </w:rPr>
        <w:drawing>
          <wp:inline distT="0" distB="0" distL="0" distR="0" wp14:anchorId="2208938E" wp14:editId="684145D4">
            <wp:extent cx="5972175" cy="267214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66" t="18488" r="38951" b="47276"/>
                    <a:stretch/>
                  </pic:blipFill>
                  <pic:spPr bwMode="auto">
                    <a:xfrm>
                      <a:off x="0" y="0"/>
                      <a:ext cx="5993330" cy="2681612"/>
                    </a:xfrm>
                    <a:prstGeom prst="rect">
                      <a:avLst/>
                    </a:prstGeom>
                    <a:ln>
                      <a:noFill/>
                    </a:ln>
                    <a:extLst>
                      <a:ext uri="{53640926-AAD7-44D8-BBD7-CCE9431645EC}">
                        <a14:shadowObscured xmlns:a14="http://schemas.microsoft.com/office/drawing/2010/main"/>
                      </a:ext>
                    </a:extLst>
                  </pic:spPr>
                </pic:pic>
              </a:graphicData>
            </a:graphic>
          </wp:inline>
        </w:drawing>
      </w:r>
    </w:p>
    <w:p w14:paraId="1A1118F6" w14:textId="4EF7AD29" w:rsidR="009B0C9B" w:rsidRDefault="00F03110" w:rsidP="00287625">
      <w:pPr>
        <w:pStyle w:val="Heading2"/>
      </w:pPr>
      <w:r>
        <w:t xml:space="preserve">Next to each measure there </w:t>
      </w:r>
      <w:r w:rsidR="009B0C9B">
        <w:t>are</w:t>
      </w:r>
      <w:r>
        <w:t xml:space="preserve"> a </w:t>
      </w:r>
      <w:r w:rsidR="009B0C9B">
        <w:t xml:space="preserve">number of </w:t>
      </w:r>
      <w:r>
        <w:t>method</w:t>
      </w:r>
      <w:r w:rsidR="009B0C9B">
        <w:t>s</w:t>
      </w:r>
      <w:r>
        <w:t xml:space="preserve"> by which </w:t>
      </w:r>
      <w:r w:rsidR="009B0C9B">
        <w:t xml:space="preserve">a score for each one may be applied and returned. These methods are applied every month delivering any </w:t>
      </w:r>
      <w:r w:rsidR="009443D5">
        <w:t>p</w:t>
      </w:r>
      <w:r w:rsidR="009B0C9B">
        <w:t xml:space="preserve">ayment </w:t>
      </w:r>
      <w:r w:rsidR="009443D5">
        <w:t>‘</w:t>
      </w:r>
      <w:r w:rsidR="009B0C9B">
        <w:t>Deductions</w:t>
      </w:r>
      <w:r w:rsidR="009443D5">
        <w:t>%’</w:t>
      </w:r>
      <w:r w:rsidR="009B0C9B">
        <w:t xml:space="preserve"> applicable, and form part of the overall calculation that delivers the </w:t>
      </w:r>
      <w:r w:rsidR="009443D5">
        <w:t>‘</w:t>
      </w:r>
      <w:r w:rsidR="009B0C9B">
        <w:t>Monthly Payment</w:t>
      </w:r>
      <w:r w:rsidR="009443D5">
        <w:t>’</w:t>
      </w:r>
      <w:r w:rsidR="009B0C9B">
        <w:t xml:space="preserve"> (MPn1). An example of these methods are shown below in Table 5;</w:t>
      </w:r>
    </w:p>
    <w:p w14:paraId="579DE206" w14:textId="77777777" w:rsidR="009B0C9B" w:rsidRDefault="009B0C9B" w:rsidP="00287625">
      <w:pPr>
        <w:pStyle w:val="Heading2"/>
      </w:pPr>
      <w:r>
        <w:t>Table 5</w:t>
      </w:r>
    </w:p>
    <w:p w14:paraId="12420EB5" w14:textId="32793AB0" w:rsidR="00F03110" w:rsidRDefault="009B0C9B" w:rsidP="00287625">
      <w:pPr>
        <w:pStyle w:val="Heading2"/>
      </w:pPr>
      <w:r>
        <w:t xml:space="preserve"> </w:t>
      </w:r>
      <w:r w:rsidR="0086010C">
        <w:rPr>
          <w:noProof/>
          <w:lang w:eastAsia="en-GB"/>
        </w:rPr>
        <w:drawing>
          <wp:inline distT="0" distB="0" distL="0" distR="0" wp14:anchorId="60641B77" wp14:editId="0DCBBC0E">
            <wp:extent cx="5057775" cy="178575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t="18904" r="24219" b="47653"/>
                    <a:stretch/>
                  </pic:blipFill>
                  <pic:spPr bwMode="auto">
                    <a:xfrm>
                      <a:off x="0" y="0"/>
                      <a:ext cx="5078546" cy="1793084"/>
                    </a:xfrm>
                    <a:prstGeom prst="rect">
                      <a:avLst/>
                    </a:prstGeom>
                    <a:ln>
                      <a:noFill/>
                    </a:ln>
                    <a:extLst>
                      <a:ext uri="{53640926-AAD7-44D8-BBD7-CCE9431645EC}">
                        <a14:shadowObscured xmlns:a14="http://schemas.microsoft.com/office/drawing/2010/main"/>
                      </a:ext>
                    </a:extLst>
                  </pic:spPr>
                </pic:pic>
              </a:graphicData>
            </a:graphic>
          </wp:inline>
        </w:drawing>
      </w:r>
    </w:p>
    <w:p w14:paraId="09400AB0" w14:textId="38C93F01" w:rsidR="009B0C9B" w:rsidRDefault="009B0C9B" w:rsidP="00287625">
      <w:pPr>
        <w:pStyle w:val="Heading2"/>
      </w:pPr>
      <w:r>
        <w:t xml:space="preserve">Looking at the first measure which relates to </w:t>
      </w:r>
      <w:r w:rsidR="0086010C">
        <w:t>1.1</w:t>
      </w:r>
      <w:r>
        <w:t>. This is completed to show an ‘Achievement Value (</w:t>
      </w:r>
      <w:r w:rsidR="0086010C">
        <w:t>Pass or Fail</w:t>
      </w:r>
      <w:r>
        <w:t xml:space="preserve">)’ of </w:t>
      </w:r>
      <w:r w:rsidR="0086010C">
        <w:t>‘Fail’</w:t>
      </w:r>
      <w:r>
        <w:t xml:space="preserve">. </w:t>
      </w:r>
      <w:r w:rsidR="0069687E">
        <w:t xml:space="preserve">This score looks up to a </w:t>
      </w:r>
      <w:r w:rsidR="009443D5">
        <w:t>‘</w:t>
      </w:r>
      <w:r w:rsidR="0069687E">
        <w:t>Score Table</w:t>
      </w:r>
      <w:r w:rsidR="009443D5">
        <w:t>’</w:t>
      </w:r>
      <w:r w:rsidR="0069687E">
        <w:t xml:space="preserve"> in the ‘Scoring Scales’ tab (will be explained later on in this guidance). In this case, the ‘</w:t>
      </w:r>
      <w:r w:rsidR="0086010C">
        <w:t>Pass/Fail Qualitative</w:t>
      </w:r>
      <w:r w:rsidR="0069687E">
        <w:t xml:space="preserve">’ Score Table with appropriate score scales </w:t>
      </w:r>
      <w:r w:rsidR="0086010C">
        <w:t xml:space="preserve">(‘Pass’ or ‘Fail’) </w:t>
      </w:r>
      <w:r w:rsidR="0069687E">
        <w:t>has been selected in the ‘Scoring Scale’ column. This selection wi</w:t>
      </w:r>
      <w:r w:rsidR="0086010C">
        <w:t>ll point the ‘Achievement value</w:t>
      </w:r>
      <w:r w:rsidR="0069687E">
        <w:t xml:space="preserve">’ entered to the appropriate table, thus returning </w:t>
      </w:r>
      <w:r w:rsidR="009443D5">
        <w:t xml:space="preserve">into </w:t>
      </w:r>
      <w:r w:rsidR="0069687E">
        <w:t xml:space="preserve">the ‘Score’ </w:t>
      </w:r>
      <w:r w:rsidR="009443D5">
        <w:t>column a result of</w:t>
      </w:r>
      <w:r w:rsidR="0069687E">
        <w:t xml:space="preserve"> 0% and dictating </w:t>
      </w:r>
      <w:r w:rsidR="009443D5">
        <w:t>in turn a</w:t>
      </w:r>
      <w:r w:rsidR="0069687E">
        <w:t xml:space="preserve"> ‘Deduction’ of </w:t>
      </w:r>
      <w:r w:rsidR="0086010C">
        <w:t>10</w:t>
      </w:r>
      <w:r w:rsidR="0069687E">
        <w:t xml:space="preserve">0%. </w:t>
      </w:r>
      <w:r w:rsidR="00463F1F">
        <w:t xml:space="preserve">In this example a </w:t>
      </w:r>
      <w:r w:rsidR="0086010C">
        <w:t>10</w:t>
      </w:r>
      <w:r w:rsidR="00463F1F">
        <w:t>0% deduction is applied against the ‘KPI value at risk’ figure as shown above in ‘Table 3 – Measures’ in the ‘Performance Criteria’ tab. This equates to £</w:t>
      </w:r>
      <w:r w:rsidR="0086010C">
        <w:t>420</w:t>
      </w:r>
      <w:r w:rsidR="00463F1F">
        <w:t xml:space="preserve"> </w:t>
      </w:r>
      <w:r w:rsidR="00463F1F">
        <w:lastRenderedPageBreak/>
        <w:t xml:space="preserve">deduction in the ‘Measure Deduction’ column, representing </w:t>
      </w:r>
      <w:r w:rsidR="0086010C">
        <w:t>10</w:t>
      </w:r>
      <w:r w:rsidR="00463F1F">
        <w:t>0% of the £</w:t>
      </w:r>
      <w:r w:rsidR="0086010C">
        <w:t>420</w:t>
      </w:r>
      <w:r w:rsidR="00463F1F">
        <w:t xml:space="preserve"> sum at risk.</w:t>
      </w:r>
    </w:p>
    <w:p w14:paraId="4AA86FB5" w14:textId="5D3FD06E" w:rsidR="0008333C" w:rsidRDefault="0008333C" w:rsidP="00287625">
      <w:pPr>
        <w:pStyle w:val="Heading2"/>
      </w:pPr>
      <w:r>
        <w:t>For subsequent measures, t</w:t>
      </w:r>
      <w:r w:rsidR="00463F1F">
        <w:t xml:space="preserve">he same scoring methodology may be applied as </w:t>
      </w:r>
      <w:r>
        <w:t>has been</w:t>
      </w:r>
      <w:r w:rsidR="00463F1F">
        <w:t xml:space="preserve"> used for </w:t>
      </w:r>
      <w:r w:rsidR="0086010C">
        <w:t>1.1</w:t>
      </w:r>
      <w:r w:rsidR="00463F1F">
        <w:t xml:space="preserve">. Alternatively, the Buyer may wish the ‘Achievement value’ to be displayed as a percentage </w:t>
      </w:r>
      <w:r w:rsidR="0086010C">
        <w:t xml:space="preserve">or number </w:t>
      </w:r>
      <w:r w:rsidR="00463F1F">
        <w:t xml:space="preserve">rather than a </w:t>
      </w:r>
      <w:r w:rsidR="0086010C">
        <w:t>Pass/Fail</w:t>
      </w:r>
      <w:r w:rsidR="00463F1F">
        <w:t xml:space="preserve">. </w:t>
      </w:r>
      <w:r>
        <w:t xml:space="preserve">In this case, the score looks up to a different Score Table in the ‘Scoring Scales’ tab, one that contains % </w:t>
      </w:r>
      <w:r w:rsidR="0086010C">
        <w:t xml:space="preserve">or number </w:t>
      </w:r>
      <w:r>
        <w:t xml:space="preserve">score. </w:t>
      </w:r>
      <w:r w:rsidR="0086010C">
        <w:t>However</w:t>
      </w:r>
      <w:r>
        <w:t>, t</w:t>
      </w:r>
      <w:r w:rsidR="00463F1F">
        <w:t xml:space="preserve">he </w:t>
      </w:r>
      <w:r w:rsidR="0086010C">
        <w:t>B</w:t>
      </w:r>
      <w:r w:rsidR="00463F1F">
        <w:t xml:space="preserve">uyer may </w:t>
      </w:r>
      <w:r>
        <w:t xml:space="preserve">simply </w:t>
      </w:r>
      <w:r w:rsidR="00463F1F">
        <w:t xml:space="preserve">wish to </w:t>
      </w:r>
      <w:r w:rsidR="0086010C">
        <w:t>stick with and apply</w:t>
      </w:r>
      <w:r w:rsidR="00463F1F">
        <w:t xml:space="preserve"> a straight ‘Pass/Fail</w:t>
      </w:r>
      <w:r w:rsidR="00B11967">
        <w:t xml:space="preserve"> (100%/0%)’ to a measure.</w:t>
      </w:r>
    </w:p>
    <w:p w14:paraId="60D167AE" w14:textId="39113642" w:rsidR="00463F1F" w:rsidRDefault="0008333C" w:rsidP="00287625">
      <w:pPr>
        <w:pStyle w:val="Heading2"/>
      </w:pPr>
      <w:r>
        <w:t xml:space="preserve">As may be appropriate for the </w:t>
      </w:r>
      <w:r w:rsidR="00B11967">
        <w:t xml:space="preserve">Buyer needs, different scoring scales to </w:t>
      </w:r>
      <w:r>
        <w:t xml:space="preserve">current </w:t>
      </w:r>
      <w:r w:rsidR="009443D5">
        <w:t>‘</w:t>
      </w:r>
      <w:r>
        <w:t>Score Tables</w:t>
      </w:r>
      <w:r w:rsidR="009443D5">
        <w:t>’</w:t>
      </w:r>
      <w:r>
        <w:t xml:space="preserve"> may be updated. If necessary, </w:t>
      </w:r>
      <w:r w:rsidR="00B11967">
        <w:t xml:space="preserve">additional </w:t>
      </w:r>
      <w:r w:rsidR="009443D5">
        <w:t>‘</w:t>
      </w:r>
      <w:r w:rsidR="00B11967">
        <w:t>Score Tables</w:t>
      </w:r>
      <w:r w:rsidR="009443D5">
        <w:t>’</w:t>
      </w:r>
      <w:r w:rsidR="00B11967">
        <w:t xml:space="preserve"> may be added to the KPI Model</w:t>
      </w:r>
      <w:r>
        <w:t xml:space="preserve"> with the scoring scales </w:t>
      </w:r>
      <w:r w:rsidR="009443D5">
        <w:t>required</w:t>
      </w:r>
      <w:r w:rsidR="00B11967">
        <w:t xml:space="preserve">. Whatever the choice, the KPI Model is flexible in this respect and can be updated accordingly. The example provided for </w:t>
      </w:r>
      <w:r w:rsidR="0086010C">
        <w:t>1.1</w:t>
      </w:r>
      <w:r w:rsidR="00B11967">
        <w:t xml:space="preserve"> follows for each ‘Measure Requirement’</w:t>
      </w:r>
      <w:r>
        <w:t xml:space="preserve"> stated within the ‘Measures’ worksheet</w:t>
      </w:r>
      <w:r w:rsidR="00B11967">
        <w:t>.</w:t>
      </w:r>
    </w:p>
    <w:p w14:paraId="017C52FC" w14:textId="4C2C6872" w:rsidR="0085517E" w:rsidRDefault="00B11967" w:rsidP="00424100">
      <w:pPr>
        <w:pStyle w:val="Heading1"/>
      </w:pPr>
      <w:bookmarkStart w:id="9" w:name="_Toc23768488"/>
      <w:r>
        <w:t>Scoring scales</w:t>
      </w:r>
      <w:r w:rsidR="00140C44">
        <w:t xml:space="preserve"> worksheet</w:t>
      </w:r>
      <w:bookmarkEnd w:id="9"/>
    </w:p>
    <w:p w14:paraId="47403725" w14:textId="18FC41E3" w:rsidR="00B11967" w:rsidRDefault="00140C44" w:rsidP="00287625">
      <w:pPr>
        <w:pStyle w:val="Heading2"/>
      </w:pPr>
      <w:r>
        <w:t xml:space="preserve">This worksheet provides the </w:t>
      </w:r>
      <w:r w:rsidR="00B11967">
        <w:t xml:space="preserve">standard </w:t>
      </w:r>
      <w:r w:rsidR="008A1D55">
        <w:t>‘</w:t>
      </w:r>
      <w:r w:rsidR="00B11967">
        <w:t>Score Tables</w:t>
      </w:r>
      <w:r w:rsidR="008A1D55">
        <w:t>’</w:t>
      </w:r>
      <w:r>
        <w:t xml:space="preserve"> which have been compiled and included by </w:t>
      </w:r>
      <w:r w:rsidR="00B11967">
        <w:t>CCS. The</w:t>
      </w:r>
      <w:r>
        <w:t xml:space="preserve"> </w:t>
      </w:r>
      <w:r w:rsidR="00AF2336">
        <w:t>Buyer</w:t>
      </w:r>
      <w:r w:rsidR="00B11967">
        <w:t xml:space="preserve"> may change the scales on these score tables as they see fit or add additional </w:t>
      </w:r>
      <w:r w:rsidR="009C4DC7">
        <w:t>tables</w:t>
      </w:r>
      <w:r w:rsidR="00B11967">
        <w:t xml:space="preserve"> to meet their need.</w:t>
      </w:r>
      <w:r w:rsidR="00AC58FE">
        <w:t xml:space="preserve"> If the scoring scales within any one of the Score Tables is already appropriate, then the Buyer may leave them as they are.</w:t>
      </w:r>
    </w:p>
    <w:p w14:paraId="2F4C81A2" w14:textId="798BEDB7" w:rsidR="00152684" w:rsidRDefault="00AC58FE" w:rsidP="00287625">
      <w:pPr>
        <w:pStyle w:val="Heading2"/>
      </w:pPr>
      <w:r>
        <w:t>A</w:t>
      </w:r>
      <w:r w:rsidR="00140C44">
        <w:t xml:space="preserve"> score, which has been populated into the </w:t>
      </w:r>
      <w:r>
        <w:t>‘Score’ column within the ‘Measures’ tab</w:t>
      </w:r>
      <w:r w:rsidR="00140C44">
        <w:t xml:space="preserve">, will need to </w:t>
      </w:r>
      <w:r w:rsidR="008A1D55">
        <w:t>‘</w:t>
      </w:r>
      <w:r w:rsidR="00140C44">
        <w:t>V LOOK UP</w:t>
      </w:r>
      <w:r w:rsidR="008A1D55">
        <w:t>’</w:t>
      </w:r>
      <w:r w:rsidR="00140C44">
        <w:t xml:space="preserve"> to an appropriate table stored within the </w:t>
      </w:r>
      <w:r w:rsidR="008A1D55">
        <w:t>‘</w:t>
      </w:r>
      <w:r>
        <w:t>Scoring Scales</w:t>
      </w:r>
      <w:r w:rsidR="008A1D55">
        <w:t>’</w:t>
      </w:r>
      <w:r w:rsidR="00140C44">
        <w:t xml:space="preserve"> worksheet. This is the sole purpose of th</w:t>
      </w:r>
      <w:r>
        <w:t>e ‘Scoring Scale’</w:t>
      </w:r>
      <w:r w:rsidR="00140C44">
        <w:t xml:space="preserve"> worksheet</w:t>
      </w:r>
      <w:r w:rsidR="008A1D55">
        <w:t xml:space="preserve"> -</w:t>
      </w:r>
      <w:r w:rsidR="00140C44">
        <w:t xml:space="preserve"> to contain these tables</w:t>
      </w:r>
      <w:r>
        <w:t xml:space="preserve"> and return scores into the ‘Deduction %’ column of the ‘Measures’ tab.</w:t>
      </w:r>
      <w:r w:rsidR="00140C44">
        <w:t xml:space="preserve"> These tables can be managed by the </w:t>
      </w:r>
      <w:r w:rsidR="00AF2336">
        <w:t>Buyer</w:t>
      </w:r>
      <w:r w:rsidR="00140C44">
        <w:t xml:space="preserve"> to meet their specific needs for each </w:t>
      </w:r>
      <w:r>
        <w:t>‘Measure Requirement’</w:t>
      </w:r>
      <w:r w:rsidR="00140C44">
        <w:t>. The current tables look to provide an example of varying score ranges. These have been rated from Low to Medium through to High depending on the severity of the reducing</w:t>
      </w:r>
      <w:r>
        <w:t xml:space="preserve"> Supplier</w:t>
      </w:r>
      <w:r w:rsidR="00140C44">
        <w:t xml:space="preserve"> Score returned</w:t>
      </w:r>
      <w:r w:rsidR="008A1D55">
        <w:t>,</w:t>
      </w:r>
      <w:r w:rsidR="00140C44">
        <w:t xml:space="preserve"> based on the </w:t>
      </w:r>
      <w:r w:rsidR="00AF2336">
        <w:t>Supplier</w:t>
      </w:r>
      <w:r w:rsidR="00140C44">
        <w:t>s</w:t>
      </w:r>
      <w:r>
        <w:t xml:space="preserve"> performance. The example shown as </w:t>
      </w:r>
      <w:r w:rsidR="008A1D55">
        <w:t>‘</w:t>
      </w:r>
      <w:r>
        <w:t>Table 6’ below</w:t>
      </w:r>
      <w:r w:rsidR="00140C44">
        <w:t xml:space="preserve"> relates to </w:t>
      </w:r>
      <w:r w:rsidR="00512B36">
        <w:t>1.1</w:t>
      </w:r>
      <w:r w:rsidR="00140C44">
        <w:t xml:space="preserve"> and is named </w:t>
      </w:r>
      <w:r w:rsidR="008A1D55">
        <w:t>‘</w:t>
      </w:r>
      <w:r w:rsidR="00140C44">
        <w:t xml:space="preserve">Score Table </w:t>
      </w:r>
      <w:r w:rsidR="00512B36">
        <w:t>7</w:t>
      </w:r>
      <w:r w:rsidR="008A1D55">
        <w:t>’</w:t>
      </w:r>
      <w:r w:rsidR="00140C44">
        <w:t xml:space="preserve">. It is </w:t>
      </w:r>
      <w:r w:rsidR="00512B36">
        <w:t>a straight Pass/Fail scenario</w:t>
      </w:r>
      <w:r w:rsidR="00140C44">
        <w:t xml:space="preserve"> based on </w:t>
      </w:r>
      <w:r w:rsidR="00AF2336">
        <w:t>Supplier</w:t>
      </w:r>
      <w:r w:rsidR="00140C44">
        <w:t xml:space="preserve"> Performance. </w:t>
      </w:r>
    </w:p>
    <w:p w14:paraId="760C85DC" w14:textId="6219333E" w:rsidR="00F72ED7" w:rsidRDefault="00152684" w:rsidP="00287625">
      <w:pPr>
        <w:pStyle w:val="Heading2"/>
      </w:pPr>
      <w:r>
        <w:t xml:space="preserve">‘Score Table </w:t>
      </w:r>
      <w:r w:rsidR="00F4134D">
        <w:t>1</w:t>
      </w:r>
      <w:r>
        <w:t>’</w:t>
      </w:r>
      <w:r w:rsidR="00F72ED7">
        <w:t xml:space="preserve"> below</w:t>
      </w:r>
      <w:r>
        <w:t xml:space="preserve"> represents an alternative scoring method of a </w:t>
      </w:r>
      <w:r w:rsidR="00F4134D">
        <w:t xml:space="preserve">‘Number’ scenario. The number achieved within this ‘Low’ selected scoring table will return the appropriate % reduction, </w:t>
      </w:r>
      <w:r w:rsidR="00315C17">
        <w:t>i.e.</w:t>
      </w:r>
      <w:r w:rsidR="00F4134D">
        <w:t>, a score of 2 will return a score of 95%, and therefore a deduction of 5% of the allocated value at risk</w:t>
      </w:r>
      <w:r w:rsidR="00F72ED7">
        <w:t>.</w:t>
      </w:r>
    </w:p>
    <w:p w14:paraId="0255C076" w14:textId="74DF7649" w:rsidR="00140C44" w:rsidRDefault="00F72ED7" w:rsidP="00287625">
      <w:pPr>
        <w:pStyle w:val="Heading2"/>
      </w:pPr>
      <w:r>
        <w:t>If it is more suitable to apply a formula in order to return an appropriate score into the ‘Score’ and ‘Deduction %’ columns of the ‘Measures’ tab, then this is also an option for the Buyer.</w:t>
      </w:r>
    </w:p>
    <w:p w14:paraId="3E745818" w14:textId="4C1F6022" w:rsidR="00F62350" w:rsidRDefault="00AC58FE" w:rsidP="00287625">
      <w:pPr>
        <w:pStyle w:val="Heading2"/>
      </w:pPr>
      <w:r>
        <w:t>Table 6</w:t>
      </w:r>
    </w:p>
    <w:p w14:paraId="19884D3D" w14:textId="07E74518" w:rsidR="0085517E" w:rsidRDefault="00152684" w:rsidP="00152684">
      <w:pPr>
        <w:pStyle w:val="Heading2"/>
        <w:jc w:val="center"/>
      </w:pPr>
      <w:r>
        <w:rPr>
          <w:noProof/>
          <w:lang w:eastAsia="en-GB"/>
        </w:rPr>
        <w:lastRenderedPageBreak/>
        <w:drawing>
          <wp:inline distT="0" distB="0" distL="0" distR="0" wp14:anchorId="34CBACE8" wp14:editId="6A422DE3">
            <wp:extent cx="1752600" cy="356481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6057" t="33236" r="72227" b="11552"/>
                    <a:stretch/>
                  </pic:blipFill>
                  <pic:spPr bwMode="auto">
                    <a:xfrm>
                      <a:off x="0" y="0"/>
                      <a:ext cx="1766840" cy="3593775"/>
                    </a:xfrm>
                    <a:prstGeom prst="rect">
                      <a:avLst/>
                    </a:prstGeom>
                    <a:ln>
                      <a:noFill/>
                    </a:ln>
                    <a:extLst>
                      <a:ext uri="{53640926-AAD7-44D8-BBD7-CCE9431645EC}">
                        <a14:shadowObscured xmlns:a14="http://schemas.microsoft.com/office/drawing/2010/main"/>
                      </a:ext>
                    </a:extLst>
                  </pic:spPr>
                </pic:pic>
              </a:graphicData>
            </a:graphic>
          </wp:inline>
        </w:drawing>
      </w:r>
    </w:p>
    <w:p w14:paraId="4E526536" w14:textId="5525EEBA" w:rsidR="00152684" w:rsidRPr="00240E04" w:rsidRDefault="00152684" w:rsidP="00152684">
      <w:pPr>
        <w:pStyle w:val="Heading2"/>
        <w:jc w:val="center"/>
      </w:pPr>
      <w:r>
        <w:rPr>
          <w:noProof/>
          <w:lang w:eastAsia="en-GB"/>
        </w:rPr>
        <w:drawing>
          <wp:inline distT="0" distB="0" distL="0" distR="0" wp14:anchorId="2B443ACD" wp14:editId="67BE47AF">
            <wp:extent cx="2310987" cy="550333"/>
            <wp:effectExtent l="0" t="0" r="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910" t="40076" r="59377" b="49591"/>
                    <a:stretch/>
                  </pic:blipFill>
                  <pic:spPr bwMode="auto">
                    <a:xfrm>
                      <a:off x="0" y="0"/>
                      <a:ext cx="2320867" cy="552686"/>
                    </a:xfrm>
                    <a:prstGeom prst="rect">
                      <a:avLst/>
                    </a:prstGeom>
                    <a:ln>
                      <a:noFill/>
                    </a:ln>
                    <a:extLst>
                      <a:ext uri="{53640926-AAD7-44D8-BBD7-CCE9431645EC}">
                        <a14:shadowObscured xmlns:a14="http://schemas.microsoft.com/office/drawing/2010/main"/>
                      </a:ext>
                    </a:extLst>
                  </pic:spPr>
                </pic:pic>
              </a:graphicData>
            </a:graphic>
          </wp:inline>
        </w:drawing>
      </w:r>
    </w:p>
    <w:sectPr w:rsidR="00152684" w:rsidRPr="00240E04" w:rsidSect="00FF4120">
      <w:footerReference w:type="default" r:id="rId19"/>
      <w:pgSz w:w="11906" w:h="16838"/>
      <w:pgMar w:top="709"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417C22" w14:textId="77777777" w:rsidR="00EA22C4" w:rsidRPr="00AE4296" w:rsidRDefault="00EA22C4" w:rsidP="00AE4296">
      <w:pPr>
        <w:spacing w:after="0" w:line="240" w:lineRule="auto"/>
      </w:pPr>
      <w:r>
        <w:separator/>
      </w:r>
    </w:p>
  </w:endnote>
  <w:endnote w:type="continuationSeparator" w:id="0">
    <w:p w14:paraId="009907BC" w14:textId="77777777" w:rsidR="00EA22C4" w:rsidRPr="00AE4296" w:rsidRDefault="00EA22C4" w:rsidP="00AE42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TZhongsong">
    <w:altName w:val="Arial Unicode MS"/>
    <w:charset w:val="00"/>
    <w:family w:val="auto"/>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3780417"/>
      <w:docPartObj>
        <w:docPartGallery w:val="Page Numbers (Bottom of Page)"/>
        <w:docPartUnique/>
      </w:docPartObj>
    </w:sdtPr>
    <w:sdtEndPr>
      <w:rPr>
        <w:noProof/>
      </w:rPr>
    </w:sdtEndPr>
    <w:sdtContent>
      <w:p w14:paraId="27987FFA" w14:textId="62AB59EC" w:rsidR="00CF7F20" w:rsidRDefault="00CF7F20">
        <w:pPr>
          <w:pStyle w:val="Footer"/>
          <w:jc w:val="center"/>
        </w:pPr>
        <w:r>
          <w:fldChar w:fldCharType="begin"/>
        </w:r>
        <w:r>
          <w:instrText xml:space="preserve"> PAGE   \* MERGEFORMAT </w:instrText>
        </w:r>
        <w:r>
          <w:fldChar w:fldCharType="separate"/>
        </w:r>
        <w:r w:rsidR="00B34B19">
          <w:rPr>
            <w:noProof/>
          </w:rPr>
          <w:t>1</w:t>
        </w:r>
        <w:r>
          <w:rPr>
            <w:noProof/>
          </w:rPr>
          <w:fldChar w:fldCharType="end"/>
        </w:r>
      </w:p>
    </w:sdtContent>
  </w:sdt>
  <w:p w14:paraId="26FB110C" w14:textId="70FDB225" w:rsidR="00CF7F20" w:rsidRDefault="00B34B19" w:rsidP="00AE4296">
    <w:pPr>
      <w:pStyle w:val="Footer"/>
      <w:pBdr>
        <w:top w:val="single" w:sz="6" w:space="1" w:color="auto"/>
      </w:pBdr>
      <w:tabs>
        <w:tab w:val="right" w:pos="8647"/>
      </w:tabs>
      <w:rPr>
        <w:rFonts w:ascii="Arial" w:hAnsi="Arial" w:cs="Arial"/>
        <w:sz w:val="16"/>
        <w:szCs w:val="16"/>
      </w:rPr>
    </w:pPr>
    <w:r>
      <w:rPr>
        <w:rFonts w:ascii="Arial" w:hAnsi="Arial" w:cs="Arial"/>
        <w:sz w:val="16"/>
        <w:szCs w:val="16"/>
      </w:rPr>
      <w:t>Attachment 15 – FM Services KPI Model Instructions Version 1</w:t>
    </w:r>
    <w:r w:rsidR="00CF7F20">
      <w:rPr>
        <w:rFonts w:ascii="Arial" w:hAnsi="Arial" w:cs="Arial"/>
        <w:sz w:val="16"/>
        <w:szCs w:val="16"/>
      </w:rPr>
      <w:tab/>
    </w:r>
    <w:r w:rsidR="00CF7F20">
      <w:rPr>
        <w:rFonts w:ascii="Arial" w:hAnsi="Arial" w:cs="Arial"/>
        <w:sz w:val="16"/>
        <w:szCs w:val="16"/>
      </w:rPr>
      <w:tab/>
    </w:r>
  </w:p>
  <w:p w14:paraId="4FA838DD" w14:textId="116A3B5B" w:rsidR="00B34B19" w:rsidRDefault="00B34B19" w:rsidP="00AE4296">
    <w:pPr>
      <w:pStyle w:val="Footer"/>
      <w:pBdr>
        <w:top w:val="single" w:sz="6" w:space="1" w:color="auto"/>
      </w:pBdr>
      <w:tabs>
        <w:tab w:val="right" w:pos="8647"/>
      </w:tabs>
      <w:rPr>
        <w:rFonts w:ascii="Arial" w:hAnsi="Arial" w:cs="Arial"/>
        <w:sz w:val="16"/>
        <w:szCs w:val="16"/>
      </w:rPr>
    </w:pPr>
    <w:r>
      <w:rPr>
        <w:rFonts w:ascii="Arial" w:hAnsi="Arial" w:cs="Arial"/>
        <w:sz w:val="16"/>
        <w:szCs w:val="16"/>
      </w:rPr>
      <w:t>RM6155 – Training Estate Services</w:t>
    </w:r>
  </w:p>
  <w:p w14:paraId="3373C862" w14:textId="33A3C1C0" w:rsidR="00B34B19" w:rsidRPr="00B34B19" w:rsidRDefault="00B34B19" w:rsidP="00AE4296">
    <w:pPr>
      <w:pStyle w:val="Footer"/>
      <w:pBdr>
        <w:top w:val="single" w:sz="6" w:space="1" w:color="auto"/>
      </w:pBdr>
      <w:tabs>
        <w:tab w:val="right" w:pos="8647"/>
      </w:tabs>
      <w:rPr>
        <w:rFonts w:ascii="Arial" w:hAnsi="Arial" w:cs="Arial"/>
        <w:sz w:val="16"/>
        <w:szCs w:val="16"/>
      </w:rPr>
    </w:pPr>
    <w:r w:rsidRPr="00B34B19">
      <w:rPr>
        <w:rFonts w:ascii="Arial" w:hAnsi="Arial" w:cs="Arial"/>
        <w:sz w:val="16"/>
        <w:szCs w:val="16"/>
      </w:rPr>
      <w:t>© Crown Copyright 2019</w:t>
    </w:r>
  </w:p>
  <w:p w14:paraId="315E67A2" w14:textId="3316FAD3" w:rsidR="00B34B19" w:rsidRPr="00AE4296" w:rsidRDefault="00B34B19" w:rsidP="00AE4296">
    <w:pPr>
      <w:pStyle w:val="Footer"/>
      <w:pBdr>
        <w:top w:val="single" w:sz="6" w:space="1" w:color="auto"/>
      </w:pBdr>
      <w:tabs>
        <w:tab w:val="right" w:pos="8647"/>
      </w:tabs>
      <w:rPr>
        <w:rFonts w:ascii="Arial" w:hAnsi="Arial" w:cs="Arial"/>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C943299" w14:textId="77777777" w:rsidR="00EA22C4" w:rsidRPr="00AE4296" w:rsidRDefault="00EA22C4" w:rsidP="00AE4296">
      <w:pPr>
        <w:spacing w:after="0" w:line="240" w:lineRule="auto"/>
      </w:pPr>
      <w:r>
        <w:separator/>
      </w:r>
    </w:p>
  </w:footnote>
  <w:footnote w:type="continuationSeparator" w:id="0">
    <w:p w14:paraId="52DF34DF" w14:textId="77777777" w:rsidR="00EA22C4" w:rsidRPr="00AE4296" w:rsidRDefault="00EA22C4" w:rsidP="00AE42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FF74B854"/>
    <w:lvl w:ilvl="0">
      <w:start w:val="1"/>
      <w:numFmt w:val="decimal"/>
      <w:pStyle w:val="ListNumber"/>
      <w:lvlText w:val="%1."/>
      <w:lvlJc w:val="left"/>
      <w:pPr>
        <w:tabs>
          <w:tab w:val="num" w:pos="1209"/>
        </w:tabs>
        <w:ind w:left="1209" w:hanging="360"/>
      </w:pPr>
      <w:rPr>
        <w:rFonts w:cs="Times New Roman"/>
      </w:rPr>
    </w:lvl>
  </w:abstractNum>
  <w:abstractNum w:abstractNumId="1" w15:restartNumberingAfterBreak="0">
    <w:nsid w:val="FFFFFF82"/>
    <w:multiLevelType w:val="singleLevel"/>
    <w:tmpl w:val="1F3CAE26"/>
    <w:lvl w:ilvl="0">
      <w:start w:val="1"/>
      <w:numFmt w:val="bullet"/>
      <w:pStyle w:val="ListNumber3"/>
      <w:lvlText w:val=""/>
      <w:lvlJc w:val="left"/>
      <w:pPr>
        <w:tabs>
          <w:tab w:val="num" w:pos="926"/>
        </w:tabs>
        <w:ind w:left="926" w:hanging="360"/>
      </w:pPr>
      <w:rPr>
        <w:rFonts w:ascii="Symbol" w:hAnsi="Symbol" w:hint="default"/>
      </w:rPr>
    </w:lvl>
  </w:abstractNum>
  <w:abstractNum w:abstractNumId="2" w15:restartNumberingAfterBreak="0">
    <w:nsid w:val="01524A7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795064A"/>
    <w:multiLevelType w:val="multilevel"/>
    <w:tmpl w:val="1332CCD4"/>
    <w:styleLink w:val="111111"/>
    <w:lvl w:ilvl="0">
      <w:start w:val="1"/>
      <w:numFmt w:val="decimal"/>
      <w:lvlRestart w:val="0"/>
      <w:lvlText w:val="%1."/>
      <w:lvlJc w:val="left"/>
      <w:pPr>
        <w:tabs>
          <w:tab w:val="num" w:pos="720"/>
        </w:tabs>
        <w:ind w:left="720" w:hanging="720"/>
      </w:pPr>
      <w:rPr>
        <w:rFonts w:hint="default"/>
        <w:dstrike w:val="0"/>
        <w:snapToGrid/>
        <w:color w:val="auto"/>
        <w:w w:val="100"/>
        <w:kern w:val="28"/>
        <w:sz w:val="22"/>
        <w:szCs w:val="20"/>
        <w:u w:val="none"/>
        <w:effect w:val="none"/>
        <w:vertAlign w:val="baseline"/>
        <w:em w:val="none"/>
      </w:rPr>
    </w:lvl>
    <w:lvl w:ilvl="1">
      <w:start w:val="1"/>
      <w:numFmt w:val="decimal"/>
      <w:lvlText w:val="%1.%2"/>
      <w:lvlJc w:val="left"/>
      <w:pPr>
        <w:tabs>
          <w:tab w:val="num" w:pos="1440"/>
        </w:tabs>
        <w:ind w:left="1440" w:hanging="720"/>
      </w:pPr>
      <w:rPr>
        <w:rFonts w:hint="default"/>
        <w:effect w:val="none"/>
      </w:rPr>
    </w:lvl>
    <w:lvl w:ilvl="2">
      <w:start w:val="1"/>
      <w:numFmt w:val="decimal"/>
      <w:lvlText w:val="%1.%2.%3"/>
      <w:lvlJc w:val="left"/>
      <w:pPr>
        <w:tabs>
          <w:tab w:val="num" w:pos="2160"/>
        </w:tabs>
        <w:ind w:left="2160" w:hanging="720"/>
      </w:pPr>
      <w:rPr>
        <w:rFonts w:hint="default"/>
        <w:effect w:val="none"/>
      </w:rPr>
    </w:lvl>
    <w:lvl w:ilvl="3">
      <w:start w:val="1"/>
      <w:numFmt w:val="decimal"/>
      <w:lvlText w:val="%1.%2.%3.%4"/>
      <w:lvlJc w:val="left"/>
      <w:pPr>
        <w:tabs>
          <w:tab w:val="num" w:pos="2880"/>
        </w:tabs>
        <w:ind w:left="2880" w:hanging="720"/>
      </w:pPr>
      <w:rPr>
        <w:rFonts w:hint="default"/>
        <w:effect w:val="none"/>
      </w:rPr>
    </w:lvl>
    <w:lvl w:ilvl="4">
      <w:start w:val="1"/>
      <w:numFmt w:val="decimal"/>
      <w:lvlText w:val="%1.%2.%3.%4.%5"/>
      <w:lvlJc w:val="left"/>
      <w:pPr>
        <w:tabs>
          <w:tab w:val="num" w:pos="3600"/>
        </w:tabs>
        <w:ind w:left="3600" w:hanging="720"/>
      </w:pPr>
      <w:rPr>
        <w:rFonts w:hint="default"/>
        <w:effect w:val="none"/>
      </w:rPr>
    </w:lvl>
    <w:lvl w:ilvl="5">
      <w:start w:val="1"/>
      <w:numFmt w:val="decimal"/>
      <w:lvlText w:val="%1.%2.%3.%4.%5.%6"/>
      <w:lvlJc w:val="left"/>
      <w:pPr>
        <w:tabs>
          <w:tab w:val="num" w:pos="4320"/>
        </w:tabs>
        <w:ind w:left="4320" w:hanging="720"/>
      </w:pPr>
      <w:rPr>
        <w:rFonts w:hint="default"/>
        <w:effect w:val="none"/>
      </w:rPr>
    </w:lvl>
    <w:lvl w:ilvl="6">
      <w:start w:val="1"/>
      <w:numFmt w:val="decimal"/>
      <w:lvlText w:val="%1.%2.%3.%4.%5.%6.%7"/>
      <w:lvlJc w:val="left"/>
      <w:pPr>
        <w:tabs>
          <w:tab w:val="num" w:pos="5040"/>
        </w:tabs>
        <w:ind w:left="5040" w:hanging="720"/>
      </w:pPr>
      <w:rPr>
        <w:rFonts w:hint="default"/>
        <w:effect w:val="none"/>
      </w:rPr>
    </w:lvl>
    <w:lvl w:ilvl="7">
      <w:start w:val="1"/>
      <w:numFmt w:val="decimal"/>
      <w:lvlText w:val="%1.%2.%3.%4.%5.%6.%7.%8"/>
      <w:lvlJc w:val="left"/>
      <w:pPr>
        <w:tabs>
          <w:tab w:val="num" w:pos="5760"/>
        </w:tabs>
        <w:ind w:left="5760" w:hanging="720"/>
      </w:pPr>
      <w:rPr>
        <w:rFonts w:hint="default"/>
        <w:effect w:val="none"/>
      </w:rPr>
    </w:lvl>
    <w:lvl w:ilvl="8">
      <w:start w:val="1"/>
      <w:numFmt w:val="decimal"/>
      <w:lvlText w:val="%1.%2.%3.%4.%5.%6.%7.%8.%9"/>
      <w:lvlJc w:val="left"/>
      <w:pPr>
        <w:tabs>
          <w:tab w:val="num" w:pos="6480"/>
        </w:tabs>
        <w:ind w:left="6480" w:hanging="720"/>
      </w:pPr>
      <w:rPr>
        <w:rFonts w:hint="default"/>
        <w:effect w:val="none"/>
      </w:rPr>
    </w:lvl>
  </w:abstractNum>
  <w:abstractNum w:abstractNumId="4" w15:restartNumberingAfterBreak="0">
    <w:nsid w:val="0BF6036E"/>
    <w:multiLevelType w:val="hybridMultilevel"/>
    <w:tmpl w:val="EAD4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E564D3"/>
    <w:multiLevelType w:val="multilevel"/>
    <w:tmpl w:val="0F6CF4C2"/>
    <w:lvl w:ilvl="0">
      <w:start w:val="1"/>
      <w:numFmt w:val="decimal"/>
      <w:lvlRestart w:val="0"/>
      <w:pStyle w:val="Heading1"/>
      <w:lvlText w:val="%1."/>
      <w:lvlJc w:val="left"/>
      <w:pPr>
        <w:tabs>
          <w:tab w:val="num" w:pos="737"/>
        </w:tabs>
        <w:ind w:left="737" w:hanging="737"/>
      </w:pPr>
      <w:rPr>
        <w:rFonts w:cs="Times New Roman" w:hint="default"/>
        <w:caps w:val="0"/>
        <w:sz w:val="22"/>
        <w:szCs w:val="22"/>
        <w:effect w:val="none"/>
      </w:rPr>
    </w:lvl>
    <w:lvl w:ilvl="1">
      <w:start w:val="1"/>
      <w:numFmt w:val="decimal"/>
      <w:lvlText w:val="%1.%2"/>
      <w:lvlJc w:val="left"/>
      <w:pPr>
        <w:tabs>
          <w:tab w:val="num" w:pos="9667"/>
        </w:tabs>
        <w:ind w:left="9667" w:hanging="737"/>
      </w:pPr>
      <w:rPr>
        <w:rFonts w:cs="Times New Roman" w:hint="default"/>
        <w:b w:val="0"/>
        <w:i w:val="0"/>
        <w:caps w:val="0"/>
        <w:effect w:val="none"/>
      </w:rPr>
    </w:lvl>
    <w:lvl w:ilvl="2">
      <w:start w:val="1"/>
      <w:numFmt w:val="decimal"/>
      <w:pStyle w:val="Heading3"/>
      <w:lvlText w:val="%1.%2.%3"/>
      <w:lvlJc w:val="left"/>
      <w:pPr>
        <w:tabs>
          <w:tab w:val="num" w:pos="5556"/>
        </w:tabs>
        <w:ind w:left="5556" w:hanging="737"/>
      </w:pPr>
      <w:rPr>
        <w:rFonts w:cs="Times New Roman" w:hint="default"/>
        <w:b w:val="0"/>
        <w:caps w:val="0"/>
        <w:sz w:val="22"/>
        <w:szCs w:val="22"/>
        <w:effect w:val="none"/>
      </w:rPr>
    </w:lvl>
    <w:lvl w:ilvl="3">
      <w:start w:val="1"/>
      <w:numFmt w:val="decimal"/>
      <w:pStyle w:val="Heading4"/>
      <w:lvlText w:val="%1.%2.%3.%4"/>
      <w:lvlJc w:val="left"/>
      <w:pPr>
        <w:tabs>
          <w:tab w:val="num" w:pos="6464"/>
        </w:tabs>
        <w:ind w:left="6464" w:hanging="794"/>
      </w:pPr>
      <w:rPr>
        <w:rFonts w:cs="Times New Roman" w:hint="default"/>
        <w:b w:val="0"/>
        <w:caps w:val="0"/>
        <w:sz w:val="22"/>
        <w:szCs w:val="22"/>
        <w:effect w:val="none"/>
      </w:rPr>
    </w:lvl>
    <w:lvl w:ilvl="4">
      <w:start w:val="1"/>
      <w:numFmt w:val="lowerLetter"/>
      <w:lvlText w:val="(%5)"/>
      <w:lvlJc w:val="left"/>
      <w:pPr>
        <w:tabs>
          <w:tab w:val="num" w:pos="3600"/>
        </w:tabs>
        <w:ind w:left="3600" w:hanging="720"/>
      </w:pPr>
      <w:rPr>
        <w:rFonts w:cs="Times New Roman" w:hint="default"/>
        <w:caps w:val="0"/>
        <w:effect w:val="none"/>
      </w:rPr>
    </w:lvl>
    <w:lvl w:ilvl="5">
      <w:start w:val="1"/>
      <w:numFmt w:val="lowerRoman"/>
      <w:lvlText w:val="(%6)"/>
      <w:lvlJc w:val="left"/>
      <w:pPr>
        <w:tabs>
          <w:tab w:val="num" w:pos="4320"/>
        </w:tabs>
        <w:ind w:left="4320" w:hanging="720"/>
      </w:pPr>
      <w:rPr>
        <w:rFonts w:cs="Times New Roman" w:hint="default"/>
        <w:caps w:val="0"/>
        <w:effect w:val="none"/>
      </w:rPr>
    </w:lvl>
    <w:lvl w:ilvl="6">
      <w:start w:val="1"/>
      <w:numFmt w:val="decimal"/>
      <w:lvlText w:val="(%7)"/>
      <w:lvlJc w:val="left"/>
      <w:pPr>
        <w:tabs>
          <w:tab w:val="num" w:pos="5040"/>
        </w:tabs>
        <w:ind w:left="5040" w:hanging="720"/>
      </w:pPr>
      <w:rPr>
        <w:rFonts w:cs="Times New Roman" w:hint="default"/>
        <w:caps w:val="0"/>
        <w:effect w:val="none"/>
      </w:rPr>
    </w:lvl>
    <w:lvl w:ilvl="7">
      <w:start w:val="1"/>
      <w:numFmt w:val="none"/>
      <w:lvlText w:val=""/>
      <w:lvlJc w:val="left"/>
      <w:pPr>
        <w:tabs>
          <w:tab w:val="num" w:pos="5040"/>
        </w:tabs>
        <w:ind w:left="5040" w:hanging="720"/>
      </w:pPr>
      <w:rPr>
        <w:rFonts w:cs="Times New Roman" w:hint="default"/>
        <w:caps w:val="0"/>
        <w:effect w:val="none"/>
      </w:rPr>
    </w:lvl>
    <w:lvl w:ilvl="8">
      <w:start w:val="1"/>
      <w:numFmt w:val="none"/>
      <w:lvlText w:val=""/>
      <w:lvlJc w:val="left"/>
      <w:pPr>
        <w:tabs>
          <w:tab w:val="num" w:pos="5040"/>
        </w:tabs>
        <w:ind w:left="5040" w:hanging="720"/>
      </w:pPr>
      <w:rPr>
        <w:rFonts w:cs="Times New Roman" w:hint="default"/>
        <w:caps w:val="0"/>
        <w:effect w:val="none"/>
      </w:rPr>
    </w:lvl>
  </w:abstractNum>
  <w:abstractNum w:abstractNumId="6" w15:restartNumberingAfterBreak="0">
    <w:nsid w:val="18925A2C"/>
    <w:multiLevelType w:val="hybridMultilevel"/>
    <w:tmpl w:val="04F8F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989520C"/>
    <w:multiLevelType w:val="hybridMultilevel"/>
    <w:tmpl w:val="12A811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D47297"/>
    <w:multiLevelType w:val="hybridMultilevel"/>
    <w:tmpl w:val="C9E25D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D72142"/>
    <w:multiLevelType w:val="multilevel"/>
    <w:tmpl w:val="4B9E5754"/>
    <w:lvl w:ilvl="0">
      <w:start w:val="1"/>
      <w:numFmt w:val="decimal"/>
      <w:lvlRestart w:val="0"/>
      <w:lvlText w:val="%1."/>
      <w:lvlJc w:val="left"/>
      <w:pPr>
        <w:tabs>
          <w:tab w:val="num" w:pos="720"/>
        </w:tabs>
        <w:ind w:left="720" w:hanging="720"/>
      </w:pPr>
      <w:rPr>
        <w:rFonts w:hint="default"/>
        <w:caps w:val="0"/>
        <w:effect w:val="none"/>
      </w:rPr>
    </w:lvl>
    <w:lvl w:ilvl="1">
      <w:start w:val="1"/>
      <w:numFmt w:val="decimal"/>
      <w:lvlText w:val="%1.%2"/>
      <w:lvlJc w:val="left"/>
      <w:pPr>
        <w:tabs>
          <w:tab w:val="num" w:pos="720"/>
        </w:tabs>
        <w:ind w:left="720" w:hanging="720"/>
      </w:pPr>
      <w:rPr>
        <w:rFonts w:hint="default"/>
        <w:caps w:val="0"/>
        <w:effect w:val="none"/>
      </w:rPr>
    </w:lvl>
    <w:lvl w:ilvl="2">
      <w:start w:val="1"/>
      <w:numFmt w:val="decimal"/>
      <w:lvlText w:val="%1.%2.%3"/>
      <w:lvlJc w:val="left"/>
      <w:pPr>
        <w:tabs>
          <w:tab w:val="num" w:pos="2073"/>
        </w:tabs>
        <w:ind w:left="2073" w:hanging="1080"/>
      </w:pPr>
      <w:rPr>
        <w:rFonts w:hint="default"/>
        <w:b w:val="0"/>
        <w:caps w:val="0"/>
        <w:effect w:val="none"/>
      </w:rPr>
    </w:lvl>
    <w:lvl w:ilvl="3">
      <w:start w:val="1"/>
      <w:numFmt w:val="decimal"/>
      <w:lvlText w:val="%1.%2.%3.%4"/>
      <w:lvlJc w:val="left"/>
      <w:pPr>
        <w:tabs>
          <w:tab w:val="num" w:pos="2880"/>
        </w:tabs>
        <w:ind w:left="2880" w:hanging="1080"/>
      </w:pPr>
      <w:rPr>
        <w:rFonts w:hint="default"/>
        <w:caps w:val="0"/>
        <w:effect w:val="none"/>
      </w:rPr>
    </w:lvl>
    <w:lvl w:ilvl="4">
      <w:start w:val="1"/>
      <w:numFmt w:val="lowerLetter"/>
      <w:lvlText w:val="(%5)"/>
      <w:lvlJc w:val="left"/>
      <w:pPr>
        <w:tabs>
          <w:tab w:val="num" w:pos="3600"/>
        </w:tabs>
        <w:ind w:left="3600" w:hanging="720"/>
      </w:pPr>
      <w:rPr>
        <w:rFonts w:hint="default"/>
        <w:caps w:val="0"/>
        <w:effect w:val="none"/>
      </w:rPr>
    </w:lvl>
    <w:lvl w:ilvl="5">
      <w:start w:val="1"/>
      <w:numFmt w:val="lowerRoman"/>
      <w:lvlText w:val="(%6)"/>
      <w:lvlJc w:val="left"/>
      <w:pPr>
        <w:tabs>
          <w:tab w:val="num" w:pos="4320"/>
        </w:tabs>
        <w:ind w:left="4320" w:hanging="720"/>
      </w:pPr>
      <w:rPr>
        <w:rFonts w:hint="default"/>
        <w:caps w:val="0"/>
        <w:effect w:val="none"/>
      </w:rPr>
    </w:lvl>
    <w:lvl w:ilvl="6">
      <w:start w:val="1"/>
      <w:numFmt w:val="decimal"/>
      <w:lvlText w:val="(%7)"/>
      <w:lvlJc w:val="left"/>
      <w:pPr>
        <w:tabs>
          <w:tab w:val="num" w:pos="5040"/>
        </w:tabs>
        <w:ind w:left="5040" w:hanging="720"/>
      </w:pPr>
      <w:rPr>
        <w:rFonts w:hint="default"/>
        <w:caps w:val="0"/>
        <w:effect w:val="none"/>
      </w:rPr>
    </w:lvl>
    <w:lvl w:ilvl="7">
      <w:start w:val="1"/>
      <w:numFmt w:val="none"/>
      <w:lvlText w:val=""/>
      <w:lvlJc w:val="left"/>
      <w:pPr>
        <w:tabs>
          <w:tab w:val="num" w:pos="5040"/>
        </w:tabs>
        <w:ind w:left="5040" w:hanging="720"/>
      </w:pPr>
      <w:rPr>
        <w:rFonts w:hint="default"/>
        <w:caps w:val="0"/>
        <w:effect w:val="none"/>
      </w:rPr>
    </w:lvl>
    <w:lvl w:ilvl="8">
      <w:start w:val="1"/>
      <w:numFmt w:val="none"/>
      <w:lvlText w:val=""/>
      <w:lvlJc w:val="left"/>
      <w:pPr>
        <w:tabs>
          <w:tab w:val="num" w:pos="5040"/>
        </w:tabs>
        <w:ind w:left="5040" w:hanging="720"/>
      </w:pPr>
      <w:rPr>
        <w:rFonts w:hint="default"/>
        <w:caps w:val="0"/>
        <w:effect w:val="none"/>
      </w:rPr>
    </w:lvl>
  </w:abstractNum>
  <w:abstractNum w:abstractNumId="10" w15:restartNumberingAfterBreak="0">
    <w:nsid w:val="29DA553A"/>
    <w:multiLevelType w:val="hybridMultilevel"/>
    <w:tmpl w:val="C354E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DEE3963"/>
    <w:multiLevelType w:val="multilevel"/>
    <w:tmpl w:val="80E09FBA"/>
    <w:lvl w:ilvl="0">
      <w:start w:val="7"/>
      <w:numFmt w:val="decimal"/>
      <w:lvlText w:val="%1"/>
      <w:lvlJc w:val="left"/>
      <w:pPr>
        <w:ind w:left="720" w:hanging="360"/>
      </w:pPr>
      <w:rPr>
        <w:rFonts w:hint="default"/>
        <w:b/>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337D7B5F"/>
    <w:multiLevelType w:val="singleLevel"/>
    <w:tmpl w:val="4EFC6FB4"/>
    <w:lvl w:ilvl="0">
      <w:start w:val="1"/>
      <w:numFmt w:val="decimal"/>
      <w:pStyle w:val="AppSub"/>
      <w:lvlText w:val="Appendix %1"/>
      <w:lvlJc w:val="left"/>
      <w:pPr>
        <w:tabs>
          <w:tab w:val="num" w:pos="1440"/>
        </w:tabs>
      </w:pPr>
      <w:rPr>
        <w:rFonts w:ascii="Arial" w:hAnsi="Arial" w:cs="Times New Roman" w:hint="default"/>
        <w:b/>
        <w:i w:val="0"/>
        <w:caps/>
        <w:sz w:val="22"/>
      </w:rPr>
    </w:lvl>
  </w:abstractNum>
  <w:abstractNum w:abstractNumId="13" w15:restartNumberingAfterBreak="0">
    <w:nsid w:val="3A1B68E2"/>
    <w:multiLevelType w:val="hybridMultilevel"/>
    <w:tmpl w:val="E062B714"/>
    <w:lvl w:ilvl="0" w:tplc="19EE40D0">
      <w:numFmt w:val="bullet"/>
      <w:lvlText w:val=""/>
      <w:lvlJc w:val="left"/>
      <w:pPr>
        <w:ind w:left="3240" w:hanging="360"/>
      </w:pPr>
      <w:rPr>
        <w:rFonts w:ascii="Symbol" w:eastAsiaTheme="minorHAnsi" w:hAnsi="Symbol" w:cstheme="minorBidi" w:hint="default"/>
      </w:rPr>
    </w:lvl>
    <w:lvl w:ilvl="1" w:tplc="08090003">
      <w:start w:val="1"/>
      <w:numFmt w:val="bullet"/>
      <w:lvlText w:val="o"/>
      <w:lvlJc w:val="left"/>
      <w:pPr>
        <w:ind w:left="3960" w:hanging="360"/>
      </w:pPr>
      <w:rPr>
        <w:rFonts w:ascii="Courier New" w:hAnsi="Courier New" w:cs="Courier New" w:hint="default"/>
      </w:rPr>
    </w:lvl>
    <w:lvl w:ilvl="2" w:tplc="08090001">
      <w:start w:val="1"/>
      <w:numFmt w:val="bullet"/>
      <w:lvlText w:val=""/>
      <w:lvlJc w:val="left"/>
      <w:pPr>
        <w:ind w:left="4680" w:hanging="360"/>
      </w:pPr>
      <w:rPr>
        <w:rFonts w:ascii="Symbol" w:hAnsi="Symbol"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4" w15:restartNumberingAfterBreak="0">
    <w:nsid w:val="3FFA0E56"/>
    <w:multiLevelType w:val="hybridMultilevel"/>
    <w:tmpl w:val="4844D2D2"/>
    <w:lvl w:ilvl="0" w:tplc="08090001">
      <w:start w:val="1"/>
      <w:numFmt w:val="bullet"/>
      <w:lvlText w:val=""/>
      <w:lvlJc w:val="left"/>
      <w:pPr>
        <w:ind w:left="1573" w:hanging="360"/>
      </w:pPr>
      <w:rPr>
        <w:rFonts w:ascii="Symbol" w:hAnsi="Symbol" w:hint="default"/>
      </w:rPr>
    </w:lvl>
    <w:lvl w:ilvl="1" w:tplc="08090003" w:tentative="1">
      <w:start w:val="1"/>
      <w:numFmt w:val="bullet"/>
      <w:lvlText w:val="o"/>
      <w:lvlJc w:val="left"/>
      <w:pPr>
        <w:ind w:left="2293" w:hanging="360"/>
      </w:pPr>
      <w:rPr>
        <w:rFonts w:ascii="Courier New" w:hAnsi="Courier New" w:cs="Courier New" w:hint="default"/>
      </w:rPr>
    </w:lvl>
    <w:lvl w:ilvl="2" w:tplc="08090005" w:tentative="1">
      <w:start w:val="1"/>
      <w:numFmt w:val="bullet"/>
      <w:lvlText w:val=""/>
      <w:lvlJc w:val="left"/>
      <w:pPr>
        <w:ind w:left="3013" w:hanging="360"/>
      </w:pPr>
      <w:rPr>
        <w:rFonts w:ascii="Wingdings" w:hAnsi="Wingdings" w:hint="default"/>
      </w:rPr>
    </w:lvl>
    <w:lvl w:ilvl="3" w:tplc="08090001" w:tentative="1">
      <w:start w:val="1"/>
      <w:numFmt w:val="bullet"/>
      <w:lvlText w:val=""/>
      <w:lvlJc w:val="left"/>
      <w:pPr>
        <w:ind w:left="3733" w:hanging="360"/>
      </w:pPr>
      <w:rPr>
        <w:rFonts w:ascii="Symbol" w:hAnsi="Symbol" w:hint="default"/>
      </w:rPr>
    </w:lvl>
    <w:lvl w:ilvl="4" w:tplc="08090003" w:tentative="1">
      <w:start w:val="1"/>
      <w:numFmt w:val="bullet"/>
      <w:lvlText w:val="o"/>
      <w:lvlJc w:val="left"/>
      <w:pPr>
        <w:ind w:left="4453" w:hanging="360"/>
      </w:pPr>
      <w:rPr>
        <w:rFonts w:ascii="Courier New" w:hAnsi="Courier New" w:cs="Courier New" w:hint="default"/>
      </w:rPr>
    </w:lvl>
    <w:lvl w:ilvl="5" w:tplc="08090005" w:tentative="1">
      <w:start w:val="1"/>
      <w:numFmt w:val="bullet"/>
      <w:lvlText w:val=""/>
      <w:lvlJc w:val="left"/>
      <w:pPr>
        <w:ind w:left="5173" w:hanging="360"/>
      </w:pPr>
      <w:rPr>
        <w:rFonts w:ascii="Wingdings" w:hAnsi="Wingdings" w:hint="default"/>
      </w:rPr>
    </w:lvl>
    <w:lvl w:ilvl="6" w:tplc="08090001" w:tentative="1">
      <w:start w:val="1"/>
      <w:numFmt w:val="bullet"/>
      <w:lvlText w:val=""/>
      <w:lvlJc w:val="left"/>
      <w:pPr>
        <w:ind w:left="5893" w:hanging="360"/>
      </w:pPr>
      <w:rPr>
        <w:rFonts w:ascii="Symbol" w:hAnsi="Symbol" w:hint="default"/>
      </w:rPr>
    </w:lvl>
    <w:lvl w:ilvl="7" w:tplc="08090003" w:tentative="1">
      <w:start w:val="1"/>
      <w:numFmt w:val="bullet"/>
      <w:lvlText w:val="o"/>
      <w:lvlJc w:val="left"/>
      <w:pPr>
        <w:ind w:left="6613" w:hanging="360"/>
      </w:pPr>
      <w:rPr>
        <w:rFonts w:ascii="Courier New" w:hAnsi="Courier New" w:cs="Courier New" w:hint="default"/>
      </w:rPr>
    </w:lvl>
    <w:lvl w:ilvl="8" w:tplc="08090005" w:tentative="1">
      <w:start w:val="1"/>
      <w:numFmt w:val="bullet"/>
      <w:lvlText w:val=""/>
      <w:lvlJc w:val="left"/>
      <w:pPr>
        <w:ind w:left="7333" w:hanging="360"/>
      </w:pPr>
      <w:rPr>
        <w:rFonts w:ascii="Wingdings" w:hAnsi="Wingdings" w:hint="default"/>
      </w:rPr>
    </w:lvl>
  </w:abstractNum>
  <w:abstractNum w:abstractNumId="15" w15:restartNumberingAfterBreak="0">
    <w:nsid w:val="40717D07"/>
    <w:multiLevelType w:val="hybridMultilevel"/>
    <w:tmpl w:val="B4186C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3780F6A"/>
    <w:multiLevelType w:val="hybridMultilevel"/>
    <w:tmpl w:val="76A06DE4"/>
    <w:lvl w:ilvl="0" w:tplc="08090001">
      <w:start w:val="1"/>
      <w:numFmt w:val="bullet"/>
      <w:lvlText w:val=""/>
      <w:lvlJc w:val="left"/>
      <w:pPr>
        <w:ind w:left="1080" w:hanging="360"/>
      </w:pPr>
      <w:rPr>
        <w:rFonts w:ascii="Symbol" w:hAnsi="Symbol" w:hint="default"/>
      </w:rPr>
    </w:lvl>
    <w:lvl w:ilvl="1" w:tplc="4DF0757C">
      <w:numFmt w:val="bullet"/>
      <w:lvlText w:val="-"/>
      <w:lvlJc w:val="left"/>
      <w:pPr>
        <w:ind w:left="1800" w:hanging="360"/>
      </w:pPr>
      <w:rPr>
        <w:rFonts w:ascii="Calibri" w:eastAsiaTheme="minorEastAsia" w:hAnsi="Calibri" w:cstheme="minorBidi"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55612259"/>
    <w:multiLevelType w:val="multilevel"/>
    <w:tmpl w:val="F58A4918"/>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56B10179"/>
    <w:multiLevelType w:val="hybridMultilevel"/>
    <w:tmpl w:val="1E1206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38439F"/>
    <w:multiLevelType w:val="hybridMultilevel"/>
    <w:tmpl w:val="FDA2C9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EC5A20"/>
    <w:multiLevelType w:val="multilevel"/>
    <w:tmpl w:val="B066B8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72936E4"/>
    <w:multiLevelType w:val="multilevel"/>
    <w:tmpl w:val="835CEDB0"/>
    <w:lvl w:ilvl="0">
      <w:start w:val="1"/>
      <w:numFmt w:val="decimal"/>
      <w:pStyle w:val="GPSL1CLAUSEHEADING"/>
      <w:lvlText w:val="%1."/>
      <w:lvlJc w:val="left"/>
      <w:pPr>
        <w:ind w:left="360" w:hanging="360"/>
      </w:pPr>
      <w:rPr>
        <w:rFonts w:hint="default"/>
        <w:i w:val="0"/>
      </w:rPr>
    </w:lvl>
    <w:lvl w:ilvl="1">
      <w:start w:val="1"/>
      <w:numFmt w:val="decimal"/>
      <w:pStyle w:val="GPSL2NumberedBoldHeading"/>
      <w:isLgl/>
      <w:lvlText w:val="%1.%2"/>
      <w:lvlJc w:val="left"/>
      <w:pPr>
        <w:ind w:left="360" w:hanging="36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2">
      <w:start w:val="1"/>
      <w:numFmt w:val="decimal"/>
      <w:pStyle w:val="GPSL3numberedclause"/>
      <w:isLgl/>
      <w:lvlText w:val="%1.%2.%3"/>
      <w:lvlJc w:val="left"/>
      <w:pPr>
        <w:ind w:left="1353"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lowerLetter"/>
      <w:pStyle w:val="GPSL4numberedclause"/>
      <w:lvlText w:val="(%4)"/>
      <w:lvlJc w:val="left"/>
      <w:pPr>
        <w:ind w:left="2487" w:hanging="720"/>
      </w:pPr>
      <w:rPr>
        <w:rFonts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4">
      <w:start w:val="1"/>
      <w:numFmt w:val="lowerRoman"/>
      <w:pStyle w:val="GPSL5numberedclause"/>
      <w:lvlText w:val="(%5)"/>
      <w:lvlJc w:val="left"/>
      <w:pPr>
        <w:ind w:left="1080" w:hanging="1080"/>
      </w:pPr>
      <w:rPr>
        <w:b w:val="0"/>
        <w:bCs w:val="0"/>
        <w:i w:val="0"/>
        <w:iCs w:val="0"/>
        <w:caps w:val="0"/>
        <w:smallCaps w:val="0"/>
        <w:strike w:val="0"/>
        <w:dstrike w:val="0"/>
        <w:noProof w:val="0"/>
        <w:vanish w:val="0"/>
        <w:color w:val="000000"/>
        <w:spacing w:val="0"/>
        <w:kern w:val="0"/>
        <w:position w:val="0"/>
        <w:u w:val="none"/>
        <w:vertAlign w:val="baseline"/>
        <w:em w:val="none"/>
      </w:rPr>
    </w:lvl>
    <w:lvl w:ilvl="5">
      <w:start w:val="1"/>
      <w:numFmt w:val="upperLetter"/>
      <w:pStyle w:val="GPSL6numbered"/>
      <w:lvlText w:val="(%6)"/>
      <w:lvlJc w:val="left"/>
      <w:pPr>
        <w:ind w:left="1080" w:hanging="1080"/>
      </w:pPr>
      <w:rPr>
        <w:rFonts w:ascii="Arial" w:eastAsia="Times New Roman" w:hAnsi="Arial" w:cs="Arial" w:hint="default"/>
        <w:color w:val="auto"/>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2" w15:restartNumberingAfterBreak="0">
    <w:nsid w:val="7C3D03D2"/>
    <w:multiLevelType w:val="multilevel"/>
    <w:tmpl w:val="582AB59A"/>
    <w:lvl w:ilvl="0">
      <w:start w:val="6"/>
      <w:numFmt w:val="decimal"/>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3"/>
  </w:num>
  <w:num w:numId="2">
    <w:abstractNumId w:val="0"/>
  </w:num>
  <w:num w:numId="3">
    <w:abstractNumId w:val="5"/>
  </w:num>
  <w:num w:numId="4">
    <w:abstractNumId w:val="21"/>
  </w:num>
  <w:num w:numId="5">
    <w:abstractNumId w:val="12"/>
  </w:num>
  <w:num w:numId="6">
    <w:abstractNumId w:val="11"/>
  </w:num>
  <w:num w:numId="7">
    <w:abstractNumId w:val="17"/>
  </w:num>
  <w:num w:numId="8">
    <w:abstractNumId w:val="1"/>
  </w:num>
  <w:num w:numId="9">
    <w:abstractNumId w:val="22"/>
  </w:num>
  <w:num w:numId="10">
    <w:abstractNumId w:val="20"/>
  </w:num>
  <w:num w:numId="11">
    <w:abstractNumId w:val="9"/>
  </w:num>
  <w:num w:numId="12">
    <w:abstractNumId w:val="18"/>
  </w:num>
  <w:num w:numId="13">
    <w:abstractNumId w:val="4"/>
  </w:num>
  <w:num w:numId="14">
    <w:abstractNumId w:val="10"/>
  </w:num>
  <w:num w:numId="15">
    <w:abstractNumId w:val="15"/>
  </w:num>
  <w:num w:numId="16">
    <w:abstractNumId w:val="6"/>
  </w:num>
  <w:num w:numId="17">
    <w:abstractNumId w:val="8"/>
  </w:num>
  <w:num w:numId="18">
    <w:abstractNumId w:val="19"/>
  </w:num>
  <w:num w:numId="19">
    <w:abstractNumId w:val="2"/>
  </w:num>
  <w:num w:numId="20">
    <w:abstractNumId w:val="13"/>
  </w:num>
  <w:num w:numId="21">
    <w:abstractNumId w:val="16"/>
  </w:num>
  <w:num w:numId="22">
    <w:abstractNumId w:val="7"/>
  </w:num>
  <w:num w:numId="23">
    <w:abstractNumId w:val="1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SSOCID" w:val="413352"/>
    <w:docVar w:name="BASEPRECID" w:val="17"/>
    <w:docVar w:name="BASEPRECTYPE" w:val="BLANK"/>
    <w:docVar w:name="CLIENTID" w:val="2427"/>
    <w:docVar w:name="COMPANYID" w:val="2122615613"/>
    <w:docVar w:name="DOCID" w:val="3886949"/>
    <w:docVar w:name="DOCIDEX" w:val="8497480"/>
    <w:docVar w:name="EDITION" w:val="FM"/>
    <w:docVar w:name="FILEID" w:val="90994"/>
    <w:docVar w:name="SERIALNO" w:val="11311"/>
    <w:docVar w:name="VERSIONID" w:val="34165cc7-d983-4ddc-bf52-1a12f04693a1"/>
    <w:docVar w:name="VERSIONLABEL" w:val="3"/>
  </w:docVars>
  <w:rsids>
    <w:rsidRoot w:val="00AE4296"/>
    <w:rsid w:val="0000021F"/>
    <w:rsid w:val="000008D5"/>
    <w:rsid w:val="000026E2"/>
    <w:rsid w:val="0000340A"/>
    <w:rsid w:val="000048F7"/>
    <w:rsid w:val="00006812"/>
    <w:rsid w:val="000117FE"/>
    <w:rsid w:val="00012BA4"/>
    <w:rsid w:val="000145D6"/>
    <w:rsid w:val="00016A81"/>
    <w:rsid w:val="00016B32"/>
    <w:rsid w:val="000176D3"/>
    <w:rsid w:val="00020246"/>
    <w:rsid w:val="00021907"/>
    <w:rsid w:val="00021F82"/>
    <w:rsid w:val="0002236B"/>
    <w:rsid w:val="0002292A"/>
    <w:rsid w:val="00023F9C"/>
    <w:rsid w:val="000246B1"/>
    <w:rsid w:val="000253ED"/>
    <w:rsid w:val="000259C5"/>
    <w:rsid w:val="0003026B"/>
    <w:rsid w:val="0003047B"/>
    <w:rsid w:val="0003051A"/>
    <w:rsid w:val="00031675"/>
    <w:rsid w:val="000320B8"/>
    <w:rsid w:val="00034906"/>
    <w:rsid w:val="00034EF7"/>
    <w:rsid w:val="00037E5A"/>
    <w:rsid w:val="00043343"/>
    <w:rsid w:val="00043B85"/>
    <w:rsid w:val="00045CCC"/>
    <w:rsid w:val="000465C7"/>
    <w:rsid w:val="00046AD0"/>
    <w:rsid w:val="000500B2"/>
    <w:rsid w:val="00050DE3"/>
    <w:rsid w:val="000517A9"/>
    <w:rsid w:val="00055A74"/>
    <w:rsid w:val="0006038F"/>
    <w:rsid w:val="00060B85"/>
    <w:rsid w:val="0006288B"/>
    <w:rsid w:val="000630CF"/>
    <w:rsid w:val="000660A0"/>
    <w:rsid w:val="00066DD2"/>
    <w:rsid w:val="000706AE"/>
    <w:rsid w:val="00072824"/>
    <w:rsid w:val="00073166"/>
    <w:rsid w:val="0007391E"/>
    <w:rsid w:val="0007482B"/>
    <w:rsid w:val="000749A8"/>
    <w:rsid w:val="00077E3E"/>
    <w:rsid w:val="00081C9D"/>
    <w:rsid w:val="00082A30"/>
    <w:rsid w:val="0008333C"/>
    <w:rsid w:val="00084450"/>
    <w:rsid w:val="0009149B"/>
    <w:rsid w:val="000916CE"/>
    <w:rsid w:val="0009178C"/>
    <w:rsid w:val="000959D8"/>
    <w:rsid w:val="00096E54"/>
    <w:rsid w:val="0009706E"/>
    <w:rsid w:val="000971B1"/>
    <w:rsid w:val="00097AE7"/>
    <w:rsid w:val="00097D52"/>
    <w:rsid w:val="000A0CE0"/>
    <w:rsid w:val="000A2719"/>
    <w:rsid w:val="000A5FAA"/>
    <w:rsid w:val="000B12FE"/>
    <w:rsid w:val="000B202D"/>
    <w:rsid w:val="000B4461"/>
    <w:rsid w:val="000B4E2A"/>
    <w:rsid w:val="000B5713"/>
    <w:rsid w:val="000B62CF"/>
    <w:rsid w:val="000B67F6"/>
    <w:rsid w:val="000B791D"/>
    <w:rsid w:val="000C064F"/>
    <w:rsid w:val="000C1B19"/>
    <w:rsid w:val="000C48E0"/>
    <w:rsid w:val="000C5BE1"/>
    <w:rsid w:val="000C6660"/>
    <w:rsid w:val="000D1DAE"/>
    <w:rsid w:val="000D23F5"/>
    <w:rsid w:val="000D38A9"/>
    <w:rsid w:val="000D51C0"/>
    <w:rsid w:val="000D769C"/>
    <w:rsid w:val="000E00DE"/>
    <w:rsid w:val="000E076D"/>
    <w:rsid w:val="000E08F7"/>
    <w:rsid w:val="000E2AF2"/>
    <w:rsid w:val="000E419B"/>
    <w:rsid w:val="000F2497"/>
    <w:rsid w:val="000F3512"/>
    <w:rsid w:val="000F4E25"/>
    <w:rsid w:val="000F7FA8"/>
    <w:rsid w:val="001020B8"/>
    <w:rsid w:val="001079A9"/>
    <w:rsid w:val="00113965"/>
    <w:rsid w:val="00121312"/>
    <w:rsid w:val="0012140E"/>
    <w:rsid w:val="00121F66"/>
    <w:rsid w:val="0012248D"/>
    <w:rsid w:val="00123A04"/>
    <w:rsid w:val="001248FB"/>
    <w:rsid w:val="00124F31"/>
    <w:rsid w:val="001265E0"/>
    <w:rsid w:val="0012662F"/>
    <w:rsid w:val="00127076"/>
    <w:rsid w:val="00127B82"/>
    <w:rsid w:val="00130287"/>
    <w:rsid w:val="00131A01"/>
    <w:rsid w:val="001337AC"/>
    <w:rsid w:val="00133E6A"/>
    <w:rsid w:val="00134121"/>
    <w:rsid w:val="00134BB6"/>
    <w:rsid w:val="00135EAB"/>
    <w:rsid w:val="00140C44"/>
    <w:rsid w:val="00140F50"/>
    <w:rsid w:val="001433E5"/>
    <w:rsid w:val="00144CB3"/>
    <w:rsid w:val="00150CA2"/>
    <w:rsid w:val="00151F49"/>
    <w:rsid w:val="00152684"/>
    <w:rsid w:val="00153540"/>
    <w:rsid w:val="00155B09"/>
    <w:rsid w:val="001577A9"/>
    <w:rsid w:val="00157EEC"/>
    <w:rsid w:val="00162CA2"/>
    <w:rsid w:val="00163D9E"/>
    <w:rsid w:val="00165627"/>
    <w:rsid w:val="00170624"/>
    <w:rsid w:val="00171307"/>
    <w:rsid w:val="0017168D"/>
    <w:rsid w:val="00173E35"/>
    <w:rsid w:val="0017437A"/>
    <w:rsid w:val="001770F4"/>
    <w:rsid w:val="0018255E"/>
    <w:rsid w:val="00184911"/>
    <w:rsid w:val="00185DB7"/>
    <w:rsid w:val="001876E1"/>
    <w:rsid w:val="00187832"/>
    <w:rsid w:val="00190F47"/>
    <w:rsid w:val="001941A3"/>
    <w:rsid w:val="00196735"/>
    <w:rsid w:val="00197A49"/>
    <w:rsid w:val="00197D6A"/>
    <w:rsid w:val="001A1A82"/>
    <w:rsid w:val="001B0E93"/>
    <w:rsid w:val="001B4891"/>
    <w:rsid w:val="001B6454"/>
    <w:rsid w:val="001B7260"/>
    <w:rsid w:val="001C00E5"/>
    <w:rsid w:val="001C3A06"/>
    <w:rsid w:val="001C3CC3"/>
    <w:rsid w:val="001C43F5"/>
    <w:rsid w:val="001C4E8B"/>
    <w:rsid w:val="001C5403"/>
    <w:rsid w:val="001C550D"/>
    <w:rsid w:val="001C58DA"/>
    <w:rsid w:val="001C5C60"/>
    <w:rsid w:val="001C6876"/>
    <w:rsid w:val="001D02FB"/>
    <w:rsid w:val="001D04F6"/>
    <w:rsid w:val="001D0D3A"/>
    <w:rsid w:val="001D562C"/>
    <w:rsid w:val="001D6004"/>
    <w:rsid w:val="001D726E"/>
    <w:rsid w:val="001E0907"/>
    <w:rsid w:val="001E5767"/>
    <w:rsid w:val="001E6F80"/>
    <w:rsid w:val="001F365E"/>
    <w:rsid w:val="001F418D"/>
    <w:rsid w:val="001F5BB8"/>
    <w:rsid w:val="001F7E37"/>
    <w:rsid w:val="0020219D"/>
    <w:rsid w:val="002070E3"/>
    <w:rsid w:val="002138FB"/>
    <w:rsid w:val="00214032"/>
    <w:rsid w:val="0021440A"/>
    <w:rsid w:val="00215D3C"/>
    <w:rsid w:val="00217D3A"/>
    <w:rsid w:val="002209FC"/>
    <w:rsid w:val="00220D54"/>
    <w:rsid w:val="002217BF"/>
    <w:rsid w:val="002248FC"/>
    <w:rsid w:val="00224DE1"/>
    <w:rsid w:val="00226EA9"/>
    <w:rsid w:val="002276A5"/>
    <w:rsid w:val="00230905"/>
    <w:rsid w:val="00230B59"/>
    <w:rsid w:val="0023162E"/>
    <w:rsid w:val="00232109"/>
    <w:rsid w:val="00233046"/>
    <w:rsid w:val="00235297"/>
    <w:rsid w:val="00237CDC"/>
    <w:rsid w:val="002406DD"/>
    <w:rsid w:val="00243D16"/>
    <w:rsid w:val="00247FD2"/>
    <w:rsid w:val="00250840"/>
    <w:rsid w:val="00251AE6"/>
    <w:rsid w:val="002529E3"/>
    <w:rsid w:val="00253661"/>
    <w:rsid w:val="0025638E"/>
    <w:rsid w:val="002571B0"/>
    <w:rsid w:val="00257B08"/>
    <w:rsid w:val="00264647"/>
    <w:rsid w:val="00264BF9"/>
    <w:rsid w:val="00265B98"/>
    <w:rsid w:val="00272FD7"/>
    <w:rsid w:val="0028092A"/>
    <w:rsid w:val="0028377D"/>
    <w:rsid w:val="00283A98"/>
    <w:rsid w:val="0028436A"/>
    <w:rsid w:val="00287625"/>
    <w:rsid w:val="00294F5B"/>
    <w:rsid w:val="0029671C"/>
    <w:rsid w:val="00297732"/>
    <w:rsid w:val="002A2319"/>
    <w:rsid w:val="002A2FA8"/>
    <w:rsid w:val="002A33C5"/>
    <w:rsid w:val="002A376B"/>
    <w:rsid w:val="002A399A"/>
    <w:rsid w:val="002A5089"/>
    <w:rsid w:val="002A6C07"/>
    <w:rsid w:val="002B0EA4"/>
    <w:rsid w:val="002B1699"/>
    <w:rsid w:val="002B5323"/>
    <w:rsid w:val="002B5DF1"/>
    <w:rsid w:val="002B6123"/>
    <w:rsid w:val="002B63F7"/>
    <w:rsid w:val="002C36F2"/>
    <w:rsid w:val="002C3F3C"/>
    <w:rsid w:val="002C428A"/>
    <w:rsid w:val="002C5440"/>
    <w:rsid w:val="002C6622"/>
    <w:rsid w:val="002C6893"/>
    <w:rsid w:val="002C6DE6"/>
    <w:rsid w:val="002C792F"/>
    <w:rsid w:val="002D0C28"/>
    <w:rsid w:val="002D656A"/>
    <w:rsid w:val="002D6E23"/>
    <w:rsid w:val="002D76E7"/>
    <w:rsid w:val="002D78BE"/>
    <w:rsid w:val="002E4D80"/>
    <w:rsid w:val="002E55A9"/>
    <w:rsid w:val="002E761B"/>
    <w:rsid w:val="002F1819"/>
    <w:rsid w:val="002F6B94"/>
    <w:rsid w:val="00301DB7"/>
    <w:rsid w:val="00301FCD"/>
    <w:rsid w:val="00302C09"/>
    <w:rsid w:val="0030656D"/>
    <w:rsid w:val="003068ED"/>
    <w:rsid w:val="003101AC"/>
    <w:rsid w:val="003114D3"/>
    <w:rsid w:val="00311B65"/>
    <w:rsid w:val="003152DF"/>
    <w:rsid w:val="00315C17"/>
    <w:rsid w:val="003168E0"/>
    <w:rsid w:val="003214FD"/>
    <w:rsid w:val="0032342F"/>
    <w:rsid w:val="003234F2"/>
    <w:rsid w:val="00333299"/>
    <w:rsid w:val="00334BB4"/>
    <w:rsid w:val="003353C6"/>
    <w:rsid w:val="00337AEA"/>
    <w:rsid w:val="003416AA"/>
    <w:rsid w:val="00342366"/>
    <w:rsid w:val="00343880"/>
    <w:rsid w:val="00346612"/>
    <w:rsid w:val="00347829"/>
    <w:rsid w:val="0035030C"/>
    <w:rsid w:val="00352B06"/>
    <w:rsid w:val="00353A83"/>
    <w:rsid w:val="003563EF"/>
    <w:rsid w:val="00356B21"/>
    <w:rsid w:val="00357C18"/>
    <w:rsid w:val="00365ED9"/>
    <w:rsid w:val="00366733"/>
    <w:rsid w:val="00367888"/>
    <w:rsid w:val="003678E4"/>
    <w:rsid w:val="0037762C"/>
    <w:rsid w:val="003779B9"/>
    <w:rsid w:val="00381E58"/>
    <w:rsid w:val="00382E69"/>
    <w:rsid w:val="003979E5"/>
    <w:rsid w:val="003A1FE5"/>
    <w:rsid w:val="003A363C"/>
    <w:rsid w:val="003A39E9"/>
    <w:rsid w:val="003A4F69"/>
    <w:rsid w:val="003A6481"/>
    <w:rsid w:val="003B12A6"/>
    <w:rsid w:val="003B59D1"/>
    <w:rsid w:val="003B5FF1"/>
    <w:rsid w:val="003B6A1E"/>
    <w:rsid w:val="003B6B8F"/>
    <w:rsid w:val="003C013B"/>
    <w:rsid w:val="003C1814"/>
    <w:rsid w:val="003C198B"/>
    <w:rsid w:val="003C239A"/>
    <w:rsid w:val="003D0406"/>
    <w:rsid w:val="003D181B"/>
    <w:rsid w:val="003D5C7A"/>
    <w:rsid w:val="003D69CB"/>
    <w:rsid w:val="003D69FD"/>
    <w:rsid w:val="003E20C7"/>
    <w:rsid w:val="003E53D6"/>
    <w:rsid w:val="003E5571"/>
    <w:rsid w:val="003E55C5"/>
    <w:rsid w:val="003E56C4"/>
    <w:rsid w:val="003E62D8"/>
    <w:rsid w:val="003E63D9"/>
    <w:rsid w:val="003F0310"/>
    <w:rsid w:val="003F10B0"/>
    <w:rsid w:val="003F3828"/>
    <w:rsid w:val="003F7D7F"/>
    <w:rsid w:val="00404273"/>
    <w:rsid w:val="0040462C"/>
    <w:rsid w:val="004050D0"/>
    <w:rsid w:val="00405CCC"/>
    <w:rsid w:val="00405EFE"/>
    <w:rsid w:val="00412306"/>
    <w:rsid w:val="00416B5C"/>
    <w:rsid w:val="004173D9"/>
    <w:rsid w:val="0042242A"/>
    <w:rsid w:val="0042311C"/>
    <w:rsid w:val="00424100"/>
    <w:rsid w:val="00424DC1"/>
    <w:rsid w:val="00425CE5"/>
    <w:rsid w:val="004275D2"/>
    <w:rsid w:val="00430901"/>
    <w:rsid w:val="0043091F"/>
    <w:rsid w:val="00432F43"/>
    <w:rsid w:val="004367C7"/>
    <w:rsid w:val="004374E2"/>
    <w:rsid w:val="00437F0A"/>
    <w:rsid w:val="004460F6"/>
    <w:rsid w:val="0044617C"/>
    <w:rsid w:val="004465DC"/>
    <w:rsid w:val="00446A2A"/>
    <w:rsid w:val="00447A66"/>
    <w:rsid w:val="0045014B"/>
    <w:rsid w:val="00451231"/>
    <w:rsid w:val="004547B7"/>
    <w:rsid w:val="00455152"/>
    <w:rsid w:val="0045631A"/>
    <w:rsid w:val="004607C4"/>
    <w:rsid w:val="004610E2"/>
    <w:rsid w:val="00461495"/>
    <w:rsid w:val="00461AB1"/>
    <w:rsid w:val="00463BFA"/>
    <w:rsid w:val="00463F1F"/>
    <w:rsid w:val="00467739"/>
    <w:rsid w:val="004701B1"/>
    <w:rsid w:val="00471972"/>
    <w:rsid w:val="00471A69"/>
    <w:rsid w:val="00471FFF"/>
    <w:rsid w:val="00472987"/>
    <w:rsid w:val="00474073"/>
    <w:rsid w:val="00476BB8"/>
    <w:rsid w:val="00477421"/>
    <w:rsid w:val="00485A7F"/>
    <w:rsid w:val="0049137A"/>
    <w:rsid w:val="004939D8"/>
    <w:rsid w:val="00495614"/>
    <w:rsid w:val="0049589F"/>
    <w:rsid w:val="00496F8A"/>
    <w:rsid w:val="004A21FA"/>
    <w:rsid w:val="004A52DA"/>
    <w:rsid w:val="004A660D"/>
    <w:rsid w:val="004A7A17"/>
    <w:rsid w:val="004B0186"/>
    <w:rsid w:val="004B4FD1"/>
    <w:rsid w:val="004B65DD"/>
    <w:rsid w:val="004B6D7A"/>
    <w:rsid w:val="004C2211"/>
    <w:rsid w:val="004C7EDC"/>
    <w:rsid w:val="004C7FB0"/>
    <w:rsid w:val="004D233A"/>
    <w:rsid w:val="004D4BF4"/>
    <w:rsid w:val="004D5AC7"/>
    <w:rsid w:val="004E042A"/>
    <w:rsid w:val="004E0AF7"/>
    <w:rsid w:val="004E1986"/>
    <w:rsid w:val="004E1F0C"/>
    <w:rsid w:val="004E256B"/>
    <w:rsid w:val="004E4D87"/>
    <w:rsid w:val="004E5BA3"/>
    <w:rsid w:val="004F0B31"/>
    <w:rsid w:val="004F0CF3"/>
    <w:rsid w:val="004F4B7B"/>
    <w:rsid w:val="004F4FD6"/>
    <w:rsid w:val="004F6975"/>
    <w:rsid w:val="004F7E11"/>
    <w:rsid w:val="00500E85"/>
    <w:rsid w:val="00501102"/>
    <w:rsid w:val="005028BA"/>
    <w:rsid w:val="00507268"/>
    <w:rsid w:val="00510182"/>
    <w:rsid w:val="00512AB0"/>
    <w:rsid w:val="00512B36"/>
    <w:rsid w:val="00514DF2"/>
    <w:rsid w:val="00515997"/>
    <w:rsid w:val="00515C2A"/>
    <w:rsid w:val="005163B1"/>
    <w:rsid w:val="005201DC"/>
    <w:rsid w:val="005236AC"/>
    <w:rsid w:val="005259B7"/>
    <w:rsid w:val="005277E8"/>
    <w:rsid w:val="00532837"/>
    <w:rsid w:val="00533EA1"/>
    <w:rsid w:val="0053409B"/>
    <w:rsid w:val="00536E1B"/>
    <w:rsid w:val="00540E6E"/>
    <w:rsid w:val="00541444"/>
    <w:rsid w:val="00542232"/>
    <w:rsid w:val="00542822"/>
    <w:rsid w:val="005448DD"/>
    <w:rsid w:val="00545A8E"/>
    <w:rsid w:val="00550034"/>
    <w:rsid w:val="00552EF3"/>
    <w:rsid w:val="005530F0"/>
    <w:rsid w:val="005537CA"/>
    <w:rsid w:val="00553B42"/>
    <w:rsid w:val="00556F3C"/>
    <w:rsid w:val="0055771A"/>
    <w:rsid w:val="005606CC"/>
    <w:rsid w:val="00560A75"/>
    <w:rsid w:val="00563A64"/>
    <w:rsid w:val="00566477"/>
    <w:rsid w:val="005667A5"/>
    <w:rsid w:val="00566C83"/>
    <w:rsid w:val="00567026"/>
    <w:rsid w:val="00567167"/>
    <w:rsid w:val="005708DE"/>
    <w:rsid w:val="00572248"/>
    <w:rsid w:val="0057679E"/>
    <w:rsid w:val="00576C62"/>
    <w:rsid w:val="00576F30"/>
    <w:rsid w:val="005771B5"/>
    <w:rsid w:val="005777E7"/>
    <w:rsid w:val="005803C3"/>
    <w:rsid w:val="00580FF4"/>
    <w:rsid w:val="0058734C"/>
    <w:rsid w:val="0059472F"/>
    <w:rsid w:val="005960B4"/>
    <w:rsid w:val="00596B80"/>
    <w:rsid w:val="005A328B"/>
    <w:rsid w:val="005A3D4E"/>
    <w:rsid w:val="005A4A89"/>
    <w:rsid w:val="005B328D"/>
    <w:rsid w:val="005B545B"/>
    <w:rsid w:val="005B6703"/>
    <w:rsid w:val="005B7B95"/>
    <w:rsid w:val="005C21E5"/>
    <w:rsid w:val="005C32AF"/>
    <w:rsid w:val="005C4E58"/>
    <w:rsid w:val="005C599F"/>
    <w:rsid w:val="005C63D5"/>
    <w:rsid w:val="005D097F"/>
    <w:rsid w:val="005D1097"/>
    <w:rsid w:val="005D1A78"/>
    <w:rsid w:val="005D2846"/>
    <w:rsid w:val="005D37F1"/>
    <w:rsid w:val="005D5133"/>
    <w:rsid w:val="005D5601"/>
    <w:rsid w:val="005D6B57"/>
    <w:rsid w:val="005D78C9"/>
    <w:rsid w:val="005E65C3"/>
    <w:rsid w:val="005E6A50"/>
    <w:rsid w:val="005E7976"/>
    <w:rsid w:val="005F1771"/>
    <w:rsid w:val="005F1AB6"/>
    <w:rsid w:val="005F25B8"/>
    <w:rsid w:val="00600D48"/>
    <w:rsid w:val="0060164E"/>
    <w:rsid w:val="006017CF"/>
    <w:rsid w:val="00606C1C"/>
    <w:rsid w:val="006072A1"/>
    <w:rsid w:val="006073D7"/>
    <w:rsid w:val="006110D7"/>
    <w:rsid w:val="00611A3C"/>
    <w:rsid w:val="00620AEB"/>
    <w:rsid w:val="00621648"/>
    <w:rsid w:val="006237AE"/>
    <w:rsid w:val="00624B0F"/>
    <w:rsid w:val="006261CF"/>
    <w:rsid w:val="00627948"/>
    <w:rsid w:val="006331D2"/>
    <w:rsid w:val="00633D3A"/>
    <w:rsid w:val="006344E8"/>
    <w:rsid w:val="00635633"/>
    <w:rsid w:val="00635BAC"/>
    <w:rsid w:val="00637B41"/>
    <w:rsid w:val="006461C3"/>
    <w:rsid w:val="00646B25"/>
    <w:rsid w:val="00646C04"/>
    <w:rsid w:val="0065305A"/>
    <w:rsid w:val="00653B85"/>
    <w:rsid w:val="00654083"/>
    <w:rsid w:val="006550F3"/>
    <w:rsid w:val="00656194"/>
    <w:rsid w:val="006607CA"/>
    <w:rsid w:val="006607CB"/>
    <w:rsid w:val="006622C6"/>
    <w:rsid w:val="00664D40"/>
    <w:rsid w:val="0066507B"/>
    <w:rsid w:val="0067104A"/>
    <w:rsid w:val="00676CD1"/>
    <w:rsid w:val="00676CD2"/>
    <w:rsid w:val="0068347E"/>
    <w:rsid w:val="00684775"/>
    <w:rsid w:val="006859B2"/>
    <w:rsid w:val="00686172"/>
    <w:rsid w:val="00691A63"/>
    <w:rsid w:val="00691B80"/>
    <w:rsid w:val="006923D7"/>
    <w:rsid w:val="006935A4"/>
    <w:rsid w:val="0069687E"/>
    <w:rsid w:val="006A0429"/>
    <w:rsid w:val="006A1F15"/>
    <w:rsid w:val="006A4125"/>
    <w:rsid w:val="006A4829"/>
    <w:rsid w:val="006A6938"/>
    <w:rsid w:val="006A6A63"/>
    <w:rsid w:val="006A77BD"/>
    <w:rsid w:val="006B2411"/>
    <w:rsid w:val="006B2642"/>
    <w:rsid w:val="006B5712"/>
    <w:rsid w:val="006B59A7"/>
    <w:rsid w:val="006B7098"/>
    <w:rsid w:val="006B7803"/>
    <w:rsid w:val="006C04EB"/>
    <w:rsid w:val="006C49C1"/>
    <w:rsid w:val="006D1BBF"/>
    <w:rsid w:val="006D35A5"/>
    <w:rsid w:val="006E36BA"/>
    <w:rsid w:val="006E3EEC"/>
    <w:rsid w:val="006E79D3"/>
    <w:rsid w:val="006E7F17"/>
    <w:rsid w:val="006F1877"/>
    <w:rsid w:val="006F18B9"/>
    <w:rsid w:val="006F1911"/>
    <w:rsid w:val="006F1D8B"/>
    <w:rsid w:val="006F226C"/>
    <w:rsid w:val="006F2DA3"/>
    <w:rsid w:val="006F3843"/>
    <w:rsid w:val="00701269"/>
    <w:rsid w:val="0070149F"/>
    <w:rsid w:val="00703821"/>
    <w:rsid w:val="00703E8A"/>
    <w:rsid w:val="00705FD1"/>
    <w:rsid w:val="00706CC1"/>
    <w:rsid w:val="007070B8"/>
    <w:rsid w:val="00716158"/>
    <w:rsid w:val="00716C56"/>
    <w:rsid w:val="00721018"/>
    <w:rsid w:val="00722098"/>
    <w:rsid w:val="007237F7"/>
    <w:rsid w:val="007256EE"/>
    <w:rsid w:val="00726553"/>
    <w:rsid w:val="00726CB7"/>
    <w:rsid w:val="00727574"/>
    <w:rsid w:val="00732B49"/>
    <w:rsid w:val="00735026"/>
    <w:rsid w:val="00735416"/>
    <w:rsid w:val="00735B24"/>
    <w:rsid w:val="00736128"/>
    <w:rsid w:val="00742CA6"/>
    <w:rsid w:val="00742D60"/>
    <w:rsid w:val="00743B4C"/>
    <w:rsid w:val="0074685E"/>
    <w:rsid w:val="007468FE"/>
    <w:rsid w:val="00746C63"/>
    <w:rsid w:val="00746FF9"/>
    <w:rsid w:val="007509B8"/>
    <w:rsid w:val="007519C6"/>
    <w:rsid w:val="00751D58"/>
    <w:rsid w:val="0075244E"/>
    <w:rsid w:val="007566DA"/>
    <w:rsid w:val="00760427"/>
    <w:rsid w:val="00762AFF"/>
    <w:rsid w:val="00763AB5"/>
    <w:rsid w:val="00764A7E"/>
    <w:rsid w:val="00770580"/>
    <w:rsid w:val="007740C8"/>
    <w:rsid w:val="007760DC"/>
    <w:rsid w:val="007766A8"/>
    <w:rsid w:val="00780634"/>
    <w:rsid w:val="00780D07"/>
    <w:rsid w:val="007837A5"/>
    <w:rsid w:val="0078757D"/>
    <w:rsid w:val="007875C4"/>
    <w:rsid w:val="00787F59"/>
    <w:rsid w:val="0079296B"/>
    <w:rsid w:val="007941EF"/>
    <w:rsid w:val="00794D03"/>
    <w:rsid w:val="00795A17"/>
    <w:rsid w:val="007A18AF"/>
    <w:rsid w:val="007A2271"/>
    <w:rsid w:val="007A3890"/>
    <w:rsid w:val="007A441B"/>
    <w:rsid w:val="007A6596"/>
    <w:rsid w:val="007A6D79"/>
    <w:rsid w:val="007A7147"/>
    <w:rsid w:val="007B2D3C"/>
    <w:rsid w:val="007B3287"/>
    <w:rsid w:val="007B6438"/>
    <w:rsid w:val="007B7F18"/>
    <w:rsid w:val="007C0B22"/>
    <w:rsid w:val="007C19E7"/>
    <w:rsid w:val="007C2F50"/>
    <w:rsid w:val="007C3476"/>
    <w:rsid w:val="007C3E20"/>
    <w:rsid w:val="007C3F94"/>
    <w:rsid w:val="007D01B6"/>
    <w:rsid w:val="007D1441"/>
    <w:rsid w:val="007D5959"/>
    <w:rsid w:val="007D6A4F"/>
    <w:rsid w:val="007D6AB9"/>
    <w:rsid w:val="007D7236"/>
    <w:rsid w:val="007E2AF9"/>
    <w:rsid w:val="007E43A7"/>
    <w:rsid w:val="007E4738"/>
    <w:rsid w:val="007E719F"/>
    <w:rsid w:val="007F5B47"/>
    <w:rsid w:val="00802E68"/>
    <w:rsid w:val="00804C05"/>
    <w:rsid w:val="00804F6E"/>
    <w:rsid w:val="00806DCB"/>
    <w:rsid w:val="00807181"/>
    <w:rsid w:val="008119FE"/>
    <w:rsid w:val="00815D9C"/>
    <w:rsid w:val="008160C5"/>
    <w:rsid w:val="00816615"/>
    <w:rsid w:val="008178A3"/>
    <w:rsid w:val="00820FB0"/>
    <w:rsid w:val="00822613"/>
    <w:rsid w:val="00826506"/>
    <w:rsid w:val="0083360C"/>
    <w:rsid w:val="00835ABD"/>
    <w:rsid w:val="0083744C"/>
    <w:rsid w:val="008405F4"/>
    <w:rsid w:val="00841242"/>
    <w:rsid w:val="00843E9F"/>
    <w:rsid w:val="00844940"/>
    <w:rsid w:val="0084518E"/>
    <w:rsid w:val="0085077A"/>
    <w:rsid w:val="008525E9"/>
    <w:rsid w:val="00852713"/>
    <w:rsid w:val="0085371C"/>
    <w:rsid w:val="0085394B"/>
    <w:rsid w:val="0085461F"/>
    <w:rsid w:val="0085517E"/>
    <w:rsid w:val="00856B3D"/>
    <w:rsid w:val="0086010C"/>
    <w:rsid w:val="00864089"/>
    <w:rsid w:val="008645B8"/>
    <w:rsid w:val="008645EA"/>
    <w:rsid w:val="008657D3"/>
    <w:rsid w:val="00871ACE"/>
    <w:rsid w:val="008731D2"/>
    <w:rsid w:val="0087606B"/>
    <w:rsid w:val="00881856"/>
    <w:rsid w:val="00882A1D"/>
    <w:rsid w:val="00884A97"/>
    <w:rsid w:val="008867F0"/>
    <w:rsid w:val="0089022F"/>
    <w:rsid w:val="00890F4A"/>
    <w:rsid w:val="00891F0B"/>
    <w:rsid w:val="00892B29"/>
    <w:rsid w:val="008932AF"/>
    <w:rsid w:val="00893337"/>
    <w:rsid w:val="0089535B"/>
    <w:rsid w:val="00895DA2"/>
    <w:rsid w:val="008A08F4"/>
    <w:rsid w:val="008A13F9"/>
    <w:rsid w:val="008A15D0"/>
    <w:rsid w:val="008A18A2"/>
    <w:rsid w:val="008A1D55"/>
    <w:rsid w:val="008A6F8A"/>
    <w:rsid w:val="008A757F"/>
    <w:rsid w:val="008B00D0"/>
    <w:rsid w:val="008B1FF7"/>
    <w:rsid w:val="008B4929"/>
    <w:rsid w:val="008B5466"/>
    <w:rsid w:val="008B552B"/>
    <w:rsid w:val="008B5E8A"/>
    <w:rsid w:val="008B644E"/>
    <w:rsid w:val="008B7340"/>
    <w:rsid w:val="008C033A"/>
    <w:rsid w:val="008C27F8"/>
    <w:rsid w:val="008C41E6"/>
    <w:rsid w:val="008D55AA"/>
    <w:rsid w:val="008D612E"/>
    <w:rsid w:val="008D6941"/>
    <w:rsid w:val="008D7C7D"/>
    <w:rsid w:val="008E187B"/>
    <w:rsid w:val="008E30CF"/>
    <w:rsid w:val="008E3BE5"/>
    <w:rsid w:val="008E463E"/>
    <w:rsid w:val="008F1E48"/>
    <w:rsid w:val="008F52C9"/>
    <w:rsid w:val="008F5A7D"/>
    <w:rsid w:val="008F6B9E"/>
    <w:rsid w:val="008F7A47"/>
    <w:rsid w:val="009016EB"/>
    <w:rsid w:val="00901DF4"/>
    <w:rsid w:val="0090214F"/>
    <w:rsid w:val="00905966"/>
    <w:rsid w:val="0090602E"/>
    <w:rsid w:val="00907699"/>
    <w:rsid w:val="00911950"/>
    <w:rsid w:val="00911C22"/>
    <w:rsid w:val="0091350D"/>
    <w:rsid w:val="00914B5F"/>
    <w:rsid w:val="00914B8C"/>
    <w:rsid w:val="00915772"/>
    <w:rsid w:val="00920BE3"/>
    <w:rsid w:val="00921355"/>
    <w:rsid w:val="00922F4F"/>
    <w:rsid w:val="00924689"/>
    <w:rsid w:val="009311C7"/>
    <w:rsid w:val="00941DA2"/>
    <w:rsid w:val="009443D5"/>
    <w:rsid w:val="009522B5"/>
    <w:rsid w:val="0095363F"/>
    <w:rsid w:val="00954763"/>
    <w:rsid w:val="00955445"/>
    <w:rsid w:val="00956827"/>
    <w:rsid w:val="00957790"/>
    <w:rsid w:val="0096229D"/>
    <w:rsid w:val="00967FFB"/>
    <w:rsid w:val="00973BC4"/>
    <w:rsid w:val="0097577A"/>
    <w:rsid w:val="00980AE3"/>
    <w:rsid w:val="0098284A"/>
    <w:rsid w:val="00983B56"/>
    <w:rsid w:val="009850BF"/>
    <w:rsid w:val="009862E7"/>
    <w:rsid w:val="00986FB8"/>
    <w:rsid w:val="00990F0A"/>
    <w:rsid w:val="00993099"/>
    <w:rsid w:val="009A136F"/>
    <w:rsid w:val="009A153F"/>
    <w:rsid w:val="009A1C1A"/>
    <w:rsid w:val="009A1F71"/>
    <w:rsid w:val="009A26E9"/>
    <w:rsid w:val="009A484F"/>
    <w:rsid w:val="009A565E"/>
    <w:rsid w:val="009A6C64"/>
    <w:rsid w:val="009A78BE"/>
    <w:rsid w:val="009A7EDB"/>
    <w:rsid w:val="009B09FC"/>
    <w:rsid w:val="009B0C9B"/>
    <w:rsid w:val="009B1438"/>
    <w:rsid w:val="009B1781"/>
    <w:rsid w:val="009B3FCD"/>
    <w:rsid w:val="009B5FC0"/>
    <w:rsid w:val="009C4DC7"/>
    <w:rsid w:val="009C64D6"/>
    <w:rsid w:val="009C78D9"/>
    <w:rsid w:val="009C7984"/>
    <w:rsid w:val="009C7B18"/>
    <w:rsid w:val="009D30A4"/>
    <w:rsid w:val="009D30E5"/>
    <w:rsid w:val="009D3B50"/>
    <w:rsid w:val="009D588D"/>
    <w:rsid w:val="009D7103"/>
    <w:rsid w:val="009E09C9"/>
    <w:rsid w:val="009E187A"/>
    <w:rsid w:val="009E34E9"/>
    <w:rsid w:val="009E6709"/>
    <w:rsid w:val="009F3A3B"/>
    <w:rsid w:val="009F6330"/>
    <w:rsid w:val="00A005CF"/>
    <w:rsid w:val="00A02B15"/>
    <w:rsid w:val="00A037CD"/>
    <w:rsid w:val="00A0537D"/>
    <w:rsid w:val="00A06FDF"/>
    <w:rsid w:val="00A0768C"/>
    <w:rsid w:val="00A104A9"/>
    <w:rsid w:val="00A118FC"/>
    <w:rsid w:val="00A12710"/>
    <w:rsid w:val="00A13554"/>
    <w:rsid w:val="00A138C8"/>
    <w:rsid w:val="00A13F3B"/>
    <w:rsid w:val="00A14B8A"/>
    <w:rsid w:val="00A14C34"/>
    <w:rsid w:val="00A15595"/>
    <w:rsid w:val="00A16F1D"/>
    <w:rsid w:val="00A2048D"/>
    <w:rsid w:val="00A204CB"/>
    <w:rsid w:val="00A20589"/>
    <w:rsid w:val="00A21713"/>
    <w:rsid w:val="00A223A0"/>
    <w:rsid w:val="00A22D37"/>
    <w:rsid w:val="00A230BA"/>
    <w:rsid w:val="00A2465A"/>
    <w:rsid w:val="00A24C1A"/>
    <w:rsid w:val="00A30D33"/>
    <w:rsid w:val="00A30F9D"/>
    <w:rsid w:val="00A326A6"/>
    <w:rsid w:val="00A340DD"/>
    <w:rsid w:val="00A3450A"/>
    <w:rsid w:val="00A35B54"/>
    <w:rsid w:val="00A35B77"/>
    <w:rsid w:val="00A36367"/>
    <w:rsid w:val="00A369E6"/>
    <w:rsid w:val="00A42E45"/>
    <w:rsid w:val="00A4493C"/>
    <w:rsid w:val="00A44CE4"/>
    <w:rsid w:val="00A46816"/>
    <w:rsid w:val="00A64E16"/>
    <w:rsid w:val="00A66BBE"/>
    <w:rsid w:val="00A72FCB"/>
    <w:rsid w:val="00A73460"/>
    <w:rsid w:val="00A82726"/>
    <w:rsid w:val="00A83E29"/>
    <w:rsid w:val="00A85B4D"/>
    <w:rsid w:val="00A85B8C"/>
    <w:rsid w:val="00A86AC7"/>
    <w:rsid w:val="00A87F4D"/>
    <w:rsid w:val="00A900BD"/>
    <w:rsid w:val="00A9103F"/>
    <w:rsid w:val="00A9212A"/>
    <w:rsid w:val="00A94867"/>
    <w:rsid w:val="00AA26F8"/>
    <w:rsid w:val="00AA5FE5"/>
    <w:rsid w:val="00AA6DA7"/>
    <w:rsid w:val="00AB01F9"/>
    <w:rsid w:val="00AB18AB"/>
    <w:rsid w:val="00AB6352"/>
    <w:rsid w:val="00AB6FB6"/>
    <w:rsid w:val="00AC58FE"/>
    <w:rsid w:val="00AD111D"/>
    <w:rsid w:val="00AD1997"/>
    <w:rsid w:val="00AD5441"/>
    <w:rsid w:val="00AD6DA2"/>
    <w:rsid w:val="00AD7488"/>
    <w:rsid w:val="00AE0703"/>
    <w:rsid w:val="00AE2043"/>
    <w:rsid w:val="00AE276A"/>
    <w:rsid w:val="00AE4296"/>
    <w:rsid w:val="00AE7805"/>
    <w:rsid w:val="00AF0C4A"/>
    <w:rsid w:val="00AF2336"/>
    <w:rsid w:val="00AF2BC0"/>
    <w:rsid w:val="00AF3320"/>
    <w:rsid w:val="00AF3AD4"/>
    <w:rsid w:val="00AF5C3B"/>
    <w:rsid w:val="00AF7D06"/>
    <w:rsid w:val="00B03AD4"/>
    <w:rsid w:val="00B0580C"/>
    <w:rsid w:val="00B06E6A"/>
    <w:rsid w:val="00B11967"/>
    <w:rsid w:val="00B21C39"/>
    <w:rsid w:val="00B232AE"/>
    <w:rsid w:val="00B24446"/>
    <w:rsid w:val="00B253B2"/>
    <w:rsid w:val="00B30744"/>
    <w:rsid w:val="00B324B7"/>
    <w:rsid w:val="00B329D1"/>
    <w:rsid w:val="00B34B19"/>
    <w:rsid w:val="00B36461"/>
    <w:rsid w:val="00B37A3D"/>
    <w:rsid w:val="00B40F93"/>
    <w:rsid w:val="00B45F5F"/>
    <w:rsid w:val="00B508A9"/>
    <w:rsid w:val="00B52737"/>
    <w:rsid w:val="00B55490"/>
    <w:rsid w:val="00B55BE0"/>
    <w:rsid w:val="00B57B1B"/>
    <w:rsid w:val="00B60F63"/>
    <w:rsid w:val="00B630A5"/>
    <w:rsid w:val="00B633CD"/>
    <w:rsid w:val="00B63957"/>
    <w:rsid w:val="00B71515"/>
    <w:rsid w:val="00B728EC"/>
    <w:rsid w:val="00B7406A"/>
    <w:rsid w:val="00B74193"/>
    <w:rsid w:val="00B74E4E"/>
    <w:rsid w:val="00B75469"/>
    <w:rsid w:val="00B756CB"/>
    <w:rsid w:val="00B75B6C"/>
    <w:rsid w:val="00B76F65"/>
    <w:rsid w:val="00B80344"/>
    <w:rsid w:val="00B80A94"/>
    <w:rsid w:val="00B8106A"/>
    <w:rsid w:val="00B82464"/>
    <w:rsid w:val="00B85043"/>
    <w:rsid w:val="00B923B9"/>
    <w:rsid w:val="00B945D7"/>
    <w:rsid w:val="00B96956"/>
    <w:rsid w:val="00BA0C42"/>
    <w:rsid w:val="00BA19AC"/>
    <w:rsid w:val="00BA5C40"/>
    <w:rsid w:val="00BB060C"/>
    <w:rsid w:val="00BB7972"/>
    <w:rsid w:val="00BC7637"/>
    <w:rsid w:val="00BD0848"/>
    <w:rsid w:val="00BD1495"/>
    <w:rsid w:val="00BD151C"/>
    <w:rsid w:val="00BD1FB3"/>
    <w:rsid w:val="00BD3DEB"/>
    <w:rsid w:val="00BD5CD8"/>
    <w:rsid w:val="00BD661C"/>
    <w:rsid w:val="00BE07CF"/>
    <w:rsid w:val="00BE0A6D"/>
    <w:rsid w:val="00BE4C87"/>
    <w:rsid w:val="00BE4D8D"/>
    <w:rsid w:val="00BE5678"/>
    <w:rsid w:val="00BE6C8B"/>
    <w:rsid w:val="00BE7A7A"/>
    <w:rsid w:val="00BE7BED"/>
    <w:rsid w:val="00BF2293"/>
    <w:rsid w:val="00BF2CFB"/>
    <w:rsid w:val="00BF31A6"/>
    <w:rsid w:val="00BF5429"/>
    <w:rsid w:val="00BF6A7B"/>
    <w:rsid w:val="00BF7AC3"/>
    <w:rsid w:val="00C04F25"/>
    <w:rsid w:val="00C04F32"/>
    <w:rsid w:val="00C057DD"/>
    <w:rsid w:val="00C067B8"/>
    <w:rsid w:val="00C07885"/>
    <w:rsid w:val="00C13502"/>
    <w:rsid w:val="00C13C0C"/>
    <w:rsid w:val="00C14E2B"/>
    <w:rsid w:val="00C157FE"/>
    <w:rsid w:val="00C1750C"/>
    <w:rsid w:val="00C226CF"/>
    <w:rsid w:val="00C33E80"/>
    <w:rsid w:val="00C34834"/>
    <w:rsid w:val="00C34A76"/>
    <w:rsid w:val="00C363ED"/>
    <w:rsid w:val="00C40D06"/>
    <w:rsid w:val="00C40D11"/>
    <w:rsid w:val="00C433C6"/>
    <w:rsid w:val="00C44560"/>
    <w:rsid w:val="00C44653"/>
    <w:rsid w:val="00C46106"/>
    <w:rsid w:val="00C4709C"/>
    <w:rsid w:val="00C47DCC"/>
    <w:rsid w:val="00C50851"/>
    <w:rsid w:val="00C52276"/>
    <w:rsid w:val="00C5264E"/>
    <w:rsid w:val="00C571B5"/>
    <w:rsid w:val="00C57281"/>
    <w:rsid w:val="00C60097"/>
    <w:rsid w:val="00C61879"/>
    <w:rsid w:val="00C65A4C"/>
    <w:rsid w:val="00C65D8F"/>
    <w:rsid w:val="00C67EDD"/>
    <w:rsid w:val="00C70BD8"/>
    <w:rsid w:val="00C7103F"/>
    <w:rsid w:val="00C7229D"/>
    <w:rsid w:val="00C7372D"/>
    <w:rsid w:val="00C73F1E"/>
    <w:rsid w:val="00C741B6"/>
    <w:rsid w:val="00C760DD"/>
    <w:rsid w:val="00C76C76"/>
    <w:rsid w:val="00C76D3B"/>
    <w:rsid w:val="00C773B4"/>
    <w:rsid w:val="00C81811"/>
    <w:rsid w:val="00C82F02"/>
    <w:rsid w:val="00C8420E"/>
    <w:rsid w:val="00C849D0"/>
    <w:rsid w:val="00C8609B"/>
    <w:rsid w:val="00C86A33"/>
    <w:rsid w:val="00C86BD9"/>
    <w:rsid w:val="00C9017A"/>
    <w:rsid w:val="00C9305B"/>
    <w:rsid w:val="00C942DA"/>
    <w:rsid w:val="00C97DC7"/>
    <w:rsid w:val="00CA476A"/>
    <w:rsid w:val="00CA731E"/>
    <w:rsid w:val="00CB2478"/>
    <w:rsid w:val="00CB5B7D"/>
    <w:rsid w:val="00CB5F86"/>
    <w:rsid w:val="00CB6BD6"/>
    <w:rsid w:val="00CC3B19"/>
    <w:rsid w:val="00CC4A74"/>
    <w:rsid w:val="00CC4B94"/>
    <w:rsid w:val="00CC70C4"/>
    <w:rsid w:val="00CC7676"/>
    <w:rsid w:val="00CD14A5"/>
    <w:rsid w:val="00CD2B31"/>
    <w:rsid w:val="00CE0DD4"/>
    <w:rsid w:val="00CE0F8E"/>
    <w:rsid w:val="00CE136E"/>
    <w:rsid w:val="00CE597B"/>
    <w:rsid w:val="00CE6719"/>
    <w:rsid w:val="00CF120A"/>
    <w:rsid w:val="00CF1433"/>
    <w:rsid w:val="00CF2A6B"/>
    <w:rsid w:val="00CF50D3"/>
    <w:rsid w:val="00CF6587"/>
    <w:rsid w:val="00CF77C0"/>
    <w:rsid w:val="00CF7F20"/>
    <w:rsid w:val="00D006F8"/>
    <w:rsid w:val="00D00D01"/>
    <w:rsid w:val="00D02453"/>
    <w:rsid w:val="00D07192"/>
    <w:rsid w:val="00D112DA"/>
    <w:rsid w:val="00D129DB"/>
    <w:rsid w:val="00D12DED"/>
    <w:rsid w:val="00D14005"/>
    <w:rsid w:val="00D176B8"/>
    <w:rsid w:val="00D17F9F"/>
    <w:rsid w:val="00D22697"/>
    <w:rsid w:val="00D22EF6"/>
    <w:rsid w:val="00D256C3"/>
    <w:rsid w:val="00D26E6F"/>
    <w:rsid w:val="00D31D2B"/>
    <w:rsid w:val="00D3257E"/>
    <w:rsid w:val="00D332A8"/>
    <w:rsid w:val="00D36DC7"/>
    <w:rsid w:val="00D410F3"/>
    <w:rsid w:val="00D43081"/>
    <w:rsid w:val="00D45483"/>
    <w:rsid w:val="00D45F6B"/>
    <w:rsid w:val="00D501AF"/>
    <w:rsid w:val="00D501F4"/>
    <w:rsid w:val="00D50619"/>
    <w:rsid w:val="00D50C2B"/>
    <w:rsid w:val="00D52D6D"/>
    <w:rsid w:val="00D53C55"/>
    <w:rsid w:val="00D54960"/>
    <w:rsid w:val="00D5499D"/>
    <w:rsid w:val="00D55649"/>
    <w:rsid w:val="00D55BBA"/>
    <w:rsid w:val="00D57F1A"/>
    <w:rsid w:val="00D6071F"/>
    <w:rsid w:val="00D60A68"/>
    <w:rsid w:val="00D62A87"/>
    <w:rsid w:val="00D647C3"/>
    <w:rsid w:val="00D65636"/>
    <w:rsid w:val="00D66239"/>
    <w:rsid w:val="00D74274"/>
    <w:rsid w:val="00D76C40"/>
    <w:rsid w:val="00D76EE3"/>
    <w:rsid w:val="00D82113"/>
    <w:rsid w:val="00D82A97"/>
    <w:rsid w:val="00D84804"/>
    <w:rsid w:val="00D85C32"/>
    <w:rsid w:val="00D86AC1"/>
    <w:rsid w:val="00D9161C"/>
    <w:rsid w:val="00D92404"/>
    <w:rsid w:val="00D926AB"/>
    <w:rsid w:val="00D939BA"/>
    <w:rsid w:val="00D9409D"/>
    <w:rsid w:val="00D94C34"/>
    <w:rsid w:val="00D97552"/>
    <w:rsid w:val="00DA28EB"/>
    <w:rsid w:val="00DA2AF5"/>
    <w:rsid w:val="00DA2C44"/>
    <w:rsid w:val="00DA2F25"/>
    <w:rsid w:val="00DA5685"/>
    <w:rsid w:val="00DB0528"/>
    <w:rsid w:val="00DB0FA4"/>
    <w:rsid w:val="00DB246F"/>
    <w:rsid w:val="00DB3EC8"/>
    <w:rsid w:val="00DB514B"/>
    <w:rsid w:val="00DB5A80"/>
    <w:rsid w:val="00DB6CF6"/>
    <w:rsid w:val="00DB6EAF"/>
    <w:rsid w:val="00DC1119"/>
    <w:rsid w:val="00DC17A5"/>
    <w:rsid w:val="00DC7E60"/>
    <w:rsid w:val="00DD17D1"/>
    <w:rsid w:val="00DD182B"/>
    <w:rsid w:val="00DD3C23"/>
    <w:rsid w:val="00DD41AA"/>
    <w:rsid w:val="00DE0640"/>
    <w:rsid w:val="00DE3B5B"/>
    <w:rsid w:val="00DE49C1"/>
    <w:rsid w:val="00DE6386"/>
    <w:rsid w:val="00DE76CE"/>
    <w:rsid w:val="00DF2F92"/>
    <w:rsid w:val="00DF37D3"/>
    <w:rsid w:val="00DF6832"/>
    <w:rsid w:val="00E01232"/>
    <w:rsid w:val="00E013F0"/>
    <w:rsid w:val="00E0341E"/>
    <w:rsid w:val="00E05C03"/>
    <w:rsid w:val="00E1235A"/>
    <w:rsid w:val="00E12962"/>
    <w:rsid w:val="00E15B08"/>
    <w:rsid w:val="00E15E0B"/>
    <w:rsid w:val="00E221B6"/>
    <w:rsid w:val="00E2268E"/>
    <w:rsid w:val="00E22D56"/>
    <w:rsid w:val="00E24D66"/>
    <w:rsid w:val="00E32125"/>
    <w:rsid w:val="00E33F81"/>
    <w:rsid w:val="00E3485F"/>
    <w:rsid w:val="00E3508A"/>
    <w:rsid w:val="00E3612F"/>
    <w:rsid w:val="00E37732"/>
    <w:rsid w:val="00E37F98"/>
    <w:rsid w:val="00E403F4"/>
    <w:rsid w:val="00E413F3"/>
    <w:rsid w:val="00E4319A"/>
    <w:rsid w:val="00E50241"/>
    <w:rsid w:val="00E51B89"/>
    <w:rsid w:val="00E52742"/>
    <w:rsid w:val="00E53DAE"/>
    <w:rsid w:val="00E558FB"/>
    <w:rsid w:val="00E57629"/>
    <w:rsid w:val="00E57B81"/>
    <w:rsid w:val="00E57C29"/>
    <w:rsid w:val="00E57D29"/>
    <w:rsid w:val="00E670AB"/>
    <w:rsid w:val="00E6720E"/>
    <w:rsid w:val="00E67764"/>
    <w:rsid w:val="00E7015C"/>
    <w:rsid w:val="00E718D6"/>
    <w:rsid w:val="00E84401"/>
    <w:rsid w:val="00E87097"/>
    <w:rsid w:val="00E96CFF"/>
    <w:rsid w:val="00EA0091"/>
    <w:rsid w:val="00EA22C4"/>
    <w:rsid w:val="00EA2C5C"/>
    <w:rsid w:val="00EA6D22"/>
    <w:rsid w:val="00EA7C79"/>
    <w:rsid w:val="00EB3A98"/>
    <w:rsid w:val="00EB428B"/>
    <w:rsid w:val="00EB45FC"/>
    <w:rsid w:val="00EC238C"/>
    <w:rsid w:val="00EC3DFE"/>
    <w:rsid w:val="00EC3E78"/>
    <w:rsid w:val="00EC66ED"/>
    <w:rsid w:val="00EC7103"/>
    <w:rsid w:val="00ED0BC8"/>
    <w:rsid w:val="00ED245B"/>
    <w:rsid w:val="00ED380A"/>
    <w:rsid w:val="00ED4D5D"/>
    <w:rsid w:val="00ED504B"/>
    <w:rsid w:val="00ED7447"/>
    <w:rsid w:val="00ED7F8C"/>
    <w:rsid w:val="00EE18B5"/>
    <w:rsid w:val="00EE5AFC"/>
    <w:rsid w:val="00EE61FE"/>
    <w:rsid w:val="00EF1FC2"/>
    <w:rsid w:val="00EF230B"/>
    <w:rsid w:val="00EF2D2B"/>
    <w:rsid w:val="00EF5C13"/>
    <w:rsid w:val="00EF68A9"/>
    <w:rsid w:val="00EF7C03"/>
    <w:rsid w:val="00EF7EA8"/>
    <w:rsid w:val="00F023BB"/>
    <w:rsid w:val="00F03110"/>
    <w:rsid w:val="00F06003"/>
    <w:rsid w:val="00F074A5"/>
    <w:rsid w:val="00F075B1"/>
    <w:rsid w:val="00F107F3"/>
    <w:rsid w:val="00F10DF6"/>
    <w:rsid w:val="00F11923"/>
    <w:rsid w:val="00F15349"/>
    <w:rsid w:val="00F16EBE"/>
    <w:rsid w:val="00F2051B"/>
    <w:rsid w:val="00F20CC9"/>
    <w:rsid w:val="00F22517"/>
    <w:rsid w:val="00F22EB2"/>
    <w:rsid w:val="00F248F5"/>
    <w:rsid w:val="00F24DB9"/>
    <w:rsid w:val="00F25BFF"/>
    <w:rsid w:val="00F27A35"/>
    <w:rsid w:val="00F27E99"/>
    <w:rsid w:val="00F304EF"/>
    <w:rsid w:val="00F30896"/>
    <w:rsid w:val="00F30A6B"/>
    <w:rsid w:val="00F34F19"/>
    <w:rsid w:val="00F40764"/>
    <w:rsid w:val="00F40C10"/>
    <w:rsid w:val="00F4134D"/>
    <w:rsid w:val="00F44225"/>
    <w:rsid w:val="00F449EB"/>
    <w:rsid w:val="00F46D15"/>
    <w:rsid w:val="00F47D9C"/>
    <w:rsid w:val="00F51593"/>
    <w:rsid w:val="00F5213A"/>
    <w:rsid w:val="00F5576C"/>
    <w:rsid w:val="00F57B1C"/>
    <w:rsid w:val="00F62350"/>
    <w:rsid w:val="00F63DE9"/>
    <w:rsid w:val="00F65A6A"/>
    <w:rsid w:val="00F67A2A"/>
    <w:rsid w:val="00F72ED7"/>
    <w:rsid w:val="00F7345F"/>
    <w:rsid w:val="00F74C33"/>
    <w:rsid w:val="00F75D6B"/>
    <w:rsid w:val="00F77337"/>
    <w:rsid w:val="00F83061"/>
    <w:rsid w:val="00F83947"/>
    <w:rsid w:val="00F8635B"/>
    <w:rsid w:val="00F87E68"/>
    <w:rsid w:val="00F927D3"/>
    <w:rsid w:val="00F940F5"/>
    <w:rsid w:val="00F95D57"/>
    <w:rsid w:val="00F9778F"/>
    <w:rsid w:val="00F97FCA"/>
    <w:rsid w:val="00FA5E6D"/>
    <w:rsid w:val="00FA6735"/>
    <w:rsid w:val="00FA7E24"/>
    <w:rsid w:val="00FB1085"/>
    <w:rsid w:val="00FB24F9"/>
    <w:rsid w:val="00FB4CF2"/>
    <w:rsid w:val="00FB5E8C"/>
    <w:rsid w:val="00FB6294"/>
    <w:rsid w:val="00FB62AD"/>
    <w:rsid w:val="00FB7C61"/>
    <w:rsid w:val="00FC305F"/>
    <w:rsid w:val="00FC7CDB"/>
    <w:rsid w:val="00FD0F6C"/>
    <w:rsid w:val="00FD1216"/>
    <w:rsid w:val="00FD54FA"/>
    <w:rsid w:val="00FD6B47"/>
    <w:rsid w:val="00FE070B"/>
    <w:rsid w:val="00FE19F1"/>
    <w:rsid w:val="00FE24C6"/>
    <w:rsid w:val="00FE3FA1"/>
    <w:rsid w:val="00FE65F4"/>
    <w:rsid w:val="00FF1137"/>
    <w:rsid w:val="00FF4120"/>
    <w:rsid w:val="00FF527B"/>
    <w:rsid w:val="00FF7820"/>
    <w:rsid w:val="00FF7A0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AE397CB"/>
  <w15:docId w15:val="{6B9D2875-11ED-47F9-9F6F-468F4A4AD8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662F"/>
  </w:style>
  <w:style w:type="paragraph" w:styleId="Heading1">
    <w:name w:val="heading 1"/>
    <w:aliases w:val="Se,Paragraph,MPS Standard Heading 1,PA Chapter,h1,numbered indent 1,ni1,Section,Numbered - 1,Heading.CAPS,H1,A MAJOR/BOLD,Schedheading,Heading 1(Report Only),h1 chapter heading,Section Heading,Attribute Heading 1,Roman 14 B Heading,1st level,2"/>
    <w:basedOn w:val="Normal"/>
    <w:link w:val="Heading1Char"/>
    <w:autoRedefine/>
    <w:qFormat/>
    <w:rsid w:val="00424100"/>
    <w:pPr>
      <w:keepNext/>
      <w:numPr>
        <w:numId w:val="3"/>
      </w:numPr>
      <w:tabs>
        <w:tab w:val="left" w:pos="851"/>
      </w:tabs>
      <w:adjustRightInd w:val="0"/>
      <w:spacing w:after="120" w:line="240" w:lineRule="auto"/>
      <w:jc w:val="both"/>
      <w:outlineLvl w:val="0"/>
    </w:pPr>
    <w:rPr>
      <w:rFonts w:ascii="Arial" w:eastAsia="STZhongsong" w:hAnsi="Arial" w:cs="Times New Roman"/>
      <w:b/>
      <w:caps/>
      <w:szCs w:val="20"/>
      <w:lang w:eastAsia="zh-CN"/>
    </w:rPr>
  </w:style>
  <w:style w:type="paragraph" w:styleId="Heading2">
    <w:name w:val="heading 2"/>
    <w:aliases w:val="Reset numbering,Major heading,KJL:1st Level,PARA2,S Heading,S Heading 2,h2,Numbered - 2,1.1.1 heading,m,Body Text (Reset numbering),H2,TF-Overskrit 2,h2 main heading,2m,h 2,B Sub/Bold,B Sub/Bold1,B Sub/Bold2,B Sub/Bold11,h2 main heading1,L2,Ma"/>
    <w:basedOn w:val="Normal"/>
    <w:link w:val="Heading2Char"/>
    <w:autoRedefine/>
    <w:qFormat/>
    <w:rsid w:val="00287625"/>
    <w:pPr>
      <w:tabs>
        <w:tab w:val="left" w:pos="851"/>
      </w:tabs>
      <w:adjustRightInd w:val="0"/>
      <w:spacing w:after="120" w:line="240" w:lineRule="auto"/>
      <w:ind w:left="853"/>
      <w:jc w:val="both"/>
      <w:outlineLvl w:val="1"/>
    </w:pPr>
    <w:rPr>
      <w:rFonts w:ascii="Arial" w:eastAsia="STZhongsong" w:hAnsi="Arial" w:cs="Times New Roman"/>
      <w:szCs w:val="20"/>
      <w:lang w:eastAsia="zh-CN"/>
    </w:rPr>
  </w:style>
  <w:style w:type="paragraph" w:styleId="Heading3">
    <w:name w:val="heading 3"/>
    <w:aliases w:val="h3,heading3,heading3+,3,Numbered para,Minor,Level 1 - 1,Level 2.1,Oscar Faber 3,H3,Numbered - 3,HeadC,h31,h32,h33,Level 1 - 2,C Sub-Sub/Italic,h3 sub heading,Head 31,Head 32,C Sub-Sub/Italic1,h3 sub heading1,3m,GPH Heading 3,Sub-section,H31,L3"/>
    <w:basedOn w:val="Normal"/>
    <w:link w:val="Heading3Char"/>
    <w:autoRedefine/>
    <w:qFormat/>
    <w:rsid w:val="005C63D5"/>
    <w:pPr>
      <w:numPr>
        <w:ilvl w:val="2"/>
        <w:numId w:val="3"/>
      </w:numPr>
      <w:tabs>
        <w:tab w:val="clear" w:pos="5556"/>
        <w:tab w:val="left" w:pos="1418"/>
        <w:tab w:val="num" w:pos="1588"/>
      </w:tabs>
      <w:adjustRightInd w:val="0"/>
      <w:spacing w:after="120" w:line="240" w:lineRule="auto"/>
      <w:ind w:left="1588"/>
      <w:jc w:val="both"/>
      <w:outlineLvl w:val="2"/>
    </w:pPr>
    <w:rPr>
      <w:rFonts w:ascii="Arial" w:eastAsia="STZhongsong" w:hAnsi="Arial" w:cs="Times New Roman"/>
      <w:szCs w:val="20"/>
      <w:lang w:eastAsia="zh-CN"/>
    </w:rPr>
  </w:style>
  <w:style w:type="paragraph" w:styleId="Heading4">
    <w:name w:val="heading 4"/>
    <w:aliases w:val="Numbered - 4,Te,(i),Level 2 - a,Sub-Minor,Su,MPS Standard Sub- Sub-Sub Heading,PA Micro Section,n,h4,h4 sub sub heading,D Sub-Sub/Plain,Level 2 - (a),GPH Heading 4,Schedules,Second Level Heading HM,Subhead C,H4,dash,Project table,Propos,14,l4"/>
    <w:basedOn w:val="Normal"/>
    <w:link w:val="Heading4Char"/>
    <w:qFormat/>
    <w:rsid w:val="00AE4296"/>
    <w:pPr>
      <w:numPr>
        <w:ilvl w:val="3"/>
        <w:numId w:val="3"/>
      </w:numPr>
      <w:tabs>
        <w:tab w:val="clear" w:pos="6464"/>
        <w:tab w:val="num" w:pos="2637"/>
      </w:tabs>
      <w:adjustRightInd w:val="0"/>
      <w:spacing w:after="120" w:line="240" w:lineRule="auto"/>
      <w:ind w:left="2637"/>
      <w:jc w:val="both"/>
      <w:outlineLvl w:val="3"/>
    </w:pPr>
    <w:rPr>
      <w:rFonts w:ascii="Arial" w:eastAsia="STZhongsong" w:hAnsi="Arial" w:cs="Times New Roman"/>
      <w:sz w:val="20"/>
      <w:szCs w:val="20"/>
      <w:lang w:eastAsia="zh-CN"/>
    </w:rPr>
  </w:style>
  <w:style w:type="paragraph" w:styleId="Heading5">
    <w:name w:val="heading 5"/>
    <w:aliases w:val="Heading 5(unused),Level 3 - (i),Third Level Heading,h5,Response Type,Response Type1,Response Type2,Response Type3,Response Type4,Response Type5,Response Type6,Response Type7,Appendix A to X,Heading 5   Appendix A to X,H5,Subheading,l5"/>
    <w:basedOn w:val="Normal"/>
    <w:next w:val="Normal"/>
    <w:link w:val="Heading5Char"/>
    <w:unhideWhenUsed/>
    <w:qFormat/>
    <w:rsid w:val="0058734C"/>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aliases w:val="Heading 6 (Do Not Use),Heading 6(unused),Legal Level 1.,L1 PIP,Heading 6  Appendix Y &amp; Z,Lev 6,H6 DO NOT USE,Bullet list,PA Appendix,H6,H61,PR14"/>
    <w:basedOn w:val="Normal"/>
    <w:link w:val="Heading6Char"/>
    <w:qFormat/>
    <w:rsid w:val="00F15349"/>
    <w:pPr>
      <w:tabs>
        <w:tab w:val="num" w:pos="4320"/>
      </w:tabs>
      <w:adjustRightInd w:val="0"/>
      <w:spacing w:after="240" w:line="240" w:lineRule="auto"/>
      <w:ind w:left="4320" w:hanging="720"/>
      <w:jc w:val="both"/>
      <w:outlineLvl w:val="5"/>
    </w:pPr>
    <w:rPr>
      <w:rFonts w:ascii="Arial" w:eastAsia="STZhongsong" w:hAnsi="Arial" w:cs="Times New Roman"/>
      <w:sz w:val="20"/>
      <w:szCs w:val="20"/>
      <w:lang w:eastAsia="zh-CN"/>
    </w:rPr>
  </w:style>
  <w:style w:type="paragraph" w:styleId="Heading7">
    <w:name w:val="heading 7"/>
    <w:aliases w:val="Heading 7 (Do Not Use),Heading 7(unused),Legal Level 1.1.,L2 PIP,Lev 7,H7DO NOT USE,PA Appendix Major"/>
    <w:basedOn w:val="Normal"/>
    <w:link w:val="Heading7Char"/>
    <w:qFormat/>
    <w:rsid w:val="00F15349"/>
    <w:pPr>
      <w:tabs>
        <w:tab w:val="num" w:pos="5040"/>
      </w:tabs>
      <w:adjustRightInd w:val="0"/>
      <w:spacing w:after="240" w:line="240" w:lineRule="auto"/>
      <w:ind w:left="5040" w:hanging="720"/>
      <w:jc w:val="both"/>
      <w:outlineLvl w:val="6"/>
    </w:pPr>
    <w:rPr>
      <w:rFonts w:ascii="Arial" w:eastAsia="STZhongsong" w:hAnsi="Arial" w:cs="Times New Roman"/>
      <w:sz w:val="20"/>
      <w:szCs w:val="20"/>
      <w:lang w:eastAsia="zh-CN"/>
    </w:rPr>
  </w:style>
  <w:style w:type="paragraph" w:styleId="Heading8">
    <w:name w:val="heading 8"/>
    <w:aliases w:val="Heading 8 (Do Not Use),Legal Level 1.1.1.,Lev 8,h8 DO NOT USE,PA Appendix Minor"/>
    <w:basedOn w:val="Normal"/>
    <w:link w:val="Heading8Char"/>
    <w:qFormat/>
    <w:rsid w:val="00F15349"/>
    <w:pPr>
      <w:tabs>
        <w:tab w:val="num" w:pos="5040"/>
      </w:tabs>
      <w:adjustRightInd w:val="0"/>
      <w:spacing w:after="240" w:line="240" w:lineRule="auto"/>
      <w:ind w:left="5040" w:hanging="720"/>
      <w:jc w:val="both"/>
      <w:outlineLvl w:val="7"/>
    </w:pPr>
    <w:rPr>
      <w:rFonts w:ascii="Arial" w:eastAsia="STZhongsong" w:hAnsi="Arial" w:cs="Times New Roman"/>
      <w:sz w:val="20"/>
      <w:szCs w:val="20"/>
      <w:lang w:eastAsia="zh-CN"/>
    </w:rPr>
  </w:style>
  <w:style w:type="paragraph" w:styleId="Heading9">
    <w:name w:val="heading 9"/>
    <w:aliases w:val="Heading 9 (Do Not Use),Heading 9 (defunct),Legal Level 1.1.1.1.,Lev 9,h9 DO NOT USE,App Heading,Titre 10,App1"/>
    <w:basedOn w:val="Normal"/>
    <w:link w:val="Heading9Char"/>
    <w:qFormat/>
    <w:rsid w:val="00F15349"/>
    <w:pPr>
      <w:tabs>
        <w:tab w:val="num" w:pos="5040"/>
      </w:tabs>
      <w:adjustRightInd w:val="0"/>
      <w:spacing w:after="240" w:line="240" w:lineRule="auto"/>
      <w:ind w:left="5040" w:hanging="720"/>
      <w:jc w:val="both"/>
      <w:outlineLvl w:val="8"/>
    </w:pPr>
    <w:rPr>
      <w:rFonts w:ascii="Arial" w:eastAsia="STZhongsong" w:hAnsi="Arial" w:cs="Times New Roman"/>
      <w:sz w:val="20"/>
      <w:szCs w:val="20"/>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rginText">
    <w:name w:val="Margin Text"/>
    <w:basedOn w:val="Normal"/>
    <w:link w:val="MarginTextChar"/>
    <w:uiPriority w:val="99"/>
    <w:rsid w:val="00AE4296"/>
    <w:pPr>
      <w:adjustRightInd w:val="0"/>
      <w:spacing w:before="60" w:after="60" w:line="240" w:lineRule="auto"/>
      <w:jc w:val="both"/>
    </w:pPr>
    <w:rPr>
      <w:rFonts w:ascii="Arial" w:eastAsia="STZhongsong" w:hAnsi="Arial" w:cs="Times New Roman"/>
      <w:sz w:val="20"/>
      <w:szCs w:val="20"/>
      <w:lang w:eastAsia="zh-CN"/>
    </w:rPr>
  </w:style>
  <w:style w:type="character" w:customStyle="1" w:styleId="MarginTextChar">
    <w:name w:val="Margin Text Char"/>
    <w:basedOn w:val="DefaultParagraphFont"/>
    <w:link w:val="MarginText"/>
    <w:uiPriority w:val="99"/>
    <w:rsid w:val="00AE4296"/>
    <w:rPr>
      <w:rFonts w:ascii="Arial" w:eastAsia="STZhongsong" w:hAnsi="Arial" w:cs="Times New Roman"/>
      <w:sz w:val="20"/>
      <w:szCs w:val="20"/>
      <w:lang w:eastAsia="zh-CN"/>
    </w:rPr>
  </w:style>
  <w:style w:type="paragraph" w:styleId="Header">
    <w:name w:val="header"/>
    <w:basedOn w:val="Normal"/>
    <w:link w:val="HeaderChar"/>
    <w:uiPriority w:val="99"/>
    <w:unhideWhenUsed/>
    <w:rsid w:val="00AE4296"/>
    <w:pPr>
      <w:tabs>
        <w:tab w:val="center" w:pos="4513"/>
        <w:tab w:val="right" w:pos="9026"/>
      </w:tabs>
      <w:spacing w:after="0" w:line="240" w:lineRule="auto"/>
    </w:pPr>
  </w:style>
  <w:style w:type="character" w:customStyle="1" w:styleId="HeaderChar">
    <w:name w:val="Header Char"/>
    <w:basedOn w:val="DefaultParagraphFont"/>
    <w:link w:val="Header"/>
    <w:uiPriority w:val="99"/>
    <w:rsid w:val="00AE4296"/>
  </w:style>
  <w:style w:type="paragraph" w:styleId="Footer">
    <w:name w:val="footer"/>
    <w:basedOn w:val="Normal"/>
    <w:link w:val="FooterChar"/>
    <w:uiPriority w:val="99"/>
    <w:unhideWhenUsed/>
    <w:rsid w:val="00AE4296"/>
    <w:pPr>
      <w:tabs>
        <w:tab w:val="center" w:pos="4513"/>
        <w:tab w:val="right" w:pos="9026"/>
      </w:tabs>
      <w:spacing w:after="0" w:line="240" w:lineRule="auto"/>
    </w:pPr>
  </w:style>
  <w:style w:type="character" w:customStyle="1" w:styleId="FooterChar">
    <w:name w:val="Footer Char"/>
    <w:basedOn w:val="DefaultParagraphFont"/>
    <w:link w:val="Footer"/>
    <w:uiPriority w:val="99"/>
    <w:rsid w:val="00AE4296"/>
  </w:style>
  <w:style w:type="paragraph" w:styleId="BalloonText">
    <w:name w:val="Balloon Text"/>
    <w:basedOn w:val="Normal"/>
    <w:link w:val="BalloonTextChar"/>
    <w:uiPriority w:val="99"/>
    <w:semiHidden/>
    <w:unhideWhenUsed/>
    <w:rsid w:val="00AE429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4296"/>
    <w:rPr>
      <w:rFonts w:ascii="Tahoma" w:hAnsi="Tahoma" w:cs="Tahoma"/>
      <w:sz w:val="16"/>
      <w:szCs w:val="16"/>
    </w:rPr>
  </w:style>
  <w:style w:type="paragraph" w:styleId="BodyText">
    <w:name w:val="Body Text"/>
    <w:basedOn w:val="Normal"/>
    <w:link w:val="BodyTextChar"/>
    <w:uiPriority w:val="99"/>
    <w:rsid w:val="00AE4296"/>
    <w:pPr>
      <w:overflowPunct w:val="0"/>
      <w:autoSpaceDE w:val="0"/>
      <w:autoSpaceDN w:val="0"/>
      <w:adjustRightInd w:val="0"/>
      <w:spacing w:after="120" w:line="240" w:lineRule="auto"/>
      <w:jc w:val="both"/>
      <w:textAlignment w:val="baseline"/>
    </w:pPr>
    <w:rPr>
      <w:rFonts w:ascii="Arial" w:eastAsia="Times New Roman" w:hAnsi="Arial" w:cs="Times New Roman"/>
      <w:sz w:val="20"/>
      <w:szCs w:val="20"/>
    </w:rPr>
  </w:style>
  <w:style w:type="character" w:customStyle="1" w:styleId="BodyTextChar">
    <w:name w:val="Body Text Char"/>
    <w:basedOn w:val="DefaultParagraphFont"/>
    <w:link w:val="BodyText"/>
    <w:uiPriority w:val="99"/>
    <w:rsid w:val="00AE4296"/>
    <w:rPr>
      <w:rFonts w:ascii="Arial" w:eastAsia="Times New Roman" w:hAnsi="Arial" w:cs="Times New Roman"/>
      <w:sz w:val="20"/>
      <w:szCs w:val="20"/>
    </w:rPr>
  </w:style>
  <w:style w:type="paragraph" w:customStyle="1" w:styleId="bodystrongcentred">
    <w:name w:val="body strong centred"/>
    <w:basedOn w:val="Normal"/>
    <w:uiPriority w:val="99"/>
    <w:rsid w:val="00AE4296"/>
    <w:pPr>
      <w:spacing w:after="120" w:line="240" w:lineRule="auto"/>
      <w:jc w:val="center"/>
    </w:pPr>
    <w:rPr>
      <w:rFonts w:ascii="Arial" w:eastAsia="SimSun" w:hAnsi="Arial" w:cs="Times New Roman"/>
      <w:b/>
      <w:sz w:val="20"/>
    </w:rPr>
  </w:style>
  <w:style w:type="paragraph" w:styleId="TOC1">
    <w:name w:val="toc 1"/>
    <w:uiPriority w:val="39"/>
    <w:rsid w:val="00AE4296"/>
    <w:pPr>
      <w:tabs>
        <w:tab w:val="left" w:pos="720"/>
        <w:tab w:val="right" w:leader="dot" w:pos="9029"/>
      </w:tabs>
      <w:adjustRightInd w:val="0"/>
      <w:spacing w:after="120" w:line="240" w:lineRule="auto"/>
      <w:ind w:left="720" w:hanging="720"/>
    </w:pPr>
    <w:rPr>
      <w:rFonts w:ascii="Arial" w:eastAsia="STZhongsong" w:hAnsi="Arial" w:cs="Times New Roman"/>
      <w:caps/>
      <w:szCs w:val="20"/>
      <w:lang w:eastAsia="zh-CN"/>
    </w:rPr>
  </w:style>
  <w:style w:type="character" w:styleId="Hyperlink">
    <w:name w:val="Hyperlink"/>
    <w:basedOn w:val="DefaultParagraphFont"/>
    <w:uiPriority w:val="99"/>
    <w:rsid w:val="00AE4296"/>
    <w:rPr>
      <w:color w:val="0000FF"/>
      <w:u w:val="single"/>
    </w:rPr>
  </w:style>
  <w:style w:type="paragraph" w:styleId="BodyTextIndent">
    <w:name w:val="Body Text Indent"/>
    <w:basedOn w:val="Normal"/>
    <w:link w:val="BodyTextIndentChar"/>
    <w:uiPriority w:val="99"/>
    <w:semiHidden/>
    <w:unhideWhenUsed/>
    <w:rsid w:val="00AE4296"/>
    <w:pPr>
      <w:spacing w:after="120"/>
      <w:ind w:left="283"/>
    </w:pPr>
  </w:style>
  <w:style w:type="character" w:customStyle="1" w:styleId="BodyTextIndentChar">
    <w:name w:val="Body Text Indent Char"/>
    <w:basedOn w:val="DefaultParagraphFont"/>
    <w:link w:val="BodyTextIndent"/>
    <w:uiPriority w:val="99"/>
    <w:semiHidden/>
    <w:rsid w:val="00AE4296"/>
  </w:style>
  <w:style w:type="character" w:customStyle="1" w:styleId="Heading1Char">
    <w:name w:val="Heading 1 Char"/>
    <w:aliases w:val="Se Char,Paragraph Char,MPS Standard Heading 1 Char,PA Chapter Char,h1 Char,numbered indent 1 Char,ni1 Char,Section Char,Numbered - 1 Char,Heading.CAPS Char,H1 Char,A MAJOR/BOLD Char,Schedheading Char,Heading 1(Report Only) Char,2 Char"/>
    <w:basedOn w:val="DefaultParagraphFont"/>
    <w:link w:val="Heading1"/>
    <w:rsid w:val="00424100"/>
    <w:rPr>
      <w:rFonts w:ascii="Arial" w:eastAsia="STZhongsong" w:hAnsi="Arial" w:cs="Times New Roman"/>
      <w:b/>
      <w:caps/>
      <w:szCs w:val="20"/>
      <w:lang w:eastAsia="zh-CN"/>
    </w:rPr>
  </w:style>
  <w:style w:type="character" w:customStyle="1" w:styleId="Heading2Char">
    <w:name w:val="Heading 2 Char"/>
    <w:aliases w:val="Reset numbering Char,Major heading Char,KJL:1st Level Char,PARA2 Char,S Heading Char,S Heading 2 Char,h2 Char,Numbered - 2 Char,1.1.1 heading Char,m Char,Body Text (Reset numbering) Char,H2 Char,TF-Overskrit 2 Char,h2 main heading Char"/>
    <w:basedOn w:val="DefaultParagraphFont"/>
    <w:link w:val="Heading2"/>
    <w:rsid w:val="00287625"/>
    <w:rPr>
      <w:rFonts w:ascii="Arial" w:eastAsia="STZhongsong" w:hAnsi="Arial" w:cs="Times New Roman"/>
      <w:szCs w:val="20"/>
      <w:lang w:eastAsia="zh-CN"/>
    </w:rPr>
  </w:style>
  <w:style w:type="character" w:customStyle="1" w:styleId="Heading3Char">
    <w:name w:val="Heading 3 Char"/>
    <w:aliases w:val="h3 Char,heading3 Char,heading3+ Char,3 Char,Numbered para Char,Minor Char,Level 1 - 1 Char,Level 2.1 Char,Oscar Faber 3 Char,H3 Char,Numbered - 3 Char,HeadC Char,h31 Char,h32 Char,h33 Char,Level 1 - 2 Char,C Sub-Sub/Italic Char,3m Char"/>
    <w:basedOn w:val="DefaultParagraphFont"/>
    <w:link w:val="Heading3"/>
    <w:rsid w:val="005C63D5"/>
    <w:rPr>
      <w:rFonts w:ascii="Arial" w:eastAsia="STZhongsong" w:hAnsi="Arial" w:cs="Times New Roman"/>
      <w:szCs w:val="20"/>
      <w:lang w:eastAsia="zh-CN"/>
    </w:rPr>
  </w:style>
  <w:style w:type="character" w:customStyle="1" w:styleId="Heading4Char">
    <w:name w:val="Heading 4 Char"/>
    <w:aliases w:val="Numbered - 4 Char,Te Char,(i) Char,Level 2 - a Char,Sub-Minor Char,Su Char,MPS Standard Sub- Sub-Sub Heading Char,PA Micro Section Char,n Char,h4 Char,h4 sub sub heading Char,D Sub-Sub/Plain Char,Level 2 - (a) Char,GPH Heading 4 Char"/>
    <w:basedOn w:val="DefaultParagraphFont"/>
    <w:link w:val="Heading4"/>
    <w:rsid w:val="00AE4296"/>
    <w:rPr>
      <w:rFonts w:ascii="Arial" w:eastAsia="STZhongsong" w:hAnsi="Arial" w:cs="Times New Roman"/>
      <w:sz w:val="20"/>
      <w:szCs w:val="20"/>
      <w:lang w:eastAsia="zh-CN"/>
    </w:rPr>
  </w:style>
  <w:style w:type="numbering" w:styleId="111111">
    <w:name w:val="Outline List 2"/>
    <w:basedOn w:val="NoList"/>
    <w:rsid w:val="00AE4296"/>
    <w:pPr>
      <w:numPr>
        <w:numId w:val="1"/>
      </w:numPr>
    </w:pPr>
  </w:style>
  <w:style w:type="paragraph" w:styleId="BodyTextIndent2">
    <w:name w:val="Body Text Indent 2"/>
    <w:basedOn w:val="Normal"/>
    <w:link w:val="BodyTextIndent2Char"/>
    <w:uiPriority w:val="99"/>
    <w:semiHidden/>
    <w:unhideWhenUsed/>
    <w:rsid w:val="00AE4296"/>
    <w:pPr>
      <w:spacing w:after="120" w:line="480" w:lineRule="auto"/>
      <w:ind w:left="283"/>
    </w:pPr>
  </w:style>
  <w:style w:type="character" w:customStyle="1" w:styleId="BodyTextIndent2Char">
    <w:name w:val="Body Text Indent 2 Char"/>
    <w:basedOn w:val="DefaultParagraphFont"/>
    <w:link w:val="BodyTextIndent2"/>
    <w:rsid w:val="00AE4296"/>
  </w:style>
  <w:style w:type="paragraph" w:styleId="ListParagraph">
    <w:name w:val="List Paragraph"/>
    <w:basedOn w:val="Normal"/>
    <w:link w:val="ListParagraphChar"/>
    <w:uiPriority w:val="34"/>
    <w:qFormat/>
    <w:rsid w:val="00706CC1"/>
    <w:pPr>
      <w:spacing w:before="120" w:after="120" w:line="240" w:lineRule="auto"/>
      <w:ind w:left="720"/>
    </w:pPr>
    <w:rPr>
      <w:rFonts w:ascii="Arial" w:eastAsia="Times New Roman" w:hAnsi="Arial" w:cs="Times New Roman"/>
      <w:sz w:val="20"/>
      <w:szCs w:val="24"/>
    </w:rPr>
  </w:style>
  <w:style w:type="character" w:customStyle="1" w:styleId="Heading5Char">
    <w:name w:val="Heading 5 Char"/>
    <w:aliases w:val="Heading 5(unused) Char,Level 3 - (i) Char,Third Level Heading Char,h5 Char,Response Type Char,Response Type1 Char,Response Type2 Char,Response Type3 Char,Response Type4 Char,Response Type5 Char,Response Type6 Char,Response Type7 Char"/>
    <w:basedOn w:val="DefaultParagraphFont"/>
    <w:link w:val="Heading5"/>
    <w:uiPriority w:val="9"/>
    <w:semiHidden/>
    <w:rsid w:val="0058734C"/>
    <w:rPr>
      <w:rFonts w:asciiTheme="majorHAnsi" w:eastAsiaTheme="majorEastAsia" w:hAnsiTheme="majorHAnsi" w:cstheme="majorBidi"/>
      <w:color w:val="243F60" w:themeColor="accent1" w:themeShade="7F"/>
    </w:rPr>
  </w:style>
  <w:style w:type="paragraph" w:styleId="BodyTextIndent3">
    <w:name w:val="Body Text Indent 3"/>
    <w:basedOn w:val="Normal"/>
    <w:link w:val="BodyTextIndent3Char"/>
    <w:uiPriority w:val="99"/>
    <w:semiHidden/>
    <w:unhideWhenUsed/>
    <w:rsid w:val="0058734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58734C"/>
    <w:rPr>
      <w:sz w:val="16"/>
      <w:szCs w:val="16"/>
    </w:rPr>
  </w:style>
  <w:style w:type="table" w:styleId="TableGrid">
    <w:name w:val="Table Grid"/>
    <w:basedOn w:val="TableNormal"/>
    <w:uiPriority w:val="99"/>
    <w:rsid w:val="0058734C"/>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2E55A9"/>
    <w:pPr>
      <w:overflowPunct w:val="0"/>
      <w:autoSpaceDE w:val="0"/>
      <w:autoSpaceDN w:val="0"/>
      <w:adjustRightInd w:val="0"/>
      <w:spacing w:before="60" w:after="60" w:line="240" w:lineRule="auto"/>
      <w:ind w:left="220" w:hanging="1406"/>
      <w:textAlignment w:val="baseline"/>
    </w:pPr>
    <w:rPr>
      <w:rFonts w:ascii="Arial" w:eastAsia="Times New Roman" w:hAnsi="Arial" w:cs="Arial"/>
      <w:sz w:val="18"/>
      <w:szCs w:val="18"/>
    </w:rPr>
  </w:style>
  <w:style w:type="character" w:styleId="CommentReference">
    <w:name w:val="annotation reference"/>
    <w:basedOn w:val="DefaultParagraphFont"/>
    <w:uiPriority w:val="99"/>
    <w:unhideWhenUsed/>
    <w:rsid w:val="00405EFE"/>
    <w:rPr>
      <w:sz w:val="16"/>
      <w:szCs w:val="16"/>
    </w:rPr>
  </w:style>
  <w:style w:type="paragraph" w:styleId="CommentText">
    <w:name w:val="annotation text"/>
    <w:basedOn w:val="Normal"/>
    <w:link w:val="CommentTextChar"/>
    <w:uiPriority w:val="99"/>
    <w:unhideWhenUsed/>
    <w:rsid w:val="00405EFE"/>
    <w:pPr>
      <w:spacing w:line="240" w:lineRule="auto"/>
    </w:pPr>
    <w:rPr>
      <w:sz w:val="20"/>
      <w:szCs w:val="20"/>
    </w:rPr>
  </w:style>
  <w:style w:type="character" w:customStyle="1" w:styleId="CommentTextChar">
    <w:name w:val="Comment Text Char"/>
    <w:basedOn w:val="DefaultParagraphFont"/>
    <w:link w:val="CommentText"/>
    <w:uiPriority w:val="99"/>
    <w:rsid w:val="00405EFE"/>
    <w:rPr>
      <w:sz w:val="20"/>
      <w:szCs w:val="20"/>
    </w:rPr>
  </w:style>
  <w:style w:type="paragraph" w:styleId="CommentSubject">
    <w:name w:val="annotation subject"/>
    <w:basedOn w:val="CommentText"/>
    <w:next w:val="CommentText"/>
    <w:link w:val="CommentSubjectChar"/>
    <w:uiPriority w:val="99"/>
    <w:semiHidden/>
    <w:unhideWhenUsed/>
    <w:rsid w:val="00405EFE"/>
    <w:rPr>
      <w:b/>
      <w:bCs/>
    </w:rPr>
  </w:style>
  <w:style w:type="character" w:customStyle="1" w:styleId="CommentSubjectChar">
    <w:name w:val="Comment Subject Char"/>
    <w:basedOn w:val="CommentTextChar"/>
    <w:link w:val="CommentSubject"/>
    <w:uiPriority w:val="99"/>
    <w:semiHidden/>
    <w:rsid w:val="00405EFE"/>
    <w:rPr>
      <w:b/>
      <w:bCs/>
      <w:sz w:val="20"/>
      <w:szCs w:val="20"/>
    </w:rPr>
  </w:style>
  <w:style w:type="character" w:styleId="FollowedHyperlink">
    <w:name w:val="FollowedHyperlink"/>
    <w:basedOn w:val="DefaultParagraphFont"/>
    <w:uiPriority w:val="99"/>
    <w:semiHidden/>
    <w:unhideWhenUsed/>
    <w:rsid w:val="002A2319"/>
    <w:rPr>
      <w:color w:val="800080" w:themeColor="followedHyperlink"/>
      <w:u w:val="single"/>
    </w:rPr>
  </w:style>
  <w:style w:type="paragraph" w:styleId="Revision">
    <w:name w:val="Revision"/>
    <w:hidden/>
    <w:uiPriority w:val="99"/>
    <w:semiHidden/>
    <w:rsid w:val="00ED380A"/>
    <w:pPr>
      <w:spacing w:after="0" w:line="240" w:lineRule="auto"/>
    </w:pPr>
  </w:style>
  <w:style w:type="paragraph" w:styleId="ListNumber">
    <w:name w:val="List Number"/>
    <w:basedOn w:val="Normal"/>
    <w:rsid w:val="0025638E"/>
    <w:pPr>
      <w:numPr>
        <w:numId w:val="2"/>
      </w:numPr>
      <w:spacing w:after="0" w:line="240" w:lineRule="auto"/>
      <w:ind w:left="360"/>
    </w:pPr>
    <w:rPr>
      <w:rFonts w:ascii="Arial" w:eastAsia="SimSun" w:hAnsi="Arial" w:cs="Times New Roman"/>
      <w:szCs w:val="24"/>
      <w:lang w:eastAsia="zh-CN"/>
    </w:rPr>
  </w:style>
  <w:style w:type="paragraph" w:customStyle="1" w:styleId="Default">
    <w:name w:val="Default"/>
    <w:rsid w:val="00BE7A7A"/>
    <w:pPr>
      <w:autoSpaceDE w:val="0"/>
      <w:autoSpaceDN w:val="0"/>
      <w:adjustRightInd w:val="0"/>
      <w:spacing w:after="0" w:line="240" w:lineRule="auto"/>
    </w:pPr>
    <w:rPr>
      <w:rFonts w:ascii="Arial" w:hAnsi="Arial" w:cs="Arial"/>
      <w:color w:val="000000"/>
      <w:sz w:val="24"/>
      <w:szCs w:val="24"/>
    </w:rPr>
  </w:style>
  <w:style w:type="character" w:customStyle="1" w:styleId="Heading6Char">
    <w:name w:val="Heading 6 Char"/>
    <w:aliases w:val="Heading 6 (Do Not Use) Char,Heading 6(unused) Char,Legal Level 1. Char,L1 PIP Char,Heading 6  Appendix Y &amp; Z Char,Lev 6 Char,H6 DO NOT USE Char,Bullet list Char,PA Appendix Char,H6 Char,H61 Char,PR14 Char"/>
    <w:basedOn w:val="DefaultParagraphFont"/>
    <w:link w:val="Heading6"/>
    <w:rsid w:val="00F15349"/>
    <w:rPr>
      <w:rFonts w:ascii="Arial" w:eastAsia="STZhongsong" w:hAnsi="Arial" w:cs="Times New Roman"/>
      <w:sz w:val="20"/>
      <w:szCs w:val="20"/>
      <w:lang w:eastAsia="zh-CN"/>
    </w:rPr>
  </w:style>
  <w:style w:type="character" w:customStyle="1" w:styleId="Heading7Char">
    <w:name w:val="Heading 7 Char"/>
    <w:aliases w:val="Heading 7 (Do Not Use) Char,Heading 7(unused) Char,Legal Level 1.1. Char,L2 PIP Char,Lev 7 Char,H7DO NOT USE Char,PA Appendix Major Char"/>
    <w:basedOn w:val="DefaultParagraphFont"/>
    <w:link w:val="Heading7"/>
    <w:rsid w:val="00F15349"/>
    <w:rPr>
      <w:rFonts w:ascii="Arial" w:eastAsia="STZhongsong" w:hAnsi="Arial" w:cs="Times New Roman"/>
      <w:sz w:val="20"/>
      <w:szCs w:val="20"/>
      <w:lang w:eastAsia="zh-CN"/>
    </w:rPr>
  </w:style>
  <w:style w:type="character" w:customStyle="1" w:styleId="Heading8Char">
    <w:name w:val="Heading 8 Char"/>
    <w:aliases w:val="Heading 8 (Do Not Use) Char,Legal Level 1.1.1. Char,Lev 8 Char,h8 DO NOT USE Char,PA Appendix Minor Char"/>
    <w:basedOn w:val="DefaultParagraphFont"/>
    <w:link w:val="Heading8"/>
    <w:rsid w:val="00F15349"/>
    <w:rPr>
      <w:rFonts w:ascii="Arial" w:eastAsia="STZhongsong" w:hAnsi="Arial" w:cs="Times New Roman"/>
      <w:sz w:val="20"/>
      <w:szCs w:val="20"/>
      <w:lang w:eastAsia="zh-CN"/>
    </w:rPr>
  </w:style>
  <w:style w:type="character" w:customStyle="1" w:styleId="Heading9Char">
    <w:name w:val="Heading 9 Char"/>
    <w:aliases w:val="Heading 9 (Do Not Use) Char,Heading 9 (defunct) Char,Legal Level 1.1.1.1. Char,Lev 9 Char,h9 DO NOT USE Char,App Heading Char,Titre 10 Char,App1 Char"/>
    <w:basedOn w:val="DefaultParagraphFont"/>
    <w:link w:val="Heading9"/>
    <w:rsid w:val="00F15349"/>
    <w:rPr>
      <w:rFonts w:ascii="Arial" w:eastAsia="STZhongsong" w:hAnsi="Arial" w:cs="Times New Roman"/>
      <w:sz w:val="20"/>
      <w:szCs w:val="20"/>
      <w:lang w:eastAsia="zh-CN"/>
    </w:rPr>
  </w:style>
  <w:style w:type="character" w:customStyle="1" w:styleId="ListParagraphChar">
    <w:name w:val="List Paragraph Char"/>
    <w:basedOn w:val="DefaultParagraphFont"/>
    <w:link w:val="ListParagraph"/>
    <w:uiPriority w:val="34"/>
    <w:locked/>
    <w:rsid w:val="00C73F1E"/>
    <w:rPr>
      <w:rFonts w:ascii="Arial" w:eastAsia="Times New Roman" w:hAnsi="Arial" w:cs="Times New Roman"/>
      <w:sz w:val="20"/>
      <w:szCs w:val="24"/>
    </w:rPr>
  </w:style>
  <w:style w:type="paragraph" w:customStyle="1" w:styleId="GPSL1CLAUSEHEADING">
    <w:name w:val="GPS L1 CLAUSE HEADING"/>
    <w:basedOn w:val="Normal"/>
    <w:next w:val="Normal"/>
    <w:qFormat/>
    <w:rsid w:val="00C73F1E"/>
    <w:pPr>
      <w:numPr>
        <w:numId w:val="4"/>
      </w:numPr>
      <w:tabs>
        <w:tab w:val="left" w:pos="567"/>
      </w:tabs>
      <w:adjustRightInd w:val="0"/>
      <w:spacing w:before="120" w:after="240" w:line="240" w:lineRule="auto"/>
      <w:jc w:val="both"/>
      <w:outlineLvl w:val="1"/>
    </w:pPr>
    <w:rPr>
      <w:rFonts w:ascii="Arial Bold" w:eastAsia="STZhongsong" w:hAnsi="Arial Bold" w:cs="Arial"/>
      <w:b/>
      <w:caps/>
      <w:lang w:eastAsia="zh-CN"/>
    </w:rPr>
  </w:style>
  <w:style w:type="paragraph" w:customStyle="1" w:styleId="GPSL3numberedclause">
    <w:name w:val="GPS L3 numbered clause"/>
    <w:basedOn w:val="Normal"/>
    <w:qFormat/>
    <w:rsid w:val="00C73F1E"/>
    <w:pPr>
      <w:numPr>
        <w:ilvl w:val="2"/>
        <w:numId w:val="4"/>
      </w:numPr>
      <w:tabs>
        <w:tab w:val="left" w:pos="2127"/>
      </w:tabs>
      <w:adjustRightInd w:val="0"/>
      <w:spacing w:before="120" w:after="120" w:line="240" w:lineRule="auto"/>
      <w:jc w:val="both"/>
    </w:pPr>
    <w:rPr>
      <w:rFonts w:ascii="Arial" w:eastAsia="Times New Roman" w:hAnsi="Arial" w:cs="Arial"/>
      <w:lang w:eastAsia="zh-CN"/>
    </w:rPr>
  </w:style>
  <w:style w:type="paragraph" w:customStyle="1" w:styleId="GPSL4numberedclause">
    <w:name w:val="GPS L4 numbered clause"/>
    <w:basedOn w:val="GPSL3numberedclause"/>
    <w:qFormat/>
    <w:rsid w:val="00C73F1E"/>
    <w:pPr>
      <w:numPr>
        <w:ilvl w:val="3"/>
      </w:numPr>
      <w:tabs>
        <w:tab w:val="clear" w:pos="2127"/>
        <w:tab w:val="left" w:pos="2694"/>
      </w:tabs>
      <w:ind w:left="2694" w:hanging="567"/>
    </w:pPr>
  </w:style>
  <w:style w:type="paragraph" w:customStyle="1" w:styleId="GPSL5numberedclause">
    <w:name w:val="GPS L5 numbered clause"/>
    <w:basedOn w:val="GPSL4numberedclause"/>
    <w:link w:val="GPSL5numberedclauseChar"/>
    <w:qFormat/>
    <w:rsid w:val="00C73F1E"/>
    <w:pPr>
      <w:numPr>
        <w:ilvl w:val="4"/>
      </w:numPr>
      <w:tabs>
        <w:tab w:val="clear" w:pos="2694"/>
        <w:tab w:val="left" w:pos="3119"/>
      </w:tabs>
      <w:ind w:left="3119" w:hanging="425"/>
    </w:pPr>
  </w:style>
  <w:style w:type="paragraph" w:customStyle="1" w:styleId="GPSL2NumberedBoldHeading">
    <w:name w:val="GPS L2 Numbered Bold Heading"/>
    <w:basedOn w:val="Normal"/>
    <w:qFormat/>
    <w:rsid w:val="00C73F1E"/>
    <w:pPr>
      <w:numPr>
        <w:ilvl w:val="1"/>
        <w:numId w:val="4"/>
      </w:numPr>
      <w:tabs>
        <w:tab w:val="left" w:pos="1134"/>
      </w:tabs>
      <w:adjustRightInd w:val="0"/>
      <w:spacing w:before="120" w:after="120" w:line="240" w:lineRule="auto"/>
      <w:jc w:val="both"/>
    </w:pPr>
    <w:rPr>
      <w:rFonts w:ascii="Arial" w:eastAsia="Times New Roman" w:hAnsi="Arial" w:cs="Arial"/>
      <w:b/>
      <w:lang w:eastAsia="zh-CN"/>
    </w:rPr>
  </w:style>
  <w:style w:type="paragraph" w:customStyle="1" w:styleId="GPSL6numbered">
    <w:name w:val="GPS L6 numbered"/>
    <w:basedOn w:val="GPSL5numberedclause"/>
    <w:qFormat/>
    <w:rsid w:val="00C73F1E"/>
    <w:pPr>
      <w:numPr>
        <w:ilvl w:val="5"/>
      </w:numPr>
      <w:tabs>
        <w:tab w:val="clear" w:pos="3119"/>
        <w:tab w:val="num" w:pos="360"/>
        <w:tab w:val="left" w:pos="3969"/>
        <w:tab w:val="num" w:pos="4320"/>
      </w:tabs>
      <w:ind w:left="3969" w:hanging="850"/>
    </w:pPr>
  </w:style>
  <w:style w:type="character" w:customStyle="1" w:styleId="GPSL5numberedclauseChar">
    <w:name w:val="GPS L5 numbered clause Char"/>
    <w:basedOn w:val="DefaultParagraphFont"/>
    <w:link w:val="GPSL5numberedclause"/>
    <w:rsid w:val="00C73F1E"/>
    <w:rPr>
      <w:rFonts w:ascii="Arial" w:eastAsia="Times New Roman" w:hAnsi="Arial" w:cs="Arial"/>
      <w:lang w:eastAsia="zh-CN"/>
    </w:rPr>
  </w:style>
  <w:style w:type="paragraph" w:customStyle="1" w:styleId="GPSL2Indent">
    <w:name w:val="GPS L2 Indent"/>
    <w:basedOn w:val="Normal"/>
    <w:qFormat/>
    <w:rsid w:val="00C73F1E"/>
    <w:pPr>
      <w:overflowPunct w:val="0"/>
      <w:autoSpaceDE w:val="0"/>
      <w:autoSpaceDN w:val="0"/>
      <w:adjustRightInd w:val="0"/>
      <w:spacing w:after="220" w:line="240" w:lineRule="auto"/>
      <w:ind w:left="1134"/>
      <w:jc w:val="both"/>
      <w:textAlignment w:val="baseline"/>
    </w:pPr>
    <w:rPr>
      <w:rFonts w:ascii="Arial" w:eastAsia="Times New Roman" w:hAnsi="Arial" w:cs="Arial"/>
      <w:szCs w:val="24"/>
      <w:lang w:eastAsia="en-US"/>
    </w:rPr>
  </w:style>
  <w:style w:type="paragraph" w:customStyle="1" w:styleId="GPSL2Numbered">
    <w:name w:val="GPS L2 Numbered"/>
    <w:basedOn w:val="GPSL2NumberedBoldHeading"/>
    <w:link w:val="GPSL2NumberedChar"/>
    <w:qFormat/>
    <w:rsid w:val="00C73F1E"/>
    <w:rPr>
      <w:b w:val="0"/>
    </w:rPr>
  </w:style>
  <w:style w:type="character" w:customStyle="1" w:styleId="GPSL2NumberedChar">
    <w:name w:val="GPS L2 Numbered Char"/>
    <w:basedOn w:val="DefaultParagraphFont"/>
    <w:link w:val="GPSL2Numbered"/>
    <w:rsid w:val="00C73F1E"/>
    <w:rPr>
      <w:rFonts w:ascii="Arial" w:eastAsia="Times New Roman" w:hAnsi="Arial" w:cs="Arial"/>
      <w:lang w:eastAsia="zh-CN"/>
    </w:rPr>
  </w:style>
  <w:style w:type="paragraph" w:customStyle="1" w:styleId="AppSub">
    <w:name w:val="App Sub"/>
    <w:basedOn w:val="Normal"/>
    <w:next w:val="Normal"/>
    <w:uiPriority w:val="99"/>
    <w:rsid w:val="00197A49"/>
    <w:pPr>
      <w:numPr>
        <w:numId w:val="5"/>
      </w:numPr>
      <w:tabs>
        <w:tab w:val="clear" w:pos="1440"/>
      </w:tabs>
      <w:spacing w:after="240" w:line="240" w:lineRule="auto"/>
      <w:jc w:val="center"/>
    </w:pPr>
    <w:rPr>
      <w:rFonts w:ascii="Arial" w:eastAsia="Times New Roman" w:hAnsi="Arial" w:cs="Times New Roman"/>
      <w:b/>
      <w:caps/>
      <w:szCs w:val="20"/>
      <w:lang w:eastAsia="en-US"/>
    </w:rPr>
  </w:style>
  <w:style w:type="table" w:customStyle="1" w:styleId="TableGrid1">
    <w:name w:val="Table Grid1"/>
    <w:basedOn w:val="TableNormal"/>
    <w:next w:val="TableGrid"/>
    <w:uiPriority w:val="59"/>
    <w:rsid w:val="00197A4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197A49"/>
    <w:pPr>
      <w:overflowPunct w:val="0"/>
      <w:autoSpaceDE w:val="0"/>
      <w:autoSpaceDN w:val="0"/>
      <w:adjustRightInd w:val="0"/>
      <w:spacing w:after="0" w:line="240" w:lineRule="auto"/>
      <w:jc w:val="both"/>
      <w:textAlignment w:val="baseline"/>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197A49"/>
    <w:pPr>
      <w:overflowPunct w:val="0"/>
      <w:autoSpaceDE w:val="0"/>
      <w:autoSpaceDN w:val="0"/>
      <w:adjustRightInd w:val="0"/>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uiPriority w:val="99"/>
    <w:semiHidden/>
    <w:rsid w:val="00197A49"/>
    <w:pPr>
      <w:adjustRightInd w:val="0"/>
      <w:spacing w:after="120" w:line="240" w:lineRule="auto"/>
      <w:ind w:left="720" w:hanging="720"/>
      <w:jc w:val="both"/>
    </w:pPr>
    <w:rPr>
      <w:rFonts w:ascii="Arial" w:eastAsia="STZhongsong" w:hAnsi="Arial" w:cs="Times New Roman"/>
      <w:sz w:val="18"/>
      <w:szCs w:val="20"/>
      <w:lang w:eastAsia="zh-CN"/>
    </w:rPr>
  </w:style>
  <w:style w:type="character" w:customStyle="1" w:styleId="EndnoteTextChar">
    <w:name w:val="Endnote Text Char"/>
    <w:basedOn w:val="DefaultParagraphFont"/>
    <w:link w:val="EndnoteText"/>
    <w:uiPriority w:val="99"/>
    <w:semiHidden/>
    <w:rsid w:val="00197A49"/>
    <w:rPr>
      <w:rFonts w:ascii="Arial" w:eastAsia="STZhongsong" w:hAnsi="Arial" w:cs="Times New Roman"/>
      <w:sz w:val="18"/>
      <w:szCs w:val="20"/>
      <w:lang w:eastAsia="zh-CN"/>
    </w:rPr>
  </w:style>
  <w:style w:type="paragraph" w:styleId="ListNumber3">
    <w:name w:val="List Number 3"/>
    <w:basedOn w:val="Normal"/>
    <w:uiPriority w:val="99"/>
    <w:rsid w:val="00FD54FA"/>
    <w:pPr>
      <w:numPr>
        <w:numId w:val="8"/>
      </w:numPr>
      <w:spacing w:after="0" w:line="240" w:lineRule="auto"/>
    </w:pPr>
    <w:rPr>
      <w:rFonts w:ascii="Arial" w:eastAsia="SimSun" w:hAnsi="Arial" w:cs="Times New Roman"/>
      <w:szCs w:val="24"/>
      <w:lang w:eastAsia="zh-CN"/>
    </w:rPr>
  </w:style>
  <w:style w:type="character" w:customStyle="1" w:styleId="apple-converted-space">
    <w:name w:val="apple-converted-space"/>
    <w:basedOn w:val="DefaultParagraphFont"/>
    <w:rsid w:val="001D562C"/>
  </w:style>
  <w:style w:type="paragraph" w:customStyle="1" w:styleId="ScheduleL1">
    <w:name w:val="Schedule L1"/>
    <w:basedOn w:val="Normal"/>
    <w:link w:val="ScheduleL1Char"/>
    <w:rsid w:val="00171307"/>
    <w:pPr>
      <w:tabs>
        <w:tab w:val="num" w:pos="720"/>
      </w:tabs>
      <w:spacing w:before="240" w:after="240" w:line="240" w:lineRule="auto"/>
      <w:ind w:left="720" w:hanging="720"/>
      <w:jc w:val="both"/>
    </w:pPr>
    <w:rPr>
      <w:rFonts w:ascii="Arial" w:eastAsia="Times New Roman" w:hAnsi="Arial" w:cs="Arial"/>
      <w:b/>
      <w:caps/>
      <w:szCs w:val="20"/>
      <w:lang w:eastAsia="en-US"/>
    </w:rPr>
  </w:style>
  <w:style w:type="character" w:customStyle="1" w:styleId="ScheduleL1Char">
    <w:name w:val="Schedule L1 Char"/>
    <w:basedOn w:val="DefaultParagraphFont"/>
    <w:link w:val="ScheduleL1"/>
    <w:rsid w:val="00171307"/>
    <w:rPr>
      <w:rFonts w:ascii="Arial" w:eastAsia="Times New Roman" w:hAnsi="Arial" w:cs="Arial"/>
      <w:b/>
      <w:caps/>
      <w:szCs w:val="20"/>
      <w:lang w:eastAsia="en-US"/>
    </w:rPr>
  </w:style>
  <w:style w:type="paragraph" w:customStyle="1" w:styleId="TableText">
    <w:name w:val="Table Text"/>
    <w:basedOn w:val="Normal"/>
    <w:rsid w:val="00C363ED"/>
    <w:pPr>
      <w:spacing w:before="120" w:after="120" w:line="260" w:lineRule="atLeast"/>
      <w:jc w:val="center"/>
    </w:pPr>
    <w:rPr>
      <w:rFonts w:ascii="Arial" w:eastAsia="Calibri" w:hAnsi="Arial" w:cs="Arial"/>
      <w:sz w:val="16"/>
      <w:lang w:eastAsia="en-US"/>
    </w:rPr>
  </w:style>
  <w:style w:type="paragraph" w:customStyle="1" w:styleId="TableHeader">
    <w:name w:val="Table Header"/>
    <w:basedOn w:val="TableText"/>
    <w:rsid w:val="00C363ED"/>
    <w:rPr>
      <w:b/>
    </w:rPr>
  </w:style>
  <w:style w:type="paragraph" w:customStyle="1" w:styleId="TableTitle">
    <w:name w:val="Table Title"/>
    <w:basedOn w:val="TableText"/>
    <w:rsid w:val="00C363ED"/>
    <w:rPr>
      <w:rFonts w:ascii="Arial Bold" w:hAnsi="Arial Bold"/>
      <w:b/>
      <w:color w:val="FFFFF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3803231">
      <w:bodyDiv w:val="1"/>
      <w:marLeft w:val="0"/>
      <w:marRight w:val="0"/>
      <w:marTop w:val="0"/>
      <w:marBottom w:val="0"/>
      <w:divBdr>
        <w:top w:val="none" w:sz="0" w:space="0" w:color="auto"/>
        <w:left w:val="none" w:sz="0" w:space="0" w:color="auto"/>
        <w:bottom w:val="none" w:sz="0" w:space="0" w:color="auto"/>
        <w:right w:val="none" w:sz="0" w:space="0" w:color="auto"/>
      </w:divBdr>
    </w:div>
    <w:div w:id="288978639">
      <w:bodyDiv w:val="1"/>
      <w:marLeft w:val="0"/>
      <w:marRight w:val="0"/>
      <w:marTop w:val="0"/>
      <w:marBottom w:val="0"/>
      <w:divBdr>
        <w:top w:val="none" w:sz="0" w:space="0" w:color="auto"/>
        <w:left w:val="none" w:sz="0" w:space="0" w:color="auto"/>
        <w:bottom w:val="none" w:sz="0" w:space="0" w:color="auto"/>
        <w:right w:val="none" w:sz="0" w:space="0" w:color="auto"/>
      </w:divBdr>
    </w:div>
    <w:div w:id="332488191">
      <w:bodyDiv w:val="1"/>
      <w:marLeft w:val="0"/>
      <w:marRight w:val="0"/>
      <w:marTop w:val="0"/>
      <w:marBottom w:val="0"/>
      <w:divBdr>
        <w:top w:val="none" w:sz="0" w:space="0" w:color="auto"/>
        <w:left w:val="none" w:sz="0" w:space="0" w:color="auto"/>
        <w:bottom w:val="none" w:sz="0" w:space="0" w:color="auto"/>
        <w:right w:val="none" w:sz="0" w:space="0" w:color="auto"/>
      </w:divBdr>
    </w:div>
    <w:div w:id="349719183">
      <w:bodyDiv w:val="1"/>
      <w:marLeft w:val="0"/>
      <w:marRight w:val="0"/>
      <w:marTop w:val="0"/>
      <w:marBottom w:val="0"/>
      <w:divBdr>
        <w:top w:val="none" w:sz="0" w:space="0" w:color="auto"/>
        <w:left w:val="none" w:sz="0" w:space="0" w:color="auto"/>
        <w:bottom w:val="none" w:sz="0" w:space="0" w:color="auto"/>
        <w:right w:val="none" w:sz="0" w:space="0" w:color="auto"/>
      </w:divBdr>
    </w:div>
    <w:div w:id="562104933">
      <w:bodyDiv w:val="1"/>
      <w:marLeft w:val="0"/>
      <w:marRight w:val="0"/>
      <w:marTop w:val="0"/>
      <w:marBottom w:val="0"/>
      <w:divBdr>
        <w:top w:val="none" w:sz="0" w:space="0" w:color="auto"/>
        <w:left w:val="none" w:sz="0" w:space="0" w:color="auto"/>
        <w:bottom w:val="none" w:sz="0" w:space="0" w:color="auto"/>
        <w:right w:val="none" w:sz="0" w:space="0" w:color="auto"/>
      </w:divBdr>
    </w:div>
    <w:div w:id="730268259">
      <w:bodyDiv w:val="1"/>
      <w:marLeft w:val="0"/>
      <w:marRight w:val="0"/>
      <w:marTop w:val="0"/>
      <w:marBottom w:val="0"/>
      <w:divBdr>
        <w:top w:val="none" w:sz="0" w:space="0" w:color="auto"/>
        <w:left w:val="none" w:sz="0" w:space="0" w:color="auto"/>
        <w:bottom w:val="none" w:sz="0" w:space="0" w:color="auto"/>
        <w:right w:val="none" w:sz="0" w:space="0" w:color="auto"/>
      </w:divBdr>
    </w:div>
    <w:div w:id="733551451">
      <w:bodyDiv w:val="1"/>
      <w:marLeft w:val="0"/>
      <w:marRight w:val="0"/>
      <w:marTop w:val="0"/>
      <w:marBottom w:val="0"/>
      <w:divBdr>
        <w:top w:val="none" w:sz="0" w:space="0" w:color="auto"/>
        <w:left w:val="none" w:sz="0" w:space="0" w:color="auto"/>
        <w:bottom w:val="none" w:sz="0" w:space="0" w:color="auto"/>
        <w:right w:val="none" w:sz="0" w:space="0" w:color="auto"/>
      </w:divBdr>
    </w:div>
    <w:div w:id="769936946">
      <w:bodyDiv w:val="1"/>
      <w:marLeft w:val="0"/>
      <w:marRight w:val="0"/>
      <w:marTop w:val="0"/>
      <w:marBottom w:val="0"/>
      <w:divBdr>
        <w:top w:val="none" w:sz="0" w:space="0" w:color="auto"/>
        <w:left w:val="none" w:sz="0" w:space="0" w:color="auto"/>
        <w:bottom w:val="none" w:sz="0" w:space="0" w:color="auto"/>
        <w:right w:val="none" w:sz="0" w:space="0" w:color="auto"/>
      </w:divBdr>
    </w:div>
    <w:div w:id="781612053">
      <w:bodyDiv w:val="1"/>
      <w:marLeft w:val="0"/>
      <w:marRight w:val="0"/>
      <w:marTop w:val="0"/>
      <w:marBottom w:val="0"/>
      <w:divBdr>
        <w:top w:val="none" w:sz="0" w:space="0" w:color="auto"/>
        <w:left w:val="none" w:sz="0" w:space="0" w:color="auto"/>
        <w:bottom w:val="none" w:sz="0" w:space="0" w:color="auto"/>
        <w:right w:val="none" w:sz="0" w:space="0" w:color="auto"/>
      </w:divBdr>
      <w:divsChild>
        <w:div w:id="283269011">
          <w:marLeft w:val="0"/>
          <w:marRight w:val="0"/>
          <w:marTop w:val="0"/>
          <w:marBottom w:val="0"/>
          <w:divBdr>
            <w:top w:val="none" w:sz="0" w:space="0" w:color="auto"/>
            <w:left w:val="none" w:sz="0" w:space="0" w:color="auto"/>
            <w:bottom w:val="none" w:sz="0" w:space="0" w:color="auto"/>
            <w:right w:val="none" w:sz="0" w:space="0" w:color="auto"/>
          </w:divBdr>
        </w:div>
        <w:div w:id="1064911469">
          <w:marLeft w:val="0"/>
          <w:marRight w:val="0"/>
          <w:marTop w:val="0"/>
          <w:marBottom w:val="0"/>
          <w:divBdr>
            <w:top w:val="none" w:sz="0" w:space="0" w:color="auto"/>
            <w:left w:val="none" w:sz="0" w:space="0" w:color="auto"/>
            <w:bottom w:val="none" w:sz="0" w:space="0" w:color="auto"/>
            <w:right w:val="none" w:sz="0" w:space="0" w:color="auto"/>
          </w:divBdr>
        </w:div>
        <w:div w:id="1853448419">
          <w:marLeft w:val="0"/>
          <w:marRight w:val="0"/>
          <w:marTop w:val="0"/>
          <w:marBottom w:val="0"/>
          <w:divBdr>
            <w:top w:val="none" w:sz="0" w:space="0" w:color="auto"/>
            <w:left w:val="none" w:sz="0" w:space="0" w:color="auto"/>
            <w:bottom w:val="none" w:sz="0" w:space="0" w:color="auto"/>
            <w:right w:val="none" w:sz="0" w:space="0" w:color="auto"/>
          </w:divBdr>
        </w:div>
        <w:div w:id="2090611954">
          <w:marLeft w:val="0"/>
          <w:marRight w:val="0"/>
          <w:marTop w:val="0"/>
          <w:marBottom w:val="0"/>
          <w:divBdr>
            <w:top w:val="none" w:sz="0" w:space="0" w:color="auto"/>
            <w:left w:val="none" w:sz="0" w:space="0" w:color="auto"/>
            <w:bottom w:val="none" w:sz="0" w:space="0" w:color="auto"/>
            <w:right w:val="none" w:sz="0" w:space="0" w:color="auto"/>
          </w:divBdr>
        </w:div>
      </w:divsChild>
    </w:div>
    <w:div w:id="932319821">
      <w:bodyDiv w:val="1"/>
      <w:marLeft w:val="0"/>
      <w:marRight w:val="0"/>
      <w:marTop w:val="0"/>
      <w:marBottom w:val="0"/>
      <w:divBdr>
        <w:top w:val="none" w:sz="0" w:space="0" w:color="auto"/>
        <w:left w:val="none" w:sz="0" w:space="0" w:color="auto"/>
        <w:bottom w:val="none" w:sz="0" w:space="0" w:color="auto"/>
        <w:right w:val="none" w:sz="0" w:space="0" w:color="auto"/>
      </w:divBdr>
    </w:div>
    <w:div w:id="1006714951">
      <w:bodyDiv w:val="1"/>
      <w:marLeft w:val="0"/>
      <w:marRight w:val="0"/>
      <w:marTop w:val="0"/>
      <w:marBottom w:val="0"/>
      <w:divBdr>
        <w:top w:val="none" w:sz="0" w:space="0" w:color="auto"/>
        <w:left w:val="none" w:sz="0" w:space="0" w:color="auto"/>
        <w:bottom w:val="none" w:sz="0" w:space="0" w:color="auto"/>
        <w:right w:val="none" w:sz="0" w:space="0" w:color="auto"/>
      </w:divBdr>
    </w:div>
    <w:div w:id="1070882760">
      <w:bodyDiv w:val="1"/>
      <w:marLeft w:val="0"/>
      <w:marRight w:val="0"/>
      <w:marTop w:val="0"/>
      <w:marBottom w:val="0"/>
      <w:divBdr>
        <w:top w:val="none" w:sz="0" w:space="0" w:color="auto"/>
        <w:left w:val="none" w:sz="0" w:space="0" w:color="auto"/>
        <w:bottom w:val="none" w:sz="0" w:space="0" w:color="auto"/>
        <w:right w:val="none" w:sz="0" w:space="0" w:color="auto"/>
      </w:divBdr>
    </w:div>
    <w:div w:id="1102605469">
      <w:bodyDiv w:val="1"/>
      <w:marLeft w:val="0"/>
      <w:marRight w:val="0"/>
      <w:marTop w:val="0"/>
      <w:marBottom w:val="0"/>
      <w:divBdr>
        <w:top w:val="none" w:sz="0" w:space="0" w:color="auto"/>
        <w:left w:val="none" w:sz="0" w:space="0" w:color="auto"/>
        <w:bottom w:val="none" w:sz="0" w:space="0" w:color="auto"/>
        <w:right w:val="none" w:sz="0" w:space="0" w:color="auto"/>
      </w:divBdr>
    </w:div>
    <w:div w:id="1441947038">
      <w:bodyDiv w:val="1"/>
      <w:marLeft w:val="0"/>
      <w:marRight w:val="0"/>
      <w:marTop w:val="0"/>
      <w:marBottom w:val="0"/>
      <w:divBdr>
        <w:top w:val="none" w:sz="0" w:space="0" w:color="auto"/>
        <w:left w:val="none" w:sz="0" w:space="0" w:color="auto"/>
        <w:bottom w:val="none" w:sz="0" w:space="0" w:color="auto"/>
        <w:right w:val="none" w:sz="0" w:space="0" w:color="auto"/>
      </w:divBdr>
    </w:div>
    <w:div w:id="1465349302">
      <w:bodyDiv w:val="1"/>
      <w:marLeft w:val="0"/>
      <w:marRight w:val="0"/>
      <w:marTop w:val="0"/>
      <w:marBottom w:val="0"/>
      <w:divBdr>
        <w:top w:val="none" w:sz="0" w:space="0" w:color="auto"/>
        <w:left w:val="none" w:sz="0" w:space="0" w:color="auto"/>
        <w:bottom w:val="none" w:sz="0" w:space="0" w:color="auto"/>
        <w:right w:val="none" w:sz="0" w:space="0" w:color="auto"/>
      </w:divBdr>
    </w:div>
    <w:div w:id="1743989195">
      <w:bodyDiv w:val="1"/>
      <w:marLeft w:val="0"/>
      <w:marRight w:val="0"/>
      <w:marTop w:val="0"/>
      <w:marBottom w:val="0"/>
      <w:divBdr>
        <w:top w:val="none" w:sz="0" w:space="0" w:color="auto"/>
        <w:left w:val="none" w:sz="0" w:space="0" w:color="auto"/>
        <w:bottom w:val="none" w:sz="0" w:space="0" w:color="auto"/>
        <w:right w:val="none" w:sz="0" w:space="0" w:color="auto"/>
      </w:divBdr>
    </w:div>
    <w:div w:id="1854025564">
      <w:bodyDiv w:val="1"/>
      <w:marLeft w:val="0"/>
      <w:marRight w:val="0"/>
      <w:marTop w:val="0"/>
      <w:marBottom w:val="0"/>
      <w:divBdr>
        <w:top w:val="none" w:sz="0" w:space="0" w:color="auto"/>
        <w:left w:val="none" w:sz="0" w:space="0" w:color="auto"/>
        <w:bottom w:val="none" w:sz="0" w:space="0" w:color="auto"/>
        <w:right w:val="none" w:sz="0" w:space="0" w:color="auto"/>
      </w:divBdr>
    </w:div>
    <w:div w:id="1965842491">
      <w:bodyDiv w:val="1"/>
      <w:marLeft w:val="0"/>
      <w:marRight w:val="0"/>
      <w:marTop w:val="0"/>
      <w:marBottom w:val="0"/>
      <w:divBdr>
        <w:top w:val="none" w:sz="0" w:space="0" w:color="auto"/>
        <w:left w:val="none" w:sz="0" w:space="0" w:color="auto"/>
        <w:bottom w:val="none" w:sz="0" w:space="0" w:color="auto"/>
        <w:right w:val="none" w:sz="0" w:space="0" w:color="auto"/>
      </w:divBdr>
    </w:div>
    <w:div w:id="2094088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7C82E606A73514588C608D095B111BD" ma:contentTypeVersion="1" ma:contentTypeDescription="Create a new document." ma:contentTypeScope="" ma:versionID="0a6b2198732e31dba119c4e8fb75ca2a">
  <xsd:schema xmlns:xsd="http://www.w3.org/2001/XMLSchema" xmlns:p="http://schemas.microsoft.com/office/2006/metadata/properties" targetNamespace="http://schemas.microsoft.com/office/2006/metadata/properties" ma:root="true" ma:fieldsID="8b5c5128bb93e18c414a5f5ca87b3fa1">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ma:index="8" ma:displayName="Comments"/>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961FFD-0405-4E4B-B5EE-E0323CA43647}">
  <ds:schemaRefs>
    <ds:schemaRef ds:uri="http://schemas.microsoft.com/sharepoint/v3/contenttype/forms"/>
  </ds:schemaRefs>
</ds:datastoreItem>
</file>

<file path=customXml/itemProps2.xml><?xml version="1.0" encoding="utf-8"?>
<ds:datastoreItem xmlns:ds="http://schemas.openxmlformats.org/officeDocument/2006/customXml" ds:itemID="{81119FF8-1499-407C-BD15-220EE1718D5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F7FF617-277C-4598-B0F8-7F7081A8BFDC}">
  <ds:schemaRefs>
    <ds:schemaRef ds:uri="http://schemas.microsoft.com/office/2006/metadata/properties"/>
  </ds:schemaRefs>
</ds:datastoreItem>
</file>

<file path=customXml/itemProps4.xml><?xml version="1.0" encoding="utf-8"?>
<ds:datastoreItem xmlns:ds="http://schemas.openxmlformats.org/officeDocument/2006/customXml" ds:itemID="{7AE45F7B-0F63-4943-844C-3063CA8D8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Pages>
  <Words>2395</Words>
  <Characters>13656</Characters>
  <Application>Microsoft Office Word</Application>
  <DocSecurity>0</DocSecurity>
  <Lines>113</Lines>
  <Paragraphs>32</Paragraphs>
  <ScaleCrop>false</ScaleCrop>
  <HeadingPairs>
    <vt:vector size="2" baseType="variant">
      <vt:variant>
        <vt:lpstr>Title</vt:lpstr>
      </vt:variant>
      <vt:variant>
        <vt:i4>1</vt:i4>
      </vt:variant>
    </vt:vector>
  </HeadingPairs>
  <TitlesOfParts>
    <vt:vector size="1" baseType="lpstr">
      <vt:lpstr/>
    </vt:vector>
  </TitlesOfParts>
  <Company>OGC Buying Solutions</Company>
  <LinksUpToDate>false</LinksUpToDate>
  <CharactersWithSpaces>16019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lanel</dc:creator>
  <cp:lastModifiedBy>Susan Locke</cp:lastModifiedBy>
  <cp:revision>2</cp:revision>
  <cp:lastPrinted>2016-02-15T15:51:00Z</cp:lastPrinted>
  <dcterms:created xsi:type="dcterms:W3CDTF">2019-11-13T15:36:00Z</dcterms:created>
  <dcterms:modified xsi:type="dcterms:W3CDTF">2019-11-13T15:36:00Z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0x010100B7C82E606A73514588C608D095B111BD</vt:lpwstr>
  </property>
  <property fmtid="{D5CDD505-2E9C-101B-9397-08002B2CF9AE}" pid="3" name="BASEPRECID">
    <vt:i4>17</vt:i4>
  </property>
  <property fmtid="{D5CDD505-2E9C-101B-9397-08002B2CF9AE}" pid="4" name="BASEPRECTYPE">
    <vt:lpwstr>BLANK</vt:lpwstr>
  </property>
  <property fmtid="{D5CDD505-2E9C-101B-9397-08002B2CF9AE}" pid="5" name="DOCID">
    <vt:i4>3886949</vt:i4>
  </property>
  <property fmtid="{D5CDD505-2E9C-101B-9397-08002B2CF9AE}" pid="6" name="COMPANYID">
    <vt:i4>2122615613</vt:i4>
  </property>
  <property fmtid="{D5CDD505-2E9C-101B-9397-08002B2CF9AE}" pid="7" name="SERIALNO">
    <vt:i4>11311</vt:i4>
  </property>
  <property fmtid="{D5CDD505-2E9C-101B-9397-08002B2CF9AE}" pid="8" name="EDITION">
    <vt:lpwstr>FM</vt:lpwstr>
  </property>
  <property fmtid="{D5CDD505-2E9C-101B-9397-08002B2CF9AE}" pid="9" name="CLIENTID">
    <vt:i4>2427</vt:i4>
  </property>
  <property fmtid="{D5CDD505-2E9C-101B-9397-08002B2CF9AE}" pid="10" name="FILEID">
    <vt:i4>90994</vt:i4>
  </property>
  <property fmtid="{D5CDD505-2E9C-101B-9397-08002B2CF9AE}" pid="11" name="ASSOCID">
    <vt:i4>413352</vt:i4>
  </property>
  <property fmtid="{D5CDD505-2E9C-101B-9397-08002B2CF9AE}" pid="12" name="DOCIDEX">
    <vt:lpwstr>8497480</vt:lpwstr>
  </property>
  <property fmtid="{D5CDD505-2E9C-101B-9397-08002B2CF9AE}" pid="13" name="VERSIONID">
    <vt:lpwstr>34165cc7-d983-4ddc-bf52-1a12f04693a1</vt:lpwstr>
  </property>
  <property fmtid="{D5CDD505-2E9C-101B-9397-08002B2CF9AE}" pid="14" name="VERSIONLABEL">
    <vt:lpwstr>3</vt:lpwstr>
  </property>
</Properties>
</file>