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BE66" w14:textId="77777777" w:rsidR="002C2496" w:rsidRDefault="002C2496" w:rsidP="00AD2EE4">
      <w:pPr>
        <w:pStyle w:val="BlankDocumentTitle"/>
      </w:pPr>
      <w:r>
        <w:t>MODEL AGREEMENT FOR SERVICES SCHEDULES</w:t>
      </w:r>
    </w:p>
    <w:p w14:paraId="5C4C1B2E" w14:textId="77777777" w:rsidR="002C2496" w:rsidRPr="002D0ED9" w:rsidRDefault="002C2496" w:rsidP="00AD2EE4">
      <w:pPr>
        <w:pStyle w:val="StdBodyText"/>
        <w:jc w:val="center"/>
      </w:pPr>
    </w:p>
    <w:p w14:paraId="6EBBA287" w14:textId="2A20CA42" w:rsidR="002C2496" w:rsidRDefault="00AD2EE4" w:rsidP="00AD2EE4">
      <w:pPr>
        <w:pStyle w:val="ScheduleHeading0"/>
        <w:numPr>
          <w:ilvl w:val="0"/>
          <w:numId w:val="0"/>
        </w:numPr>
        <w:outlineLvl w:val="0"/>
      </w:pPr>
      <w:bookmarkStart w:id="0" w:name="_Ref44601378"/>
      <w:r>
        <w:t>SCHEDULE 1</w:t>
      </w:r>
    </w:p>
    <w:bookmarkEnd w:id="0"/>
    <w:p w14:paraId="2F5707AF" w14:textId="77777777" w:rsidR="002C2496" w:rsidRPr="002D0ED9" w:rsidRDefault="002C2496" w:rsidP="00AD2EE4">
      <w:pPr>
        <w:pStyle w:val="StdBodyText"/>
        <w:jc w:val="center"/>
      </w:pPr>
    </w:p>
    <w:p w14:paraId="38CE9B1E" w14:textId="77777777" w:rsidR="002C2496" w:rsidRDefault="002C2496" w:rsidP="00AD2EE4">
      <w:pPr>
        <w:pStyle w:val="ScheduleSubHeading"/>
      </w:pPr>
      <w:bookmarkStart w:id="1" w:name="DEFINITIONS"/>
      <w:r>
        <w:t>DEFINITIONS</w:t>
      </w:r>
    </w:p>
    <w:bookmarkEnd w:id="1"/>
    <w:p w14:paraId="69219FDE" w14:textId="77777777" w:rsidR="002C2496" w:rsidRDefault="002C2496" w:rsidP="00AD2EE4">
      <w:pPr>
        <w:jc w:val="center"/>
        <w:rPr>
          <w:rFonts w:eastAsia="Times New Roman" w:cs="Times New Roman"/>
          <w:szCs w:val="24"/>
          <w:lang w:eastAsia="en-GB"/>
        </w:rPr>
      </w:pPr>
      <w:r>
        <w:br w:type="page"/>
      </w:r>
    </w:p>
    <w:p w14:paraId="49FEFCE9" w14:textId="77777777" w:rsidR="002C2496" w:rsidRDefault="002C2496" w:rsidP="002C2496">
      <w:pPr>
        <w:pStyle w:val="BlankDocumentTitle"/>
      </w:pPr>
      <w:r>
        <w:lastRenderedPageBreak/>
        <w:t>Definitions</w:t>
      </w:r>
    </w:p>
    <w:p w14:paraId="56395ABF" w14:textId="77777777" w:rsidR="002C2496" w:rsidRDefault="002C2496" w:rsidP="00AD2EE4">
      <w:pPr>
        <w:pStyle w:val="ScheduleText2"/>
        <w:numPr>
          <w:ilvl w:val="1"/>
          <w:numId w:val="12"/>
        </w:numPr>
      </w:pPr>
      <w:r>
        <w:t>Unless otherwise provided or the context otherwise requires the following expressions shall have the meanings set out below.</w:t>
      </w:r>
    </w:p>
    <w:tbl>
      <w:tblPr>
        <w:tblStyle w:val="TableGrid"/>
        <w:tblW w:w="873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3"/>
        <w:gridCol w:w="5245"/>
      </w:tblGrid>
      <w:tr w:rsidR="001421AE" w14:paraId="535D08D9" w14:textId="77777777" w:rsidTr="006816C5">
        <w:tc>
          <w:tcPr>
            <w:tcW w:w="3493" w:type="dxa"/>
          </w:tcPr>
          <w:p w14:paraId="0B2453B3" w14:textId="77777777" w:rsidR="001421AE" w:rsidRDefault="001421AE" w:rsidP="00813948">
            <w:pPr>
              <w:pStyle w:val="StdBodyTextBold"/>
            </w:pPr>
            <w:r>
              <w:t>“Accounting Reference Date”</w:t>
            </w:r>
          </w:p>
        </w:tc>
        <w:tc>
          <w:tcPr>
            <w:tcW w:w="5245" w:type="dxa"/>
          </w:tcPr>
          <w:p w14:paraId="0BABA81D" w14:textId="77777777" w:rsidR="001421AE" w:rsidRDefault="001421AE" w:rsidP="00813948">
            <w:pPr>
              <w:pStyle w:val="StdBodyText"/>
            </w:pPr>
            <w:r>
              <w:t>means in each year the date to which the Supplier prepares its annual audited financial statements;</w:t>
            </w:r>
          </w:p>
        </w:tc>
      </w:tr>
      <w:tr w:rsidR="001421AE" w14:paraId="1EBEBEBA" w14:textId="77777777" w:rsidTr="006816C5">
        <w:tc>
          <w:tcPr>
            <w:tcW w:w="3493" w:type="dxa"/>
          </w:tcPr>
          <w:p w14:paraId="33293C08" w14:textId="77777777" w:rsidR="001421AE" w:rsidRDefault="001421AE" w:rsidP="00813948">
            <w:pPr>
              <w:pStyle w:val="StdBodyTextBold"/>
            </w:pPr>
            <w:r>
              <w:t>“Achieve”</w:t>
            </w:r>
          </w:p>
        </w:tc>
        <w:tc>
          <w:tcPr>
            <w:tcW w:w="5245" w:type="dxa"/>
          </w:tcPr>
          <w:p w14:paraId="4FF0D885" w14:textId="77777777" w:rsidR="001421AE" w:rsidRDefault="001421AE" w:rsidP="002C2496">
            <w:pPr>
              <w:pStyle w:val="DefinitionList"/>
            </w:pPr>
            <w:r>
              <w:t xml:space="preserve">in respect of a Test, to successfully pass a Test without any Test Issues; and </w:t>
            </w:r>
          </w:p>
          <w:p w14:paraId="65AF4972" w14:textId="19F86970" w:rsidR="001421AE" w:rsidRDefault="001421AE" w:rsidP="002C2496">
            <w:pPr>
              <w:pStyle w:val="DefinitionList"/>
            </w:pPr>
            <w:r>
              <w:t xml:space="preserve">in respect of a Milestone, the issue of a </w:t>
            </w:r>
            <w:bookmarkStart w:id="2" w:name="_9kMHG5YVt4CCFMHYLrowC94vJCqxv9A235LlRDT"/>
            <w:r>
              <w:t>Milestone Achievement Certificate</w:t>
            </w:r>
            <w:bookmarkEnd w:id="2"/>
            <w:r>
              <w:t xml:space="preserve"> in respect of that Milestone in accordance with the provisions of </w:t>
            </w:r>
            <w:r w:rsidRPr="009830EF">
              <w:rPr>
                <w:rFonts w:cs="Arial"/>
              </w:rPr>
              <w:t xml:space="preserve">Schedule 6.2 </w:t>
            </w:r>
            <w:r>
              <w:t xml:space="preserve"> (</w:t>
            </w:r>
            <w:r w:rsidRPr="00233B27">
              <w:rPr>
                <w:i/>
              </w:rPr>
              <w:t>Testing</w:t>
            </w:r>
            <w:r>
              <w:t xml:space="preserve"> </w:t>
            </w:r>
            <w:r w:rsidRPr="00233B27">
              <w:rPr>
                <w:i/>
              </w:rPr>
              <w:t>Procedures</w:t>
            </w:r>
            <w:r>
              <w:t>),</w:t>
            </w:r>
          </w:p>
          <w:p w14:paraId="10A1802B" w14:textId="77777777" w:rsidR="001421AE" w:rsidRDefault="001421AE" w:rsidP="00813948">
            <w:pPr>
              <w:pStyle w:val="StdBodyText"/>
            </w:pPr>
            <w:r>
              <w:t xml:space="preserve">and </w:t>
            </w:r>
            <w:r w:rsidRPr="00E52EBA">
              <w:t>“</w:t>
            </w:r>
            <w:r w:rsidRPr="00E52EBA">
              <w:rPr>
                <w:rStyle w:val="StdBodyTextBoldChar"/>
              </w:rPr>
              <w:t>Achieved</w:t>
            </w:r>
            <w:r w:rsidRPr="00E52EBA">
              <w:t>”</w:t>
            </w:r>
            <w:r>
              <w:t xml:space="preserve"> and </w:t>
            </w:r>
            <w:r w:rsidRPr="00E52EBA">
              <w:t>“</w:t>
            </w:r>
            <w:r w:rsidRPr="00E52EBA">
              <w:rPr>
                <w:rStyle w:val="StdBodyTextBoldChar"/>
              </w:rPr>
              <w:t>Achievement</w:t>
            </w:r>
            <w:r w:rsidRPr="00E52EBA">
              <w:t>”</w:t>
            </w:r>
            <w:r>
              <w:t xml:space="preserve"> shall be construed accordingly;</w:t>
            </w:r>
          </w:p>
        </w:tc>
      </w:tr>
      <w:tr w:rsidR="001421AE" w14:paraId="324B2C83" w14:textId="77777777" w:rsidTr="006816C5">
        <w:tc>
          <w:tcPr>
            <w:tcW w:w="3493" w:type="dxa"/>
          </w:tcPr>
          <w:p w14:paraId="50E5DF4E" w14:textId="77777777" w:rsidR="001421AE" w:rsidRDefault="001421AE" w:rsidP="00813948">
            <w:pPr>
              <w:pStyle w:val="StdBodyTextBold"/>
            </w:pPr>
            <w:r>
              <w:t>“Affected Party”</w:t>
            </w:r>
          </w:p>
        </w:tc>
        <w:tc>
          <w:tcPr>
            <w:tcW w:w="5245" w:type="dxa"/>
          </w:tcPr>
          <w:p w14:paraId="1DB48B28" w14:textId="77777777" w:rsidR="001421AE" w:rsidRDefault="001421AE" w:rsidP="00813948">
            <w:pPr>
              <w:pStyle w:val="StdBodyText"/>
            </w:pPr>
            <w:r>
              <w:t>the Party seeking to claim relief in respect of a Force Majeure Event;</w:t>
            </w:r>
          </w:p>
        </w:tc>
      </w:tr>
      <w:tr w:rsidR="001421AE" w14:paraId="46B1F479" w14:textId="77777777" w:rsidTr="006816C5">
        <w:tc>
          <w:tcPr>
            <w:tcW w:w="3493" w:type="dxa"/>
          </w:tcPr>
          <w:p w14:paraId="08F77329" w14:textId="77777777" w:rsidR="001421AE" w:rsidRDefault="001421AE" w:rsidP="00813948">
            <w:pPr>
              <w:pStyle w:val="StdBodyTextBold"/>
            </w:pPr>
            <w:r>
              <w:t>“Affiliate”</w:t>
            </w:r>
          </w:p>
        </w:tc>
        <w:tc>
          <w:tcPr>
            <w:tcW w:w="5245" w:type="dxa"/>
          </w:tcPr>
          <w:p w14:paraId="1809B002" w14:textId="77777777" w:rsidR="001421AE" w:rsidRDefault="001421AE" w:rsidP="00813948">
            <w:pPr>
              <w:pStyle w:val="StdBodyText"/>
            </w:pPr>
            <w:r>
              <w:t>in relation to a body corporate, any other entity which directly or indirectly Controls, is Controlled by, or is under direct or indirect common Control with, that body corporate from time to time;</w:t>
            </w:r>
          </w:p>
        </w:tc>
      </w:tr>
      <w:tr w:rsidR="001421AE" w14:paraId="6229682C" w14:textId="77777777" w:rsidTr="006816C5">
        <w:tc>
          <w:tcPr>
            <w:tcW w:w="3493" w:type="dxa"/>
          </w:tcPr>
          <w:p w14:paraId="33FCA531" w14:textId="77777777" w:rsidR="001421AE" w:rsidRDefault="001421AE" w:rsidP="00813948">
            <w:pPr>
              <w:pStyle w:val="StdBodyTextBold"/>
            </w:pPr>
            <w:r>
              <w:t>“Allowable Assumptions”</w:t>
            </w:r>
          </w:p>
        </w:tc>
        <w:tc>
          <w:tcPr>
            <w:tcW w:w="5245" w:type="dxa"/>
          </w:tcPr>
          <w:p w14:paraId="7E5A1D77" w14:textId="67B419C4" w:rsidR="001421AE" w:rsidRDefault="001421AE" w:rsidP="00813948">
            <w:pPr>
              <w:pStyle w:val="StdBodyText"/>
            </w:pPr>
            <w:r>
              <w:t>the assumptions set out in Annex 5 of Schedule 7.1 (</w:t>
            </w:r>
            <w:r w:rsidRPr="00233B27">
              <w:rPr>
                <w:i/>
              </w:rPr>
              <w:t>Charges and Invoicing</w:t>
            </w:r>
            <w:r>
              <w:t>);</w:t>
            </w:r>
          </w:p>
        </w:tc>
      </w:tr>
      <w:tr w:rsidR="001421AE" w14:paraId="3746F005" w14:textId="77777777" w:rsidTr="006816C5">
        <w:tc>
          <w:tcPr>
            <w:tcW w:w="3493" w:type="dxa"/>
          </w:tcPr>
          <w:p w14:paraId="698E4942" w14:textId="77777777" w:rsidR="001421AE" w:rsidRDefault="001421AE" w:rsidP="00813948">
            <w:pPr>
              <w:pStyle w:val="StdBodyTextBold"/>
            </w:pPr>
            <w:r>
              <w:t>“Allowable Price Adjustment”</w:t>
            </w:r>
          </w:p>
        </w:tc>
        <w:tc>
          <w:tcPr>
            <w:tcW w:w="5245" w:type="dxa"/>
          </w:tcPr>
          <w:p w14:paraId="129D4AB0" w14:textId="77777777" w:rsidR="001421AE" w:rsidRDefault="001421AE" w:rsidP="00813948">
            <w:pPr>
              <w:pStyle w:val="StdBodyText"/>
            </w:pPr>
            <w:r>
              <w:t xml:space="preserve">has the meaning given in </w:t>
            </w:r>
            <w:bookmarkStart w:id="3" w:name="_9kMHG5YVtCJBAGKJHNwv1x90aV41r52tTP49KHE"/>
            <w:bookmarkStart w:id="4" w:name="_9kMHG5YVtCIAAGLKHNwv1x90aV41r52tTP49KHE"/>
            <w:r>
              <w:t xml:space="preserve">Clause </w:t>
            </w:r>
            <w:bookmarkEnd w:id="3"/>
            <w:bookmarkEnd w:id="4"/>
            <w:r>
              <w:t>35.8(c) (</w:t>
            </w:r>
            <w:r w:rsidRPr="007306FE">
              <w:rPr>
                <w:i/>
              </w:rPr>
              <w:t>Payments</w:t>
            </w:r>
            <w:r>
              <w:t xml:space="preserve"> </w:t>
            </w:r>
            <w:r w:rsidRPr="007306FE">
              <w:rPr>
                <w:i/>
              </w:rPr>
              <w:t>by the Supplier</w:t>
            </w:r>
            <w:r>
              <w:t>);</w:t>
            </w:r>
          </w:p>
        </w:tc>
      </w:tr>
      <w:tr w:rsidR="001421AE" w14:paraId="5E75F625" w14:textId="77777777" w:rsidTr="006816C5">
        <w:tc>
          <w:tcPr>
            <w:tcW w:w="3493" w:type="dxa"/>
          </w:tcPr>
          <w:p w14:paraId="3772BE7E" w14:textId="77777777" w:rsidR="001421AE" w:rsidRDefault="001421AE" w:rsidP="00813948">
            <w:pPr>
              <w:pStyle w:val="StdBodyTextBold"/>
            </w:pPr>
            <w:r>
              <w:t>“Allowable Price”</w:t>
            </w:r>
          </w:p>
        </w:tc>
        <w:tc>
          <w:tcPr>
            <w:tcW w:w="5245" w:type="dxa"/>
          </w:tcPr>
          <w:p w14:paraId="4802B6F9" w14:textId="77777777" w:rsidR="001421AE" w:rsidRDefault="001421AE" w:rsidP="00813948">
            <w:pPr>
              <w:pStyle w:val="StdBodyText"/>
            </w:pPr>
            <w:r>
              <w:t>in relation to the Retained Deliverables relating to a CPP Milestone, if any, an amount determined in accordance with the formula:</w:t>
            </w:r>
          </w:p>
          <w:p w14:paraId="2B324813" w14:textId="77777777" w:rsidR="001421AE" w:rsidRDefault="001421AE" w:rsidP="00813948">
            <w:pPr>
              <w:pStyle w:val="StdBodyText"/>
            </w:pPr>
            <w:r>
              <w:tab/>
            </w:r>
            <w:r>
              <w:tab/>
              <w:t>A – B</w:t>
            </w:r>
          </w:p>
          <w:p w14:paraId="4303BDAB" w14:textId="77777777" w:rsidR="001421AE" w:rsidRDefault="001421AE" w:rsidP="00813948">
            <w:pPr>
              <w:pStyle w:val="StdBodyText"/>
            </w:pPr>
            <w:r>
              <w:t>where:</w:t>
            </w:r>
          </w:p>
          <w:p w14:paraId="01902EE1" w14:textId="77777777" w:rsidR="001421AE" w:rsidRDefault="001421AE" w:rsidP="00AD2EE4">
            <w:pPr>
              <w:pStyle w:val="DefinitionList"/>
              <w:numPr>
                <w:ilvl w:val="0"/>
                <w:numId w:val="15"/>
              </w:numPr>
            </w:pPr>
            <w:r>
              <w:t xml:space="preserve">A is an amount equal to the Costs incurred by the Supplier in providing or developing the relevant Retained Deliverables as reflected in the Financial Model together with an amount equal to </w:t>
            </w:r>
            <w:r>
              <w:lastRenderedPageBreak/>
              <w:t>the Anticipated Contract Life Profit Margin thereon; and</w:t>
            </w:r>
          </w:p>
          <w:p w14:paraId="1363147B" w14:textId="77777777" w:rsidR="001421AE" w:rsidRDefault="001421AE" w:rsidP="002C2496">
            <w:pPr>
              <w:pStyle w:val="DefinitionList"/>
            </w:pPr>
            <w:r>
              <w:t>B is an amount equal to the Allowable Price Adjustment relating to the relevant Retained Deliverables, if any, or if there is no such Allowable Price Adjustment, zero,</w:t>
            </w:r>
          </w:p>
          <w:p w14:paraId="5B1562A3" w14:textId="77777777" w:rsidR="001421AE" w:rsidRDefault="001421AE" w:rsidP="00813948">
            <w:pPr>
              <w:pStyle w:val="StdBodyText"/>
            </w:pPr>
            <w:r>
              <w:t>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rsidR="001421AE" w14:paraId="0464F6FA" w14:textId="77777777" w:rsidTr="006816C5">
        <w:tc>
          <w:tcPr>
            <w:tcW w:w="3493" w:type="dxa"/>
          </w:tcPr>
          <w:p w14:paraId="6E70D363" w14:textId="77777777" w:rsidR="001421AE" w:rsidRDefault="001421AE" w:rsidP="00813948">
            <w:pPr>
              <w:pStyle w:val="StdBodyTextBold"/>
            </w:pPr>
            <w:r>
              <w:lastRenderedPageBreak/>
              <w:t>“Annual Contract Report”</w:t>
            </w:r>
          </w:p>
        </w:tc>
        <w:tc>
          <w:tcPr>
            <w:tcW w:w="5245" w:type="dxa"/>
          </w:tcPr>
          <w:p w14:paraId="796A7705" w14:textId="034D570A" w:rsidR="001421AE" w:rsidRDefault="001421AE" w:rsidP="00813948">
            <w:pPr>
              <w:pStyle w:val="StdBodyText"/>
            </w:pPr>
            <w:r>
              <w:t>has the meaning given in Schedule 7.5 (</w:t>
            </w:r>
            <w:r w:rsidRPr="007306FE">
              <w:rPr>
                <w:i/>
              </w:rPr>
              <w:t>Financial Reports and Audit Rights</w:t>
            </w:r>
            <w:r>
              <w:t>);</w:t>
            </w:r>
          </w:p>
        </w:tc>
      </w:tr>
      <w:tr w:rsidR="001421AE" w14:paraId="3AA79EED" w14:textId="77777777" w:rsidTr="006816C5">
        <w:tc>
          <w:tcPr>
            <w:tcW w:w="3493" w:type="dxa"/>
          </w:tcPr>
          <w:p w14:paraId="3063878C" w14:textId="77777777" w:rsidR="001421AE" w:rsidRDefault="001421AE" w:rsidP="00813948">
            <w:pPr>
              <w:pStyle w:val="StdBodyTextBold"/>
            </w:pPr>
            <w:r>
              <w:t>“Annual Revenue”</w:t>
            </w:r>
          </w:p>
        </w:tc>
        <w:tc>
          <w:tcPr>
            <w:tcW w:w="5245" w:type="dxa"/>
          </w:tcPr>
          <w:p w14:paraId="7553DE92" w14:textId="77777777" w:rsidR="001421AE" w:rsidRDefault="001421AE" w:rsidP="00813948">
            <w:pPr>
              <w:pStyle w:val="StdBodyText"/>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D8E89A4" w14:textId="77777777" w:rsidR="001421AE" w:rsidRDefault="001421AE" w:rsidP="00AD2EE4">
            <w:pPr>
              <w:pStyle w:val="DefinitionList"/>
              <w:numPr>
                <w:ilvl w:val="0"/>
                <w:numId w:val="20"/>
              </w:numPr>
            </w:pPr>
            <w:r>
              <w:t>figures for accounting periods of other than 12 months should be scaled pro rata to produce a proforma figure for a 12 month period; and</w:t>
            </w:r>
          </w:p>
          <w:p w14:paraId="50432322" w14:textId="77777777" w:rsidR="001421AE" w:rsidRDefault="001421AE" w:rsidP="002C2496">
            <w:pPr>
              <w:pStyle w:val="DefinitionList"/>
            </w:pPr>
            <w:r>
              <w:t>where the Supplier, the Supplier Group and/or their joint ventures and Associates report in a foreign currency, revenue should be converted to British Pound Sterling at the closing exchange rate on the Accounting Reference Date;</w:t>
            </w:r>
          </w:p>
        </w:tc>
      </w:tr>
      <w:tr w:rsidR="001421AE" w14:paraId="732DE5C6" w14:textId="77777777" w:rsidTr="006816C5">
        <w:tc>
          <w:tcPr>
            <w:tcW w:w="3493" w:type="dxa"/>
          </w:tcPr>
          <w:p w14:paraId="4B88C031" w14:textId="77777777" w:rsidR="001421AE" w:rsidRDefault="001421AE" w:rsidP="00813948">
            <w:pPr>
              <w:pStyle w:val="StdBodyTextBold"/>
            </w:pPr>
            <w:r>
              <w:t>“Anticipated Contract Life Profit Margin”</w:t>
            </w:r>
          </w:p>
        </w:tc>
        <w:tc>
          <w:tcPr>
            <w:tcW w:w="5245" w:type="dxa"/>
          </w:tcPr>
          <w:p w14:paraId="5841E653" w14:textId="4910BE26" w:rsidR="001421AE" w:rsidRDefault="001421AE" w:rsidP="00813948">
            <w:pPr>
              <w:pStyle w:val="StdBodyText"/>
            </w:pPr>
            <w:r>
              <w:t>has the meaning given in Schedule 7.1 (</w:t>
            </w:r>
            <w:r w:rsidRPr="007306FE">
              <w:rPr>
                <w:i/>
              </w:rPr>
              <w:t>Charges and Invoicing</w:t>
            </w:r>
            <w:r>
              <w:t>);</w:t>
            </w:r>
          </w:p>
        </w:tc>
      </w:tr>
      <w:tr w:rsidR="001421AE" w14:paraId="2A7A1EFE" w14:textId="77777777" w:rsidTr="006816C5">
        <w:tc>
          <w:tcPr>
            <w:tcW w:w="3493" w:type="dxa"/>
          </w:tcPr>
          <w:p w14:paraId="42D4E526" w14:textId="77777777" w:rsidR="001421AE" w:rsidRDefault="001421AE" w:rsidP="00813948">
            <w:pPr>
              <w:pStyle w:val="StdBodyTextBold"/>
            </w:pPr>
            <w:r>
              <w:t>“Approved Sub-Licensee”</w:t>
            </w:r>
          </w:p>
        </w:tc>
        <w:tc>
          <w:tcPr>
            <w:tcW w:w="5245" w:type="dxa"/>
          </w:tcPr>
          <w:p w14:paraId="7C67C555" w14:textId="77777777" w:rsidR="001421AE" w:rsidRDefault="001421AE" w:rsidP="00813948">
            <w:pPr>
              <w:pStyle w:val="StdBodyText"/>
            </w:pPr>
            <w:r>
              <w:t xml:space="preserve">any of the following: </w:t>
            </w:r>
          </w:p>
          <w:p w14:paraId="340A489D" w14:textId="77777777" w:rsidR="001421AE" w:rsidRDefault="001421AE" w:rsidP="00AD2EE4">
            <w:pPr>
              <w:pStyle w:val="DefinitionList"/>
              <w:numPr>
                <w:ilvl w:val="0"/>
                <w:numId w:val="19"/>
              </w:numPr>
            </w:pPr>
            <w:r>
              <w:t xml:space="preserve">a Central Government Body; </w:t>
            </w:r>
          </w:p>
          <w:p w14:paraId="099076E5" w14:textId="77777777" w:rsidR="001421AE" w:rsidRDefault="001421AE" w:rsidP="002C2496">
            <w:pPr>
              <w:pStyle w:val="DefinitionList"/>
            </w:pPr>
            <w:r>
              <w:t>any third party providing services to a Central Government Body; and/or</w:t>
            </w:r>
          </w:p>
          <w:p w14:paraId="062DEA17" w14:textId="77777777" w:rsidR="001421AE" w:rsidRDefault="001421AE" w:rsidP="002C2496">
            <w:pPr>
              <w:pStyle w:val="DefinitionList"/>
            </w:pPr>
            <w:r>
              <w:t xml:space="preserve">any body (including any private sector body) which performs or carries on any of the functions and/or activities that previously had been performed and/or carried on by the Authority; </w:t>
            </w:r>
          </w:p>
        </w:tc>
      </w:tr>
      <w:tr w:rsidR="001421AE" w14:paraId="651072D5" w14:textId="77777777" w:rsidTr="006816C5">
        <w:tc>
          <w:tcPr>
            <w:tcW w:w="3493" w:type="dxa"/>
          </w:tcPr>
          <w:p w14:paraId="2A03B750" w14:textId="77777777" w:rsidR="001421AE" w:rsidRDefault="001421AE" w:rsidP="00813948">
            <w:pPr>
              <w:pStyle w:val="StdBodyTextBold"/>
            </w:pPr>
            <w:r>
              <w:t>“Assets”</w:t>
            </w:r>
          </w:p>
        </w:tc>
        <w:tc>
          <w:tcPr>
            <w:tcW w:w="5245" w:type="dxa"/>
          </w:tcPr>
          <w:p w14:paraId="6B9C4503" w14:textId="77777777" w:rsidR="001421AE" w:rsidRDefault="001421AE" w:rsidP="00813948">
            <w:pPr>
              <w:pStyle w:val="StdBodyText"/>
            </w:pPr>
            <w:r>
              <w:t>all assets and rights used by the Supplier to provide the Services in accordance with this Agreement but excluding the Authority Assets;</w:t>
            </w:r>
          </w:p>
        </w:tc>
      </w:tr>
      <w:tr w:rsidR="001421AE" w14:paraId="20C33D9B" w14:textId="77777777" w:rsidTr="006816C5">
        <w:tc>
          <w:tcPr>
            <w:tcW w:w="3493" w:type="dxa"/>
          </w:tcPr>
          <w:p w14:paraId="43124133" w14:textId="77777777" w:rsidR="001421AE" w:rsidRDefault="001421AE" w:rsidP="00813948">
            <w:pPr>
              <w:pStyle w:val="StdBodyTextBold"/>
            </w:pPr>
            <w:r>
              <w:t>“Associated Person”</w:t>
            </w:r>
          </w:p>
        </w:tc>
        <w:tc>
          <w:tcPr>
            <w:tcW w:w="5245" w:type="dxa"/>
          </w:tcPr>
          <w:p w14:paraId="2E5C29FB" w14:textId="77777777" w:rsidR="001421AE" w:rsidRDefault="001421AE" w:rsidP="00813948">
            <w:pPr>
              <w:pStyle w:val="StdBodyText"/>
            </w:pPr>
            <w:r>
              <w:t xml:space="preserve">has the meaning given to it in </w:t>
            </w:r>
            <w:bookmarkStart w:id="5" w:name="_9kR3WTr277DGAbLcszv1INO9y47tPXA67921hZE"/>
            <w:r>
              <w:t>Section 44(4) of the Criminal Finances Act 2017</w:t>
            </w:r>
            <w:bookmarkEnd w:id="5"/>
            <w:r>
              <w:t>;</w:t>
            </w:r>
          </w:p>
        </w:tc>
      </w:tr>
      <w:tr w:rsidR="001421AE" w14:paraId="7FCD8577" w14:textId="77777777" w:rsidTr="006816C5">
        <w:tc>
          <w:tcPr>
            <w:tcW w:w="3493" w:type="dxa"/>
          </w:tcPr>
          <w:p w14:paraId="7D1F185B" w14:textId="77777777" w:rsidR="001421AE" w:rsidRDefault="001421AE" w:rsidP="00813948">
            <w:pPr>
              <w:pStyle w:val="StdBodyTextBold"/>
            </w:pPr>
            <w:r>
              <w:t>“Associates”</w:t>
            </w:r>
          </w:p>
        </w:tc>
        <w:tc>
          <w:tcPr>
            <w:tcW w:w="5245" w:type="dxa"/>
          </w:tcPr>
          <w:p w14:paraId="2CF64BFA" w14:textId="77777777" w:rsidR="001421AE" w:rsidRDefault="001421AE" w:rsidP="00813948">
            <w:pPr>
              <w:pStyle w:val="StdBodyText"/>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1421AE" w14:paraId="01333612" w14:textId="77777777" w:rsidTr="006816C5">
        <w:tc>
          <w:tcPr>
            <w:tcW w:w="3493" w:type="dxa"/>
          </w:tcPr>
          <w:p w14:paraId="0A8629A9" w14:textId="77777777" w:rsidR="001421AE" w:rsidRDefault="001421AE" w:rsidP="00813948">
            <w:pPr>
              <w:pStyle w:val="StdBodyTextBold"/>
            </w:pPr>
            <w:r>
              <w:t>“Assurance”</w:t>
            </w:r>
          </w:p>
        </w:tc>
        <w:tc>
          <w:tcPr>
            <w:tcW w:w="5245" w:type="dxa"/>
          </w:tcPr>
          <w:p w14:paraId="57F8DC95" w14:textId="77777777" w:rsidR="001421AE" w:rsidRDefault="001421AE" w:rsidP="00813948">
            <w:pPr>
              <w:pStyle w:val="StdBodyText"/>
            </w:pPr>
            <w:r>
              <w:t>means written confirmation from a Relevant Authority to the Supplier that the CRP Information is approved by the Relevant Authority;</w:t>
            </w:r>
          </w:p>
        </w:tc>
      </w:tr>
      <w:tr w:rsidR="001421AE" w14:paraId="24A804FC" w14:textId="77777777" w:rsidTr="006816C5">
        <w:tc>
          <w:tcPr>
            <w:tcW w:w="3493" w:type="dxa"/>
          </w:tcPr>
          <w:p w14:paraId="24AE0045" w14:textId="77777777" w:rsidR="001421AE" w:rsidRDefault="001421AE" w:rsidP="00813948">
            <w:pPr>
              <w:pStyle w:val="StdBodyTextBold"/>
            </w:pPr>
            <w:r>
              <w:t>“ATP Milestone”</w:t>
            </w:r>
          </w:p>
        </w:tc>
        <w:tc>
          <w:tcPr>
            <w:tcW w:w="5245" w:type="dxa"/>
          </w:tcPr>
          <w:p w14:paraId="424D2598" w14:textId="77777777" w:rsidR="001421AE" w:rsidRDefault="001421AE" w:rsidP="00813948">
            <w:pPr>
              <w:pStyle w:val="StdBodyText"/>
            </w:pPr>
            <w:r>
              <w:t>the Milestone linked to Authority to Proceed for the relevant Operational Services set out in the Implementation Plan;</w:t>
            </w:r>
          </w:p>
        </w:tc>
      </w:tr>
      <w:tr w:rsidR="001421AE" w14:paraId="2D69DA78" w14:textId="77777777" w:rsidTr="006816C5">
        <w:tc>
          <w:tcPr>
            <w:tcW w:w="3493" w:type="dxa"/>
          </w:tcPr>
          <w:p w14:paraId="5CD401B9" w14:textId="77777777" w:rsidR="001421AE" w:rsidRDefault="001421AE" w:rsidP="00813948">
            <w:pPr>
              <w:pStyle w:val="StdBodyTextBold"/>
            </w:pPr>
            <w:r>
              <w:t>“Audit Agents”</w:t>
            </w:r>
          </w:p>
        </w:tc>
        <w:tc>
          <w:tcPr>
            <w:tcW w:w="5245" w:type="dxa"/>
          </w:tcPr>
          <w:p w14:paraId="4C530FAA" w14:textId="77777777" w:rsidR="001421AE" w:rsidRDefault="001421AE" w:rsidP="00AD2EE4">
            <w:pPr>
              <w:pStyle w:val="DefinitionList"/>
              <w:numPr>
                <w:ilvl w:val="0"/>
                <w:numId w:val="21"/>
              </w:numPr>
            </w:pPr>
            <w:r>
              <w:t>the Authority’s internal and external auditors;</w:t>
            </w:r>
          </w:p>
          <w:p w14:paraId="298CD775" w14:textId="77777777" w:rsidR="001421AE" w:rsidRDefault="001421AE" w:rsidP="002C2496">
            <w:pPr>
              <w:pStyle w:val="DefinitionList"/>
            </w:pPr>
            <w:r>
              <w:t xml:space="preserve">the Authority’s statutory or regulatory auditors; </w:t>
            </w:r>
          </w:p>
          <w:p w14:paraId="1B327028" w14:textId="77777777" w:rsidR="001421AE" w:rsidRDefault="001421AE" w:rsidP="002C2496">
            <w:pPr>
              <w:pStyle w:val="DefinitionList"/>
            </w:pPr>
            <w:r>
              <w:t xml:space="preserve">the Comptroller and Auditor General, their staff and/or any appointed representatives of the National Audit Office; </w:t>
            </w:r>
          </w:p>
          <w:p w14:paraId="79058166" w14:textId="77777777" w:rsidR="001421AE" w:rsidRDefault="001421AE" w:rsidP="002C2496">
            <w:pPr>
              <w:pStyle w:val="DefinitionList"/>
            </w:pPr>
            <w:r>
              <w:t>HM Treasury or the Cabinet Office;</w:t>
            </w:r>
          </w:p>
          <w:p w14:paraId="63422236" w14:textId="77777777" w:rsidR="001421AE" w:rsidRDefault="001421AE" w:rsidP="002C2496">
            <w:pPr>
              <w:pStyle w:val="DefinitionList"/>
            </w:pPr>
            <w:r>
              <w:t>any party formally appointed by the Authority to carry out audit or similar review functions; and</w:t>
            </w:r>
          </w:p>
          <w:p w14:paraId="7B274AB4" w14:textId="77777777" w:rsidR="001421AE" w:rsidRDefault="001421AE" w:rsidP="002C2496">
            <w:pPr>
              <w:pStyle w:val="DefinitionList"/>
            </w:pPr>
            <w:r>
              <w:t>successors or assigns of any of the above;</w:t>
            </w:r>
          </w:p>
        </w:tc>
      </w:tr>
      <w:tr w:rsidR="001421AE" w14:paraId="599C9287" w14:textId="77777777" w:rsidTr="006816C5">
        <w:tc>
          <w:tcPr>
            <w:tcW w:w="3493" w:type="dxa"/>
          </w:tcPr>
          <w:p w14:paraId="50EF09D4" w14:textId="77777777" w:rsidR="001421AE" w:rsidRDefault="001421AE" w:rsidP="00813948">
            <w:pPr>
              <w:pStyle w:val="StdBodyTextBold"/>
            </w:pPr>
            <w:r>
              <w:t>“Audit Rights”</w:t>
            </w:r>
          </w:p>
        </w:tc>
        <w:tc>
          <w:tcPr>
            <w:tcW w:w="5245" w:type="dxa"/>
          </w:tcPr>
          <w:p w14:paraId="7D58FADB" w14:textId="2E7F0927" w:rsidR="001421AE" w:rsidRDefault="001421AE" w:rsidP="00813948">
            <w:pPr>
              <w:pStyle w:val="StdBodyText"/>
            </w:pPr>
            <w:r>
              <w:t xml:space="preserve">the audit and access rights referred to in </w:t>
            </w:r>
            <w:r w:rsidRPr="009830EF">
              <w:rPr>
                <w:rFonts w:cs="Arial"/>
              </w:rPr>
              <w:t xml:space="preserve">Schedule 7.5 </w:t>
            </w:r>
            <w:r>
              <w:t>(</w:t>
            </w:r>
            <w:r w:rsidRPr="007306FE">
              <w:rPr>
                <w:i/>
              </w:rPr>
              <w:t>Financial Reports and Audit Rights</w:t>
            </w:r>
            <w:r>
              <w:t>);</w:t>
            </w:r>
          </w:p>
        </w:tc>
      </w:tr>
      <w:tr w:rsidR="001421AE" w14:paraId="0B9C21AB" w14:textId="77777777" w:rsidTr="006816C5">
        <w:tc>
          <w:tcPr>
            <w:tcW w:w="3493" w:type="dxa"/>
          </w:tcPr>
          <w:p w14:paraId="66AE1F54" w14:textId="77777777" w:rsidR="001421AE" w:rsidRDefault="001421AE" w:rsidP="00813948">
            <w:pPr>
              <w:pStyle w:val="StdBodyTextBold"/>
            </w:pPr>
            <w:r>
              <w:t>“Audit”</w:t>
            </w:r>
          </w:p>
        </w:tc>
        <w:tc>
          <w:tcPr>
            <w:tcW w:w="5245" w:type="dxa"/>
          </w:tcPr>
          <w:p w14:paraId="40F4D4FF" w14:textId="3617A265" w:rsidR="001421AE" w:rsidRDefault="001421AE" w:rsidP="00813948">
            <w:pPr>
              <w:pStyle w:val="StdBodyText"/>
            </w:pPr>
            <w:r>
              <w:t xml:space="preserve">any exercise by the Authority of its Audit Rights pursuant to </w:t>
            </w:r>
            <w:bookmarkStart w:id="6" w:name="_9kMJI5YVtCIA8BEgSz3p9LJKl5r2I8APCBMPVXF"/>
            <w:r>
              <w:t xml:space="preserve">Clause </w:t>
            </w:r>
            <w:bookmarkEnd w:id="6"/>
            <w:r>
              <w:t>12 (</w:t>
            </w:r>
            <w:r w:rsidRPr="007306FE">
              <w:rPr>
                <w:i/>
              </w:rPr>
              <w:t>Records, Reports, Audit and Open Book Data</w:t>
            </w:r>
            <w:r>
              <w:t xml:space="preserve">) and </w:t>
            </w:r>
            <w:r w:rsidRPr="009830EF">
              <w:rPr>
                <w:rFonts w:cs="Arial"/>
              </w:rPr>
              <w:t xml:space="preserve">Schedule 7.5 </w:t>
            </w:r>
            <w:r>
              <w:t>(</w:t>
            </w:r>
            <w:r w:rsidRPr="007306FE">
              <w:rPr>
                <w:i/>
              </w:rPr>
              <w:t>Financial Reports and Audit Rights</w:t>
            </w:r>
            <w:r>
              <w:t>);</w:t>
            </w:r>
          </w:p>
        </w:tc>
      </w:tr>
      <w:tr w:rsidR="001421AE" w14:paraId="5D3E15BE" w14:textId="77777777" w:rsidTr="006816C5">
        <w:tc>
          <w:tcPr>
            <w:tcW w:w="3493" w:type="dxa"/>
          </w:tcPr>
          <w:p w14:paraId="7FC4473A" w14:textId="77777777" w:rsidR="001421AE" w:rsidRDefault="001421AE" w:rsidP="00813948">
            <w:pPr>
              <w:pStyle w:val="StdBodyTextBold"/>
            </w:pPr>
            <w:r>
              <w:t>“Authority Assets”</w:t>
            </w:r>
          </w:p>
        </w:tc>
        <w:tc>
          <w:tcPr>
            <w:tcW w:w="5245" w:type="dxa"/>
          </w:tcPr>
          <w:p w14:paraId="27ED7F6C" w14:textId="77777777" w:rsidR="001421AE" w:rsidRDefault="001421AE" w:rsidP="00813948">
            <w:pPr>
              <w:pStyle w:val="StdBodyText"/>
            </w:pPr>
            <w:r>
              <w:t>the Authority Materials, the Authority infrastructure and any other data, software, assets, equipment or other property owned by and/or licensed or leased to the Authority and which is or may be used in connection with the provision or receipt of the Services;</w:t>
            </w:r>
          </w:p>
        </w:tc>
      </w:tr>
      <w:tr w:rsidR="001421AE" w14:paraId="0E6C1813" w14:textId="77777777" w:rsidTr="006816C5">
        <w:tc>
          <w:tcPr>
            <w:tcW w:w="3493" w:type="dxa"/>
          </w:tcPr>
          <w:p w14:paraId="31D50D1D" w14:textId="77777777" w:rsidR="001421AE" w:rsidRDefault="001421AE" w:rsidP="00813948">
            <w:pPr>
              <w:pStyle w:val="StdBodyTextBold"/>
            </w:pPr>
            <w:r>
              <w:t>“Authority Background IPRs”</w:t>
            </w:r>
          </w:p>
        </w:tc>
        <w:tc>
          <w:tcPr>
            <w:tcW w:w="5245" w:type="dxa"/>
          </w:tcPr>
          <w:p w14:paraId="5564EB60" w14:textId="77777777" w:rsidR="001421AE" w:rsidRDefault="001421AE" w:rsidP="00AD2EE4">
            <w:pPr>
              <w:pStyle w:val="DefinitionList"/>
              <w:numPr>
                <w:ilvl w:val="0"/>
                <w:numId w:val="22"/>
              </w:numPr>
            </w:pPr>
            <w:r>
              <w:t xml:space="preserve">IPRs owned by the Authority before the Effective Date, including IPRs contained in any of the </w:t>
            </w:r>
            <w:bookmarkStart w:id="7" w:name="_9kMK9N6ZWu9A679B"/>
            <w:r>
              <w:t>Authority's</w:t>
            </w:r>
            <w:bookmarkEnd w:id="7"/>
            <w:r>
              <w:t xml:space="preserve"> Know-How, documentation, processes and procedures; </w:t>
            </w:r>
          </w:p>
          <w:p w14:paraId="1BA6938D" w14:textId="77777777" w:rsidR="001421AE" w:rsidRDefault="001421AE" w:rsidP="002C2496">
            <w:pPr>
              <w:pStyle w:val="DefinitionList"/>
            </w:pPr>
            <w:r>
              <w:t>IPRs created by the Authority independently of this Agreement; and/or</w:t>
            </w:r>
          </w:p>
          <w:p w14:paraId="60773B3F" w14:textId="77777777" w:rsidR="001421AE" w:rsidRDefault="001421AE" w:rsidP="002C2496">
            <w:pPr>
              <w:pStyle w:val="DefinitionList"/>
            </w:pPr>
            <w:r>
              <w:t>Crown Copyright which is not available to the Supplier otherwise than under this Agreement;</w:t>
            </w:r>
          </w:p>
          <w:p w14:paraId="5928D479" w14:textId="77777777" w:rsidR="001421AE" w:rsidRDefault="001421AE" w:rsidP="00813948">
            <w:pPr>
              <w:pStyle w:val="StdBodyText"/>
            </w:pPr>
            <w:r>
              <w:t>but excluding IPRs owned by the Authority subsisting in the Authority Software;</w:t>
            </w:r>
          </w:p>
        </w:tc>
      </w:tr>
      <w:tr w:rsidR="001421AE" w14:paraId="5146428D" w14:textId="77777777" w:rsidTr="006816C5">
        <w:tc>
          <w:tcPr>
            <w:tcW w:w="3493" w:type="dxa"/>
          </w:tcPr>
          <w:p w14:paraId="63E45CE1" w14:textId="77777777" w:rsidR="001421AE" w:rsidRDefault="001421AE" w:rsidP="00813948">
            <w:pPr>
              <w:pStyle w:val="StdBodyTextBold"/>
            </w:pPr>
            <w:r>
              <w:t>“Authority Cause”</w:t>
            </w:r>
          </w:p>
        </w:tc>
        <w:tc>
          <w:tcPr>
            <w:tcW w:w="5245" w:type="dxa"/>
          </w:tcPr>
          <w:p w14:paraId="4ACC049F" w14:textId="77777777" w:rsidR="001421AE" w:rsidRDefault="001421AE" w:rsidP="00813948">
            <w:pPr>
              <w:pStyle w:val="StdBodyText"/>
            </w:pPr>
            <w:r>
              <w:t>any material breach by the Authority of any of the Authority Responsibilities, except to the extent that such breach is:</w:t>
            </w:r>
          </w:p>
          <w:p w14:paraId="0FDA1C49" w14:textId="77777777" w:rsidR="001421AE" w:rsidRDefault="001421AE" w:rsidP="00AD2EE4">
            <w:pPr>
              <w:pStyle w:val="DefinitionList"/>
              <w:numPr>
                <w:ilvl w:val="0"/>
                <w:numId w:val="23"/>
              </w:numPr>
            </w:pPr>
            <w:r>
              <w:t>the result of any act or omission by the Authority to which the Supplier has given its prior consent; or</w:t>
            </w:r>
          </w:p>
          <w:p w14:paraId="3D7BCBCD" w14:textId="77777777" w:rsidR="001421AE" w:rsidRDefault="001421AE" w:rsidP="002C2496">
            <w:pPr>
              <w:pStyle w:val="DefinitionList"/>
            </w:pPr>
            <w:r>
              <w:t>caused by the Supplier, any Sub-contractor or any Supplier Personnel;</w:t>
            </w:r>
          </w:p>
        </w:tc>
      </w:tr>
      <w:tr w:rsidR="001421AE" w14:paraId="73A084AB" w14:textId="77777777" w:rsidTr="006816C5">
        <w:tc>
          <w:tcPr>
            <w:tcW w:w="3493" w:type="dxa"/>
          </w:tcPr>
          <w:p w14:paraId="0F73F537" w14:textId="77777777" w:rsidR="001421AE" w:rsidRDefault="001421AE" w:rsidP="00813948">
            <w:pPr>
              <w:pStyle w:val="StdBodyTextBold"/>
            </w:pPr>
            <w:r>
              <w:t>“Authority Data”</w:t>
            </w:r>
          </w:p>
        </w:tc>
        <w:tc>
          <w:tcPr>
            <w:tcW w:w="5245" w:type="dxa"/>
          </w:tcPr>
          <w:p w14:paraId="6E92F839" w14:textId="77777777" w:rsidR="001421AE" w:rsidRDefault="001421AE" w:rsidP="00AD2EE4">
            <w:pPr>
              <w:pStyle w:val="DefinitionList"/>
              <w:numPr>
                <w:ilvl w:val="0"/>
                <w:numId w:val="24"/>
              </w:numPr>
            </w:pPr>
            <w:r>
              <w:t>the data, text, drawings, diagrams, images or sounds (together with any database made up of any of these) which are embodied in any electronic, magnetic, optical or tangible media, and which are:</w:t>
            </w:r>
          </w:p>
          <w:p w14:paraId="17499A38" w14:textId="77777777" w:rsidR="001421AE" w:rsidRDefault="001421AE" w:rsidP="002C2496">
            <w:pPr>
              <w:pStyle w:val="DefinitionListLevel1"/>
            </w:pPr>
            <w:r>
              <w:t xml:space="preserve">supplied to the Supplier by or on behalf of the Authority; and/or </w:t>
            </w:r>
          </w:p>
          <w:p w14:paraId="7DAE2564" w14:textId="77777777" w:rsidR="001421AE" w:rsidRDefault="001421AE" w:rsidP="002C2496">
            <w:pPr>
              <w:pStyle w:val="DefinitionListLevel1"/>
            </w:pPr>
            <w:r>
              <w:t>which the Supplier is required to generate, process, store or transmit pursuant to this Agreement; or</w:t>
            </w:r>
          </w:p>
          <w:p w14:paraId="1CDD5F5F" w14:textId="43BDD81B" w:rsidR="001421AE" w:rsidRDefault="001421AE" w:rsidP="002C2496">
            <w:pPr>
              <w:pStyle w:val="DefinitionList"/>
            </w:pPr>
            <w:r>
              <w:t>any Personal Data for which the Authority is the Controller;</w:t>
            </w:r>
          </w:p>
        </w:tc>
      </w:tr>
      <w:tr w:rsidR="001421AE" w14:paraId="1F0BD237" w14:textId="77777777" w:rsidTr="006816C5">
        <w:tc>
          <w:tcPr>
            <w:tcW w:w="3493" w:type="dxa"/>
          </w:tcPr>
          <w:p w14:paraId="700E870F" w14:textId="77777777" w:rsidR="001421AE" w:rsidRDefault="001421AE" w:rsidP="00813948">
            <w:pPr>
              <w:pStyle w:val="StdBodyTextBold"/>
            </w:pPr>
            <w:r>
              <w:t>“Authority IT Strategy”</w:t>
            </w:r>
          </w:p>
        </w:tc>
        <w:tc>
          <w:tcPr>
            <w:tcW w:w="5245" w:type="dxa"/>
          </w:tcPr>
          <w:p w14:paraId="78603CDD" w14:textId="77777777" w:rsidR="001421AE" w:rsidRDefault="001421AE" w:rsidP="00813948">
            <w:pPr>
              <w:pStyle w:val="StdBodyText"/>
            </w:pPr>
            <w:r>
              <w:t xml:space="preserve">the </w:t>
            </w:r>
            <w:bookmarkStart w:id="8" w:name="_9kMKAO6ZWu9A679B"/>
            <w:r>
              <w:t>Authority's</w:t>
            </w:r>
            <w:bookmarkEnd w:id="8"/>
            <w:r>
              <w:t xml:space="preserve"> IT policy in force as at the Effective Date (a copy of which has been supplied to the Supplier), as updated from time to time in accordance with the Change Control Procedure;</w:t>
            </w:r>
          </w:p>
        </w:tc>
      </w:tr>
      <w:tr w:rsidR="001421AE" w14:paraId="53968F50" w14:textId="77777777" w:rsidTr="006816C5">
        <w:tc>
          <w:tcPr>
            <w:tcW w:w="3493" w:type="dxa"/>
          </w:tcPr>
          <w:p w14:paraId="238C3910" w14:textId="77777777" w:rsidR="001421AE" w:rsidRDefault="001421AE" w:rsidP="00813948">
            <w:pPr>
              <w:pStyle w:val="StdBodyTextBold"/>
            </w:pPr>
            <w:r>
              <w:t>“Authority Materials”</w:t>
            </w:r>
          </w:p>
        </w:tc>
        <w:tc>
          <w:tcPr>
            <w:tcW w:w="5245" w:type="dxa"/>
          </w:tcPr>
          <w:p w14:paraId="5575CD50" w14:textId="77777777" w:rsidR="001421AE" w:rsidRDefault="001421AE" w:rsidP="00813948">
            <w:pPr>
              <w:pStyle w:val="StdBodyText"/>
            </w:pPr>
            <w:r>
              <w:t>the Authority Data together with any materials, documentation, information, programs and codes supplied by the Authority to the Supplier, the IPRs in which:</w:t>
            </w:r>
          </w:p>
          <w:p w14:paraId="2352603D" w14:textId="77777777" w:rsidR="001421AE" w:rsidRDefault="001421AE" w:rsidP="00AD2EE4">
            <w:pPr>
              <w:pStyle w:val="DefinitionList"/>
              <w:numPr>
                <w:ilvl w:val="0"/>
                <w:numId w:val="25"/>
              </w:numPr>
            </w:pPr>
            <w:r>
              <w:t>are owned or used by or on behalf of the Authority; and</w:t>
            </w:r>
          </w:p>
          <w:p w14:paraId="2A42C666" w14:textId="77777777" w:rsidR="001421AE" w:rsidRDefault="001421AE" w:rsidP="002C2496">
            <w:pPr>
              <w:pStyle w:val="DefinitionList"/>
            </w:pPr>
            <w:r>
              <w:t>are or may be used in connection with the provision or receipt of the Services,</w:t>
            </w:r>
          </w:p>
          <w:p w14:paraId="5EC20068" w14:textId="77777777" w:rsidR="001421AE" w:rsidRDefault="001421AE" w:rsidP="00813948">
            <w:pPr>
              <w:pStyle w:val="StdBodyText"/>
            </w:pPr>
            <w:r>
              <w:t>but excluding any Project Specific IPRs, Specially Written Software, Supplier Software, Third Party Software and Documentation relating to Supplier Software or Third Party Software;</w:t>
            </w:r>
          </w:p>
        </w:tc>
      </w:tr>
      <w:tr w:rsidR="001421AE" w14:paraId="66772779" w14:textId="77777777" w:rsidTr="006816C5">
        <w:tc>
          <w:tcPr>
            <w:tcW w:w="3493" w:type="dxa"/>
          </w:tcPr>
          <w:p w14:paraId="5204E1BA" w14:textId="77777777" w:rsidR="001421AE" w:rsidRDefault="001421AE" w:rsidP="00813948">
            <w:pPr>
              <w:pStyle w:val="StdBodyTextBold"/>
            </w:pPr>
            <w:r>
              <w:t>“Authority Premises”</w:t>
            </w:r>
          </w:p>
        </w:tc>
        <w:tc>
          <w:tcPr>
            <w:tcW w:w="5245" w:type="dxa"/>
          </w:tcPr>
          <w:p w14:paraId="20548B77" w14:textId="77777777" w:rsidR="001421AE" w:rsidRDefault="001421AE" w:rsidP="00813948">
            <w:pPr>
              <w:pStyle w:val="StdBodyText"/>
            </w:pPr>
            <w:r>
              <w:t>premises owned, controlled or occupied by the Authority and/or any Central Government Body which are made available for use by the Supplier or its Sub-contractors for provision of the Services (or any of them);</w:t>
            </w:r>
          </w:p>
        </w:tc>
      </w:tr>
      <w:tr w:rsidR="001421AE" w14:paraId="2119A01C" w14:textId="77777777" w:rsidTr="006816C5">
        <w:tc>
          <w:tcPr>
            <w:tcW w:w="3493" w:type="dxa"/>
          </w:tcPr>
          <w:p w14:paraId="04324598" w14:textId="77777777" w:rsidR="001421AE" w:rsidRDefault="001421AE" w:rsidP="00813948">
            <w:pPr>
              <w:pStyle w:val="StdBodyTextBold"/>
            </w:pPr>
            <w:r>
              <w:t>“Authority Representative”</w:t>
            </w:r>
          </w:p>
        </w:tc>
        <w:tc>
          <w:tcPr>
            <w:tcW w:w="5245" w:type="dxa"/>
          </w:tcPr>
          <w:p w14:paraId="17A49CA2" w14:textId="77777777" w:rsidR="001421AE" w:rsidRDefault="001421AE" w:rsidP="00813948">
            <w:pPr>
              <w:pStyle w:val="StdBodyText"/>
            </w:pPr>
            <w:r>
              <w:t xml:space="preserve">the representative appointed by the Authority pursuant to </w:t>
            </w:r>
            <w:bookmarkStart w:id="9" w:name="_9kMHG5YVtCIAEJCACGjUmGRH51C7ARRBuzBEIPK"/>
            <w:r>
              <w:t xml:space="preserve">Clause </w:t>
            </w:r>
            <w:bookmarkEnd w:id="9"/>
            <w:r>
              <w:t>11.4 (</w:t>
            </w:r>
            <w:r w:rsidRPr="00395959">
              <w:rPr>
                <w:i/>
              </w:rPr>
              <w:t>Representatives</w:t>
            </w:r>
            <w:r>
              <w:t>);</w:t>
            </w:r>
          </w:p>
        </w:tc>
      </w:tr>
      <w:tr w:rsidR="001421AE" w14:paraId="7B1D1A8F" w14:textId="77777777" w:rsidTr="006816C5">
        <w:tc>
          <w:tcPr>
            <w:tcW w:w="3493" w:type="dxa"/>
          </w:tcPr>
          <w:p w14:paraId="6F2020EB" w14:textId="77777777" w:rsidR="001421AE" w:rsidRDefault="001421AE" w:rsidP="00813948">
            <w:pPr>
              <w:pStyle w:val="StdBodyTextBold"/>
            </w:pPr>
            <w:r>
              <w:t>“Authority Requirements”</w:t>
            </w:r>
          </w:p>
        </w:tc>
        <w:tc>
          <w:tcPr>
            <w:tcW w:w="5245" w:type="dxa"/>
          </w:tcPr>
          <w:p w14:paraId="3E9BD3E7" w14:textId="0ECE2EE3" w:rsidR="001421AE" w:rsidRDefault="001421AE" w:rsidP="00813948">
            <w:pPr>
              <w:pStyle w:val="StdBodyText"/>
            </w:pPr>
            <w:r>
              <w:t xml:space="preserve">the requirements of the Authority set out in </w:t>
            </w:r>
            <w:bookmarkStart w:id="10" w:name="_9kMKJ5YVtCIACKOKDePvD5nk1bI433A9LFBH"/>
            <w:bookmarkStart w:id="11" w:name="_9kR3WTr2BBAJGbJfifw5qyNK"/>
            <w:r w:rsidRPr="009830EF">
              <w:rPr>
                <w:rFonts w:cs="Arial"/>
              </w:rPr>
              <w:t>Schedule 2.1</w:t>
            </w:r>
            <w:bookmarkEnd w:id="10"/>
            <w:bookmarkEnd w:id="11"/>
            <w:r>
              <w:t xml:space="preserve"> (</w:t>
            </w:r>
            <w:r w:rsidRPr="00395959">
              <w:rPr>
                <w:i/>
              </w:rPr>
              <w:t>Services Description</w:t>
            </w:r>
            <w:r>
              <w:t xml:space="preserve">), </w:t>
            </w:r>
            <w:r w:rsidRPr="009830EF">
              <w:rPr>
                <w:rFonts w:cs="Arial"/>
              </w:rPr>
              <w:t xml:space="preserve">Schedule 2.2 </w:t>
            </w:r>
            <w:r>
              <w:t>(</w:t>
            </w:r>
            <w:r w:rsidRPr="00395959">
              <w:rPr>
                <w:i/>
              </w:rPr>
              <w:t>Performance</w:t>
            </w:r>
            <w:r>
              <w:t xml:space="preserve"> </w:t>
            </w:r>
            <w:r w:rsidRPr="00395959">
              <w:rPr>
                <w:i/>
              </w:rPr>
              <w:t>Indicators</w:t>
            </w:r>
            <w:r>
              <w:t xml:space="preserve">), </w:t>
            </w:r>
            <w:r w:rsidRPr="009830EF">
              <w:rPr>
                <w:rFonts w:cs="Arial"/>
              </w:rPr>
              <w:t>Schedule 2.</w:t>
            </w:r>
            <w:r>
              <w:rPr>
                <w:rFonts w:cs="Arial"/>
              </w:rPr>
              <w:t>3</w:t>
            </w:r>
            <w:r w:rsidRPr="009830EF">
              <w:rPr>
                <w:rFonts w:cs="Arial"/>
              </w:rPr>
              <w:t xml:space="preserve"> </w:t>
            </w:r>
            <w:r>
              <w:t>(</w:t>
            </w:r>
            <w:r w:rsidRPr="00395959">
              <w:rPr>
                <w:i/>
              </w:rPr>
              <w:t>Standards</w:t>
            </w:r>
            <w:r>
              <w:t xml:space="preserve">), </w:t>
            </w:r>
            <w:r w:rsidRPr="009830EF">
              <w:rPr>
                <w:rFonts w:cs="Arial"/>
              </w:rPr>
              <w:t>Schedule 2.</w:t>
            </w:r>
            <w:r>
              <w:rPr>
                <w:rFonts w:cs="Arial"/>
              </w:rPr>
              <w:t>4</w:t>
            </w:r>
            <w:r w:rsidRPr="009830EF">
              <w:rPr>
                <w:rFonts w:cs="Arial"/>
              </w:rPr>
              <w:t xml:space="preserve"> </w:t>
            </w:r>
            <w:r>
              <w:t>(</w:t>
            </w:r>
            <w:r w:rsidRPr="00395959">
              <w:rPr>
                <w:i/>
              </w:rPr>
              <w:t>Security</w:t>
            </w:r>
            <w:r>
              <w:t xml:space="preserve"> </w:t>
            </w:r>
            <w:r w:rsidRPr="00395959">
              <w:rPr>
                <w:i/>
              </w:rPr>
              <w:t>Management</w:t>
            </w:r>
            <w:r>
              <w:t xml:space="preserve">), </w:t>
            </w:r>
            <w:r w:rsidRPr="009830EF">
              <w:rPr>
                <w:rFonts w:cs="Arial"/>
              </w:rPr>
              <w:t>Schedule 2.</w:t>
            </w:r>
            <w:r>
              <w:rPr>
                <w:rFonts w:cs="Arial"/>
              </w:rPr>
              <w:t>5</w:t>
            </w:r>
            <w:r w:rsidRPr="009830EF">
              <w:rPr>
                <w:rFonts w:cs="Arial"/>
              </w:rPr>
              <w:t xml:space="preserve"> </w:t>
            </w:r>
            <w:r>
              <w:t>(</w:t>
            </w:r>
            <w:r w:rsidRPr="00395959">
              <w:rPr>
                <w:i/>
              </w:rPr>
              <w:t>Insurance</w:t>
            </w:r>
            <w:r>
              <w:t xml:space="preserve"> </w:t>
            </w:r>
            <w:r w:rsidRPr="00395959">
              <w:rPr>
                <w:i/>
              </w:rPr>
              <w:t>Requirements</w:t>
            </w:r>
            <w:r>
              <w:t xml:space="preserve">), </w:t>
            </w:r>
            <w:r w:rsidRPr="009830EF">
              <w:rPr>
                <w:rFonts w:cs="Arial"/>
              </w:rPr>
              <w:t xml:space="preserve">Schedule </w:t>
            </w:r>
            <w:r>
              <w:rPr>
                <w:rFonts w:cs="Arial"/>
              </w:rPr>
              <w:t>6.1 (</w:t>
            </w:r>
            <w:r w:rsidRPr="00395959">
              <w:rPr>
                <w:i/>
              </w:rPr>
              <w:t>Implementation Plan</w:t>
            </w:r>
            <w:r>
              <w:t xml:space="preserve">), </w:t>
            </w:r>
            <w:r w:rsidRPr="009830EF">
              <w:rPr>
                <w:rFonts w:cs="Arial"/>
              </w:rPr>
              <w:t xml:space="preserve">Schedule </w:t>
            </w:r>
            <w:r>
              <w:rPr>
                <w:rFonts w:cs="Arial"/>
              </w:rPr>
              <w:t>8.4 (</w:t>
            </w:r>
            <w:r w:rsidRPr="00395959">
              <w:rPr>
                <w:i/>
              </w:rPr>
              <w:t>Reports</w:t>
            </w:r>
            <w:r>
              <w:t xml:space="preserve"> </w:t>
            </w:r>
            <w:r w:rsidRPr="00395959">
              <w:rPr>
                <w:i/>
              </w:rPr>
              <w:t>and</w:t>
            </w:r>
            <w:r>
              <w:t xml:space="preserve"> </w:t>
            </w:r>
            <w:r w:rsidRPr="00395959">
              <w:rPr>
                <w:i/>
              </w:rPr>
              <w:t>Records</w:t>
            </w:r>
            <w:r>
              <w:t xml:space="preserve"> </w:t>
            </w:r>
            <w:r w:rsidRPr="00395959">
              <w:rPr>
                <w:i/>
              </w:rPr>
              <w:t>Provisions</w:t>
            </w:r>
            <w:r>
              <w:t xml:space="preserve">), </w:t>
            </w:r>
            <w:r w:rsidRPr="009830EF">
              <w:rPr>
                <w:rFonts w:cs="Arial"/>
              </w:rPr>
              <w:t xml:space="preserve">Schedule </w:t>
            </w:r>
            <w:r>
              <w:rPr>
                <w:rFonts w:cs="Arial"/>
              </w:rPr>
              <w:t>8.5</w:t>
            </w:r>
            <w:r>
              <w:t xml:space="preserve"> (</w:t>
            </w:r>
            <w:r w:rsidRPr="00395959">
              <w:rPr>
                <w:i/>
              </w:rPr>
              <w:t>Exit</w:t>
            </w:r>
            <w:r>
              <w:t xml:space="preserve"> </w:t>
            </w:r>
            <w:r w:rsidRPr="00395959">
              <w:rPr>
                <w:i/>
              </w:rPr>
              <w:t>Management</w:t>
            </w:r>
            <w:r>
              <w:t xml:space="preserve">) and </w:t>
            </w:r>
            <w:r w:rsidRPr="009830EF">
              <w:rPr>
                <w:rFonts w:cs="Arial"/>
              </w:rPr>
              <w:t xml:space="preserve">Schedule </w:t>
            </w:r>
            <w:r>
              <w:rPr>
                <w:rFonts w:cs="Arial"/>
              </w:rPr>
              <w:t>8.6 (</w:t>
            </w:r>
            <w:r w:rsidRPr="00395959">
              <w:rPr>
                <w:i/>
              </w:rPr>
              <w:t>Service</w:t>
            </w:r>
            <w:r>
              <w:t xml:space="preserve"> </w:t>
            </w:r>
            <w:r w:rsidRPr="00395959">
              <w:rPr>
                <w:i/>
              </w:rPr>
              <w:t>Continuity Plan</w:t>
            </w:r>
            <w:r>
              <w:t>);</w:t>
            </w:r>
          </w:p>
        </w:tc>
      </w:tr>
      <w:tr w:rsidR="001421AE" w14:paraId="370099C7" w14:textId="77777777" w:rsidTr="006816C5">
        <w:tc>
          <w:tcPr>
            <w:tcW w:w="3493" w:type="dxa"/>
          </w:tcPr>
          <w:p w14:paraId="2690D164" w14:textId="77777777" w:rsidR="001421AE" w:rsidRDefault="001421AE" w:rsidP="00813948">
            <w:pPr>
              <w:pStyle w:val="StdBodyTextBold"/>
            </w:pPr>
            <w:r>
              <w:t>“Authority Responsibilities”</w:t>
            </w:r>
          </w:p>
        </w:tc>
        <w:tc>
          <w:tcPr>
            <w:tcW w:w="5245" w:type="dxa"/>
          </w:tcPr>
          <w:p w14:paraId="1CBDC378" w14:textId="12F51631" w:rsidR="001421AE" w:rsidRDefault="001421AE" w:rsidP="00813948">
            <w:pPr>
              <w:pStyle w:val="StdBodyText"/>
            </w:pPr>
            <w:r>
              <w:t>the responsibilities of the Authority specified in Schedule 3 (</w:t>
            </w:r>
            <w:r w:rsidRPr="00395959">
              <w:rPr>
                <w:i/>
              </w:rPr>
              <w:t>Authority Responsibilities</w:t>
            </w:r>
            <w:r>
              <w:t>);</w:t>
            </w:r>
          </w:p>
        </w:tc>
      </w:tr>
      <w:tr w:rsidR="001421AE" w14:paraId="0E2A4F48" w14:textId="77777777" w:rsidTr="006816C5">
        <w:tc>
          <w:tcPr>
            <w:tcW w:w="3493" w:type="dxa"/>
          </w:tcPr>
          <w:p w14:paraId="2D183033" w14:textId="77777777" w:rsidR="001421AE" w:rsidRDefault="001421AE" w:rsidP="00813948">
            <w:pPr>
              <w:pStyle w:val="StdBodyTextBold"/>
            </w:pPr>
            <w:r>
              <w:t>“Authority Software”</w:t>
            </w:r>
          </w:p>
        </w:tc>
        <w:tc>
          <w:tcPr>
            <w:tcW w:w="5245" w:type="dxa"/>
          </w:tcPr>
          <w:p w14:paraId="13FDE441" w14:textId="77777777" w:rsidR="001421AE" w:rsidRDefault="001421AE" w:rsidP="00813948">
            <w:pPr>
              <w:pStyle w:val="StdBodyText"/>
            </w:pPr>
            <w:r>
              <w:t>software which is owned by or licensed to the Authority (other than under or pursuant to this Agreement) and which is or will be used by the Supplier for the purposes of providing the Services;</w:t>
            </w:r>
          </w:p>
        </w:tc>
      </w:tr>
      <w:tr w:rsidR="001421AE" w14:paraId="697A28A0" w14:textId="77777777" w:rsidTr="006816C5">
        <w:tc>
          <w:tcPr>
            <w:tcW w:w="3493" w:type="dxa"/>
          </w:tcPr>
          <w:p w14:paraId="08304371" w14:textId="77777777" w:rsidR="001421AE" w:rsidRDefault="001421AE" w:rsidP="00813948">
            <w:pPr>
              <w:pStyle w:val="StdBodyTextBold"/>
            </w:pPr>
            <w:r>
              <w:t>“Authority System”</w:t>
            </w:r>
          </w:p>
        </w:tc>
        <w:tc>
          <w:tcPr>
            <w:tcW w:w="5245" w:type="dxa"/>
          </w:tcPr>
          <w:p w14:paraId="3E980810" w14:textId="77777777" w:rsidR="001421AE" w:rsidRDefault="001421AE" w:rsidP="00813948">
            <w:pPr>
              <w:pStyle w:val="StdBodyText"/>
            </w:pPr>
            <w:r>
              <w:t xml:space="preserve">the </w:t>
            </w:r>
            <w:bookmarkStart w:id="12" w:name="_9kMKBP6ZWu9A679B"/>
            <w:r>
              <w:t>Authority's</w:t>
            </w:r>
            <w:bookmarkEnd w:id="12"/>
            <w:r>
              <w:t xml:space="preserve"> computing environment (consisting of hardware, software and/or telecommunications networks or equipment) used by the Authority or the Supplier in connection with this Agreement which is owned by the Authority or licensed to it by a third party and which interfaces with the Supplier System or which is necessary for the Authority to receive the Services;</w:t>
            </w:r>
          </w:p>
        </w:tc>
      </w:tr>
      <w:tr w:rsidR="001421AE" w14:paraId="020F8C80" w14:textId="77777777" w:rsidTr="006816C5">
        <w:tc>
          <w:tcPr>
            <w:tcW w:w="3493" w:type="dxa"/>
          </w:tcPr>
          <w:p w14:paraId="0E7561A9" w14:textId="77777777" w:rsidR="001421AE" w:rsidRDefault="001421AE" w:rsidP="00813948">
            <w:pPr>
              <w:pStyle w:val="StdBodyTextBold"/>
            </w:pPr>
            <w:r>
              <w:t>“Authority to Proceed” or “ATP”</w:t>
            </w:r>
          </w:p>
        </w:tc>
        <w:tc>
          <w:tcPr>
            <w:tcW w:w="5245" w:type="dxa"/>
          </w:tcPr>
          <w:p w14:paraId="48305A93" w14:textId="77777777" w:rsidR="001421AE" w:rsidRDefault="001421AE" w:rsidP="00813948">
            <w:pPr>
              <w:pStyle w:val="StdBodyText"/>
            </w:pPr>
            <w:r>
              <w:t xml:space="preserve">the authorisation to the Supplier to commence the provision of the relevant Operational Services to the Authority, provided by the Authority in the form of a </w:t>
            </w:r>
            <w:bookmarkStart w:id="13" w:name="_9kMIH5YVt4CCFMHYLrowC94vJCqxv9A235LlRDT"/>
            <w:r>
              <w:t>Milestone Achievement Certificate</w:t>
            </w:r>
            <w:bookmarkEnd w:id="13"/>
            <w:r>
              <w:t xml:space="preserve"> in respect of the ATP Milestone;</w:t>
            </w:r>
          </w:p>
        </w:tc>
      </w:tr>
      <w:tr w:rsidR="001421AE" w14:paraId="26C97091" w14:textId="77777777" w:rsidTr="006816C5">
        <w:tc>
          <w:tcPr>
            <w:tcW w:w="3493" w:type="dxa"/>
          </w:tcPr>
          <w:p w14:paraId="298DCED6" w14:textId="77777777" w:rsidR="001421AE" w:rsidRDefault="001421AE" w:rsidP="00813948">
            <w:pPr>
              <w:pStyle w:val="StdBodyTextBold"/>
            </w:pPr>
            <w:r>
              <w:t>“Balanced Scorecard Report”</w:t>
            </w:r>
          </w:p>
        </w:tc>
        <w:tc>
          <w:tcPr>
            <w:tcW w:w="5245" w:type="dxa"/>
          </w:tcPr>
          <w:p w14:paraId="4044B465" w14:textId="5FDD7F38" w:rsidR="001421AE" w:rsidRDefault="001421AE" w:rsidP="00813948">
            <w:pPr>
              <w:pStyle w:val="StdBodyText"/>
            </w:pPr>
            <w:r>
              <w:t xml:space="preserve">has the meaning given in </w:t>
            </w:r>
            <w:bookmarkStart w:id="14" w:name="_9kR3WTr2CC4EIZEnoewrqyBJu"/>
            <w:r>
              <w:t xml:space="preserve">Paragraph </w:t>
            </w:r>
            <w:bookmarkEnd w:id="14"/>
            <w:r>
              <w:t>1.1(b) of Part B of Schedule 2.2 (</w:t>
            </w:r>
            <w:r w:rsidRPr="00395959">
              <w:rPr>
                <w:i/>
              </w:rPr>
              <w:t>Performance Levels</w:t>
            </w:r>
            <w:r>
              <w:t>);</w:t>
            </w:r>
          </w:p>
        </w:tc>
      </w:tr>
      <w:tr w:rsidR="001421AE" w14:paraId="1D6969A7" w14:textId="77777777" w:rsidTr="006816C5">
        <w:tc>
          <w:tcPr>
            <w:tcW w:w="3493" w:type="dxa"/>
          </w:tcPr>
          <w:p w14:paraId="18F03768" w14:textId="77777777" w:rsidR="001421AE" w:rsidRDefault="001421AE" w:rsidP="00813948">
            <w:pPr>
              <w:pStyle w:val="StdBodyTextBold"/>
            </w:pPr>
            <w:r>
              <w:t>“Baseline Security Requirements”</w:t>
            </w:r>
          </w:p>
        </w:tc>
        <w:tc>
          <w:tcPr>
            <w:tcW w:w="5245" w:type="dxa"/>
          </w:tcPr>
          <w:p w14:paraId="528A4442" w14:textId="2AE69D7B" w:rsidR="001421AE" w:rsidRDefault="001421AE" w:rsidP="00813948">
            <w:pPr>
              <w:pStyle w:val="StdBodyText"/>
            </w:pPr>
            <w:r>
              <w:t xml:space="preserve">the </w:t>
            </w:r>
            <w:bookmarkStart w:id="15" w:name="_9kML3G6ZWu9A679B"/>
            <w:r>
              <w:t>Authority's</w:t>
            </w:r>
            <w:bookmarkEnd w:id="15"/>
            <w:r>
              <w:t xml:space="preserve"> baseline security requirements, the current copy of which is contained in </w:t>
            </w:r>
            <w:bookmarkStart w:id="16" w:name="_9kMJI5YVt4EE6CGMEyq1P"/>
            <w:r>
              <w:t>Annex 1</w:t>
            </w:r>
            <w:bookmarkEnd w:id="16"/>
            <w:r>
              <w:t xml:space="preserve"> of Schedule 2.4 (</w:t>
            </w:r>
            <w:r w:rsidRPr="00395959">
              <w:rPr>
                <w:i/>
              </w:rPr>
              <w:t>Security Management</w:t>
            </w:r>
            <w:r>
              <w:t>), as updated from time to time by the Authority and notified to the Supplier;</w:t>
            </w:r>
          </w:p>
        </w:tc>
      </w:tr>
      <w:tr w:rsidR="001421AE" w14:paraId="7DEC9694" w14:textId="77777777" w:rsidTr="006816C5">
        <w:tc>
          <w:tcPr>
            <w:tcW w:w="3493" w:type="dxa"/>
          </w:tcPr>
          <w:p w14:paraId="7006DEB1" w14:textId="77777777" w:rsidR="001421AE" w:rsidRDefault="001421AE" w:rsidP="00813948">
            <w:pPr>
              <w:pStyle w:val="StdBodyTextBold"/>
            </w:pPr>
            <w:r>
              <w:t>“Board Confirmation”</w:t>
            </w:r>
          </w:p>
        </w:tc>
        <w:tc>
          <w:tcPr>
            <w:tcW w:w="5245" w:type="dxa"/>
          </w:tcPr>
          <w:p w14:paraId="529A20E3" w14:textId="2DC0D802" w:rsidR="001421AE" w:rsidRDefault="001421AE" w:rsidP="00813948">
            <w:pPr>
              <w:pStyle w:val="StdBodyText"/>
            </w:pPr>
            <w:r>
              <w:t xml:space="preserve">means the written confirmation from the Board in accordance with </w:t>
            </w:r>
            <w:bookmarkStart w:id="17" w:name="_9kR3WTr2CC4EJaEnoewrqyI"/>
            <w:r>
              <w:t xml:space="preserve">Paragraph </w:t>
            </w:r>
            <w:bookmarkEnd w:id="17"/>
            <w:r>
              <w:t>8 of Schedule 7.4 (</w:t>
            </w:r>
            <w:r w:rsidRPr="00395959">
              <w:rPr>
                <w:i/>
              </w:rPr>
              <w:t>Financial Distress</w:t>
            </w:r>
            <w:r>
              <w:t>);</w:t>
            </w:r>
          </w:p>
        </w:tc>
      </w:tr>
      <w:tr w:rsidR="001421AE" w14:paraId="7D5DE4A2" w14:textId="77777777" w:rsidTr="006816C5">
        <w:tc>
          <w:tcPr>
            <w:tcW w:w="3493" w:type="dxa"/>
          </w:tcPr>
          <w:p w14:paraId="78599E1A" w14:textId="77777777" w:rsidR="001421AE" w:rsidRDefault="001421AE" w:rsidP="00813948">
            <w:pPr>
              <w:pStyle w:val="StdBodyTextBold"/>
            </w:pPr>
            <w:r>
              <w:t>“Board”</w:t>
            </w:r>
          </w:p>
        </w:tc>
        <w:tc>
          <w:tcPr>
            <w:tcW w:w="5245" w:type="dxa"/>
          </w:tcPr>
          <w:p w14:paraId="211352D8" w14:textId="77777777" w:rsidR="001421AE" w:rsidRDefault="001421AE" w:rsidP="00813948">
            <w:pPr>
              <w:pStyle w:val="StdBodyText"/>
            </w:pPr>
            <w:r>
              <w:t>means the Supplier’s board of directors;</w:t>
            </w:r>
          </w:p>
        </w:tc>
      </w:tr>
      <w:tr w:rsidR="001421AE" w14:paraId="3BE7AE97" w14:textId="77777777" w:rsidTr="006816C5">
        <w:tc>
          <w:tcPr>
            <w:tcW w:w="3493" w:type="dxa"/>
          </w:tcPr>
          <w:p w14:paraId="16191596" w14:textId="77777777" w:rsidR="001421AE" w:rsidRDefault="001421AE" w:rsidP="00813948">
            <w:pPr>
              <w:pStyle w:val="StdBodyTextBold"/>
            </w:pPr>
            <w:r>
              <w:t>“Breakage Costs Payment”</w:t>
            </w:r>
          </w:p>
        </w:tc>
        <w:tc>
          <w:tcPr>
            <w:tcW w:w="5245" w:type="dxa"/>
          </w:tcPr>
          <w:p w14:paraId="5B5DE359" w14:textId="75865197" w:rsidR="001421AE" w:rsidRDefault="001421AE" w:rsidP="00813948">
            <w:pPr>
              <w:pStyle w:val="StdBodyText"/>
            </w:pPr>
            <w:r>
              <w:t>has the meaning given in Schedule 7.2 (</w:t>
            </w:r>
            <w:r w:rsidRPr="00395959">
              <w:rPr>
                <w:i/>
              </w:rPr>
              <w:t>Payments on Termination</w:t>
            </w:r>
            <w:r>
              <w:t>);</w:t>
            </w:r>
          </w:p>
        </w:tc>
      </w:tr>
      <w:tr w:rsidR="001421AE" w14:paraId="1C14E389" w14:textId="77777777" w:rsidTr="006816C5">
        <w:tc>
          <w:tcPr>
            <w:tcW w:w="3493" w:type="dxa"/>
          </w:tcPr>
          <w:p w14:paraId="4221A7DA" w14:textId="77777777" w:rsidR="001421AE" w:rsidRDefault="001421AE" w:rsidP="00813948">
            <w:pPr>
              <w:pStyle w:val="StdBodyTextBold"/>
            </w:pPr>
            <w:r>
              <w:t>“Cabinet Office Markets and Suppliers Team”</w:t>
            </w:r>
          </w:p>
        </w:tc>
        <w:tc>
          <w:tcPr>
            <w:tcW w:w="5245" w:type="dxa"/>
          </w:tcPr>
          <w:p w14:paraId="20313D99" w14:textId="77777777" w:rsidR="001421AE" w:rsidRDefault="001421AE" w:rsidP="00813948">
            <w:pPr>
              <w:pStyle w:val="StdBodyText"/>
            </w:pPr>
            <w:r>
              <w:t>means the UK Government’s team responsible for managing the relationship between government and its Strategic Suppliers, or any replacement or successor body carrying out the same function;</w:t>
            </w:r>
          </w:p>
        </w:tc>
      </w:tr>
      <w:tr w:rsidR="001421AE" w14:paraId="31510B91" w14:textId="77777777" w:rsidTr="006816C5">
        <w:tc>
          <w:tcPr>
            <w:tcW w:w="3493" w:type="dxa"/>
          </w:tcPr>
          <w:p w14:paraId="6869C726" w14:textId="77777777" w:rsidR="001421AE" w:rsidRDefault="001421AE" w:rsidP="00813948">
            <w:pPr>
              <w:pStyle w:val="StdBodyTextBold"/>
            </w:pPr>
            <w:r>
              <w:t>“Central Government Body”</w:t>
            </w:r>
          </w:p>
        </w:tc>
        <w:tc>
          <w:tcPr>
            <w:tcW w:w="5245" w:type="dxa"/>
          </w:tcPr>
          <w:p w14:paraId="3D09E87A" w14:textId="77777777" w:rsidR="001421AE" w:rsidRDefault="001421AE" w:rsidP="00813948">
            <w:pPr>
              <w:pStyle w:val="StdBodyText"/>
            </w:pPr>
            <w:r>
              <w:t>a body listed in one of the following sub-categories of the Central Government classification of the Public Sector Classification Guide, as published and amended from time to time by the Office for National Statistics:</w:t>
            </w:r>
          </w:p>
          <w:p w14:paraId="40286AD6" w14:textId="77777777" w:rsidR="001421AE" w:rsidRDefault="001421AE" w:rsidP="00AD2EE4">
            <w:pPr>
              <w:pStyle w:val="DefinitionList"/>
              <w:numPr>
                <w:ilvl w:val="0"/>
                <w:numId w:val="26"/>
              </w:numPr>
            </w:pPr>
            <w:r>
              <w:t>Government Department;</w:t>
            </w:r>
          </w:p>
          <w:p w14:paraId="69975766" w14:textId="77777777" w:rsidR="001421AE" w:rsidRDefault="001421AE" w:rsidP="002C2496">
            <w:pPr>
              <w:pStyle w:val="DefinitionList"/>
            </w:pPr>
            <w:r>
              <w:t>Non-Departmental Public Body or Assembly Sponsored Public Body (advisory, executive, or tribunal);</w:t>
            </w:r>
          </w:p>
          <w:p w14:paraId="6E00E514" w14:textId="77777777" w:rsidR="001421AE" w:rsidRDefault="001421AE" w:rsidP="002C2496">
            <w:pPr>
              <w:pStyle w:val="DefinitionList"/>
            </w:pPr>
            <w:r>
              <w:t>Non-Ministerial Department; or</w:t>
            </w:r>
          </w:p>
          <w:p w14:paraId="3361283A" w14:textId="77777777" w:rsidR="001421AE" w:rsidRDefault="001421AE" w:rsidP="002C2496">
            <w:pPr>
              <w:pStyle w:val="DefinitionList"/>
            </w:pPr>
            <w:r>
              <w:t>Executive Agency;</w:t>
            </w:r>
          </w:p>
        </w:tc>
      </w:tr>
      <w:tr w:rsidR="001421AE" w14:paraId="625CEE47" w14:textId="77777777" w:rsidTr="006816C5">
        <w:tc>
          <w:tcPr>
            <w:tcW w:w="3493" w:type="dxa"/>
          </w:tcPr>
          <w:p w14:paraId="0D3592FE" w14:textId="77777777" w:rsidR="001421AE" w:rsidRDefault="001421AE" w:rsidP="00813948">
            <w:pPr>
              <w:pStyle w:val="StdBodyTextBold"/>
            </w:pPr>
            <w:r>
              <w:t>“Certificate of Costs”</w:t>
            </w:r>
          </w:p>
        </w:tc>
        <w:tc>
          <w:tcPr>
            <w:tcW w:w="5245" w:type="dxa"/>
          </w:tcPr>
          <w:p w14:paraId="5B54E187" w14:textId="20208783" w:rsidR="001421AE" w:rsidRDefault="001421AE" w:rsidP="00813948">
            <w:pPr>
              <w:pStyle w:val="StdBodyText"/>
            </w:pPr>
            <w:r>
              <w:t xml:space="preserve">has the meaning given in </w:t>
            </w:r>
            <w:r w:rsidRPr="009830EF">
              <w:rPr>
                <w:rFonts w:cs="Arial"/>
              </w:rPr>
              <w:t xml:space="preserve">Schedule 7.1 </w:t>
            </w:r>
            <w:r>
              <w:t>(</w:t>
            </w:r>
            <w:r w:rsidRPr="002D4907">
              <w:rPr>
                <w:i/>
              </w:rPr>
              <w:t>Charges and Invoicing</w:t>
            </w:r>
            <w:r>
              <w:t>);</w:t>
            </w:r>
          </w:p>
        </w:tc>
      </w:tr>
      <w:tr w:rsidR="001421AE" w14:paraId="3D36A1DD" w14:textId="77777777" w:rsidTr="006816C5">
        <w:tc>
          <w:tcPr>
            <w:tcW w:w="3493" w:type="dxa"/>
          </w:tcPr>
          <w:p w14:paraId="222E0BC3" w14:textId="77777777" w:rsidR="001421AE" w:rsidRDefault="001421AE" w:rsidP="00813948">
            <w:pPr>
              <w:pStyle w:val="StdBodyTextBold"/>
            </w:pPr>
            <w:r>
              <w:t>“Change Authorisation Note”</w:t>
            </w:r>
          </w:p>
        </w:tc>
        <w:tc>
          <w:tcPr>
            <w:tcW w:w="5245" w:type="dxa"/>
          </w:tcPr>
          <w:p w14:paraId="5B85F5E1" w14:textId="1A8A4BD7" w:rsidR="001421AE" w:rsidRDefault="001421AE" w:rsidP="00813948">
            <w:pPr>
              <w:pStyle w:val="StdBodyText"/>
            </w:pPr>
            <w:r>
              <w:t xml:space="preserve">a form setting out an agreed Contract Change which shall be substantially in the form of Annex 2 of </w:t>
            </w:r>
            <w:r w:rsidRPr="009830EF">
              <w:rPr>
                <w:rFonts w:cs="Arial"/>
              </w:rPr>
              <w:t xml:space="preserve">Schedule </w:t>
            </w:r>
            <w:r>
              <w:t>8.2 (</w:t>
            </w:r>
            <w:r w:rsidRPr="002D4907">
              <w:rPr>
                <w:i/>
              </w:rPr>
              <w:t>Change Control Procedure</w:t>
            </w:r>
            <w:r>
              <w:t>);</w:t>
            </w:r>
          </w:p>
        </w:tc>
      </w:tr>
      <w:tr w:rsidR="001421AE" w14:paraId="0B8DA1EF" w14:textId="77777777" w:rsidTr="006816C5">
        <w:tc>
          <w:tcPr>
            <w:tcW w:w="3493" w:type="dxa"/>
          </w:tcPr>
          <w:p w14:paraId="73EC6F0D" w14:textId="77777777" w:rsidR="001421AE" w:rsidRDefault="001421AE" w:rsidP="00813948">
            <w:pPr>
              <w:pStyle w:val="StdBodyTextBold"/>
            </w:pPr>
            <w:r>
              <w:t>“Change Control Procedure”</w:t>
            </w:r>
          </w:p>
        </w:tc>
        <w:tc>
          <w:tcPr>
            <w:tcW w:w="5245" w:type="dxa"/>
          </w:tcPr>
          <w:p w14:paraId="506D48C6" w14:textId="468C342C" w:rsidR="001421AE" w:rsidRDefault="001421AE" w:rsidP="00813948">
            <w:pPr>
              <w:pStyle w:val="StdBodyText"/>
            </w:pPr>
            <w:r>
              <w:t xml:space="preserve">the procedure for changing this Agreement set out in </w:t>
            </w:r>
            <w:r w:rsidRPr="009830EF">
              <w:rPr>
                <w:rFonts w:cs="Arial"/>
              </w:rPr>
              <w:t xml:space="preserve">Schedule </w:t>
            </w:r>
            <w:r>
              <w:t>8.2  (</w:t>
            </w:r>
            <w:r w:rsidRPr="002D4907">
              <w:rPr>
                <w:i/>
              </w:rPr>
              <w:t>Change Control Procedure</w:t>
            </w:r>
            <w:r>
              <w:t>);</w:t>
            </w:r>
          </w:p>
        </w:tc>
      </w:tr>
      <w:tr w:rsidR="001421AE" w14:paraId="2BF9086A" w14:textId="77777777" w:rsidTr="006816C5">
        <w:tc>
          <w:tcPr>
            <w:tcW w:w="3493" w:type="dxa"/>
          </w:tcPr>
          <w:p w14:paraId="538A04AC" w14:textId="77777777" w:rsidR="001421AE" w:rsidRDefault="001421AE" w:rsidP="00813948">
            <w:pPr>
              <w:pStyle w:val="StdBodyTextBold"/>
            </w:pPr>
            <w:r>
              <w:t>“Change in Law”</w:t>
            </w:r>
          </w:p>
        </w:tc>
        <w:tc>
          <w:tcPr>
            <w:tcW w:w="5245" w:type="dxa"/>
          </w:tcPr>
          <w:p w14:paraId="70E212D2" w14:textId="77777777" w:rsidR="001421AE" w:rsidRDefault="001421AE" w:rsidP="00813948">
            <w:pPr>
              <w:pStyle w:val="StdBodyText"/>
            </w:pPr>
            <w:r>
              <w:t>any change in Law which impacts on the performance of the Services which comes into force after the Effective Date;</w:t>
            </w:r>
          </w:p>
        </w:tc>
      </w:tr>
      <w:tr w:rsidR="001421AE" w14:paraId="12F04BDD" w14:textId="77777777" w:rsidTr="006816C5">
        <w:tc>
          <w:tcPr>
            <w:tcW w:w="3493" w:type="dxa"/>
          </w:tcPr>
          <w:p w14:paraId="0BC48362" w14:textId="77777777" w:rsidR="001421AE" w:rsidRDefault="001421AE" w:rsidP="00813948">
            <w:pPr>
              <w:pStyle w:val="StdBodyTextBold"/>
            </w:pPr>
            <w:r>
              <w:t>“Change Request”</w:t>
            </w:r>
          </w:p>
        </w:tc>
        <w:tc>
          <w:tcPr>
            <w:tcW w:w="5245" w:type="dxa"/>
          </w:tcPr>
          <w:p w14:paraId="0CF0F4E9" w14:textId="06B1EEDF" w:rsidR="001421AE" w:rsidRDefault="001421AE" w:rsidP="00813948">
            <w:pPr>
              <w:pStyle w:val="StdBodyText"/>
            </w:pPr>
            <w:r>
              <w:t xml:space="preserve">a written request for a Contract Change substantially in the form of Annex 1 of </w:t>
            </w:r>
            <w:r w:rsidRPr="009830EF">
              <w:rPr>
                <w:rFonts w:cs="Arial"/>
              </w:rPr>
              <w:t xml:space="preserve">Schedule </w:t>
            </w:r>
            <w:r>
              <w:t>8.2 (</w:t>
            </w:r>
            <w:r w:rsidRPr="002D4907">
              <w:rPr>
                <w:i/>
              </w:rPr>
              <w:t>Change Control Procedure</w:t>
            </w:r>
            <w:r>
              <w:t>);</w:t>
            </w:r>
          </w:p>
        </w:tc>
      </w:tr>
      <w:tr w:rsidR="001421AE" w14:paraId="08D47892" w14:textId="77777777" w:rsidTr="006816C5">
        <w:tc>
          <w:tcPr>
            <w:tcW w:w="3493" w:type="dxa"/>
          </w:tcPr>
          <w:p w14:paraId="279B201F" w14:textId="77777777" w:rsidR="001421AE" w:rsidRDefault="001421AE" w:rsidP="00813948">
            <w:pPr>
              <w:pStyle w:val="StdBodyTextBold"/>
            </w:pPr>
            <w:r>
              <w:t>“Change”</w:t>
            </w:r>
          </w:p>
        </w:tc>
        <w:tc>
          <w:tcPr>
            <w:tcW w:w="5245" w:type="dxa"/>
          </w:tcPr>
          <w:p w14:paraId="052C2001" w14:textId="77777777" w:rsidR="001421AE" w:rsidRDefault="001421AE" w:rsidP="00813948">
            <w:pPr>
              <w:pStyle w:val="StdBodyText"/>
            </w:pPr>
            <w:r>
              <w:t>any change to this Agreement;</w:t>
            </w:r>
          </w:p>
        </w:tc>
      </w:tr>
      <w:tr w:rsidR="001421AE" w14:paraId="49A7415A" w14:textId="77777777" w:rsidTr="006816C5">
        <w:tc>
          <w:tcPr>
            <w:tcW w:w="3493" w:type="dxa"/>
          </w:tcPr>
          <w:p w14:paraId="5A2220F9" w14:textId="77777777" w:rsidR="001421AE" w:rsidRDefault="001421AE" w:rsidP="00813948">
            <w:pPr>
              <w:pStyle w:val="StdBodyTextBold"/>
            </w:pPr>
            <w:r>
              <w:t>“Charges”</w:t>
            </w:r>
          </w:p>
        </w:tc>
        <w:tc>
          <w:tcPr>
            <w:tcW w:w="5245" w:type="dxa"/>
          </w:tcPr>
          <w:p w14:paraId="6A57E98A" w14:textId="73259276" w:rsidR="001421AE" w:rsidRDefault="001421AE" w:rsidP="00813948">
            <w:pPr>
              <w:pStyle w:val="StdBodyText"/>
            </w:pPr>
            <w:r>
              <w:t xml:space="preserve">the charges for the provision of the Services set out in or otherwise calculated in accordance with </w:t>
            </w:r>
            <w:r w:rsidRPr="009830EF">
              <w:rPr>
                <w:rFonts w:cs="Arial"/>
              </w:rPr>
              <w:t xml:space="preserve">Schedule </w:t>
            </w:r>
            <w:r>
              <w:t>7.1 (</w:t>
            </w:r>
            <w:r w:rsidRPr="002D4907">
              <w:rPr>
                <w:i/>
              </w:rPr>
              <w:t>Charges and Invoicing</w:t>
            </w:r>
            <w:r>
              <w:t>), including any Milestone Payment or Service Charge;</w:t>
            </w:r>
          </w:p>
        </w:tc>
      </w:tr>
      <w:tr w:rsidR="001421AE" w14:paraId="1FE3DB9E" w14:textId="77777777" w:rsidTr="006816C5">
        <w:tc>
          <w:tcPr>
            <w:tcW w:w="3493" w:type="dxa"/>
          </w:tcPr>
          <w:p w14:paraId="3082FAF4" w14:textId="77777777" w:rsidR="001421AE" w:rsidRDefault="001421AE" w:rsidP="00813948">
            <w:pPr>
              <w:pStyle w:val="StdBodyTextBold"/>
            </w:pPr>
            <w:r>
              <w:t>“Class 1 Transaction”</w:t>
            </w:r>
          </w:p>
        </w:tc>
        <w:tc>
          <w:tcPr>
            <w:tcW w:w="5245" w:type="dxa"/>
          </w:tcPr>
          <w:p w14:paraId="2BE233A4" w14:textId="77777777" w:rsidR="001421AE" w:rsidRDefault="001421AE" w:rsidP="00813948">
            <w:pPr>
              <w:pStyle w:val="StdBodyText"/>
            </w:pPr>
            <w:r>
              <w:t>has the meaning set out in the listing rules issued by the UK Listing Authority;</w:t>
            </w:r>
          </w:p>
        </w:tc>
      </w:tr>
      <w:tr w:rsidR="001421AE" w14:paraId="4119E693" w14:textId="77777777" w:rsidTr="006816C5">
        <w:tc>
          <w:tcPr>
            <w:tcW w:w="3493" w:type="dxa"/>
          </w:tcPr>
          <w:p w14:paraId="036D095B" w14:textId="77777777" w:rsidR="001421AE" w:rsidRDefault="001421AE" w:rsidP="00813948">
            <w:pPr>
              <w:pStyle w:val="StdBodyTextBold"/>
            </w:pPr>
            <w:r>
              <w:t>“CNI”</w:t>
            </w:r>
          </w:p>
        </w:tc>
        <w:tc>
          <w:tcPr>
            <w:tcW w:w="5245" w:type="dxa"/>
          </w:tcPr>
          <w:p w14:paraId="090C8A14" w14:textId="77777777" w:rsidR="001421AE" w:rsidRDefault="001421AE" w:rsidP="00813948">
            <w:pPr>
              <w:pStyle w:val="StdBodyText"/>
            </w:pPr>
            <w:r>
              <w:t>means Critical National Infrastructure;</w:t>
            </w:r>
          </w:p>
        </w:tc>
      </w:tr>
      <w:tr w:rsidR="001421AE" w14:paraId="45E0A719" w14:textId="77777777" w:rsidTr="006816C5">
        <w:tc>
          <w:tcPr>
            <w:tcW w:w="3493" w:type="dxa"/>
          </w:tcPr>
          <w:p w14:paraId="19AF6FEB" w14:textId="77777777" w:rsidR="001421AE" w:rsidRDefault="001421AE" w:rsidP="00813948">
            <w:pPr>
              <w:pStyle w:val="StdBodyTextBold"/>
            </w:pPr>
            <w:r>
              <w:t>“Commercially Sensitive Information”</w:t>
            </w:r>
          </w:p>
        </w:tc>
        <w:tc>
          <w:tcPr>
            <w:tcW w:w="5245" w:type="dxa"/>
          </w:tcPr>
          <w:p w14:paraId="7A654E07" w14:textId="15CC410C" w:rsidR="001421AE" w:rsidRDefault="001421AE" w:rsidP="00813948">
            <w:pPr>
              <w:pStyle w:val="StdBodyText"/>
            </w:pPr>
            <w:r>
              <w:t xml:space="preserve">the information listed in </w:t>
            </w:r>
            <w:r w:rsidRPr="009830EF">
              <w:rPr>
                <w:rFonts w:cs="Arial"/>
              </w:rPr>
              <w:t>Schedule 4.2</w:t>
            </w:r>
            <w:r>
              <w:rPr>
                <w:rFonts w:cs="Arial"/>
              </w:rPr>
              <w:t xml:space="preserve"> </w:t>
            </w:r>
            <w:r>
              <w:t>(</w:t>
            </w:r>
            <w:r w:rsidRPr="002D4907">
              <w:rPr>
                <w:i/>
              </w:rPr>
              <w:t>Commercially Sensitive Information</w:t>
            </w:r>
            <w:r>
              <w:t>) comprising the information of a commercially sensitive nature relating to:</w:t>
            </w:r>
          </w:p>
          <w:p w14:paraId="1B6F6392" w14:textId="77777777" w:rsidR="001421AE" w:rsidRDefault="001421AE" w:rsidP="00AD2EE4">
            <w:pPr>
              <w:pStyle w:val="DefinitionList"/>
              <w:numPr>
                <w:ilvl w:val="0"/>
                <w:numId w:val="27"/>
              </w:numPr>
            </w:pPr>
            <w:r>
              <w:t>the pricing of the Services;</w:t>
            </w:r>
          </w:p>
          <w:p w14:paraId="1B4BA9CA" w14:textId="77777777" w:rsidR="001421AE" w:rsidRDefault="001421AE" w:rsidP="002C2496">
            <w:pPr>
              <w:pStyle w:val="DefinitionList"/>
            </w:pPr>
            <w:r>
              <w:t xml:space="preserve">details of the </w:t>
            </w:r>
            <w:bookmarkStart w:id="18" w:name="_9kR3WTr5DA489Zb51ysmwB"/>
            <w:r>
              <w:t>Supplier’s</w:t>
            </w:r>
            <w:bookmarkEnd w:id="18"/>
            <w:r>
              <w:t xml:space="preserve"> IPRs; and</w:t>
            </w:r>
          </w:p>
          <w:p w14:paraId="40BD6461" w14:textId="77777777" w:rsidR="001421AE" w:rsidRDefault="001421AE" w:rsidP="002C2496">
            <w:pPr>
              <w:pStyle w:val="DefinitionList"/>
            </w:pPr>
            <w:r>
              <w:t>the Supplier’s business and investment plans;</w:t>
            </w:r>
          </w:p>
          <w:p w14:paraId="3CC0A758" w14:textId="77777777" w:rsidR="001421AE" w:rsidRDefault="001421AE" w:rsidP="00813948">
            <w:pPr>
              <w:pStyle w:val="StdBodyText"/>
            </w:pPr>
            <w:r>
              <w:t>which the Supplier has indicated to the Authority that, if disclosed by the Authority, would cause the Supplier significant commercial disadvantage or material financial loss;</w:t>
            </w:r>
          </w:p>
        </w:tc>
      </w:tr>
      <w:tr w:rsidR="001421AE" w14:paraId="1FE2268A" w14:textId="77777777" w:rsidTr="006816C5">
        <w:tc>
          <w:tcPr>
            <w:tcW w:w="3493" w:type="dxa"/>
          </w:tcPr>
          <w:p w14:paraId="56773289" w14:textId="77777777" w:rsidR="001421AE" w:rsidRDefault="001421AE" w:rsidP="00813948">
            <w:pPr>
              <w:pStyle w:val="StdBodyTextBold"/>
            </w:pPr>
            <w:r>
              <w:t>“Comparable Supply”</w:t>
            </w:r>
          </w:p>
        </w:tc>
        <w:tc>
          <w:tcPr>
            <w:tcW w:w="5245" w:type="dxa"/>
          </w:tcPr>
          <w:p w14:paraId="35DAA469" w14:textId="77777777" w:rsidR="001421AE" w:rsidRDefault="001421AE" w:rsidP="00813948">
            <w:pPr>
              <w:pStyle w:val="StdBodyText"/>
            </w:pPr>
            <w:r>
              <w:t>the supply of services to another customer of the Supplier that are the same or similar to any of the Services;</w:t>
            </w:r>
          </w:p>
        </w:tc>
      </w:tr>
      <w:tr w:rsidR="001421AE" w14:paraId="79628431" w14:textId="77777777" w:rsidTr="006816C5">
        <w:tc>
          <w:tcPr>
            <w:tcW w:w="3493" w:type="dxa"/>
          </w:tcPr>
          <w:p w14:paraId="41ED402B" w14:textId="77777777" w:rsidR="001421AE" w:rsidRDefault="001421AE" w:rsidP="00813948">
            <w:pPr>
              <w:pStyle w:val="StdBodyTextBold"/>
            </w:pPr>
            <w:r>
              <w:t>“Compensation for Unacceptable KPI Failure”</w:t>
            </w:r>
          </w:p>
        </w:tc>
        <w:tc>
          <w:tcPr>
            <w:tcW w:w="5245" w:type="dxa"/>
          </w:tcPr>
          <w:p w14:paraId="45C388C3" w14:textId="77777777" w:rsidR="001421AE" w:rsidRDefault="001421AE" w:rsidP="00813948">
            <w:pPr>
              <w:pStyle w:val="StdBodyText"/>
            </w:pPr>
            <w:r>
              <w:t xml:space="preserve">has the meaning given in </w:t>
            </w:r>
            <w:bookmarkStart w:id="19" w:name="_9kMIH5YVt4DD8HINEjtCxDRv"/>
            <w:r>
              <w:t xml:space="preserve">Clause </w:t>
            </w:r>
            <w:bookmarkEnd w:id="19"/>
            <w:r>
              <w:t>7.4(a) (</w:t>
            </w:r>
            <w:r w:rsidRPr="002D4907">
              <w:rPr>
                <w:i/>
              </w:rPr>
              <w:t>Unacceptable KPI Failure</w:t>
            </w:r>
            <w:r>
              <w:t>);</w:t>
            </w:r>
          </w:p>
        </w:tc>
      </w:tr>
      <w:tr w:rsidR="001421AE" w14:paraId="0D3A3AA0" w14:textId="77777777" w:rsidTr="006816C5">
        <w:tc>
          <w:tcPr>
            <w:tcW w:w="3493" w:type="dxa"/>
          </w:tcPr>
          <w:p w14:paraId="53764675" w14:textId="77777777" w:rsidR="001421AE" w:rsidRDefault="001421AE" w:rsidP="00813948">
            <w:pPr>
              <w:pStyle w:val="StdBodyTextBold"/>
            </w:pPr>
            <w:r>
              <w:t>“Compensation Payment”</w:t>
            </w:r>
          </w:p>
        </w:tc>
        <w:tc>
          <w:tcPr>
            <w:tcW w:w="5245" w:type="dxa"/>
          </w:tcPr>
          <w:p w14:paraId="7B79DDAD" w14:textId="023086AE" w:rsidR="001421AE" w:rsidRDefault="001421AE" w:rsidP="00813948">
            <w:pPr>
              <w:pStyle w:val="StdBodyText"/>
            </w:pPr>
            <w:r>
              <w:t xml:space="preserve">has the meaning given in </w:t>
            </w:r>
            <w:r w:rsidRPr="009830EF">
              <w:rPr>
                <w:rFonts w:cs="Arial"/>
              </w:rPr>
              <w:t xml:space="preserve">Schedule </w:t>
            </w:r>
            <w:r>
              <w:rPr>
                <w:rFonts w:cs="Arial"/>
              </w:rPr>
              <w:t>7</w:t>
            </w:r>
            <w:r w:rsidRPr="009830EF">
              <w:rPr>
                <w:rFonts w:cs="Arial"/>
              </w:rPr>
              <w:t xml:space="preserve">.2 </w:t>
            </w:r>
            <w:r>
              <w:t>(</w:t>
            </w:r>
            <w:r w:rsidRPr="002D4907">
              <w:rPr>
                <w:i/>
              </w:rPr>
              <w:t>Payments on Termination</w:t>
            </w:r>
            <w:r>
              <w:t>);</w:t>
            </w:r>
          </w:p>
        </w:tc>
      </w:tr>
      <w:tr w:rsidR="001421AE" w14:paraId="04708E3A" w14:textId="77777777" w:rsidTr="006816C5">
        <w:tc>
          <w:tcPr>
            <w:tcW w:w="3493" w:type="dxa"/>
          </w:tcPr>
          <w:p w14:paraId="0DE7BA82" w14:textId="77777777" w:rsidR="001421AE" w:rsidRDefault="001421AE" w:rsidP="00813948">
            <w:pPr>
              <w:pStyle w:val="StdBodyTextBold"/>
            </w:pPr>
            <w:r>
              <w:t>“Condition Precedent”</w:t>
            </w:r>
          </w:p>
        </w:tc>
        <w:tc>
          <w:tcPr>
            <w:tcW w:w="5245" w:type="dxa"/>
          </w:tcPr>
          <w:p w14:paraId="0DEAD16A" w14:textId="77777777" w:rsidR="001421AE" w:rsidRDefault="001421AE" w:rsidP="00813948">
            <w:pPr>
              <w:pStyle w:val="StdBodyText"/>
            </w:pPr>
            <w:r>
              <w:t xml:space="preserve">has the meaning given in </w:t>
            </w:r>
            <w:bookmarkStart w:id="20" w:name="_9kMIH5YVt4DD8IOSEjtCxAM"/>
            <w:r>
              <w:t xml:space="preserve">Clause </w:t>
            </w:r>
            <w:bookmarkEnd w:id="20"/>
            <w:r>
              <w:t>4.2 (</w:t>
            </w:r>
            <w:r w:rsidRPr="002D4907">
              <w:rPr>
                <w:i/>
              </w:rPr>
              <w:t>Condition</w:t>
            </w:r>
            <w:r>
              <w:t xml:space="preserve"> </w:t>
            </w:r>
            <w:r w:rsidRPr="002D4907">
              <w:rPr>
                <w:i/>
              </w:rPr>
              <w:t>Precedent</w:t>
            </w:r>
            <w:r>
              <w:t>);</w:t>
            </w:r>
          </w:p>
        </w:tc>
      </w:tr>
      <w:tr w:rsidR="001421AE" w14:paraId="0C8637D7" w14:textId="77777777" w:rsidTr="006816C5">
        <w:tc>
          <w:tcPr>
            <w:tcW w:w="3493" w:type="dxa"/>
          </w:tcPr>
          <w:p w14:paraId="6D0CFBD1" w14:textId="77777777" w:rsidR="001421AE" w:rsidRDefault="001421AE" w:rsidP="00813948">
            <w:pPr>
              <w:pStyle w:val="StdBodyTextBold"/>
            </w:pPr>
            <w:r>
              <w:t>“Confidential Information”</w:t>
            </w:r>
          </w:p>
        </w:tc>
        <w:tc>
          <w:tcPr>
            <w:tcW w:w="5245" w:type="dxa"/>
          </w:tcPr>
          <w:p w14:paraId="26257C56" w14:textId="77777777" w:rsidR="001421AE" w:rsidRDefault="001421AE" w:rsidP="00AD2EE4">
            <w:pPr>
              <w:pStyle w:val="DefinitionList"/>
              <w:numPr>
                <w:ilvl w:val="0"/>
                <w:numId w:val="28"/>
              </w:numPr>
            </w:pPr>
            <w:r>
              <w:t>Information, including all Personal Data, which (however it is conveyed) is provided by the Disclosing Party pursuant to or in anticipation of this Agreement that relates to:</w:t>
            </w:r>
          </w:p>
          <w:p w14:paraId="071FA904" w14:textId="77777777" w:rsidR="001421AE" w:rsidRDefault="001421AE" w:rsidP="002C2496">
            <w:pPr>
              <w:pStyle w:val="DefinitionListLevel1"/>
            </w:pPr>
            <w:r>
              <w:t>the Disclosing Party Group; or</w:t>
            </w:r>
          </w:p>
          <w:p w14:paraId="64A3B3A6" w14:textId="77777777" w:rsidR="001421AE" w:rsidRDefault="001421AE" w:rsidP="002C2496">
            <w:pPr>
              <w:pStyle w:val="DefinitionListLevel1"/>
            </w:pPr>
            <w:r>
              <w:t>the operations, business, affairs, developments, intellectual property rights, trade secrets, know-how and/or personnel of the Disclosing Party Group;</w:t>
            </w:r>
          </w:p>
          <w:p w14:paraId="772FE628" w14:textId="77777777" w:rsidR="001421AE" w:rsidRDefault="001421AE" w:rsidP="002C2496">
            <w:pPr>
              <w:pStyle w:val="DefinitionList"/>
            </w:pPr>
            <w:r>
              <w:t xml:space="preserve">other Information provided by the Disclosing Party pursuant to or in anticipation of this Agreement that is clearly designated as being confidential or </w:t>
            </w:r>
            <w:bookmarkStart w:id="21" w:name="_9kR3WTr5DA48Amp6z1ulqt9"/>
            <w:r>
              <w:t>equivalent</w:t>
            </w:r>
            <w:bookmarkEnd w:id="21"/>
            <w:r>
              <w:t xml:space="preserve"> or that ought reasonably to be considered to be confidential (whether or not it is so marked) which comes (or has come) to the Recipient’s attention or into the Recipient’s possession in connection with this Agreement; </w:t>
            </w:r>
          </w:p>
          <w:p w14:paraId="039D7A3B" w14:textId="77777777" w:rsidR="001421AE" w:rsidRDefault="001421AE" w:rsidP="002C2496">
            <w:pPr>
              <w:pStyle w:val="DefinitionList"/>
            </w:pPr>
            <w: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4B66D9E9" w14:textId="77777777" w:rsidR="001421AE" w:rsidRDefault="001421AE" w:rsidP="002C2496">
            <w:pPr>
              <w:pStyle w:val="DefinitionList"/>
            </w:pPr>
            <w:r>
              <w:t>Information derived from any of the above,</w:t>
            </w:r>
          </w:p>
          <w:p w14:paraId="43C2AD7D" w14:textId="77777777" w:rsidR="001421AE" w:rsidRDefault="001421AE" w:rsidP="00813948">
            <w:pPr>
              <w:pStyle w:val="StdBodyText"/>
            </w:pPr>
            <w:r>
              <w:t>but not including any Information which:</w:t>
            </w:r>
          </w:p>
          <w:p w14:paraId="1E867931" w14:textId="77777777" w:rsidR="001421AE" w:rsidRPr="00D95B91" w:rsidRDefault="001421AE" w:rsidP="002C2496">
            <w:pPr>
              <w:pStyle w:val="DefinitionListLevel1"/>
            </w:pPr>
            <w:r w:rsidRPr="00D95B91">
              <w:t xml:space="preserve">was in the possession of the Recipient without obligation of confidentiality prior to its disclosure by the Disclosing Party; </w:t>
            </w:r>
          </w:p>
          <w:p w14:paraId="27E40C0B" w14:textId="77777777" w:rsidR="001421AE" w:rsidRPr="00D95B91" w:rsidRDefault="001421AE" w:rsidP="002C2496">
            <w:pPr>
              <w:pStyle w:val="DefinitionListLevel1"/>
            </w:pPr>
            <w:r w:rsidRPr="00D95B91">
              <w:t xml:space="preserve">the Recipient obtained on a non-confidential basis from a third party who is not, to the Recipient’s knowledge or belief, bound by a </w:t>
            </w:r>
            <w:bookmarkStart w:id="22" w:name="_9kR3WTr2AADMGllxplkhs84mqz8P7q87v457NXN"/>
            <w:r w:rsidRPr="00D95B91">
              <w:t>confidentiality agreement with the Disclosing Party</w:t>
            </w:r>
            <w:bookmarkEnd w:id="22"/>
            <w:r w:rsidRPr="00D95B91">
              <w:t xml:space="preserve"> or otherwise prohibited from disclosing the information to the Recipient; </w:t>
            </w:r>
          </w:p>
          <w:p w14:paraId="72AEC128" w14:textId="77777777" w:rsidR="001421AE" w:rsidRPr="00D95B91" w:rsidRDefault="001421AE" w:rsidP="002C2496">
            <w:pPr>
              <w:pStyle w:val="DefinitionListLevel1"/>
            </w:pPr>
            <w:r w:rsidRPr="00D95B91">
              <w:t xml:space="preserve">was already generally available and in the public domain at the time of disclosure otherwise than by a breach of this Agreement or breach of a duty of confidentiality; </w:t>
            </w:r>
          </w:p>
          <w:p w14:paraId="35352074" w14:textId="77777777" w:rsidR="001421AE" w:rsidRPr="00D95B91" w:rsidRDefault="001421AE" w:rsidP="002C2496">
            <w:pPr>
              <w:pStyle w:val="DefinitionListLevel1"/>
            </w:pPr>
            <w:r w:rsidRPr="00D95B91">
              <w:t>was independently developed without access to the Confidential Information; or</w:t>
            </w:r>
          </w:p>
          <w:p w14:paraId="522AE4F8" w14:textId="77777777" w:rsidR="001421AE" w:rsidRPr="00D95B91" w:rsidRDefault="001421AE" w:rsidP="002C2496">
            <w:pPr>
              <w:pStyle w:val="DefinitionListLevel1"/>
            </w:pPr>
            <w:r w:rsidRPr="00D95B91">
              <w:t>relates to the Supplier’s:</w:t>
            </w:r>
          </w:p>
          <w:p w14:paraId="529EEE56" w14:textId="77777777" w:rsidR="001421AE" w:rsidRDefault="001421AE" w:rsidP="002C2496">
            <w:pPr>
              <w:pStyle w:val="DefinitionListLevel2"/>
              <w:tabs>
                <w:tab w:val="clear" w:pos="1440"/>
                <w:tab w:val="num" w:pos="2160"/>
              </w:tabs>
              <w:ind w:left="2160"/>
            </w:pPr>
            <w:r>
              <w:t xml:space="preserve">performance under this Agreement; or </w:t>
            </w:r>
          </w:p>
          <w:p w14:paraId="362A36D4" w14:textId="77777777" w:rsidR="001421AE" w:rsidRDefault="001421AE" w:rsidP="002C2496">
            <w:pPr>
              <w:pStyle w:val="DefinitionListLevel2"/>
              <w:tabs>
                <w:tab w:val="clear" w:pos="1440"/>
                <w:tab w:val="num" w:pos="2160"/>
              </w:tabs>
              <w:ind w:left="2160"/>
            </w:pPr>
            <w:r>
              <w:t xml:space="preserve">failure to pay any Sub-contractor as required pursuant to </w:t>
            </w:r>
            <w:bookmarkStart w:id="23" w:name="_9kMJI5YVtCIAEFFHGHIsqr12sHPFzvBJMRCxCUP"/>
            <w:r>
              <w:t xml:space="preserve">Clause </w:t>
            </w:r>
            <w:bookmarkEnd w:id="23"/>
            <w:r>
              <w:t>15.15(a) (</w:t>
            </w:r>
            <w:r w:rsidRPr="00103303">
              <w:rPr>
                <w:i/>
              </w:rPr>
              <w:t>Supply Chain Protection</w:t>
            </w:r>
            <w:r>
              <w:t>);</w:t>
            </w:r>
          </w:p>
        </w:tc>
      </w:tr>
      <w:tr w:rsidR="001421AE" w14:paraId="03DF864C" w14:textId="77777777" w:rsidTr="006816C5">
        <w:tc>
          <w:tcPr>
            <w:tcW w:w="3493" w:type="dxa"/>
          </w:tcPr>
          <w:p w14:paraId="1418D7E6" w14:textId="77777777" w:rsidR="001421AE" w:rsidRDefault="001421AE" w:rsidP="00813948">
            <w:pPr>
              <w:pStyle w:val="StdBodyTextBold"/>
            </w:pPr>
            <w:r>
              <w:t>“Conflict of Interest”</w:t>
            </w:r>
          </w:p>
        </w:tc>
        <w:tc>
          <w:tcPr>
            <w:tcW w:w="5245" w:type="dxa"/>
          </w:tcPr>
          <w:p w14:paraId="181F4D27" w14:textId="77777777" w:rsidR="001421AE" w:rsidRDefault="001421AE">
            <w:pPr>
              <w:pStyle w:val="StdBodyText"/>
            </w:pPr>
            <w:r>
              <w:t>a conflict between the financial or personal duties of the Supplier or the Supplier Personnel and the duties owed to the Authority under the Contract, in the reasonable opinion of the Authority;</w:t>
            </w:r>
          </w:p>
        </w:tc>
      </w:tr>
      <w:tr w:rsidR="001421AE" w14:paraId="61B99F48" w14:textId="77777777" w:rsidTr="006816C5">
        <w:tc>
          <w:tcPr>
            <w:tcW w:w="3493" w:type="dxa"/>
          </w:tcPr>
          <w:p w14:paraId="312FBCC5" w14:textId="77777777" w:rsidR="001421AE" w:rsidRDefault="001421AE" w:rsidP="00813948">
            <w:pPr>
              <w:pStyle w:val="StdBodyTextBold"/>
            </w:pPr>
            <w:r>
              <w:t>“Contract Change”</w:t>
            </w:r>
          </w:p>
        </w:tc>
        <w:tc>
          <w:tcPr>
            <w:tcW w:w="5245" w:type="dxa"/>
          </w:tcPr>
          <w:p w14:paraId="0F699D06" w14:textId="77777777" w:rsidR="001421AE" w:rsidRDefault="001421AE" w:rsidP="00813948">
            <w:pPr>
              <w:pStyle w:val="StdBodyText"/>
            </w:pPr>
            <w:r>
              <w:t>any change to this Agreement other than an Operational Change;</w:t>
            </w:r>
          </w:p>
        </w:tc>
      </w:tr>
      <w:tr w:rsidR="001421AE" w14:paraId="21EE8FC2" w14:textId="77777777" w:rsidTr="006816C5">
        <w:tc>
          <w:tcPr>
            <w:tcW w:w="3493" w:type="dxa"/>
          </w:tcPr>
          <w:p w14:paraId="29207E86" w14:textId="77777777" w:rsidR="001421AE" w:rsidRDefault="001421AE" w:rsidP="00813948">
            <w:pPr>
              <w:pStyle w:val="StdBodyTextBold"/>
            </w:pPr>
            <w:r>
              <w:t>“Contract Inception Report”</w:t>
            </w:r>
          </w:p>
        </w:tc>
        <w:tc>
          <w:tcPr>
            <w:tcW w:w="5245" w:type="dxa"/>
          </w:tcPr>
          <w:p w14:paraId="5EA2ADB3" w14:textId="77777777" w:rsidR="001421AE" w:rsidRDefault="001421AE" w:rsidP="00813948">
            <w:pPr>
              <w:pStyle w:val="StdBodyText"/>
            </w:pPr>
            <w:r>
              <w:t xml:space="preserve">the initial financial </w:t>
            </w:r>
            <w:bookmarkStart w:id="24" w:name="_9kR3WTr5DA48Bvvnen"/>
            <w:r>
              <w:t>model</w:t>
            </w:r>
            <w:bookmarkEnd w:id="24"/>
            <w:r>
              <w:t xml:space="preserve"> in a form agreed by the Supplier and the Authority in writing on or before the Effective Date;</w:t>
            </w:r>
          </w:p>
        </w:tc>
      </w:tr>
      <w:tr w:rsidR="001421AE" w14:paraId="211B6B2E" w14:textId="77777777" w:rsidTr="006816C5">
        <w:tc>
          <w:tcPr>
            <w:tcW w:w="3493" w:type="dxa"/>
          </w:tcPr>
          <w:p w14:paraId="580DD640" w14:textId="77777777" w:rsidR="001421AE" w:rsidRDefault="001421AE" w:rsidP="00813948">
            <w:pPr>
              <w:pStyle w:val="StdBodyTextBold"/>
            </w:pPr>
            <w:r>
              <w:t>“Contract Year”</w:t>
            </w:r>
          </w:p>
        </w:tc>
        <w:tc>
          <w:tcPr>
            <w:tcW w:w="5245" w:type="dxa"/>
          </w:tcPr>
          <w:p w14:paraId="25E127BF" w14:textId="77777777" w:rsidR="001421AE" w:rsidRDefault="001421AE" w:rsidP="00AD2EE4">
            <w:pPr>
              <w:pStyle w:val="DefinitionList"/>
              <w:numPr>
                <w:ilvl w:val="0"/>
                <w:numId w:val="29"/>
              </w:numPr>
            </w:pPr>
            <w:r>
              <w:t>a period of 12 months commencing on the Effective Date; or</w:t>
            </w:r>
          </w:p>
          <w:p w14:paraId="49BEA3B3" w14:textId="77777777" w:rsidR="001421AE" w:rsidRDefault="001421AE" w:rsidP="002C2496">
            <w:pPr>
              <w:pStyle w:val="DefinitionList"/>
            </w:pPr>
            <w:r>
              <w:t>thereafter a period of 12 months commencing on each anniversary of the Effective Date;</w:t>
            </w:r>
          </w:p>
          <w:p w14:paraId="319AF7A6" w14:textId="77777777" w:rsidR="001421AE" w:rsidRDefault="001421AE" w:rsidP="00813948">
            <w:pPr>
              <w:pStyle w:val="StdBodyText"/>
            </w:pPr>
            <w:r>
              <w:t>provided that the final Contract Year shall end on the expiry or termination of the Term;</w:t>
            </w:r>
          </w:p>
        </w:tc>
      </w:tr>
      <w:tr w:rsidR="001421AE" w14:paraId="0214C25C" w14:textId="77777777" w:rsidTr="006816C5">
        <w:tc>
          <w:tcPr>
            <w:tcW w:w="3493" w:type="dxa"/>
          </w:tcPr>
          <w:p w14:paraId="33EB8F51" w14:textId="77777777" w:rsidR="001421AE" w:rsidRDefault="001421AE" w:rsidP="00813948">
            <w:pPr>
              <w:pStyle w:val="StdBodyTextBold"/>
            </w:pPr>
            <w:r>
              <w:t>“Contracts Finder”</w:t>
            </w:r>
          </w:p>
        </w:tc>
        <w:tc>
          <w:tcPr>
            <w:tcW w:w="5245" w:type="dxa"/>
          </w:tcPr>
          <w:p w14:paraId="6EE5D477" w14:textId="59259FFF" w:rsidR="001421AE" w:rsidRDefault="001421AE" w:rsidP="00813948">
            <w:pPr>
              <w:pStyle w:val="StdBodyText"/>
            </w:pPr>
            <w:r>
              <w:t xml:space="preserve">the online government portal which allows suppliers to search for information about contracts as prescribed by </w:t>
            </w:r>
            <w:bookmarkStart w:id="25" w:name="_9kR3WTr2AADJHcEn7L4tz2oXi1t1tOVDJO6sC2i"/>
            <w:r>
              <w:t>Part 4 of the Public Contract Regulations 2015</w:t>
            </w:r>
            <w:bookmarkEnd w:id="25"/>
            <w:r>
              <w:t>;</w:t>
            </w:r>
          </w:p>
        </w:tc>
      </w:tr>
      <w:tr w:rsidR="001421AE" w14:paraId="0B67354A" w14:textId="77777777" w:rsidTr="006816C5">
        <w:tc>
          <w:tcPr>
            <w:tcW w:w="3493" w:type="dxa"/>
          </w:tcPr>
          <w:p w14:paraId="7170F0E7" w14:textId="77777777" w:rsidR="001421AE" w:rsidRDefault="001421AE" w:rsidP="00813948">
            <w:pPr>
              <w:pStyle w:val="StdBodyTextBold"/>
            </w:pPr>
            <w:r>
              <w:t>“Control”</w:t>
            </w:r>
          </w:p>
        </w:tc>
        <w:tc>
          <w:tcPr>
            <w:tcW w:w="5245" w:type="dxa"/>
          </w:tcPr>
          <w:p w14:paraId="14D6B194" w14:textId="77777777" w:rsidR="001421AE" w:rsidRDefault="001421AE" w:rsidP="00813948">
            <w:pPr>
              <w:pStyle w:val="StdBodyText"/>
            </w:pPr>
            <w:r>
              <w:t>the possession by person, directly or indirectly, of the power to direct or cause the direction of the management and policies of the other person (whether through the ownership of voting shares, by contract or otherwise) and “</w:t>
            </w:r>
            <w:r w:rsidRPr="00E52EBA">
              <w:rPr>
                <w:rStyle w:val="StdBodyTextBoldChar"/>
              </w:rPr>
              <w:t>Controls</w:t>
            </w:r>
            <w:r>
              <w:t>” and “</w:t>
            </w:r>
            <w:r w:rsidRPr="00E52EBA">
              <w:rPr>
                <w:rStyle w:val="StdBodyTextBoldChar"/>
              </w:rPr>
              <w:t>Controlled</w:t>
            </w:r>
            <w:r>
              <w:t>” shall be interpreted accordingly;</w:t>
            </w:r>
          </w:p>
        </w:tc>
      </w:tr>
      <w:tr w:rsidR="001421AE" w14:paraId="667105DE" w14:textId="77777777" w:rsidTr="006816C5">
        <w:tc>
          <w:tcPr>
            <w:tcW w:w="3493" w:type="dxa"/>
          </w:tcPr>
          <w:p w14:paraId="1174060B" w14:textId="77777777" w:rsidR="001421AE" w:rsidRDefault="001421AE" w:rsidP="00813948">
            <w:pPr>
              <w:pStyle w:val="StdBodyTextBold"/>
            </w:pPr>
            <w:r>
              <w:t>“Controller”</w:t>
            </w:r>
          </w:p>
        </w:tc>
        <w:tc>
          <w:tcPr>
            <w:tcW w:w="5245" w:type="dxa"/>
          </w:tcPr>
          <w:p w14:paraId="2B188347" w14:textId="77777777" w:rsidR="001421AE" w:rsidRDefault="001421AE">
            <w:pPr>
              <w:pStyle w:val="StdBodyText"/>
            </w:pPr>
            <w:r>
              <w:t>has the meaning given in the UK GDPR or the EU GDPR as the context requires;</w:t>
            </w:r>
          </w:p>
        </w:tc>
      </w:tr>
      <w:tr w:rsidR="001421AE" w14:paraId="07E97639" w14:textId="77777777" w:rsidTr="004C473C">
        <w:tc>
          <w:tcPr>
            <w:tcW w:w="3493" w:type="dxa"/>
          </w:tcPr>
          <w:p w14:paraId="18FB1601" w14:textId="77777777" w:rsidR="001421AE" w:rsidRDefault="001421AE" w:rsidP="00813948">
            <w:pPr>
              <w:pStyle w:val="StdBodyTextBold"/>
            </w:pPr>
            <w:r>
              <w:t>“Corporate Change Event”</w:t>
            </w:r>
          </w:p>
        </w:tc>
        <w:tc>
          <w:tcPr>
            <w:tcW w:w="5245" w:type="dxa"/>
          </w:tcPr>
          <w:p w14:paraId="7387DD9B" w14:textId="77777777" w:rsidR="001421AE" w:rsidRDefault="001421AE" w:rsidP="00813948">
            <w:pPr>
              <w:pStyle w:val="StdBodyText"/>
            </w:pPr>
            <w:r>
              <w:t>means:</w:t>
            </w:r>
          </w:p>
          <w:p w14:paraId="3E4D7AD2" w14:textId="77777777" w:rsidR="001421AE" w:rsidRDefault="001421AE" w:rsidP="00AD2EE4">
            <w:pPr>
              <w:pStyle w:val="DefinitionList"/>
              <w:numPr>
                <w:ilvl w:val="0"/>
                <w:numId w:val="30"/>
              </w:numPr>
            </w:pPr>
            <w:r>
              <w:t>any change of Control of the Supplier or a Parent Undertaking of the Supplier;</w:t>
            </w:r>
          </w:p>
          <w:p w14:paraId="3D6D9957" w14:textId="77777777" w:rsidR="001421AE" w:rsidRDefault="001421AE" w:rsidP="002C2496">
            <w:pPr>
              <w:pStyle w:val="DefinitionList"/>
            </w:pPr>
            <w:r>
              <w:t xml:space="preserve">any change of Control of any member of the Supplier Group which, in the reasonable opinion of the Authority, could have a material adverse effect on the Services; </w:t>
            </w:r>
          </w:p>
          <w:p w14:paraId="30A06A49" w14:textId="77777777" w:rsidR="001421AE" w:rsidRDefault="001421AE" w:rsidP="002C2496">
            <w:pPr>
              <w:pStyle w:val="DefinitionList"/>
            </w:pPr>
            <w:r>
              <w:t>any change to the business of the Supplier or any member of the Supplier Group which, in the reasonable opinion of the Authority, could have a material adverse effect on the Services;</w:t>
            </w:r>
          </w:p>
          <w:p w14:paraId="151A3788" w14:textId="77777777" w:rsidR="001421AE" w:rsidRDefault="001421AE" w:rsidP="002C2496">
            <w:pPr>
              <w:pStyle w:val="DefinitionList"/>
            </w:pPr>
            <w:r>
              <w:t>a Class 1 Transaction taking place in relation to the shares of the Supplier or any Parent Undertaking of the Supplier whose shares are listed on the main market of the London Stock Exchange plc;</w:t>
            </w:r>
          </w:p>
          <w:p w14:paraId="29D11B0C" w14:textId="77777777" w:rsidR="001421AE" w:rsidRDefault="001421AE" w:rsidP="002C2496">
            <w:pPr>
              <w:pStyle w:val="DefinitionList"/>
            </w:pPr>
            <w:bookmarkStart w:id="26" w:name="_Ref_ContractCompanion_9kb9Ur29B"/>
            <w:bookmarkStart w:id="27" w:name="_9kR3WTrAG86DHetjmj09ubTOACAD038SQv291am"/>
            <w:bookmarkStart w:id="28" w:name="_9kR3WTr299DIDctjmj09ubTOACAD038SQv291am"/>
            <w:r>
              <w:t>an event that could reasonably be regarded as being equivalent to a Class 1 Transaction taking place in respect of the Supplier or any Parent Undertaking of the Supplier;</w:t>
            </w:r>
            <w:bookmarkEnd w:id="26"/>
            <w:bookmarkEnd w:id="27"/>
            <w:bookmarkEnd w:id="28"/>
          </w:p>
          <w:p w14:paraId="56076F81" w14:textId="77777777" w:rsidR="001421AE" w:rsidRDefault="001421AE" w:rsidP="002C2496">
            <w:pPr>
              <w:pStyle w:val="DefinitionList"/>
            </w:pPr>
            <w:r>
              <w:t>payment of dividends by the Supplier or the ultimate Parent Undertaking of the Supplier Group exceeding 25% of the Net Asset Value of the Supplier or the ultimate Parent Undertaking of the Supplier Group respectively in any 12 month period;</w:t>
            </w:r>
          </w:p>
          <w:p w14:paraId="764D8106" w14:textId="77777777" w:rsidR="001421AE" w:rsidRDefault="001421AE" w:rsidP="002C2496">
            <w:pPr>
              <w:pStyle w:val="DefinitionList"/>
            </w:pPr>
            <w:bookmarkStart w:id="29" w:name="_9kR3WTrAG86DEbtjmj09ubTOACAD038SQv291am"/>
            <w:bookmarkStart w:id="30" w:name="_9kR3WTr299DICbtjmj09ubTOACAD038SQv291am"/>
            <w:bookmarkStart w:id="31" w:name="_Ref_ContractCompanion_9kb9Ur298"/>
            <w:r>
              <w:t>an order is made or an effective resolution is passed for the winding up of any member of the Supplier Group;</w:t>
            </w:r>
            <w:bookmarkEnd w:id="29"/>
            <w:bookmarkEnd w:id="30"/>
            <w:r>
              <w:t xml:space="preserve"> </w:t>
            </w:r>
            <w:bookmarkEnd w:id="31"/>
          </w:p>
          <w:p w14:paraId="165BC93B" w14:textId="77777777" w:rsidR="001421AE" w:rsidRDefault="001421AE" w:rsidP="002C2496">
            <w:pPr>
              <w:pStyle w:val="DefinitionList"/>
            </w:pPr>
            <w:r>
              <w:t xml:space="preserve">any member of the Supplier Group stopping payment of its debts generally or becoming unable to pay its debts within the meaning of </w:t>
            </w:r>
            <w:bookmarkStart w:id="32" w:name="_9kR3WTr277DH9zrcszv1FILL7z58uWaHJDLF87J"/>
            <w:r>
              <w:t>section 123(1) of the Insolvency Act 1986</w:t>
            </w:r>
            <w:bookmarkEnd w:id="32"/>
            <w:r>
              <w:t xml:space="preserve"> or any member of the Supplier Group ceasing to carry on all or substantially all its business, or any compromise, composition, arrangement or agreement being made with creditors of any member of the Supplier Group;</w:t>
            </w:r>
          </w:p>
          <w:p w14:paraId="5A438E42" w14:textId="77777777" w:rsidR="001421AE" w:rsidRDefault="001421AE" w:rsidP="002C2496">
            <w:pPr>
              <w:pStyle w:val="DefinitionList"/>
            </w:pPr>
            <w:r>
              <w:t>the appointment of a receiver, administrative receiver or administrator in respect of or over all or a material part of the undertaking or assets of any member of the Supplier Group; and/or</w:t>
            </w:r>
          </w:p>
          <w:p w14:paraId="6CB57229" w14:textId="77777777" w:rsidR="001421AE" w:rsidRDefault="001421AE" w:rsidP="002C2496">
            <w:pPr>
              <w:pStyle w:val="DefinitionList"/>
            </w:pPr>
            <w:r>
              <w:t xml:space="preserve">any process or events with an effect analogous to those in </w:t>
            </w:r>
            <w:bookmarkStart w:id="33" w:name="_9kMHG5YVtCIA8FJgvlol2BwdVQCECF25AUSx4B3"/>
            <w:r>
              <w:t xml:space="preserve">paragraphs </w:t>
            </w:r>
            <w:r>
              <w:fldChar w:fldCharType="begin"/>
            </w:r>
            <w:r>
              <w:instrText xml:space="preserve"> REF _Ref_ContractCompanion_9kb9Ur29B \w \n \h \t \* MERGEFORMAT </w:instrText>
            </w:r>
            <w:r>
              <w:fldChar w:fldCharType="separate"/>
            </w:r>
            <w:bookmarkStart w:id="34" w:name="_9kMHG5YVt4BBFKFevlol2BwdVQCECF25AUSx4B3"/>
            <w:r>
              <w:t>(e)</w:t>
            </w:r>
            <w:bookmarkEnd w:id="34"/>
            <w:r>
              <w:fldChar w:fldCharType="end"/>
            </w:r>
            <w:bookmarkEnd w:id="33"/>
            <w:r>
              <w:t xml:space="preserve"> to </w:t>
            </w:r>
            <w:bookmarkStart w:id="35" w:name="_9kMHG5YVtCIA8FGdvlol2BwdVQCECF25AUSx4B3"/>
            <w:r>
              <w:fldChar w:fldCharType="begin"/>
            </w:r>
            <w:r>
              <w:instrText xml:space="preserve"> REF _Ref_ContractCompanion_9kb9Ur298 \w \n \h \t \* MERGEFORMAT </w:instrText>
            </w:r>
            <w:r>
              <w:fldChar w:fldCharType="separate"/>
            </w:r>
            <w:bookmarkStart w:id="36" w:name="_9kMHG5YVt4BBFKEdvlol2BwdVQCECF25AUSx4B3"/>
            <w:r>
              <w:t>(g)</w:t>
            </w:r>
            <w:bookmarkEnd w:id="36"/>
            <w:r>
              <w:fldChar w:fldCharType="end"/>
            </w:r>
            <w:bookmarkEnd w:id="35"/>
            <w:r>
              <w:t xml:space="preserve"> inclusive above occurring to a member of the Supplier Group in a jurisdiction outside England and Wales;</w:t>
            </w:r>
          </w:p>
        </w:tc>
      </w:tr>
      <w:tr w:rsidR="001421AE" w14:paraId="71F742EE" w14:textId="77777777" w:rsidTr="006816C5">
        <w:tc>
          <w:tcPr>
            <w:tcW w:w="3493" w:type="dxa"/>
          </w:tcPr>
          <w:p w14:paraId="23606151" w14:textId="77777777" w:rsidR="001421AE" w:rsidRDefault="001421AE" w:rsidP="00813948">
            <w:pPr>
              <w:pStyle w:val="StdBodyTextBold"/>
            </w:pPr>
            <w:r>
              <w:t>“Costs”</w:t>
            </w:r>
          </w:p>
        </w:tc>
        <w:tc>
          <w:tcPr>
            <w:tcW w:w="5245" w:type="dxa"/>
          </w:tcPr>
          <w:p w14:paraId="43821F4A" w14:textId="3F85ABA7" w:rsidR="001421AE" w:rsidRDefault="001421AE" w:rsidP="00813948">
            <w:pPr>
              <w:pStyle w:val="StdBodyText"/>
            </w:pPr>
            <w:r>
              <w:t xml:space="preserve">has the meaning given in </w:t>
            </w:r>
            <w:r w:rsidRPr="009830EF">
              <w:rPr>
                <w:rFonts w:cs="Arial"/>
              </w:rPr>
              <w:t xml:space="preserve">Schedule </w:t>
            </w:r>
            <w:r>
              <w:rPr>
                <w:rFonts w:cs="Arial"/>
              </w:rPr>
              <w:t>7.1</w:t>
            </w:r>
            <w:r>
              <w:t xml:space="preserve"> (</w:t>
            </w:r>
            <w:r w:rsidRPr="00E52EBA">
              <w:rPr>
                <w:i/>
              </w:rPr>
              <w:t>Charges and Invoicing</w:t>
            </w:r>
            <w:r>
              <w:t>);</w:t>
            </w:r>
          </w:p>
        </w:tc>
      </w:tr>
      <w:tr w:rsidR="001421AE" w14:paraId="1B6B3F40" w14:textId="77777777" w:rsidTr="006816C5">
        <w:tc>
          <w:tcPr>
            <w:tcW w:w="3493" w:type="dxa"/>
          </w:tcPr>
          <w:p w14:paraId="35CF97A0" w14:textId="77777777" w:rsidR="001421AE" w:rsidRDefault="001421AE" w:rsidP="00813948">
            <w:pPr>
              <w:pStyle w:val="StdBodyTextBold"/>
            </w:pPr>
            <w:r>
              <w:t>“CPP Milestone”</w:t>
            </w:r>
          </w:p>
        </w:tc>
        <w:tc>
          <w:tcPr>
            <w:tcW w:w="5245" w:type="dxa"/>
          </w:tcPr>
          <w:p w14:paraId="77F8B601" w14:textId="06170BA6" w:rsidR="001421AE" w:rsidRDefault="001421AE" w:rsidP="00813948">
            <w:pPr>
              <w:pStyle w:val="StdBodyText"/>
            </w:pPr>
            <w:r>
              <w:t xml:space="preserve">a contract performance point as set out in the Implementation Plan, being the Milestone at which the Supplier has demonstrated that the Supplier Solution or relevant Service is working satisfactorily in its operating environment in accordance with </w:t>
            </w:r>
            <w:r w:rsidRPr="009830EF">
              <w:rPr>
                <w:rFonts w:cs="Arial"/>
              </w:rPr>
              <w:t xml:space="preserve">Schedule </w:t>
            </w:r>
            <w:r>
              <w:rPr>
                <w:rFonts w:cs="Arial"/>
              </w:rPr>
              <w:t>6.2</w:t>
            </w:r>
            <w:r>
              <w:t xml:space="preserve"> (</w:t>
            </w:r>
            <w:r w:rsidRPr="00E52EBA">
              <w:rPr>
                <w:i/>
              </w:rPr>
              <w:t>Testing Procedures</w:t>
            </w:r>
            <w:r>
              <w:t>);</w:t>
            </w:r>
          </w:p>
        </w:tc>
      </w:tr>
      <w:tr w:rsidR="001421AE" w14:paraId="39C6108A" w14:textId="77777777" w:rsidTr="006816C5">
        <w:tc>
          <w:tcPr>
            <w:tcW w:w="3493" w:type="dxa"/>
          </w:tcPr>
          <w:p w14:paraId="7C662987" w14:textId="77777777" w:rsidR="001421AE" w:rsidRDefault="001421AE" w:rsidP="00813948">
            <w:pPr>
              <w:pStyle w:val="StdBodyTextBold"/>
            </w:pPr>
            <w:r>
              <w:t>“Critical National Infrastructure”</w:t>
            </w:r>
          </w:p>
        </w:tc>
        <w:tc>
          <w:tcPr>
            <w:tcW w:w="5245" w:type="dxa"/>
          </w:tcPr>
          <w:p w14:paraId="7654117B" w14:textId="77777777" w:rsidR="001421AE" w:rsidRDefault="001421AE" w:rsidP="00813948">
            <w:pPr>
              <w:pStyle w:val="StdBodyText"/>
            </w:pPr>
            <w:r>
              <w:t>means those critical elements of UK national infrastructure (namely assets, facilities, systems, networks or processes and the essential workers that operate and facilitate them), the loss or compromise of which could result in:</w:t>
            </w:r>
          </w:p>
          <w:p w14:paraId="122F9C30" w14:textId="77777777" w:rsidR="001421AE" w:rsidRDefault="001421AE" w:rsidP="00AD2EE4">
            <w:pPr>
              <w:pStyle w:val="DefinitionList"/>
              <w:numPr>
                <w:ilvl w:val="0"/>
                <w:numId w:val="32"/>
              </w:numPr>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787A4B2" w14:textId="77777777" w:rsidR="001421AE" w:rsidRDefault="001421AE" w:rsidP="002C2496">
            <w:pPr>
              <w:pStyle w:val="DefinitionList"/>
            </w:pPr>
            <w:r>
              <w:t>significant impact on the national security, national defence, or the functioning of the UK;</w:t>
            </w:r>
          </w:p>
        </w:tc>
      </w:tr>
      <w:tr w:rsidR="001421AE" w14:paraId="36C9F503" w14:textId="77777777" w:rsidTr="006816C5">
        <w:tc>
          <w:tcPr>
            <w:tcW w:w="3493" w:type="dxa"/>
          </w:tcPr>
          <w:p w14:paraId="7E7549BB" w14:textId="77777777" w:rsidR="001421AE" w:rsidRDefault="001421AE" w:rsidP="00813948">
            <w:pPr>
              <w:pStyle w:val="StdBodyTextBold"/>
            </w:pPr>
            <w:r>
              <w:t>“Critical Performance Failure”</w:t>
            </w:r>
          </w:p>
        </w:tc>
        <w:tc>
          <w:tcPr>
            <w:tcW w:w="5245" w:type="dxa"/>
          </w:tcPr>
          <w:p w14:paraId="749A95B3" w14:textId="74D38B7E" w:rsidR="001421AE" w:rsidRDefault="001421AE" w:rsidP="004124C9">
            <w:pPr>
              <w:pStyle w:val="ScheduleText4"/>
              <w:tabs>
                <w:tab w:val="clear" w:pos="720"/>
                <w:tab w:val="clear" w:pos="1803"/>
                <w:tab w:val="left" w:pos="888"/>
              </w:tabs>
              <w:ind w:left="747" w:hanging="747"/>
            </w:pPr>
            <w:r>
              <w:t xml:space="preserve">the Supplier accruing in aggregate </w:t>
            </w:r>
            <w:r w:rsidR="00940AAA">
              <w:t>2,000</w:t>
            </w:r>
            <w:r>
              <w:t xml:space="preserve"> or more Service Points (in terms of the number of points allocated) in any period of 3 months; or</w:t>
            </w:r>
          </w:p>
          <w:p w14:paraId="58662B4B" w14:textId="2757728A" w:rsidR="00275B23" w:rsidRDefault="00B72E91" w:rsidP="004124C9">
            <w:pPr>
              <w:pStyle w:val="ScheduleText4"/>
              <w:tabs>
                <w:tab w:val="clear" w:pos="720"/>
                <w:tab w:val="clear" w:pos="1803"/>
                <w:tab w:val="left" w:pos="888"/>
              </w:tabs>
              <w:ind w:left="747" w:hanging="747"/>
            </w:pPr>
            <w:r w:rsidRPr="00B72E91">
              <w:t xml:space="preserve">the performance against the Performance Indicators by the </w:t>
            </w:r>
            <w:r>
              <w:t>Supplier</w:t>
            </w:r>
            <w:r w:rsidRPr="00B72E91">
              <w:t xml:space="preserve"> falling below the KPI Service Threshold in respect of five (5) or more of the Performance Indicators in any period of three (3) months</w:t>
            </w:r>
            <w:r>
              <w:t>;</w:t>
            </w:r>
            <w:r w:rsidR="00940AAA">
              <w:t xml:space="preserve"> or</w:t>
            </w:r>
          </w:p>
          <w:p w14:paraId="696DDD26" w14:textId="17EBCAD8" w:rsidR="001421AE" w:rsidRDefault="001421AE" w:rsidP="004124C9">
            <w:pPr>
              <w:pStyle w:val="ScheduleText4"/>
              <w:tabs>
                <w:tab w:val="clear" w:pos="720"/>
                <w:tab w:val="clear" w:pos="1803"/>
                <w:tab w:val="left" w:pos="888"/>
              </w:tabs>
              <w:ind w:left="747" w:hanging="747"/>
            </w:pPr>
            <w:r>
              <w:t xml:space="preserve">the Supplier accruing Service Credits or Compensation for Unacceptable KPI Failure which meet or exceed the Service Credit Cap; </w:t>
            </w:r>
          </w:p>
        </w:tc>
      </w:tr>
      <w:tr w:rsidR="001421AE" w14:paraId="2705A27F" w14:textId="77777777" w:rsidTr="006816C5">
        <w:tc>
          <w:tcPr>
            <w:tcW w:w="3493" w:type="dxa"/>
          </w:tcPr>
          <w:p w14:paraId="7CC957BE" w14:textId="77777777" w:rsidR="001421AE" w:rsidRDefault="001421AE" w:rsidP="00813948">
            <w:pPr>
              <w:pStyle w:val="StdBodyTextBold"/>
            </w:pPr>
            <w:r>
              <w:t>“Critical Service Contract”</w:t>
            </w:r>
          </w:p>
        </w:tc>
        <w:tc>
          <w:tcPr>
            <w:tcW w:w="5245" w:type="dxa"/>
          </w:tcPr>
          <w:p w14:paraId="53380431" w14:textId="0597AE9E" w:rsidR="001421AE" w:rsidRDefault="001421AE" w:rsidP="00813948">
            <w:pPr>
              <w:pStyle w:val="StdBodyText"/>
            </w:pPr>
            <w:r>
              <w:t xml:space="preserve">means the overall status of the Services provided under this Agreement as determined by the Authority and specified in </w:t>
            </w:r>
            <w:bookmarkStart w:id="37" w:name="_9kR3WTr2CC4EK1knoewrqyBIJ"/>
            <w:r>
              <w:t xml:space="preserve">paragraph 10.1 </w:t>
            </w:r>
            <w:bookmarkEnd w:id="37"/>
            <w:r>
              <w:t>of Part B to Schedule 8.6 (</w:t>
            </w:r>
            <w:r w:rsidRPr="00F47392">
              <w:rPr>
                <w:i/>
              </w:rPr>
              <w:t>Service Continuity Plan</w:t>
            </w:r>
            <w:r>
              <w:t>);</w:t>
            </w:r>
          </w:p>
        </w:tc>
      </w:tr>
      <w:tr w:rsidR="001421AE" w14:paraId="7F7C73AC" w14:textId="77777777" w:rsidTr="006816C5">
        <w:tc>
          <w:tcPr>
            <w:tcW w:w="3493" w:type="dxa"/>
          </w:tcPr>
          <w:p w14:paraId="10F2012B" w14:textId="77777777" w:rsidR="001421AE" w:rsidRDefault="001421AE" w:rsidP="00813948">
            <w:pPr>
              <w:pStyle w:val="StdBodyTextBold"/>
            </w:pPr>
            <w:r>
              <w:t>“CRP Information”</w:t>
            </w:r>
          </w:p>
        </w:tc>
        <w:tc>
          <w:tcPr>
            <w:tcW w:w="5245" w:type="dxa"/>
          </w:tcPr>
          <w:p w14:paraId="2F237CEE" w14:textId="77777777" w:rsidR="001421AE" w:rsidRDefault="001421AE" w:rsidP="00813948">
            <w:pPr>
              <w:pStyle w:val="StdBodyText"/>
            </w:pPr>
            <w:r>
              <w:t>means the Corporate Resolution Planning Information;</w:t>
            </w:r>
          </w:p>
        </w:tc>
      </w:tr>
      <w:tr w:rsidR="001421AE" w14:paraId="43EF87A6" w14:textId="77777777" w:rsidTr="006816C5">
        <w:tc>
          <w:tcPr>
            <w:tcW w:w="3493" w:type="dxa"/>
          </w:tcPr>
          <w:p w14:paraId="646E9D0C" w14:textId="77777777" w:rsidR="001421AE" w:rsidRDefault="001421AE" w:rsidP="00813948">
            <w:pPr>
              <w:pStyle w:val="StdBodyTextBold"/>
            </w:pPr>
            <w:r>
              <w:t>“CRTPA”</w:t>
            </w:r>
          </w:p>
        </w:tc>
        <w:tc>
          <w:tcPr>
            <w:tcW w:w="5245" w:type="dxa"/>
          </w:tcPr>
          <w:p w14:paraId="028BB01A" w14:textId="77777777" w:rsidR="001421AE" w:rsidRDefault="001421AE" w:rsidP="00813948">
            <w:pPr>
              <w:pStyle w:val="StdBodyText"/>
            </w:pPr>
            <w:r>
              <w:t xml:space="preserve">the </w:t>
            </w:r>
            <w:bookmarkStart w:id="38" w:name="_9kR3WTr277DMFKFx38qcwDmXtt7JF3jg2D9ia9T"/>
            <w:r>
              <w:t>Contracts (Rights of Third Parties) Act 1999</w:t>
            </w:r>
            <w:bookmarkEnd w:id="38"/>
            <w:r>
              <w:t>;</w:t>
            </w:r>
          </w:p>
        </w:tc>
      </w:tr>
      <w:tr w:rsidR="001421AE" w14:paraId="02B86D10" w14:textId="77777777" w:rsidTr="006816C5">
        <w:tc>
          <w:tcPr>
            <w:tcW w:w="3493" w:type="dxa"/>
          </w:tcPr>
          <w:p w14:paraId="5733B99B" w14:textId="77777777" w:rsidR="001421AE" w:rsidRDefault="001421AE" w:rsidP="00813948">
            <w:pPr>
              <w:pStyle w:val="StdBodyTextBold"/>
            </w:pPr>
            <w:r>
              <w:t>“Data Loss Event”</w:t>
            </w:r>
          </w:p>
        </w:tc>
        <w:tc>
          <w:tcPr>
            <w:tcW w:w="5245" w:type="dxa"/>
          </w:tcPr>
          <w:p w14:paraId="76645908" w14:textId="77777777" w:rsidR="001421AE" w:rsidRDefault="001421AE" w:rsidP="00813948">
            <w:pPr>
              <w:pStyle w:val="StdBodyText"/>
            </w:pPr>
            <w:r>
              <w:t>any event that results, or may result, in unauthorised access to Personal Data held by the Supplier under this Agreement, and/or actual or potential loss and/or destruction of Personal Data in breach of this Agreement, including any Personal Data Breach;</w:t>
            </w:r>
          </w:p>
        </w:tc>
      </w:tr>
      <w:tr w:rsidR="001421AE" w14:paraId="432195CF" w14:textId="77777777" w:rsidTr="006816C5">
        <w:tc>
          <w:tcPr>
            <w:tcW w:w="3493" w:type="dxa"/>
          </w:tcPr>
          <w:p w14:paraId="783CBAAD" w14:textId="77777777" w:rsidR="001421AE" w:rsidRDefault="001421AE" w:rsidP="00813948">
            <w:pPr>
              <w:pStyle w:val="StdBodyTextBold"/>
            </w:pPr>
            <w:r>
              <w:t>“Data Protection Impact Assessment”</w:t>
            </w:r>
          </w:p>
        </w:tc>
        <w:tc>
          <w:tcPr>
            <w:tcW w:w="5245" w:type="dxa"/>
          </w:tcPr>
          <w:p w14:paraId="4CD28412" w14:textId="77777777" w:rsidR="001421AE" w:rsidRDefault="001421AE" w:rsidP="00813948">
            <w:pPr>
              <w:pStyle w:val="StdBodyText"/>
            </w:pPr>
            <w:r>
              <w:t>an assessment by the Controller of the impact of the envisaged processing on the protection of Personal Data;</w:t>
            </w:r>
          </w:p>
        </w:tc>
      </w:tr>
      <w:tr w:rsidR="001421AE" w14:paraId="4DF1ABBD" w14:textId="77777777" w:rsidTr="006816C5">
        <w:tc>
          <w:tcPr>
            <w:tcW w:w="3493" w:type="dxa"/>
          </w:tcPr>
          <w:p w14:paraId="7A7CF5EB" w14:textId="77777777" w:rsidR="001421AE" w:rsidRDefault="001421AE" w:rsidP="00813948">
            <w:pPr>
              <w:pStyle w:val="StdBodyTextBold"/>
            </w:pPr>
            <w:r>
              <w:t>“Data Protection Legislation”</w:t>
            </w:r>
          </w:p>
        </w:tc>
        <w:tc>
          <w:tcPr>
            <w:tcW w:w="5245" w:type="dxa"/>
          </w:tcPr>
          <w:p w14:paraId="26F342C4" w14:textId="77777777" w:rsidR="001421AE" w:rsidRDefault="001421AE" w:rsidP="00AD2EE4">
            <w:pPr>
              <w:pStyle w:val="DefinitionList"/>
              <w:numPr>
                <w:ilvl w:val="0"/>
                <w:numId w:val="34"/>
              </w:numPr>
            </w:pPr>
            <w:r>
              <w:t>the UK GDPR;</w:t>
            </w:r>
          </w:p>
          <w:p w14:paraId="25A8A04B" w14:textId="77777777" w:rsidR="001421AE" w:rsidRDefault="001421AE" w:rsidP="002C2496">
            <w:pPr>
              <w:pStyle w:val="DefinitionList"/>
            </w:pPr>
            <w:r>
              <w:t xml:space="preserve">the DPA 2018 to the extent that it relates to processing of personal data and privacy; </w:t>
            </w:r>
          </w:p>
          <w:p w14:paraId="511A33F0" w14:textId="77777777" w:rsidR="001421AE" w:rsidRDefault="001421AE" w:rsidP="002C2496">
            <w:pPr>
              <w:pStyle w:val="DefinitionList"/>
            </w:pPr>
            <w:r>
              <w:t>all applicable Law about the processing of personal data and privacy;</w:t>
            </w:r>
          </w:p>
          <w:p w14:paraId="75475E18" w14:textId="77777777" w:rsidR="001421AE" w:rsidRDefault="001421AE" w:rsidP="002C2496">
            <w:pPr>
              <w:pStyle w:val="DefinitionList"/>
            </w:pPr>
            <w:r w:rsidRPr="00ED04C6">
              <w:t>(to the extent that it applies) the EU GDPR</w:t>
            </w:r>
            <w:r>
              <w:t>;</w:t>
            </w:r>
          </w:p>
        </w:tc>
      </w:tr>
      <w:tr w:rsidR="001421AE" w14:paraId="47888C31" w14:textId="77777777" w:rsidTr="006816C5">
        <w:tc>
          <w:tcPr>
            <w:tcW w:w="3493" w:type="dxa"/>
          </w:tcPr>
          <w:p w14:paraId="4B565697" w14:textId="77777777" w:rsidR="001421AE" w:rsidRDefault="001421AE" w:rsidP="00813948">
            <w:pPr>
              <w:pStyle w:val="StdBodyTextBold"/>
            </w:pPr>
            <w:r>
              <w:t>“Data Subject Request”</w:t>
            </w:r>
          </w:p>
        </w:tc>
        <w:tc>
          <w:tcPr>
            <w:tcW w:w="5245" w:type="dxa"/>
          </w:tcPr>
          <w:p w14:paraId="4A44AC08" w14:textId="77777777" w:rsidR="001421AE" w:rsidRDefault="001421AE" w:rsidP="00813948">
            <w:pPr>
              <w:pStyle w:val="StdBodyText"/>
            </w:pPr>
            <w:r>
              <w:t>a request made by, or on behalf of, a Data Subject in accordance with rights granted pursuant to the Data Protection Legislation to their Personal Data;</w:t>
            </w:r>
          </w:p>
        </w:tc>
      </w:tr>
      <w:tr w:rsidR="001421AE" w14:paraId="27D088A9" w14:textId="77777777" w:rsidTr="006816C5">
        <w:tc>
          <w:tcPr>
            <w:tcW w:w="3493" w:type="dxa"/>
          </w:tcPr>
          <w:p w14:paraId="5C77131C" w14:textId="77777777" w:rsidR="001421AE" w:rsidRDefault="001421AE" w:rsidP="00813948">
            <w:pPr>
              <w:pStyle w:val="StdBodyTextBold"/>
            </w:pPr>
            <w:r>
              <w:t>“Data Subject”</w:t>
            </w:r>
          </w:p>
        </w:tc>
        <w:tc>
          <w:tcPr>
            <w:tcW w:w="5245" w:type="dxa"/>
          </w:tcPr>
          <w:p w14:paraId="5F24F4CF" w14:textId="15FCB0B5" w:rsidR="001421AE" w:rsidRDefault="001421AE">
            <w:pPr>
              <w:pStyle w:val="StdBodyText"/>
            </w:pPr>
            <w:r>
              <w:t>has the meaning given to it in the UK GDPR or the EU GDPR as the context requires;</w:t>
            </w:r>
          </w:p>
        </w:tc>
      </w:tr>
      <w:tr w:rsidR="001421AE" w14:paraId="74391A00" w14:textId="77777777" w:rsidTr="006816C5">
        <w:tc>
          <w:tcPr>
            <w:tcW w:w="3493" w:type="dxa"/>
          </w:tcPr>
          <w:p w14:paraId="06177E9C" w14:textId="77777777" w:rsidR="001421AE" w:rsidRDefault="001421AE" w:rsidP="00813948">
            <w:pPr>
              <w:pStyle w:val="StdBodyTextBold"/>
            </w:pPr>
            <w:r>
              <w:t>“Deductions”</w:t>
            </w:r>
          </w:p>
        </w:tc>
        <w:tc>
          <w:tcPr>
            <w:tcW w:w="5245" w:type="dxa"/>
          </w:tcPr>
          <w:p w14:paraId="4E60D786" w14:textId="77777777" w:rsidR="001421AE" w:rsidRDefault="001421AE" w:rsidP="00813948">
            <w:pPr>
              <w:pStyle w:val="StdBodyText"/>
            </w:pPr>
            <w:r>
              <w:t>all Service Credits, Compensation for Unacceptable KPI Failure, Delay Payments or any other deduction which is paid or payable to the Authority under this Agreement;</w:t>
            </w:r>
          </w:p>
        </w:tc>
      </w:tr>
      <w:tr w:rsidR="001421AE" w14:paraId="1E50D6F4" w14:textId="77777777" w:rsidTr="006816C5">
        <w:tc>
          <w:tcPr>
            <w:tcW w:w="3493" w:type="dxa"/>
          </w:tcPr>
          <w:p w14:paraId="4DA76889" w14:textId="77777777" w:rsidR="001421AE" w:rsidRDefault="001421AE" w:rsidP="00813948">
            <w:pPr>
              <w:pStyle w:val="StdBodyTextBold"/>
            </w:pPr>
            <w:r>
              <w:t>“Default”</w:t>
            </w:r>
          </w:p>
        </w:tc>
        <w:tc>
          <w:tcPr>
            <w:tcW w:w="5245" w:type="dxa"/>
          </w:tcPr>
          <w:p w14:paraId="2A623766" w14:textId="77777777" w:rsidR="001421AE" w:rsidRDefault="001421AE" w:rsidP="00813948">
            <w:pPr>
              <w:pStyle w:val="StdBodyText"/>
            </w:pPr>
            <w:r>
              <w:t>any breach of the obligations of the relevant Party (including abandonment of this Agreement in breach of its terms, repudiatory breach or breach of a fundamental term) or any other default, act, omission, negligence or statement:</w:t>
            </w:r>
          </w:p>
          <w:p w14:paraId="14F3FF8D" w14:textId="77777777" w:rsidR="001421AE" w:rsidRDefault="001421AE" w:rsidP="00AD2EE4">
            <w:pPr>
              <w:pStyle w:val="DefinitionList"/>
              <w:numPr>
                <w:ilvl w:val="0"/>
                <w:numId w:val="35"/>
              </w:numPr>
            </w:pPr>
            <w:r>
              <w:t>in the case of the Authority, of its employees, servants, agents; or</w:t>
            </w:r>
          </w:p>
          <w:p w14:paraId="6F9F803D" w14:textId="77777777" w:rsidR="001421AE" w:rsidRDefault="001421AE" w:rsidP="002C2496">
            <w:pPr>
              <w:pStyle w:val="DefinitionList"/>
            </w:pPr>
            <w:r>
              <w:t>in the case of the Supplier, of its Sub-contractors or any Supplier Personnel,</w:t>
            </w:r>
          </w:p>
          <w:p w14:paraId="550790F4" w14:textId="77777777" w:rsidR="001421AE" w:rsidRDefault="001421AE" w:rsidP="00813948">
            <w:pPr>
              <w:pStyle w:val="StdBodyText"/>
            </w:pPr>
            <w:r>
              <w:t>in connection with or in relation to the subject-matter of this Agreement and in respect of which such Party is liable to the other;</w:t>
            </w:r>
          </w:p>
        </w:tc>
      </w:tr>
      <w:tr w:rsidR="001421AE" w14:paraId="51ED68F3" w14:textId="77777777" w:rsidTr="006816C5">
        <w:tc>
          <w:tcPr>
            <w:tcW w:w="3493" w:type="dxa"/>
          </w:tcPr>
          <w:p w14:paraId="1E532137" w14:textId="77777777" w:rsidR="001421AE" w:rsidRDefault="001421AE" w:rsidP="00813948">
            <w:pPr>
              <w:pStyle w:val="StdBodyTextBold"/>
            </w:pPr>
            <w:r>
              <w:t>“Defect”</w:t>
            </w:r>
          </w:p>
        </w:tc>
        <w:tc>
          <w:tcPr>
            <w:tcW w:w="5245" w:type="dxa"/>
          </w:tcPr>
          <w:p w14:paraId="762DF4E6" w14:textId="77777777" w:rsidR="001421AE" w:rsidRDefault="001421AE" w:rsidP="00AD2EE4">
            <w:pPr>
              <w:pStyle w:val="DefinitionList"/>
              <w:numPr>
                <w:ilvl w:val="0"/>
                <w:numId w:val="36"/>
              </w:numPr>
            </w:pPr>
            <w:r>
              <w:t>any error, damage or defect in the manufacturing of a Deliverable; or</w:t>
            </w:r>
          </w:p>
          <w:p w14:paraId="5C19050D" w14:textId="77777777" w:rsidR="001421AE" w:rsidRDefault="001421AE" w:rsidP="002C2496">
            <w:pPr>
              <w:pStyle w:val="DefinitionList"/>
            </w:pPr>
            <w:r>
              <w:t>any error or failure of code within the Software which causes a Deliverable to malfunction or to produce unintelligible or incorrect results; or</w:t>
            </w:r>
          </w:p>
          <w:p w14:paraId="46E3BA56" w14:textId="77777777" w:rsidR="001421AE" w:rsidRDefault="001421AE" w:rsidP="002C2496">
            <w:pPr>
              <w:pStyle w:val="DefinitionList"/>
            </w:pPr>
            <w:r>
              <w:t>any failure of any Deliverable to provide the performance, features and functionality specified in the Authority Requirements or the Documentation (including any adverse effect on response times) regardless of whether or not it prevents the relevant Deliverable from meeting its associated Test Success Criteria; or</w:t>
            </w:r>
          </w:p>
          <w:p w14:paraId="29703D53" w14:textId="77777777" w:rsidR="001421AE" w:rsidRDefault="001421AE" w:rsidP="002C2496">
            <w:pPr>
              <w:pStyle w:val="DefinitionList"/>
            </w:pPr>
            <w:r>
              <w:t>any failure of any Deliverable to operate in conjunction with or interface with any other Deliverable in order to provide the performance, features and functionality specified in the Authority Requirements or the Documentation (including any adverse effect on response times) regardless of whether or not it prevents the relevant Deliverable from meeting its associated Test Success Criteria;</w:t>
            </w:r>
          </w:p>
        </w:tc>
      </w:tr>
      <w:tr w:rsidR="001421AE" w14:paraId="670EEF63" w14:textId="77777777" w:rsidTr="006816C5">
        <w:tc>
          <w:tcPr>
            <w:tcW w:w="3493" w:type="dxa"/>
          </w:tcPr>
          <w:p w14:paraId="1BE01D47" w14:textId="77777777" w:rsidR="001421AE" w:rsidRDefault="001421AE" w:rsidP="00813948">
            <w:pPr>
              <w:pStyle w:val="StdBodyTextBold"/>
            </w:pPr>
            <w:r>
              <w:t>“Delay Deduction Period”</w:t>
            </w:r>
          </w:p>
        </w:tc>
        <w:tc>
          <w:tcPr>
            <w:tcW w:w="5245" w:type="dxa"/>
          </w:tcPr>
          <w:p w14:paraId="7FCFEEF3" w14:textId="77777777" w:rsidR="001421AE" w:rsidRDefault="001421AE" w:rsidP="00813948">
            <w:pPr>
              <w:pStyle w:val="StdBodyText"/>
            </w:pPr>
            <w:r>
              <w:t>the period of one hundred (100) days commencing on the relevant Milestone Date;</w:t>
            </w:r>
          </w:p>
        </w:tc>
      </w:tr>
      <w:tr w:rsidR="001421AE" w14:paraId="2F17E223" w14:textId="77777777" w:rsidTr="006816C5">
        <w:tc>
          <w:tcPr>
            <w:tcW w:w="3493" w:type="dxa"/>
          </w:tcPr>
          <w:p w14:paraId="4302A6C5" w14:textId="77777777" w:rsidR="001421AE" w:rsidRDefault="001421AE" w:rsidP="00813948">
            <w:pPr>
              <w:pStyle w:val="StdBodyTextBold"/>
            </w:pPr>
            <w:r>
              <w:t>“Delay Payments”</w:t>
            </w:r>
          </w:p>
        </w:tc>
        <w:tc>
          <w:tcPr>
            <w:tcW w:w="5245" w:type="dxa"/>
          </w:tcPr>
          <w:p w14:paraId="57C4AC6E" w14:textId="16C7E236" w:rsidR="001421AE" w:rsidRDefault="001421AE" w:rsidP="00813948">
            <w:pPr>
              <w:pStyle w:val="StdBodyText"/>
            </w:pPr>
            <w:r>
              <w:t xml:space="preserve">the amounts payable by the Supplier to the Authority in respect of a Delay in Achieving a Key Milestone as specified in </w:t>
            </w:r>
            <w:r w:rsidRPr="009830EF">
              <w:rPr>
                <w:rFonts w:cs="Arial"/>
              </w:rPr>
              <w:t xml:space="preserve">Schedule </w:t>
            </w:r>
            <w:r>
              <w:rPr>
                <w:rFonts w:cs="Arial"/>
              </w:rPr>
              <w:t xml:space="preserve">7.1 </w:t>
            </w:r>
            <w:r>
              <w:t>(</w:t>
            </w:r>
            <w:r w:rsidRPr="00F47392">
              <w:rPr>
                <w:i/>
              </w:rPr>
              <w:t>Charges and Invoicing</w:t>
            </w:r>
            <w:r>
              <w:t>);</w:t>
            </w:r>
          </w:p>
        </w:tc>
      </w:tr>
      <w:tr w:rsidR="001421AE" w14:paraId="25477881" w14:textId="77777777" w:rsidTr="006816C5">
        <w:tc>
          <w:tcPr>
            <w:tcW w:w="3493" w:type="dxa"/>
          </w:tcPr>
          <w:p w14:paraId="424B1AF4" w14:textId="77777777" w:rsidR="001421AE" w:rsidRDefault="001421AE" w:rsidP="00813948">
            <w:pPr>
              <w:pStyle w:val="StdBodyTextBold"/>
            </w:pPr>
            <w:r>
              <w:t>“Delay”</w:t>
            </w:r>
          </w:p>
        </w:tc>
        <w:tc>
          <w:tcPr>
            <w:tcW w:w="5245" w:type="dxa"/>
          </w:tcPr>
          <w:p w14:paraId="5655CBFF" w14:textId="77777777" w:rsidR="001421AE" w:rsidRDefault="001421AE" w:rsidP="00AD2EE4">
            <w:pPr>
              <w:pStyle w:val="DefinitionList"/>
              <w:numPr>
                <w:ilvl w:val="0"/>
                <w:numId w:val="37"/>
              </w:numPr>
            </w:pPr>
            <w:r>
              <w:t>a delay in the Achievement of a Milestone by its Milestone Date; or</w:t>
            </w:r>
          </w:p>
          <w:p w14:paraId="347FC8CF" w14:textId="77777777" w:rsidR="001421AE" w:rsidRDefault="001421AE" w:rsidP="002C2496">
            <w:pPr>
              <w:pStyle w:val="DefinitionList"/>
            </w:pPr>
            <w:r>
              <w:t>a delay in the design, development, testing or implementation of a Deliverable by the relevant date set out in the Implementation Plan;</w:t>
            </w:r>
          </w:p>
        </w:tc>
      </w:tr>
      <w:tr w:rsidR="001421AE" w14:paraId="377BE776" w14:textId="77777777" w:rsidTr="006816C5">
        <w:tc>
          <w:tcPr>
            <w:tcW w:w="3493" w:type="dxa"/>
          </w:tcPr>
          <w:p w14:paraId="41E6B565" w14:textId="77777777" w:rsidR="001421AE" w:rsidRDefault="001421AE" w:rsidP="00813948">
            <w:pPr>
              <w:pStyle w:val="StdBodyTextBold"/>
            </w:pPr>
            <w:r>
              <w:t>“Deliverable”</w:t>
            </w:r>
          </w:p>
        </w:tc>
        <w:tc>
          <w:tcPr>
            <w:tcW w:w="5245" w:type="dxa"/>
          </w:tcPr>
          <w:p w14:paraId="4AC9B6F0" w14:textId="77777777" w:rsidR="001421AE" w:rsidRDefault="001421AE" w:rsidP="00813948">
            <w:pPr>
              <w:pStyle w:val="StdBodyText"/>
            </w:pPr>
            <w:r>
              <w:t>an item or feature delivered or to be delivered by the Supplier at or before a Milestone Date or at any other stage during the performance of this Agreement;</w:t>
            </w:r>
          </w:p>
        </w:tc>
      </w:tr>
      <w:tr w:rsidR="001421AE" w14:paraId="47FFBA42" w14:textId="77777777" w:rsidTr="006816C5">
        <w:tc>
          <w:tcPr>
            <w:tcW w:w="3493" w:type="dxa"/>
          </w:tcPr>
          <w:p w14:paraId="276B5E47" w14:textId="77777777" w:rsidR="001421AE" w:rsidRDefault="001421AE" w:rsidP="00813948">
            <w:pPr>
              <w:pStyle w:val="StdBodyTextBold"/>
            </w:pPr>
            <w:r>
              <w:t>“Dependent Parent Undertaking”</w:t>
            </w:r>
          </w:p>
        </w:tc>
        <w:tc>
          <w:tcPr>
            <w:tcW w:w="5245" w:type="dxa"/>
          </w:tcPr>
          <w:p w14:paraId="5D0C9D69" w14:textId="77777777" w:rsidR="001421AE" w:rsidRDefault="001421AE" w:rsidP="00813948">
            <w:pPr>
              <w:pStyle w:val="StdBodyText"/>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Agreement, including for the avoidance of doubt the provision of the Services in accordance with the terms of this Agreement;</w:t>
            </w:r>
          </w:p>
        </w:tc>
      </w:tr>
      <w:tr w:rsidR="001421AE" w14:paraId="7C964053" w14:textId="77777777" w:rsidTr="006816C5">
        <w:tc>
          <w:tcPr>
            <w:tcW w:w="3493" w:type="dxa"/>
          </w:tcPr>
          <w:p w14:paraId="38994C25" w14:textId="77777777" w:rsidR="001421AE" w:rsidRDefault="001421AE" w:rsidP="00813948">
            <w:pPr>
              <w:pStyle w:val="StdBodyTextBold"/>
            </w:pPr>
            <w:r>
              <w:t>“Detailed Implementation Plan”</w:t>
            </w:r>
          </w:p>
        </w:tc>
        <w:tc>
          <w:tcPr>
            <w:tcW w:w="5245" w:type="dxa"/>
          </w:tcPr>
          <w:p w14:paraId="6C0AFCEF" w14:textId="3EAA8624" w:rsidR="001421AE" w:rsidRDefault="001421AE" w:rsidP="00813948">
            <w:pPr>
              <w:pStyle w:val="StdBodyText"/>
            </w:pPr>
            <w:r>
              <w:t xml:space="preserve">the plan developed and revised from time to time in accordance with </w:t>
            </w:r>
            <w:bookmarkStart w:id="39" w:name="_9kR3WTr2CC4EMdEnoewrqy2P"/>
            <w:r>
              <w:t xml:space="preserve">Paragraphs </w:t>
            </w:r>
            <w:bookmarkEnd w:id="39"/>
            <w:r>
              <w:t xml:space="preserve">3 and 4 of </w:t>
            </w:r>
            <w:r w:rsidRPr="009830EF">
              <w:rPr>
                <w:rFonts w:cs="Arial"/>
              </w:rPr>
              <w:t xml:space="preserve">Schedule </w:t>
            </w:r>
            <w:r>
              <w:rPr>
                <w:rFonts w:cs="Arial"/>
              </w:rPr>
              <w:t xml:space="preserve">6.1 </w:t>
            </w:r>
            <w:r>
              <w:t>(</w:t>
            </w:r>
            <w:r w:rsidRPr="00F47392">
              <w:rPr>
                <w:i/>
              </w:rPr>
              <w:t>Implementation Plan</w:t>
            </w:r>
            <w:r>
              <w:t>);</w:t>
            </w:r>
          </w:p>
        </w:tc>
      </w:tr>
      <w:tr w:rsidR="001421AE" w14:paraId="268845FB" w14:textId="77777777" w:rsidTr="006816C5">
        <w:tc>
          <w:tcPr>
            <w:tcW w:w="3493" w:type="dxa"/>
          </w:tcPr>
          <w:p w14:paraId="2B2EB8C0" w14:textId="77777777" w:rsidR="001421AE" w:rsidRDefault="001421AE" w:rsidP="00813948">
            <w:pPr>
              <w:pStyle w:val="StdBodyTextBold"/>
            </w:pPr>
            <w:r>
              <w:t>“Disclosing Party Group”</w:t>
            </w:r>
          </w:p>
        </w:tc>
        <w:tc>
          <w:tcPr>
            <w:tcW w:w="5245" w:type="dxa"/>
          </w:tcPr>
          <w:p w14:paraId="3A725652" w14:textId="77777777" w:rsidR="001421AE" w:rsidRDefault="001421AE" w:rsidP="00AD2EE4">
            <w:pPr>
              <w:pStyle w:val="DefinitionList"/>
              <w:numPr>
                <w:ilvl w:val="0"/>
                <w:numId w:val="38"/>
              </w:numPr>
            </w:pPr>
            <w:r>
              <w:t xml:space="preserve">where the Disclosing Party is the Supplier, the Supplier and any Affiliates of the Supplier; and </w:t>
            </w:r>
          </w:p>
          <w:p w14:paraId="4F6666F3" w14:textId="77777777" w:rsidR="001421AE" w:rsidRDefault="001421AE" w:rsidP="002C2496">
            <w:pPr>
              <w:pStyle w:val="DefinitionList"/>
            </w:pPr>
            <w:r>
              <w:t>where the Disclosing Party is the Authority, the Authority and any Central Government Body with which the Authority or the Supplier interacts in connection with this Agreement;</w:t>
            </w:r>
          </w:p>
        </w:tc>
      </w:tr>
      <w:tr w:rsidR="001421AE" w14:paraId="176D8557" w14:textId="77777777" w:rsidTr="006816C5">
        <w:tc>
          <w:tcPr>
            <w:tcW w:w="3493" w:type="dxa"/>
          </w:tcPr>
          <w:p w14:paraId="54F16F85" w14:textId="77777777" w:rsidR="001421AE" w:rsidRDefault="001421AE" w:rsidP="00813948">
            <w:pPr>
              <w:pStyle w:val="StdBodyTextBold"/>
            </w:pPr>
            <w:r>
              <w:t>“Disclosing Party”</w:t>
            </w:r>
          </w:p>
        </w:tc>
        <w:tc>
          <w:tcPr>
            <w:tcW w:w="5245" w:type="dxa"/>
          </w:tcPr>
          <w:p w14:paraId="4D502A24" w14:textId="77777777" w:rsidR="001421AE" w:rsidRDefault="001421AE" w:rsidP="00813948">
            <w:pPr>
              <w:pStyle w:val="StdBodyText"/>
            </w:pPr>
            <w:r>
              <w:t xml:space="preserve">has the meaning given in </w:t>
            </w:r>
            <w:bookmarkStart w:id="40" w:name="_9kMHG5YVtCIACJIFDDSN6C3pyFIECG78J7DG6In"/>
            <w:bookmarkStart w:id="41" w:name="_9kMHG5YVtCJBCJJGDDSN6C3pyFIECG78J7DG6In"/>
            <w:r>
              <w:t xml:space="preserve">Clause </w:t>
            </w:r>
            <w:bookmarkEnd w:id="40"/>
            <w:bookmarkEnd w:id="41"/>
            <w:r>
              <w:t>22.1 (</w:t>
            </w:r>
            <w:r w:rsidRPr="00F47392">
              <w:rPr>
                <w:i/>
              </w:rPr>
              <w:t>Confidentiality</w:t>
            </w:r>
            <w:r>
              <w:t>);</w:t>
            </w:r>
          </w:p>
        </w:tc>
      </w:tr>
      <w:tr w:rsidR="001421AE" w14:paraId="604FD427" w14:textId="77777777" w:rsidTr="006816C5">
        <w:tc>
          <w:tcPr>
            <w:tcW w:w="3493" w:type="dxa"/>
          </w:tcPr>
          <w:p w14:paraId="5FA12169" w14:textId="77777777" w:rsidR="001421AE" w:rsidRDefault="001421AE" w:rsidP="00813948">
            <w:pPr>
              <w:pStyle w:val="StdBodyTextBold"/>
            </w:pPr>
            <w:r>
              <w:t>“Dispute Notice”</w:t>
            </w:r>
          </w:p>
        </w:tc>
        <w:tc>
          <w:tcPr>
            <w:tcW w:w="5245" w:type="dxa"/>
          </w:tcPr>
          <w:p w14:paraId="438BABEF" w14:textId="77777777" w:rsidR="001421AE" w:rsidRDefault="001421AE" w:rsidP="00813948">
            <w:pPr>
              <w:pStyle w:val="StdBodyText"/>
            </w:pPr>
            <w:r>
              <w:t>a written notice served by one Party on the other stating that the Party serving the notice believes that there is a Dispute;</w:t>
            </w:r>
          </w:p>
        </w:tc>
      </w:tr>
      <w:tr w:rsidR="001421AE" w14:paraId="0A22D863" w14:textId="77777777" w:rsidTr="006816C5">
        <w:tc>
          <w:tcPr>
            <w:tcW w:w="3493" w:type="dxa"/>
          </w:tcPr>
          <w:p w14:paraId="718ABE52" w14:textId="77777777" w:rsidR="001421AE" w:rsidRDefault="001421AE" w:rsidP="00813948">
            <w:pPr>
              <w:pStyle w:val="StdBodyTextBold"/>
            </w:pPr>
            <w:r>
              <w:t>“Dispute Resolution Procedure”</w:t>
            </w:r>
          </w:p>
        </w:tc>
        <w:tc>
          <w:tcPr>
            <w:tcW w:w="5245" w:type="dxa"/>
          </w:tcPr>
          <w:p w14:paraId="72B44E0A" w14:textId="2EE8DA43" w:rsidR="001421AE" w:rsidRDefault="001421AE" w:rsidP="00813948">
            <w:pPr>
              <w:pStyle w:val="StdBodyText"/>
            </w:pPr>
            <w:r>
              <w:t xml:space="preserve">the dispute resolution procedure set out in </w:t>
            </w:r>
            <w:r w:rsidRPr="009830EF">
              <w:rPr>
                <w:rFonts w:cs="Arial"/>
              </w:rPr>
              <w:t xml:space="preserve">Schedule </w:t>
            </w:r>
            <w:r>
              <w:rPr>
                <w:rFonts w:cs="Arial"/>
              </w:rPr>
              <w:t>8.3</w:t>
            </w:r>
            <w:r>
              <w:t xml:space="preserve"> (</w:t>
            </w:r>
            <w:r w:rsidRPr="00F47392">
              <w:rPr>
                <w:i/>
              </w:rPr>
              <w:t>Dispute Resolution Procedure</w:t>
            </w:r>
            <w:r>
              <w:t>);</w:t>
            </w:r>
          </w:p>
        </w:tc>
      </w:tr>
      <w:tr w:rsidR="001421AE" w14:paraId="65B5A990" w14:textId="77777777" w:rsidTr="006816C5">
        <w:tc>
          <w:tcPr>
            <w:tcW w:w="3493" w:type="dxa"/>
          </w:tcPr>
          <w:p w14:paraId="75D40017" w14:textId="77777777" w:rsidR="001421AE" w:rsidRDefault="001421AE" w:rsidP="00813948">
            <w:pPr>
              <w:pStyle w:val="StdBodyTextBold"/>
            </w:pPr>
            <w:r>
              <w:t>“Dispute”</w:t>
            </w:r>
          </w:p>
        </w:tc>
        <w:tc>
          <w:tcPr>
            <w:tcW w:w="5245" w:type="dxa"/>
          </w:tcPr>
          <w:p w14:paraId="6114600C" w14:textId="77777777" w:rsidR="001421AE" w:rsidRDefault="001421AE" w:rsidP="00813948">
            <w:pPr>
              <w:pStyle w:val="StdBodyText"/>
            </w:pPr>
            <w:r>
              <w:t>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w:t>
            </w:r>
          </w:p>
        </w:tc>
      </w:tr>
      <w:tr w:rsidR="001421AE" w14:paraId="5FA4C05E" w14:textId="77777777" w:rsidTr="006816C5">
        <w:tc>
          <w:tcPr>
            <w:tcW w:w="3493" w:type="dxa"/>
          </w:tcPr>
          <w:p w14:paraId="0536E729" w14:textId="77777777" w:rsidR="001421AE" w:rsidRDefault="001421AE" w:rsidP="00813948">
            <w:pPr>
              <w:pStyle w:val="StdBodyTextBold"/>
            </w:pPr>
            <w:r>
              <w:t>“Documentation”</w:t>
            </w:r>
          </w:p>
        </w:tc>
        <w:tc>
          <w:tcPr>
            <w:tcW w:w="5245" w:type="dxa"/>
          </w:tcPr>
          <w:p w14:paraId="264ECE50" w14:textId="77777777" w:rsidR="001421AE" w:rsidRDefault="001421AE" w:rsidP="00813948">
            <w:pPr>
              <w:pStyle w:val="StdBodyText"/>
            </w:pPr>
            <w:r>
              <w:t>descriptions of the Services and Performance Indicators, details of the Supplier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384D924E" w14:textId="77777777" w:rsidR="001421AE" w:rsidRDefault="001421AE" w:rsidP="00AD2EE4">
            <w:pPr>
              <w:pStyle w:val="DefinitionList"/>
              <w:numPr>
                <w:ilvl w:val="0"/>
                <w:numId w:val="39"/>
              </w:numPr>
            </w:pPr>
            <w:r>
              <w:t>is required to be supplied by the Supplier to the Authority under this Agreement;</w:t>
            </w:r>
          </w:p>
          <w:p w14:paraId="12F27981" w14:textId="77777777" w:rsidR="001421AE" w:rsidRDefault="001421AE" w:rsidP="002C2496">
            <w:pPr>
              <w:pStyle w:val="DefinitionList"/>
            </w:pPr>
            <w:r>
              <w:t>would reasonably be required by a competent third party capable of Good Industry Practice contracted by the Authority to develop, configure, build, deploy, run, maintain, upgrade and test the individual systems that provide Services;</w:t>
            </w:r>
          </w:p>
          <w:p w14:paraId="7B2C020E" w14:textId="77777777" w:rsidR="001421AE" w:rsidRDefault="001421AE" w:rsidP="002C2496">
            <w:pPr>
              <w:pStyle w:val="DefinitionList"/>
            </w:pPr>
            <w:r>
              <w:t>is required by the Supplier in order to provide the Services; and/or</w:t>
            </w:r>
          </w:p>
          <w:p w14:paraId="6257DC21" w14:textId="77777777" w:rsidR="001421AE" w:rsidRDefault="001421AE" w:rsidP="002C2496">
            <w:pPr>
              <w:pStyle w:val="DefinitionList"/>
            </w:pPr>
            <w:r>
              <w:t>has been or shall be generated for the purpose of providing the Services;</w:t>
            </w:r>
          </w:p>
        </w:tc>
      </w:tr>
      <w:tr w:rsidR="001421AE" w14:paraId="4FBA29DB" w14:textId="77777777" w:rsidTr="006816C5">
        <w:tc>
          <w:tcPr>
            <w:tcW w:w="3493" w:type="dxa"/>
          </w:tcPr>
          <w:p w14:paraId="4E74C2F2" w14:textId="77777777" w:rsidR="001421AE" w:rsidRDefault="001421AE" w:rsidP="00813948">
            <w:pPr>
              <w:pStyle w:val="StdBodyTextBold"/>
            </w:pPr>
            <w:r>
              <w:t>“DOTAS”</w:t>
            </w:r>
          </w:p>
        </w:tc>
        <w:tc>
          <w:tcPr>
            <w:tcW w:w="5245" w:type="dxa"/>
          </w:tcPr>
          <w:p w14:paraId="70678DDC" w14:textId="77777777" w:rsidR="001421AE" w:rsidRDefault="001421AE" w:rsidP="00813948">
            <w:pPr>
              <w:pStyle w:val="StdBodyText"/>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w:t>
            </w:r>
            <w:bookmarkStart w:id="42" w:name="_9kR3WTr277DJFaEn7O7tz2oNM1uvyqPI8ZUTY"/>
            <w:r>
              <w:t>Part 7 of the Finance Act 2004</w:t>
            </w:r>
            <w:bookmarkEnd w:id="42"/>
            <w:r>
              <w:t xml:space="preserve"> and in secondary legislation made under vires contained in </w:t>
            </w:r>
            <w:bookmarkStart w:id="43" w:name="_9kMHG5YVt499FLHcGp9Q9v14qPO3wx0sRKAbWVa"/>
            <w:r>
              <w:t>Part 7 of the Finance Act 2004</w:t>
            </w:r>
            <w:bookmarkEnd w:id="43"/>
            <w:r>
              <w:t xml:space="preserve"> and as extended to national insurance contributions by the </w:t>
            </w:r>
            <w:bookmarkStart w:id="44" w:name="_9kR3WTr277DJKdCpyu0nmVS9HHyvyqRWEKPF0DW"/>
            <w:r>
              <w:t>National Insurance Contributions (Application of Part 7 of the Finance Act 2004) Regulations 2012, SI 2012/1868</w:t>
            </w:r>
            <w:bookmarkEnd w:id="44"/>
            <w:r>
              <w:t xml:space="preserve">) made under </w:t>
            </w:r>
            <w:bookmarkStart w:id="45" w:name="_9kR3WTr277DGH8rcszv1FJLTNz58ugl2xw0thyF"/>
            <w:r>
              <w:t>section 132A of the Social Security Administration Act 1992</w:t>
            </w:r>
            <w:bookmarkEnd w:id="45"/>
            <w:r>
              <w:t>;</w:t>
            </w:r>
          </w:p>
        </w:tc>
      </w:tr>
      <w:tr w:rsidR="001421AE" w14:paraId="7533A156" w14:textId="77777777" w:rsidTr="006816C5">
        <w:tc>
          <w:tcPr>
            <w:tcW w:w="3493" w:type="dxa"/>
          </w:tcPr>
          <w:p w14:paraId="33E496FE" w14:textId="77777777" w:rsidR="001421AE" w:rsidRDefault="001421AE" w:rsidP="00813948">
            <w:pPr>
              <w:pStyle w:val="StdBodyTextBold"/>
            </w:pPr>
            <w:r>
              <w:t>“DPA 2018”</w:t>
            </w:r>
          </w:p>
        </w:tc>
        <w:tc>
          <w:tcPr>
            <w:tcW w:w="5245" w:type="dxa"/>
          </w:tcPr>
          <w:p w14:paraId="63815F58" w14:textId="77777777" w:rsidR="001421AE" w:rsidRDefault="001421AE" w:rsidP="00813948">
            <w:pPr>
              <w:pStyle w:val="StdBodyText"/>
            </w:pPr>
            <w:r>
              <w:t xml:space="preserve">the </w:t>
            </w:r>
            <w:bookmarkStart w:id="46" w:name="_9kR3WTr277DLLS2pqNZ58zjz628VF5WRRa"/>
            <w:r>
              <w:t>Data Protection Act 2018</w:t>
            </w:r>
            <w:bookmarkEnd w:id="46"/>
            <w:r>
              <w:t>;</w:t>
            </w:r>
          </w:p>
        </w:tc>
      </w:tr>
      <w:tr w:rsidR="001421AE" w14:paraId="307B8B34" w14:textId="77777777" w:rsidTr="006816C5">
        <w:tc>
          <w:tcPr>
            <w:tcW w:w="3493" w:type="dxa"/>
          </w:tcPr>
          <w:p w14:paraId="58C14F6F" w14:textId="77777777" w:rsidR="001421AE" w:rsidRDefault="001421AE" w:rsidP="00813948">
            <w:pPr>
              <w:pStyle w:val="StdBodyTextBold"/>
            </w:pPr>
            <w:r>
              <w:t>“Due Diligence Information”</w:t>
            </w:r>
          </w:p>
        </w:tc>
        <w:tc>
          <w:tcPr>
            <w:tcW w:w="5245" w:type="dxa"/>
          </w:tcPr>
          <w:p w14:paraId="0B114472" w14:textId="77777777" w:rsidR="001421AE" w:rsidRDefault="001421AE" w:rsidP="00813948">
            <w:pPr>
              <w:pStyle w:val="StdBodyText"/>
            </w:pPr>
            <w:r>
              <w:t>any information supplied to the Supplier by or on behalf of the Authority prior to the Effective Date;</w:t>
            </w:r>
          </w:p>
        </w:tc>
      </w:tr>
      <w:tr w:rsidR="001421AE" w14:paraId="5804A2C8" w14:textId="77777777" w:rsidTr="006816C5">
        <w:tc>
          <w:tcPr>
            <w:tcW w:w="3493" w:type="dxa"/>
          </w:tcPr>
          <w:p w14:paraId="0E980FCD" w14:textId="77777777" w:rsidR="001421AE" w:rsidRDefault="001421AE" w:rsidP="00813948">
            <w:pPr>
              <w:pStyle w:val="StdBodyTextBold"/>
            </w:pPr>
            <w:r>
              <w:t>“EEA”</w:t>
            </w:r>
          </w:p>
        </w:tc>
        <w:tc>
          <w:tcPr>
            <w:tcW w:w="5245" w:type="dxa"/>
          </w:tcPr>
          <w:p w14:paraId="7AA2F101" w14:textId="77777777" w:rsidR="001421AE" w:rsidRPr="00397235" w:rsidRDefault="001421AE" w:rsidP="00397235">
            <w:pPr>
              <w:pStyle w:val="StdBodyText"/>
            </w:pPr>
            <w:r>
              <w:t>European Economic Area;</w:t>
            </w:r>
          </w:p>
        </w:tc>
      </w:tr>
      <w:tr w:rsidR="001421AE" w14:paraId="5848FA91" w14:textId="77777777" w:rsidTr="006816C5">
        <w:tc>
          <w:tcPr>
            <w:tcW w:w="3493" w:type="dxa"/>
          </w:tcPr>
          <w:p w14:paraId="44E5B064" w14:textId="77777777" w:rsidR="001421AE" w:rsidRDefault="001421AE" w:rsidP="00813948">
            <w:pPr>
              <w:pStyle w:val="StdBodyTextBold"/>
            </w:pPr>
            <w:r>
              <w:t>“Effective Date”</w:t>
            </w:r>
          </w:p>
        </w:tc>
        <w:tc>
          <w:tcPr>
            <w:tcW w:w="5245" w:type="dxa"/>
          </w:tcPr>
          <w:p w14:paraId="3AACCF16" w14:textId="77777777" w:rsidR="001421AE" w:rsidRDefault="001421AE" w:rsidP="00813948">
            <w:pPr>
              <w:pStyle w:val="StdBodyText"/>
            </w:pPr>
            <w:r>
              <w:t xml:space="preserve">the later of: </w:t>
            </w:r>
          </w:p>
          <w:p w14:paraId="129141E8" w14:textId="77777777" w:rsidR="001421AE" w:rsidRDefault="001421AE" w:rsidP="00AD2EE4">
            <w:pPr>
              <w:pStyle w:val="DefinitionList"/>
              <w:numPr>
                <w:ilvl w:val="0"/>
                <w:numId w:val="40"/>
              </w:numPr>
            </w:pPr>
            <w:r>
              <w:t>the date on which this Agreement is signed by both Parties; and</w:t>
            </w:r>
          </w:p>
          <w:p w14:paraId="699A1C9F" w14:textId="77777777" w:rsidR="001421AE" w:rsidRDefault="001421AE" w:rsidP="002C2496">
            <w:pPr>
              <w:pStyle w:val="DefinitionList"/>
            </w:pPr>
            <w:r>
              <w:t xml:space="preserve">the date on which the Condition Precedent has been satisfied or waived in accordance with </w:t>
            </w:r>
            <w:bookmarkStart w:id="47" w:name="_9kMJI5YVt4DD8IOSEjtCxAM"/>
            <w:r>
              <w:t xml:space="preserve">Clause </w:t>
            </w:r>
            <w:bookmarkEnd w:id="47"/>
            <w:r>
              <w:t>4.2 (</w:t>
            </w:r>
            <w:r w:rsidRPr="00235FDC">
              <w:rPr>
                <w:i/>
              </w:rPr>
              <w:t>Condition Precedent</w:t>
            </w:r>
            <w:r>
              <w:t xml:space="preserve">); </w:t>
            </w:r>
          </w:p>
        </w:tc>
      </w:tr>
      <w:tr w:rsidR="001421AE" w14:paraId="36B1A4D4" w14:textId="77777777" w:rsidTr="006816C5">
        <w:tc>
          <w:tcPr>
            <w:tcW w:w="3493" w:type="dxa"/>
          </w:tcPr>
          <w:p w14:paraId="02C181B8" w14:textId="77777777" w:rsidR="001421AE" w:rsidRDefault="001421AE" w:rsidP="00813948">
            <w:pPr>
              <w:pStyle w:val="StdBodyTextBold"/>
            </w:pPr>
            <w:r>
              <w:t>“EIRs”</w:t>
            </w:r>
          </w:p>
        </w:tc>
        <w:tc>
          <w:tcPr>
            <w:tcW w:w="5245" w:type="dxa"/>
          </w:tcPr>
          <w:p w14:paraId="549A18AE" w14:textId="77777777" w:rsidR="001421AE" w:rsidRDefault="001421AE" w:rsidP="00813948">
            <w:pPr>
              <w:pStyle w:val="StdBodyText"/>
            </w:pPr>
            <w:r>
              <w:t xml:space="preserve">the </w:t>
            </w:r>
            <w:bookmarkStart w:id="48" w:name="_9kR3WTr277DLJRG40x410suAyraX13GFz7GCIwi"/>
            <w:r>
              <w:t>Environmental Information Regulations 2004</w:t>
            </w:r>
            <w:bookmarkEnd w:id="48"/>
            <w:r>
              <w:t>, together with any guidance and/or codes of practice issued by the Information Commissioner or any Central Government Body in relation to such Regulations;</w:t>
            </w:r>
          </w:p>
        </w:tc>
      </w:tr>
      <w:tr w:rsidR="001421AE" w14:paraId="0A8CCB9B" w14:textId="77777777" w:rsidTr="006816C5">
        <w:tc>
          <w:tcPr>
            <w:tcW w:w="3493" w:type="dxa"/>
          </w:tcPr>
          <w:p w14:paraId="580D2CC9" w14:textId="77777777" w:rsidR="001421AE" w:rsidRDefault="001421AE" w:rsidP="00813948">
            <w:pPr>
              <w:pStyle w:val="StdBodyTextBold"/>
            </w:pPr>
            <w:r>
              <w:t xml:space="preserve">“Emergency </w:t>
            </w:r>
            <w:bookmarkStart w:id="49" w:name="_9kMON5YVt499FMJaDgu6ytqrum"/>
            <w:r>
              <w:t>Maintenance</w:t>
            </w:r>
            <w:bookmarkEnd w:id="49"/>
            <w:r>
              <w:t>”</w:t>
            </w:r>
          </w:p>
        </w:tc>
        <w:tc>
          <w:tcPr>
            <w:tcW w:w="5245" w:type="dxa"/>
          </w:tcPr>
          <w:p w14:paraId="0C7BF7B6" w14:textId="77777777" w:rsidR="001421AE" w:rsidRDefault="001421AE" w:rsidP="00813948">
            <w:pPr>
              <w:pStyle w:val="StdBodyText"/>
            </w:pPr>
            <w:r>
              <w:t xml:space="preserve">ad hoc and unplanned </w:t>
            </w:r>
            <w:bookmarkStart w:id="50" w:name="_9kMPO5YVt499FMK1jgu6ytqrum"/>
            <w:r>
              <w:t>maintenance</w:t>
            </w:r>
            <w:bookmarkEnd w:id="50"/>
            <w:r>
              <w:t xml:space="preserve"> provided by the Supplier where:</w:t>
            </w:r>
          </w:p>
          <w:p w14:paraId="0ADAA8AF" w14:textId="77777777" w:rsidR="001421AE" w:rsidRDefault="001421AE" w:rsidP="00AD2EE4">
            <w:pPr>
              <w:pStyle w:val="DefinitionList"/>
              <w:numPr>
                <w:ilvl w:val="0"/>
                <w:numId w:val="41"/>
              </w:numPr>
            </w:pPr>
            <w:r>
              <w:t xml:space="preserve">the Authority reasonably suspects that the IT Environment or the Services, or any part of the IT Environment or the Services, has or may have developed a fault, and notifies the Supplier of the same; or </w:t>
            </w:r>
          </w:p>
          <w:p w14:paraId="0185F175" w14:textId="77777777" w:rsidR="001421AE" w:rsidRDefault="001421AE" w:rsidP="002C2496">
            <w:pPr>
              <w:pStyle w:val="DefinitionList"/>
            </w:pPr>
            <w:r>
              <w:t>the Supplier reasonably suspects that the IT Environment or the Services, or any part the IT Environment or the Services, has or may have developed a fault;</w:t>
            </w:r>
          </w:p>
        </w:tc>
      </w:tr>
      <w:tr w:rsidR="001421AE" w14:paraId="1D8A99D1" w14:textId="77777777" w:rsidTr="006816C5">
        <w:tc>
          <w:tcPr>
            <w:tcW w:w="3493" w:type="dxa"/>
          </w:tcPr>
          <w:p w14:paraId="566BB254" w14:textId="77777777" w:rsidR="001421AE" w:rsidRDefault="001421AE" w:rsidP="00813948">
            <w:pPr>
              <w:pStyle w:val="StdBodyTextBold"/>
            </w:pPr>
            <w:r>
              <w:t>“Employee Liabilities”</w:t>
            </w:r>
          </w:p>
        </w:tc>
        <w:tc>
          <w:tcPr>
            <w:tcW w:w="5245" w:type="dxa"/>
          </w:tcPr>
          <w:p w14:paraId="7CA52E9F" w14:textId="77777777" w:rsidR="001421AE" w:rsidRDefault="001421AE" w:rsidP="00813948">
            <w:pPr>
              <w:pStyle w:val="StdBodyText"/>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7FA73B5" w14:textId="77777777" w:rsidR="001421AE" w:rsidRDefault="001421AE" w:rsidP="00AD2EE4">
            <w:pPr>
              <w:pStyle w:val="DefinitionList"/>
              <w:numPr>
                <w:ilvl w:val="0"/>
                <w:numId w:val="42"/>
              </w:numPr>
            </w:pPr>
            <w:r>
              <w:t xml:space="preserve">redundancy payments including contractual or enhanced redundancy costs, termination costs and notice payments; </w:t>
            </w:r>
          </w:p>
          <w:p w14:paraId="0E35E0F7" w14:textId="77777777" w:rsidR="001421AE" w:rsidRDefault="001421AE" w:rsidP="002C2496">
            <w:pPr>
              <w:pStyle w:val="DefinitionList"/>
            </w:pPr>
            <w:r>
              <w:t>unfair, wrongful or constructive dismissal compensation;</w:t>
            </w:r>
          </w:p>
          <w:p w14:paraId="44042106" w14:textId="77777777" w:rsidR="001421AE" w:rsidRDefault="001421AE" w:rsidP="002C2496">
            <w:pPr>
              <w:pStyle w:val="DefinitionList"/>
            </w:pPr>
            <w:r>
              <w:t>compensation fo</w:t>
            </w:r>
            <w:bookmarkStart w:id="51" w:name="_9kR3WTr5DA48Cyo"/>
            <w:bookmarkEnd w:id="51"/>
            <w:r>
              <w:t>r discrimination on grounds of sex, race, disability, age, religion or belief, gender reassignment, marriage or civil partne</w:t>
            </w:r>
            <w:bookmarkStart w:id="52" w:name="_9kR3WTr5DA48Dxhput3v2J"/>
            <w:bookmarkEnd w:id="52"/>
            <w:r>
              <w:t xml:space="preserve">rship, pregnancy and maternity or sexual orientation or claims for equal pay; </w:t>
            </w:r>
          </w:p>
          <w:p w14:paraId="6D73ACFB" w14:textId="77777777" w:rsidR="001421AE" w:rsidRDefault="001421AE" w:rsidP="002C2496">
            <w:pPr>
              <w:pStyle w:val="DefinitionList"/>
            </w:pPr>
            <w:r>
              <w:t>compensation for less favourable treatment of part-time workers or fixed term employees;</w:t>
            </w:r>
          </w:p>
          <w:p w14:paraId="09C0162B" w14:textId="77777777" w:rsidR="001421AE" w:rsidRDefault="001421AE" w:rsidP="002C2496">
            <w:pPr>
              <w:pStyle w:val="DefinitionList"/>
            </w:pPr>
            <w:r>
              <w:t>outstanding employment debts and unlawful deduction of wages including any PAYE and national insurance contributions;</w:t>
            </w:r>
          </w:p>
          <w:p w14:paraId="291F2233" w14:textId="77777777" w:rsidR="001421AE" w:rsidRDefault="001421AE" w:rsidP="002C2496">
            <w:pPr>
              <w:pStyle w:val="DefinitionList"/>
            </w:pPr>
            <w:r>
              <w:t>employment claims whether in tort, contract or statute or otherwise;</w:t>
            </w:r>
          </w:p>
          <w:p w14:paraId="2A6FC94F" w14:textId="77777777" w:rsidR="001421AE" w:rsidRDefault="001421AE" w:rsidP="002C2496">
            <w:pPr>
              <w:pStyle w:val="DefinitionList"/>
            </w:pPr>
            <w:r>
              <w:t>any investigation relating to employment matters by the Equality and Human Rights Commission or other enforcement, regulatory or supervisory body and of implementing any requirements which may arise from such investigation;</w:t>
            </w:r>
          </w:p>
        </w:tc>
      </w:tr>
      <w:tr w:rsidR="001421AE" w14:paraId="1C28AC46" w14:textId="77777777" w:rsidTr="006816C5">
        <w:tc>
          <w:tcPr>
            <w:tcW w:w="3493" w:type="dxa"/>
          </w:tcPr>
          <w:p w14:paraId="693BB0A7" w14:textId="77777777" w:rsidR="001421AE" w:rsidRDefault="001421AE" w:rsidP="00813948">
            <w:pPr>
              <w:pStyle w:val="StdBodyTextBold"/>
            </w:pPr>
            <w:r>
              <w:t>“Employment Regulations”</w:t>
            </w:r>
          </w:p>
        </w:tc>
        <w:tc>
          <w:tcPr>
            <w:tcW w:w="5245" w:type="dxa"/>
          </w:tcPr>
          <w:p w14:paraId="31F4ECAE" w14:textId="03C539A5" w:rsidR="001421AE" w:rsidRDefault="001421AE" w:rsidP="00813948">
            <w:pPr>
              <w:pStyle w:val="StdBodyText"/>
            </w:pPr>
            <w:r>
              <w:t xml:space="preserve">the </w:t>
            </w:r>
            <w:bookmarkStart w:id="53" w:name="_9kR3WTr277CKMjZnk3wjw7wdgwo3J3v487DxrNQ"/>
            <w:r>
              <w:t>Transfer of Undertakings (Protection of Employment) Regulations 2006</w:t>
            </w:r>
            <w:bookmarkEnd w:id="53"/>
            <w:r>
              <w:t xml:space="preserve"> (SI 2006/246) as amended or replaced;</w:t>
            </w:r>
          </w:p>
        </w:tc>
      </w:tr>
      <w:tr w:rsidR="001421AE" w14:paraId="26932993" w14:textId="77777777" w:rsidTr="006816C5">
        <w:tc>
          <w:tcPr>
            <w:tcW w:w="3493" w:type="dxa"/>
          </w:tcPr>
          <w:p w14:paraId="5F65C3D5" w14:textId="77777777" w:rsidR="001421AE" w:rsidRDefault="001421AE" w:rsidP="00813948">
            <w:pPr>
              <w:pStyle w:val="StdBodyTextBold"/>
            </w:pPr>
            <w:r>
              <w:t>“Estimated Initial Service Charges”</w:t>
            </w:r>
          </w:p>
        </w:tc>
        <w:tc>
          <w:tcPr>
            <w:tcW w:w="5245" w:type="dxa"/>
          </w:tcPr>
          <w:p w14:paraId="5E16AA61" w14:textId="77777777" w:rsidR="001421AE" w:rsidRDefault="001421AE" w:rsidP="00813948">
            <w:pPr>
              <w:pStyle w:val="StdBodyText"/>
            </w:pPr>
            <w:r>
              <w:t>the estimated Service Charges payable by the Authority during the period of 12 months from the first Operational Service Commencement Date, as set out in the Financial Model;</w:t>
            </w:r>
          </w:p>
        </w:tc>
      </w:tr>
      <w:tr w:rsidR="001421AE" w14:paraId="5163613B" w14:textId="77777777" w:rsidTr="006816C5">
        <w:tc>
          <w:tcPr>
            <w:tcW w:w="3493" w:type="dxa"/>
          </w:tcPr>
          <w:p w14:paraId="76AEBA2D" w14:textId="77777777" w:rsidR="001421AE" w:rsidRDefault="001421AE" w:rsidP="00813948">
            <w:pPr>
              <w:pStyle w:val="StdBodyTextBold"/>
            </w:pPr>
            <w:r>
              <w:t>“Estimated Year 1 Charges”</w:t>
            </w:r>
          </w:p>
        </w:tc>
        <w:tc>
          <w:tcPr>
            <w:tcW w:w="5245" w:type="dxa"/>
          </w:tcPr>
          <w:p w14:paraId="28293F05" w14:textId="77777777" w:rsidR="001421AE" w:rsidRDefault="001421AE" w:rsidP="00813948">
            <w:pPr>
              <w:pStyle w:val="StdBodyText"/>
            </w:pPr>
            <w:r>
              <w:t>the estimated Charges payable by the Authority during the first Contract Year, as set out in the Financial Model;</w:t>
            </w:r>
          </w:p>
        </w:tc>
      </w:tr>
      <w:tr w:rsidR="001421AE" w14:paraId="0DDF40BF" w14:textId="77777777" w:rsidTr="006816C5">
        <w:tc>
          <w:tcPr>
            <w:tcW w:w="3493" w:type="dxa"/>
          </w:tcPr>
          <w:p w14:paraId="6C95FA09" w14:textId="77777777" w:rsidR="001421AE" w:rsidRDefault="001421AE" w:rsidP="00813948">
            <w:pPr>
              <w:pStyle w:val="StdBodyTextBold"/>
            </w:pPr>
            <w:r>
              <w:t>“EU GDPR”</w:t>
            </w:r>
          </w:p>
        </w:tc>
        <w:tc>
          <w:tcPr>
            <w:tcW w:w="5245" w:type="dxa"/>
          </w:tcPr>
          <w:p w14:paraId="50A610CC" w14:textId="77777777" w:rsidR="001421AE" w:rsidRDefault="001421AE" w:rsidP="00397235">
            <w:pPr>
              <w:pStyle w:val="StdBodyText"/>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421AE" w14:paraId="22BC4C53" w14:textId="77777777" w:rsidTr="006816C5">
        <w:tc>
          <w:tcPr>
            <w:tcW w:w="3493" w:type="dxa"/>
          </w:tcPr>
          <w:p w14:paraId="48C3A2AC" w14:textId="77777777" w:rsidR="001421AE" w:rsidRDefault="001421AE" w:rsidP="00813948">
            <w:pPr>
              <w:pStyle w:val="StdBodyTextBold"/>
            </w:pPr>
            <w:r>
              <w:t>“EU”</w:t>
            </w:r>
          </w:p>
        </w:tc>
        <w:tc>
          <w:tcPr>
            <w:tcW w:w="5245" w:type="dxa"/>
          </w:tcPr>
          <w:p w14:paraId="14447EAC" w14:textId="77777777" w:rsidR="001421AE" w:rsidRDefault="001421AE" w:rsidP="00397235">
            <w:pPr>
              <w:pStyle w:val="StdBodyText"/>
            </w:pPr>
            <w:r>
              <w:t>European Union;</w:t>
            </w:r>
          </w:p>
        </w:tc>
      </w:tr>
      <w:tr w:rsidR="001421AE" w14:paraId="04C06A3D" w14:textId="77777777" w:rsidTr="006816C5">
        <w:tc>
          <w:tcPr>
            <w:tcW w:w="3493" w:type="dxa"/>
          </w:tcPr>
          <w:p w14:paraId="2CC8DCB4" w14:textId="77777777" w:rsidR="001421AE" w:rsidRDefault="001421AE" w:rsidP="00813948">
            <w:pPr>
              <w:pStyle w:val="StdBodyTextBold"/>
            </w:pPr>
            <w:r>
              <w:t>“Euro Compliant”</w:t>
            </w:r>
          </w:p>
        </w:tc>
        <w:tc>
          <w:tcPr>
            <w:tcW w:w="5245" w:type="dxa"/>
          </w:tcPr>
          <w:p w14:paraId="30C7A2FC" w14:textId="77777777" w:rsidR="001421AE" w:rsidRDefault="001421AE" w:rsidP="00813948">
            <w:pPr>
              <w:pStyle w:val="StdBodyText"/>
            </w:pPr>
            <w:r>
              <w:t xml:space="preserve">means that: (i) the introduction of the euro within any part(s) of the UK shall not affect the performance or functionality of any relevant items nor cause such items to malfunction, end abruptly, provide invalid results or adversely affect the Authority’s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75C45CDC" w14:textId="77777777" w:rsidR="001421AE" w:rsidRDefault="001421AE" w:rsidP="00AD2EE4">
            <w:pPr>
              <w:pStyle w:val="DefinitionList"/>
              <w:numPr>
                <w:ilvl w:val="0"/>
                <w:numId w:val="43"/>
              </w:numPr>
            </w:pPr>
            <w:r>
              <w:t>be able to perform all such functions in any number of currencies and/or in euros;</w:t>
            </w:r>
          </w:p>
          <w:p w14:paraId="092B506C" w14:textId="77777777" w:rsidR="001421AE" w:rsidRDefault="001421AE" w:rsidP="002C2496">
            <w:pPr>
              <w:pStyle w:val="DefinitionList"/>
            </w:pPr>
            <w:r>
              <w:t>during any transition phase applicable to the relevant part(s) of the UK, be able to deal with multiple currencies and, in relation to the euro and the national currency of the relevant part(s) of the UK, dual denominations;</w:t>
            </w:r>
          </w:p>
          <w:p w14:paraId="5DB8F34F" w14:textId="77777777" w:rsidR="001421AE" w:rsidRDefault="001421AE" w:rsidP="002C2496">
            <w:pPr>
              <w:pStyle w:val="DefinitionList"/>
            </w:pPr>
            <w:r>
              <w:t xml:space="preserve">recognise accept, display and print all the euro currency symbols and alphanumeric codes which may be adopted by any government and other European Union body in relation to the euro; </w:t>
            </w:r>
          </w:p>
          <w:p w14:paraId="1B5B00C2" w14:textId="77777777" w:rsidR="001421AE" w:rsidRDefault="001421AE" w:rsidP="002C2496">
            <w:pPr>
              <w:pStyle w:val="DefinitionList"/>
            </w:pPr>
            <w:r>
              <w:t>incorporate protocols for dealing with rounding and currency conversion;</w:t>
            </w:r>
          </w:p>
          <w:p w14:paraId="0D38CAE7" w14:textId="77777777" w:rsidR="001421AE" w:rsidRDefault="001421AE" w:rsidP="002C2496">
            <w:pPr>
              <w:pStyle w:val="DefinitionList"/>
            </w:pPr>
            <w:r>
              <w:t>recognise data irrespective of the currency in which it is expressed (which includes the euro) and express any output data in the national currency of the relevant part(s) of the UK and/or the euro; and</w:t>
            </w:r>
          </w:p>
          <w:p w14:paraId="56CCAAC7" w14:textId="77777777" w:rsidR="001421AE" w:rsidRDefault="001421AE" w:rsidP="002C2496">
            <w:pPr>
              <w:pStyle w:val="DefinitionList"/>
            </w:pPr>
            <w:r>
              <w:t>permit the input of data in euro and display an outcome in euro where such data, supporting the Authority’s normal business practices, operates in euro and/or the national currency of the relevant part(s) of the UK;</w:t>
            </w:r>
          </w:p>
        </w:tc>
      </w:tr>
      <w:tr w:rsidR="001421AE" w14:paraId="767FA7B8" w14:textId="77777777" w:rsidTr="006816C5">
        <w:tc>
          <w:tcPr>
            <w:tcW w:w="3493" w:type="dxa"/>
          </w:tcPr>
          <w:p w14:paraId="64B866BF" w14:textId="77777777" w:rsidR="001421AE" w:rsidRDefault="001421AE" w:rsidP="00813948">
            <w:pPr>
              <w:pStyle w:val="StdBodyTextBold"/>
            </w:pPr>
            <w:r>
              <w:t>“Exit Day”</w:t>
            </w:r>
          </w:p>
        </w:tc>
        <w:tc>
          <w:tcPr>
            <w:tcW w:w="5245" w:type="dxa"/>
          </w:tcPr>
          <w:p w14:paraId="114A9D42" w14:textId="77777777" w:rsidR="001421AE" w:rsidRDefault="001421AE" w:rsidP="00813948">
            <w:pPr>
              <w:pStyle w:val="StdBodyText"/>
            </w:pPr>
            <w:r>
              <w:t xml:space="preserve">shall have the meaning in the </w:t>
            </w:r>
            <w:bookmarkStart w:id="54" w:name="_9kR3WTr277DLIQN721seojez17qgAAv64AB1cOE"/>
            <w:r>
              <w:t>European Union (Withdrawal) Act 2018</w:t>
            </w:r>
            <w:bookmarkEnd w:id="54"/>
            <w:r>
              <w:t>;</w:t>
            </w:r>
          </w:p>
        </w:tc>
      </w:tr>
      <w:tr w:rsidR="001421AE" w14:paraId="4B8F4168" w14:textId="77777777" w:rsidTr="006816C5">
        <w:tc>
          <w:tcPr>
            <w:tcW w:w="3493" w:type="dxa"/>
          </w:tcPr>
          <w:p w14:paraId="1A522745" w14:textId="77777777" w:rsidR="001421AE" w:rsidRDefault="001421AE" w:rsidP="00813948">
            <w:pPr>
              <w:pStyle w:val="StdBodyTextBold"/>
            </w:pPr>
            <w:r>
              <w:t>“Exit Management”</w:t>
            </w:r>
          </w:p>
        </w:tc>
        <w:tc>
          <w:tcPr>
            <w:tcW w:w="5245" w:type="dxa"/>
          </w:tcPr>
          <w:p w14:paraId="5CB94B6B" w14:textId="3314A90C" w:rsidR="001421AE" w:rsidRDefault="001421AE" w:rsidP="00813948">
            <w:pPr>
              <w:pStyle w:val="StdBodyText"/>
            </w:pPr>
            <w:r>
              <w:t xml:space="preserve">services, activities, processes and procedures to ensure a smooth and orderly transition of all or part of the Services from the Supplier to the Authority and/or a Replacement Supplier, as set out or referred to in </w:t>
            </w:r>
            <w:r w:rsidRPr="009830EF">
              <w:rPr>
                <w:rFonts w:cs="Arial"/>
              </w:rPr>
              <w:t xml:space="preserve">Schedule </w:t>
            </w:r>
            <w:r>
              <w:rPr>
                <w:rFonts w:cs="Arial"/>
              </w:rPr>
              <w:t>8.5</w:t>
            </w:r>
            <w:r>
              <w:t xml:space="preserve"> (</w:t>
            </w:r>
            <w:r w:rsidRPr="00235FDC">
              <w:rPr>
                <w:i/>
              </w:rPr>
              <w:t>Exit Management</w:t>
            </w:r>
            <w:r>
              <w:t>);</w:t>
            </w:r>
          </w:p>
        </w:tc>
      </w:tr>
      <w:tr w:rsidR="001421AE" w14:paraId="666999EC" w14:textId="77777777" w:rsidTr="006816C5">
        <w:tc>
          <w:tcPr>
            <w:tcW w:w="3493" w:type="dxa"/>
          </w:tcPr>
          <w:p w14:paraId="51CCFE15" w14:textId="77777777" w:rsidR="001421AE" w:rsidRDefault="001421AE" w:rsidP="00813948">
            <w:pPr>
              <w:pStyle w:val="StdBodyTextBold"/>
            </w:pPr>
            <w:r>
              <w:t>“Exit Plan”</w:t>
            </w:r>
          </w:p>
        </w:tc>
        <w:tc>
          <w:tcPr>
            <w:tcW w:w="5245" w:type="dxa"/>
          </w:tcPr>
          <w:p w14:paraId="403C5A86" w14:textId="0BCF7A52" w:rsidR="001421AE" w:rsidRDefault="001421AE" w:rsidP="00813948">
            <w:pPr>
              <w:pStyle w:val="StdBodyText"/>
            </w:pPr>
            <w:r>
              <w:t xml:space="preserve">the plan produced and updated by the Supplier during the Term in accordance with </w:t>
            </w:r>
            <w:bookmarkStart w:id="55" w:name="_9kMIH5YVt4EE6EJcGpqgyts0G"/>
            <w:r>
              <w:t xml:space="preserve">Paragraph </w:t>
            </w:r>
            <w:bookmarkEnd w:id="55"/>
            <w:r>
              <w:t xml:space="preserve">4 of </w:t>
            </w:r>
            <w:r w:rsidRPr="009830EF">
              <w:rPr>
                <w:rFonts w:cs="Arial"/>
              </w:rPr>
              <w:t xml:space="preserve">Schedule </w:t>
            </w:r>
            <w:r>
              <w:rPr>
                <w:rFonts w:cs="Arial"/>
              </w:rPr>
              <w:t>8.5</w:t>
            </w:r>
            <w:r>
              <w:t xml:space="preserve"> (</w:t>
            </w:r>
            <w:r w:rsidRPr="00235FDC">
              <w:rPr>
                <w:i/>
              </w:rPr>
              <w:t>Exit Management</w:t>
            </w:r>
            <w:r>
              <w:t>);</w:t>
            </w:r>
          </w:p>
        </w:tc>
      </w:tr>
      <w:tr w:rsidR="001421AE" w14:paraId="4308B46E" w14:textId="77777777" w:rsidTr="006816C5">
        <w:tc>
          <w:tcPr>
            <w:tcW w:w="3493" w:type="dxa"/>
          </w:tcPr>
          <w:p w14:paraId="7C42EB5E" w14:textId="77777777" w:rsidR="001421AE" w:rsidRDefault="001421AE" w:rsidP="00813948">
            <w:pPr>
              <w:pStyle w:val="StdBodyTextBold"/>
            </w:pPr>
            <w:r>
              <w:t>“Expedited Dispute Timetable”</w:t>
            </w:r>
          </w:p>
        </w:tc>
        <w:tc>
          <w:tcPr>
            <w:tcW w:w="5245" w:type="dxa"/>
          </w:tcPr>
          <w:p w14:paraId="2E4C5FEC" w14:textId="20A66168" w:rsidR="001421AE" w:rsidRDefault="001421AE" w:rsidP="00813948">
            <w:pPr>
              <w:pStyle w:val="StdBodyText"/>
            </w:pPr>
            <w:r>
              <w:t xml:space="preserve">the reduced timetable for the resolution of Disputes set out in </w:t>
            </w:r>
            <w:bookmarkStart w:id="56" w:name="_9kMIH5YVt4EE6CEZGpqgyts0F"/>
            <w:r>
              <w:t xml:space="preserve">Paragraph </w:t>
            </w:r>
            <w:bookmarkEnd w:id="56"/>
            <w:r>
              <w:t>3 of Schedule 8.3 (</w:t>
            </w:r>
            <w:r w:rsidRPr="00235FDC">
              <w:rPr>
                <w:i/>
              </w:rPr>
              <w:t>Dispute Resolution Procedure</w:t>
            </w:r>
            <w:r>
              <w:t>);</w:t>
            </w:r>
          </w:p>
        </w:tc>
      </w:tr>
      <w:tr w:rsidR="001421AE" w14:paraId="13D307D9" w14:textId="77777777" w:rsidTr="006816C5">
        <w:tc>
          <w:tcPr>
            <w:tcW w:w="3493" w:type="dxa"/>
          </w:tcPr>
          <w:p w14:paraId="3FFEB5AE" w14:textId="77777777" w:rsidR="001421AE" w:rsidRDefault="001421AE" w:rsidP="00813948">
            <w:pPr>
              <w:pStyle w:val="StdBodyTextBold"/>
            </w:pPr>
            <w:r>
              <w:t>“Expert Determination”</w:t>
            </w:r>
          </w:p>
        </w:tc>
        <w:tc>
          <w:tcPr>
            <w:tcW w:w="5245" w:type="dxa"/>
          </w:tcPr>
          <w:p w14:paraId="298CA642" w14:textId="7E52C511" w:rsidR="001421AE" w:rsidRDefault="001421AE" w:rsidP="00813948">
            <w:pPr>
              <w:pStyle w:val="StdBodyText"/>
            </w:pPr>
            <w:r>
              <w:t xml:space="preserve">the process described in </w:t>
            </w:r>
            <w:bookmarkStart w:id="57" w:name="_9kMJI5YVt4EE6BIeGpqgyts0I"/>
            <w:r>
              <w:t xml:space="preserve">Paragraph </w:t>
            </w:r>
            <w:bookmarkEnd w:id="57"/>
            <w:r>
              <w:t>6 of Schedule 8.3 (</w:t>
            </w:r>
            <w:r w:rsidRPr="00235FDC">
              <w:rPr>
                <w:i/>
              </w:rPr>
              <w:t>Dispute Resolution Procedure</w:t>
            </w:r>
            <w:r>
              <w:t>);</w:t>
            </w:r>
          </w:p>
        </w:tc>
      </w:tr>
      <w:tr w:rsidR="001421AE" w14:paraId="74FE23EF" w14:textId="77777777" w:rsidTr="006816C5">
        <w:tc>
          <w:tcPr>
            <w:tcW w:w="3493" w:type="dxa"/>
          </w:tcPr>
          <w:p w14:paraId="21E0C974" w14:textId="77777777" w:rsidR="001421AE" w:rsidRDefault="001421AE" w:rsidP="00813948">
            <w:pPr>
              <w:pStyle w:val="StdBodyTextBold"/>
            </w:pPr>
            <w:r>
              <w:t>“Expert”</w:t>
            </w:r>
          </w:p>
        </w:tc>
        <w:tc>
          <w:tcPr>
            <w:tcW w:w="5245" w:type="dxa"/>
          </w:tcPr>
          <w:p w14:paraId="479D34C4" w14:textId="485F23E6" w:rsidR="001421AE" w:rsidRDefault="001421AE" w:rsidP="00813948">
            <w:pPr>
              <w:pStyle w:val="StdBodyText"/>
            </w:pPr>
            <w:r>
              <w:t>has the meaning given in Schedule 8.3 (</w:t>
            </w:r>
            <w:r w:rsidRPr="00235FDC">
              <w:rPr>
                <w:i/>
              </w:rPr>
              <w:t>Dispute Resolution Procedure</w:t>
            </w:r>
            <w:r>
              <w:t>);</w:t>
            </w:r>
          </w:p>
        </w:tc>
      </w:tr>
      <w:tr w:rsidR="001421AE" w14:paraId="4957F736" w14:textId="77777777" w:rsidTr="006816C5">
        <w:tc>
          <w:tcPr>
            <w:tcW w:w="3493" w:type="dxa"/>
          </w:tcPr>
          <w:p w14:paraId="54B574C5" w14:textId="77777777" w:rsidR="001421AE" w:rsidRDefault="001421AE" w:rsidP="00813948">
            <w:pPr>
              <w:pStyle w:val="StdBodyTextBold"/>
            </w:pPr>
            <w:r>
              <w:t>“Extension Period”</w:t>
            </w:r>
          </w:p>
        </w:tc>
        <w:tc>
          <w:tcPr>
            <w:tcW w:w="5245" w:type="dxa"/>
          </w:tcPr>
          <w:p w14:paraId="504D879A" w14:textId="4D6BABEB" w:rsidR="001421AE" w:rsidRDefault="001421AE" w:rsidP="00813948">
            <w:pPr>
              <w:pStyle w:val="StdBodyText"/>
            </w:pPr>
            <w:r w:rsidRPr="00F3679C">
              <w:t xml:space="preserve">a period of </w:t>
            </w:r>
            <w:r>
              <w:t>up to three</w:t>
            </w:r>
            <w:r w:rsidRPr="00F3679C">
              <w:t xml:space="preserve"> (</w:t>
            </w:r>
            <w:r>
              <w:t>3</w:t>
            </w:r>
            <w:r w:rsidRPr="00F3679C">
              <w:t xml:space="preserve">) </w:t>
            </w:r>
            <w:r>
              <w:t>years</w:t>
            </w:r>
            <w:r w:rsidRPr="00F3679C">
              <w:t xml:space="preserve"> from the end of the Initial Term;</w:t>
            </w:r>
          </w:p>
        </w:tc>
      </w:tr>
      <w:tr w:rsidR="001421AE" w14:paraId="33AA8B45" w14:textId="77777777" w:rsidTr="006816C5">
        <w:tc>
          <w:tcPr>
            <w:tcW w:w="3493" w:type="dxa"/>
          </w:tcPr>
          <w:p w14:paraId="4EB3AB68" w14:textId="77777777" w:rsidR="001421AE" w:rsidRDefault="001421AE" w:rsidP="00813948">
            <w:pPr>
              <w:pStyle w:val="StdBodyTextBold"/>
            </w:pPr>
            <w:r>
              <w:t>“Financial Distress Event”</w:t>
            </w:r>
          </w:p>
        </w:tc>
        <w:tc>
          <w:tcPr>
            <w:tcW w:w="5245" w:type="dxa"/>
          </w:tcPr>
          <w:p w14:paraId="5DC397FC" w14:textId="77EDCF67" w:rsidR="001421AE" w:rsidRDefault="001421AE" w:rsidP="00813948">
            <w:pPr>
              <w:pStyle w:val="StdBodyText"/>
            </w:pPr>
            <w:r>
              <w:t xml:space="preserve">the occurrence of one or more of the events listed in </w:t>
            </w:r>
            <w:bookmarkStart w:id="58" w:name="_9kR3WTr2CC4EOfEnoewrqyDL"/>
            <w:r>
              <w:t xml:space="preserve">Paragraph </w:t>
            </w:r>
            <w:bookmarkEnd w:id="58"/>
            <w:r>
              <w:t>3.1 of Schedule 7.4 (</w:t>
            </w:r>
            <w:r w:rsidRPr="00235FDC">
              <w:rPr>
                <w:i/>
              </w:rPr>
              <w:t>Financial Distress</w:t>
            </w:r>
            <w:r>
              <w:t>);</w:t>
            </w:r>
          </w:p>
        </w:tc>
      </w:tr>
      <w:tr w:rsidR="001421AE" w14:paraId="2346E0A2" w14:textId="77777777" w:rsidTr="006816C5">
        <w:tc>
          <w:tcPr>
            <w:tcW w:w="3493" w:type="dxa"/>
          </w:tcPr>
          <w:p w14:paraId="30AD9F0C" w14:textId="77777777" w:rsidR="001421AE" w:rsidRDefault="001421AE" w:rsidP="00813948">
            <w:pPr>
              <w:pStyle w:val="StdBodyTextBold"/>
            </w:pPr>
            <w:r>
              <w:t>“Financial Distress Remediation Plan”</w:t>
            </w:r>
          </w:p>
        </w:tc>
        <w:tc>
          <w:tcPr>
            <w:tcW w:w="5245" w:type="dxa"/>
          </w:tcPr>
          <w:p w14:paraId="0FBB660E" w14:textId="77777777" w:rsidR="001421AE" w:rsidRDefault="001421AE" w:rsidP="00813948">
            <w:pPr>
              <w:pStyle w:val="StdBodyText"/>
            </w:pPr>
            <w:r>
              <w:t>a plan setting out how the Supplier will ensure the continued performance and delivery of the Services in accordance with this Agreement in the event that a Financial Distress Event occurs. This plan should include what the Authority would need to put in place to ensure performance and delivery of the Services in accordance with this Contract up to and including any Insolvency Event in respect of the relevant FDE Group entity and may refer to the Insolvency Continuity Plan in this regard;</w:t>
            </w:r>
          </w:p>
        </w:tc>
      </w:tr>
      <w:tr w:rsidR="001421AE" w14:paraId="512560FC" w14:textId="77777777" w:rsidTr="006816C5">
        <w:tc>
          <w:tcPr>
            <w:tcW w:w="3493" w:type="dxa"/>
          </w:tcPr>
          <w:p w14:paraId="71246D82" w14:textId="77777777" w:rsidR="001421AE" w:rsidRDefault="001421AE" w:rsidP="00813948">
            <w:pPr>
              <w:pStyle w:val="StdBodyTextBold"/>
            </w:pPr>
            <w:r>
              <w:t>“Financial Model”</w:t>
            </w:r>
          </w:p>
        </w:tc>
        <w:tc>
          <w:tcPr>
            <w:tcW w:w="5245" w:type="dxa"/>
          </w:tcPr>
          <w:p w14:paraId="1D89F915" w14:textId="793A89F7" w:rsidR="001421AE" w:rsidRDefault="001421AE" w:rsidP="00813948">
            <w:pPr>
              <w:pStyle w:val="StdBodyText"/>
            </w:pPr>
            <w:r>
              <w:t>has the meaning given in Schedule 7.5 (</w:t>
            </w:r>
            <w:r w:rsidRPr="00917EAB">
              <w:rPr>
                <w:i/>
              </w:rPr>
              <w:t>Financial Reports and Audit Rights</w:t>
            </w:r>
            <w:r>
              <w:t>);</w:t>
            </w:r>
          </w:p>
        </w:tc>
      </w:tr>
      <w:tr w:rsidR="001421AE" w14:paraId="744CCD39" w14:textId="77777777" w:rsidTr="006816C5">
        <w:tc>
          <w:tcPr>
            <w:tcW w:w="3493" w:type="dxa"/>
          </w:tcPr>
          <w:p w14:paraId="220692E4" w14:textId="77777777" w:rsidR="001421AE" w:rsidRDefault="001421AE" w:rsidP="00813948">
            <w:pPr>
              <w:pStyle w:val="StdBodyTextBold"/>
            </w:pPr>
            <w:r>
              <w:t>“Financial Reports”</w:t>
            </w:r>
          </w:p>
        </w:tc>
        <w:tc>
          <w:tcPr>
            <w:tcW w:w="5245" w:type="dxa"/>
          </w:tcPr>
          <w:p w14:paraId="713E0B84" w14:textId="55CBCA21" w:rsidR="001421AE" w:rsidRDefault="001421AE" w:rsidP="00813948">
            <w:pPr>
              <w:pStyle w:val="StdBodyText"/>
            </w:pPr>
            <w:r>
              <w:t>has the meaning given in Schedule 7.5  (</w:t>
            </w:r>
            <w:r w:rsidRPr="00917EAB">
              <w:rPr>
                <w:i/>
              </w:rPr>
              <w:t>Financial Reports and Audit Rights</w:t>
            </w:r>
            <w:r>
              <w:t>);</w:t>
            </w:r>
          </w:p>
        </w:tc>
      </w:tr>
      <w:tr w:rsidR="001421AE" w14:paraId="28649FAE" w14:textId="77777777" w:rsidTr="006816C5">
        <w:tc>
          <w:tcPr>
            <w:tcW w:w="3493" w:type="dxa"/>
          </w:tcPr>
          <w:p w14:paraId="4169F0BA" w14:textId="77777777" w:rsidR="001421AE" w:rsidRDefault="001421AE" w:rsidP="00813948">
            <w:pPr>
              <w:pStyle w:val="StdBodyTextBold"/>
            </w:pPr>
            <w:r>
              <w:t>“Financial Transparency Objectives”</w:t>
            </w:r>
          </w:p>
        </w:tc>
        <w:tc>
          <w:tcPr>
            <w:tcW w:w="5245" w:type="dxa"/>
          </w:tcPr>
          <w:p w14:paraId="1844F480" w14:textId="06164881" w:rsidR="001421AE" w:rsidRDefault="001421AE" w:rsidP="00813948">
            <w:pPr>
              <w:pStyle w:val="StdBodyText"/>
            </w:pPr>
            <w:r>
              <w:t>has the meaning given in Schedule 7.5  (</w:t>
            </w:r>
            <w:r w:rsidRPr="00917EAB">
              <w:rPr>
                <w:i/>
              </w:rPr>
              <w:t>Financial Reports and Audit Rights</w:t>
            </w:r>
            <w:r>
              <w:t>);</w:t>
            </w:r>
          </w:p>
        </w:tc>
      </w:tr>
      <w:tr w:rsidR="001421AE" w14:paraId="391C9F08" w14:textId="77777777" w:rsidTr="006816C5">
        <w:tc>
          <w:tcPr>
            <w:tcW w:w="3493" w:type="dxa"/>
          </w:tcPr>
          <w:p w14:paraId="374E8D22" w14:textId="77777777" w:rsidR="001421AE" w:rsidRDefault="001421AE" w:rsidP="00813948">
            <w:pPr>
              <w:pStyle w:val="StdBodyTextBold"/>
            </w:pPr>
            <w:r>
              <w:t>“FOIA”</w:t>
            </w:r>
          </w:p>
        </w:tc>
        <w:tc>
          <w:tcPr>
            <w:tcW w:w="5245" w:type="dxa"/>
          </w:tcPr>
          <w:p w14:paraId="5B8930A9" w14:textId="77777777" w:rsidR="001421AE" w:rsidRDefault="001421AE" w:rsidP="00813948">
            <w:pPr>
              <w:pStyle w:val="StdBodyText"/>
            </w:pPr>
            <w:r>
              <w:t xml:space="preserve">the </w:t>
            </w:r>
            <w:bookmarkStart w:id="59" w:name="_9kR3WTr277DLFOLrffq01vQTxzCBv3C8EbLBcXW"/>
            <w:r>
              <w:t>Freedom of Information Act 2000</w:t>
            </w:r>
            <w:bookmarkEnd w:id="59"/>
            <w:r>
              <w:t xml:space="preserve"> and any subordinate legislation made under that Act from time to time, together with any guidance and/or codes of practice issued by the Information Commissioner or any relevant Central Government Body in relation to such Act;</w:t>
            </w:r>
          </w:p>
        </w:tc>
      </w:tr>
      <w:tr w:rsidR="001421AE" w14:paraId="062EB2A4" w14:textId="77777777" w:rsidTr="006816C5">
        <w:tc>
          <w:tcPr>
            <w:tcW w:w="3493" w:type="dxa"/>
          </w:tcPr>
          <w:p w14:paraId="1A0DD55E" w14:textId="77777777" w:rsidR="001421AE" w:rsidRDefault="001421AE" w:rsidP="00813948">
            <w:pPr>
              <w:pStyle w:val="StdBodyTextBold"/>
            </w:pPr>
            <w:r>
              <w:t>“Force Majeure Event”</w:t>
            </w:r>
          </w:p>
        </w:tc>
        <w:tc>
          <w:tcPr>
            <w:tcW w:w="5245" w:type="dxa"/>
          </w:tcPr>
          <w:p w14:paraId="1FBF3A5D" w14:textId="77777777" w:rsidR="001421AE" w:rsidRDefault="001421AE" w:rsidP="00813948">
            <w:pPr>
              <w:pStyle w:val="StdBodyText"/>
            </w:pPr>
            <w:r>
              <w:t>any event outside the reasonable control of either Party affecting its performance of its obligations under this Agreement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rsidR="001421AE" w14:paraId="097D26D1" w14:textId="77777777" w:rsidTr="006816C5">
        <w:tc>
          <w:tcPr>
            <w:tcW w:w="3493" w:type="dxa"/>
          </w:tcPr>
          <w:p w14:paraId="4888018A" w14:textId="77777777" w:rsidR="001421AE" w:rsidRDefault="001421AE" w:rsidP="00813948">
            <w:pPr>
              <w:pStyle w:val="StdBodyTextBold"/>
            </w:pPr>
            <w:r>
              <w:t>“Force Majeure Notice”</w:t>
            </w:r>
          </w:p>
        </w:tc>
        <w:tc>
          <w:tcPr>
            <w:tcW w:w="5245" w:type="dxa"/>
          </w:tcPr>
          <w:p w14:paraId="24AFDB4F" w14:textId="77777777" w:rsidR="001421AE" w:rsidRDefault="001421AE" w:rsidP="00813948">
            <w:pPr>
              <w:pStyle w:val="StdBodyText"/>
            </w:pPr>
            <w:r>
              <w:t>a written notice s</w:t>
            </w:r>
            <w:bookmarkStart w:id="60" w:name="_9kR3WTr5DA48E0w"/>
            <w:bookmarkEnd w:id="60"/>
            <w:r>
              <w:t>erved by the Affected Party on the other Party stating that the Affected Party believes that there is a Force Majeure Event;</w:t>
            </w:r>
          </w:p>
        </w:tc>
      </w:tr>
      <w:tr w:rsidR="001421AE" w14:paraId="75A1E661" w14:textId="77777777" w:rsidTr="006816C5">
        <w:tc>
          <w:tcPr>
            <w:tcW w:w="3493" w:type="dxa"/>
          </w:tcPr>
          <w:p w14:paraId="2146CD7C" w14:textId="77777777" w:rsidR="001421AE" w:rsidRDefault="001421AE" w:rsidP="00813948">
            <w:pPr>
              <w:pStyle w:val="StdBodyTextBold"/>
            </w:pPr>
            <w:r>
              <w:t>“Former Supplier”</w:t>
            </w:r>
          </w:p>
        </w:tc>
        <w:tc>
          <w:tcPr>
            <w:tcW w:w="5245" w:type="dxa"/>
          </w:tcPr>
          <w:p w14:paraId="3445D24F" w14:textId="1FE841A6" w:rsidR="001421AE" w:rsidRDefault="001421AE" w:rsidP="00813948">
            <w:pPr>
              <w:pStyle w:val="StdBodyText"/>
            </w:pPr>
            <w:r>
              <w:t>has the meaning given in Schedule 9.2 (</w:t>
            </w:r>
            <w:r w:rsidRPr="00917EAB">
              <w:rPr>
                <w:i/>
              </w:rPr>
              <w:t>Staff</w:t>
            </w:r>
            <w:r>
              <w:t xml:space="preserve"> </w:t>
            </w:r>
            <w:r w:rsidRPr="00917EAB">
              <w:rPr>
                <w:i/>
              </w:rPr>
              <w:t>Transfer</w:t>
            </w:r>
            <w:r>
              <w:t>);</w:t>
            </w:r>
          </w:p>
        </w:tc>
      </w:tr>
      <w:tr w:rsidR="001421AE" w14:paraId="4477DF65" w14:textId="77777777" w:rsidTr="006816C5">
        <w:tc>
          <w:tcPr>
            <w:tcW w:w="3493" w:type="dxa"/>
          </w:tcPr>
          <w:p w14:paraId="52E37AFE" w14:textId="77777777" w:rsidR="001421AE" w:rsidRDefault="001421AE" w:rsidP="00813948">
            <w:pPr>
              <w:pStyle w:val="StdBodyTextBold"/>
            </w:pPr>
            <w:r>
              <w:t>“General Anti-Abuse Rule”</w:t>
            </w:r>
          </w:p>
        </w:tc>
        <w:tc>
          <w:tcPr>
            <w:tcW w:w="5245" w:type="dxa"/>
          </w:tcPr>
          <w:p w14:paraId="7BF24121" w14:textId="77777777" w:rsidR="001421AE" w:rsidRDefault="001421AE" w:rsidP="00AD2EE4">
            <w:pPr>
              <w:pStyle w:val="DefinitionList"/>
              <w:numPr>
                <w:ilvl w:val="0"/>
                <w:numId w:val="44"/>
              </w:numPr>
            </w:pPr>
            <w:r>
              <w:t xml:space="preserve">the legislation in </w:t>
            </w:r>
            <w:bookmarkStart w:id="61" w:name="_9kR3WTr277DJGbEn7M5tz2oNM1uvyqPI8ZUUY"/>
            <w:r>
              <w:t>Part 5 of the Finance Act 2013</w:t>
            </w:r>
            <w:bookmarkEnd w:id="61"/>
            <w:r>
              <w:t>; and</w:t>
            </w:r>
          </w:p>
          <w:p w14:paraId="17B98D8C" w14:textId="77777777" w:rsidR="001421AE" w:rsidRDefault="001421AE" w:rsidP="002C2496">
            <w:pPr>
              <w:pStyle w:val="DefinitionList"/>
            </w:pPr>
            <w:r>
              <w:t>any future legislation introduced into Parliament to counteract tax advantages arising from abusive arrangements to avoid national insurance contributions;</w:t>
            </w:r>
          </w:p>
        </w:tc>
      </w:tr>
      <w:tr w:rsidR="001421AE" w14:paraId="2F88BACA" w14:textId="77777777" w:rsidTr="006816C5">
        <w:tc>
          <w:tcPr>
            <w:tcW w:w="3493" w:type="dxa"/>
          </w:tcPr>
          <w:p w14:paraId="45C1ED9F" w14:textId="77777777" w:rsidR="001421AE" w:rsidRDefault="001421AE" w:rsidP="00813948">
            <w:pPr>
              <w:pStyle w:val="StdBodyTextBold"/>
            </w:pPr>
            <w:r>
              <w:t>“General Change in Law”</w:t>
            </w:r>
          </w:p>
        </w:tc>
        <w:tc>
          <w:tcPr>
            <w:tcW w:w="5245" w:type="dxa"/>
          </w:tcPr>
          <w:p w14:paraId="3BC5D4FD" w14:textId="77777777" w:rsidR="001421AE" w:rsidRDefault="001421AE" w:rsidP="00813948">
            <w:pPr>
              <w:pStyle w:val="StdBodyText"/>
            </w:pPr>
            <w:r>
              <w:t>a Change in Law where the change is of a general legislative nature (including taxation or duties of any sort affecting the Supplier) or which affects or relates to a Comparable Supply;</w:t>
            </w:r>
          </w:p>
        </w:tc>
      </w:tr>
      <w:tr w:rsidR="001421AE" w14:paraId="0894EF46" w14:textId="77777777" w:rsidTr="006816C5">
        <w:tc>
          <w:tcPr>
            <w:tcW w:w="3493" w:type="dxa"/>
          </w:tcPr>
          <w:p w14:paraId="2B7298CC" w14:textId="77777777" w:rsidR="001421AE" w:rsidRDefault="001421AE" w:rsidP="00813948">
            <w:pPr>
              <w:pStyle w:val="StdBodyTextBold"/>
            </w:pPr>
            <w:r>
              <w:t>“Good Industry Practice”</w:t>
            </w:r>
          </w:p>
        </w:tc>
        <w:tc>
          <w:tcPr>
            <w:tcW w:w="5245" w:type="dxa"/>
          </w:tcPr>
          <w:p w14:paraId="665C9389" w14:textId="77777777" w:rsidR="001421AE" w:rsidRDefault="001421AE" w:rsidP="00813948">
            <w:pPr>
              <w:pStyle w:val="StdBodyText"/>
            </w:pPr>
            <w: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1421AE" w14:paraId="0C34AF47" w14:textId="77777777" w:rsidTr="006816C5">
        <w:tc>
          <w:tcPr>
            <w:tcW w:w="3493" w:type="dxa"/>
          </w:tcPr>
          <w:p w14:paraId="54AC179C" w14:textId="77777777" w:rsidR="001421AE" w:rsidRDefault="001421AE" w:rsidP="00813948">
            <w:pPr>
              <w:pStyle w:val="StdBodyTextBold"/>
            </w:pPr>
            <w:r>
              <w:t>“Goods”</w:t>
            </w:r>
          </w:p>
        </w:tc>
        <w:tc>
          <w:tcPr>
            <w:tcW w:w="5245" w:type="dxa"/>
          </w:tcPr>
          <w:p w14:paraId="6912AAF0" w14:textId="77777777" w:rsidR="001421AE" w:rsidRDefault="001421AE" w:rsidP="00813948">
            <w:pPr>
              <w:pStyle w:val="StdBodyText"/>
            </w:pPr>
            <w:r>
              <w:t xml:space="preserve">has the meaning given in </w:t>
            </w:r>
            <w:bookmarkStart w:id="62" w:name="_9kMHG5YVtCIA9A8IQoWlwxhwCvyIG39CykfBTL3"/>
            <w:bookmarkStart w:id="63" w:name="_9kMHG5YVtCJB9A9JQoWlwxhwCvyIG39CykfBTL3"/>
            <w:bookmarkStart w:id="64" w:name="_9kMHG5YVt4AAFPHIQoWlwxhwCvyIG39CykfBTL3"/>
            <w:r>
              <w:t xml:space="preserve">Clause </w:t>
            </w:r>
            <w:bookmarkEnd w:id="62"/>
            <w:bookmarkEnd w:id="63"/>
            <w:bookmarkEnd w:id="64"/>
            <w:r>
              <w:t>9.7 (</w:t>
            </w:r>
            <w:r w:rsidRPr="00917EAB">
              <w:rPr>
                <w:i/>
              </w:rPr>
              <w:t>Supply of Goods</w:t>
            </w:r>
            <w:r>
              <w:t>);</w:t>
            </w:r>
          </w:p>
        </w:tc>
      </w:tr>
      <w:tr w:rsidR="001421AE" w14:paraId="3AE3780D" w14:textId="77777777" w:rsidTr="006816C5">
        <w:tc>
          <w:tcPr>
            <w:tcW w:w="3493" w:type="dxa"/>
          </w:tcPr>
          <w:p w14:paraId="0DA5529A" w14:textId="77777777" w:rsidR="001421AE" w:rsidRDefault="001421AE" w:rsidP="00813948">
            <w:pPr>
              <w:pStyle w:val="StdBodyTextBold"/>
            </w:pPr>
            <w:r>
              <w:t>“Guarantee”</w:t>
            </w:r>
          </w:p>
        </w:tc>
        <w:tc>
          <w:tcPr>
            <w:tcW w:w="5245" w:type="dxa"/>
          </w:tcPr>
          <w:p w14:paraId="1A5E9E16" w14:textId="29335854" w:rsidR="001421AE" w:rsidRDefault="001421AE" w:rsidP="00813948">
            <w:pPr>
              <w:pStyle w:val="StdBodyText"/>
            </w:pPr>
            <w:r>
              <w:t>the deed of guarantee in favour of the Authority entered into by the Guarantor on or about the date of this Agreement (which is in the form set out in Schedule 10 (</w:t>
            </w:r>
            <w:r w:rsidRPr="00917EAB">
              <w:rPr>
                <w:i/>
              </w:rPr>
              <w:t>Guarantee</w:t>
            </w:r>
            <w:r>
              <w:t>)), or any guarantee acceptable to the Authority that replaces it from time to time;</w:t>
            </w:r>
          </w:p>
        </w:tc>
      </w:tr>
      <w:tr w:rsidR="001421AE" w14:paraId="41EB9745" w14:textId="77777777" w:rsidTr="006816C5">
        <w:tc>
          <w:tcPr>
            <w:tcW w:w="3493" w:type="dxa"/>
          </w:tcPr>
          <w:p w14:paraId="489E112D" w14:textId="77777777" w:rsidR="001421AE" w:rsidRDefault="001421AE" w:rsidP="00813948">
            <w:pPr>
              <w:pStyle w:val="StdBodyTextBold"/>
            </w:pPr>
            <w:r>
              <w:t>“Halifax Abuse Principle”</w:t>
            </w:r>
          </w:p>
        </w:tc>
        <w:tc>
          <w:tcPr>
            <w:tcW w:w="5245" w:type="dxa"/>
          </w:tcPr>
          <w:p w14:paraId="7305D5E5" w14:textId="77777777" w:rsidR="001421AE" w:rsidRDefault="001421AE" w:rsidP="00813948">
            <w:pPr>
              <w:pStyle w:val="StdBodyText"/>
            </w:pPr>
            <w:r>
              <w:t>the principle explained in the CJEU Case C-255/02 Halifax and others;</w:t>
            </w:r>
          </w:p>
        </w:tc>
      </w:tr>
      <w:tr w:rsidR="001421AE" w14:paraId="4CC2A010" w14:textId="77777777" w:rsidTr="006816C5">
        <w:tc>
          <w:tcPr>
            <w:tcW w:w="3493" w:type="dxa"/>
          </w:tcPr>
          <w:p w14:paraId="06170D42" w14:textId="77777777" w:rsidR="001421AE" w:rsidRDefault="001421AE" w:rsidP="00813948">
            <w:pPr>
              <w:pStyle w:val="StdBodyTextBold"/>
            </w:pPr>
            <w:r>
              <w:t>“Health and Safety Policy”</w:t>
            </w:r>
          </w:p>
        </w:tc>
        <w:tc>
          <w:tcPr>
            <w:tcW w:w="5245" w:type="dxa"/>
          </w:tcPr>
          <w:p w14:paraId="3D6452A0" w14:textId="77777777" w:rsidR="001421AE" w:rsidRDefault="001421AE" w:rsidP="00813948">
            <w:pPr>
              <w:pStyle w:val="StdBodyText"/>
            </w:pPr>
            <w: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1421AE" w14:paraId="04510F1B" w14:textId="77777777" w:rsidTr="006816C5">
        <w:tc>
          <w:tcPr>
            <w:tcW w:w="3493" w:type="dxa"/>
          </w:tcPr>
          <w:p w14:paraId="61835AC8" w14:textId="77777777" w:rsidR="001421AE" w:rsidRDefault="001421AE" w:rsidP="00813948">
            <w:pPr>
              <w:pStyle w:val="StdBodyTextBold"/>
            </w:pPr>
            <w:r>
              <w:t>“HMRC”</w:t>
            </w:r>
          </w:p>
        </w:tc>
        <w:tc>
          <w:tcPr>
            <w:tcW w:w="5245" w:type="dxa"/>
          </w:tcPr>
          <w:p w14:paraId="073E83C0" w14:textId="77777777" w:rsidR="001421AE" w:rsidRDefault="001421AE" w:rsidP="00813948">
            <w:pPr>
              <w:pStyle w:val="StdBodyText"/>
            </w:pPr>
            <w:r>
              <w:t>HM Revenue &amp; Customs;</w:t>
            </w:r>
          </w:p>
        </w:tc>
      </w:tr>
      <w:tr w:rsidR="001421AE" w14:paraId="26C529B1" w14:textId="77777777" w:rsidTr="006816C5">
        <w:tc>
          <w:tcPr>
            <w:tcW w:w="3493" w:type="dxa"/>
          </w:tcPr>
          <w:p w14:paraId="34BD34AF" w14:textId="77777777" w:rsidR="001421AE" w:rsidRDefault="001421AE" w:rsidP="00813948">
            <w:pPr>
              <w:pStyle w:val="StdBodyTextBold"/>
            </w:pPr>
            <w:r>
              <w:t>“Impact Assessment”</w:t>
            </w:r>
          </w:p>
        </w:tc>
        <w:tc>
          <w:tcPr>
            <w:tcW w:w="5245" w:type="dxa"/>
          </w:tcPr>
          <w:p w14:paraId="599AE80D" w14:textId="31D06941" w:rsidR="001421AE" w:rsidRDefault="001421AE" w:rsidP="00813948">
            <w:pPr>
              <w:pStyle w:val="StdBodyText"/>
            </w:pPr>
            <w:r>
              <w:t>has the meaning given in Schedule 8.2 (</w:t>
            </w:r>
            <w:r w:rsidRPr="00917EAB">
              <w:rPr>
                <w:i/>
              </w:rPr>
              <w:t>Change Control Procedure</w:t>
            </w:r>
            <w:r>
              <w:t>);</w:t>
            </w:r>
          </w:p>
        </w:tc>
      </w:tr>
      <w:tr w:rsidR="001421AE" w14:paraId="64D77BAA" w14:textId="77777777" w:rsidTr="006816C5">
        <w:tc>
          <w:tcPr>
            <w:tcW w:w="3493" w:type="dxa"/>
          </w:tcPr>
          <w:p w14:paraId="74DD4583" w14:textId="77777777" w:rsidR="001421AE" w:rsidRDefault="001421AE" w:rsidP="00813948">
            <w:pPr>
              <w:pStyle w:val="StdBodyTextBold"/>
            </w:pPr>
            <w:r>
              <w:t>“Implementation Plan”</w:t>
            </w:r>
          </w:p>
        </w:tc>
        <w:tc>
          <w:tcPr>
            <w:tcW w:w="5245" w:type="dxa"/>
          </w:tcPr>
          <w:p w14:paraId="67C0A71A" w14:textId="35E0366B" w:rsidR="001421AE" w:rsidRDefault="001421AE" w:rsidP="00813948">
            <w:pPr>
              <w:pStyle w:val="StdBodyText"/>
            </w:pPr>
            <w:r>
              <w:t xml:space="preserve">the Outline Implementation Plan or (if and when approved by the Authority pursuant to </w:t>
            </w:r>
            <w:bookmarkStart w:id="65" w:name="_9kMJI5YVt4EE6CEZGpqgyts0F"/>
            <w:r>
              <w:t xml:space="preserve">Paragraph </w:t>
            </w:r>
            <w:bookmarkEnd w:id="65"/>
            <w:r>
              <w:t>3 of Schedule 6.1 (</w:t>
            </w:r>
            <w:r w:rsidRPr="00917EAB">
              <w:rPr>
                <w:i/>
              </w:rPr>
              <w:t>Implementation Plan</w:t>
            </w:r>
            <w:r>
              <w:t xml:space="preserve">)) the Detailed Implementation Plan as updated in accordance with </w:t>
            </w:r>
            <w:bookmarkStart w:id="66" w:name="_9kMJI5YVt4EE6EJcGpqgyts0G"/>
            <w:r>
              <w:t xml:space="preserve">Paragraph </w:t>
            </w:r>
            <w:bookmarkEnd w:id="66"/>
            <w:r>
              <w:t>4 of Schedule 6.1 (</w:t>
            </w:r>
            <w:r w:rsidRPr="00917EAB">
              <w:rPr>
                <w:i/>
              </w:rPr>
              <w:t>Implementation Plan</w:t>
            </w:r>
            <w:r>
              <w:t>) from time to time;</w:t>
            </w:r>
          </w:p>
        </w:tc>
      </w:tr>
      <w:tr w:rsidR="001421AE" w14:paraId="1CBF0612" w14:textId="77777777" w:rsidTr="006816C5">
        <w:tc>
          <w:tcPr>
            <w:tcW w:w="3493" w:type="dxa"/>
          </w:tcPr>
          <w:p w14:paraId="39B02630" w14:textId="77777777" w:rsidR="001421AE" w:rsidRDefault="001421AE" w:rsidP="00813948">
            <w:pPr>
              <w:pStyle w:val="StdBodyTextBold"/>
            </w:pPr>
            <w:r>
              <w:t>“Implementation Services Commencement Date”</w:t>
            </w:r>
          </w:p>
        </w:tc>
        <w:tc>
          <w:tcPr>
            <w:tcW w:w="5245" w:type="dxa"/>
          </w:tcPr>
          <w:p w14:paraId="35B5DBD3" w14:textId="02D85DF8" w:rsidR="001421AE" w:rsidRDefault="001421AE" w:rsidP="00813948">
            <w:pPr>
              <w:pStyle w:val="StdBodyText"/>
            </w:pPr>
            <w:r>
              <w:t>the date on which the Supplier is to commence provision of the first of the Services, being the Effective Date;</w:t>
            </w:r>
          </w:p>
        </w:tc>
      </w:tr>
      <w:tr w:rsidR="001421AE" w14:paraId="79F2DD35" w14:textId="77777777" w:rsidTr="006816C5">
        <w:tc>
          <w:tcPr>
            <w:tcW w:w="3493" w:type="dxa"/>
          </w:tcPr>
          <w:p w14:paraId="6758A0E7" w14:textId="77777777" w:rsidR="001421AE" w:rsidRDefault="001421AE" w:rsidP="00813948">
            <w:pPr>
              <w:pStyle w:val="StdBodyTextBold"/>
            </w:pPr>
            <w:r>
              <w:t>“Implementation Services”</w:t>
            </w:r>
          </w:p>
        </w:tc>
        <w:tc>
          <w:tcPr>
            <w:tcW w:w="5245" w:type="dxa"/>
          </w:tcPr>
          <w:p w14:paraId="4E2198E1" w14:textId="77777777" w:rsidR="001421AE" w:rsidRDefault="001421AE" w:rsidP="00813948">
            <w:pPr>
              <w:pStyle w:val="StdBodyText"/>
            </w:pPr>
            <w:r>
              <w:t>the implementation services described as such in the Services Description;</w:t>
            </w:r>
          </w:p>
        </w:tc>
      </w:tr>
      <w:tr w:rsidR="001421AE" w14:paraId="5A7CE0B0" w14:textId="77777777" w:rsidTr="006816C5">
        <w:tc>
          <w:tcPr>
            <w:tcW w:w="3493" w:type="dxa"/>
          </w:tcPr>
          <w:p w14:paraId="751D228D" w14:textId="77777777" w:rsidR="001421AE" w:rsidRDefault="001421AE" w:rsidP="00813948">
            <w:pPr>
              <w:pStyle w:val="StdBodyTextBold"/>
            </w:pPr>
            <w:r>
              <w:t>“Indemnified Person”</w:t>
            </w:r>
          </w:p>
        </w:tc>
        <w:tc>
          <w:tcPr>
            <w:tcW w:w="5245" w:type="dxa"/>
          </w:tcPr>
          <w:p w14:paraId="79C3756D" w14:textId="77777777" w:rsidR="001421AE" w:rsidRDefault="001421AE" w:rsidP="00813948">
            <w:pPr>
              <w:pStyle w:val="StdBodyText"/>
            </w:pPr>
            <w:r>
              <w:t>the Authority and each and every person to whom the Authority (or any direct or indirect sub-licensee of the Authority) sub-licenses, assigns or novates any Relevant IPRs or rights in Relevant IPRs in accordance with this Agreement;</w:t>
            </w:r>
          </w:p>
        </w:tc>
      </w:tr>
      <w:tr w:rsidR="001421AE" w14:paraId="6B045A42" w14:textId="77777777" w:rsidTr="006816C5">
        <w:tc>
          <w:tcPr>
            <w:tcW w:w="3493" w:type="dxa"/>
          </w:tcPr>
          <w:p w14:paraId="03C4B727" w14:textId="77777777" w:rsidR="001421AE" w:rsidRDefault="001421AE" w:rsidP="00813948">
            <w:pPr>
              <w:pStyle w:val="StdBodyTextBold"/>
            </w:pPr>
            <w:r>
              <w:t>“Independent Controller”</w:t>
            </w:r>
          </w:p>
        </w:tc>
        <w:tc>
          <w:tcPr>
            <w:tcW w:w="5245" w:type="dxa"/>
          </w:tcPr>
          <w:p w14:paraId="2CB30645" w14:textId="3ED17E21" w:rsidR="001421AE" w:rsidRDefault="001421AE" w:rsidP="00813948">
            <w:pPr>
              <w:pStyle w:val="StdBodyText"/>
            </w:pPr>
            <w:r>
              <w:t>a party which is Controller of the same Personal Data as the other Party and there is no element of joint control with regards to that Personal Data;</w:t>
            </w:r>
          </w:p>
        </w:tc>
      </w:tr>
      <w:tr w:rsidR="001421AE" w14:paraId="2424E990" w14:textId="77777777" w:rsidTr="006816C5">
        <w:tc>
          <w:tcPr>
            <w:tcW w:w="3493" w:type="dxa"/>
          </w:tcPr>
          <w:p w14:paraId="210783F9" w14:textId="77777777" w:rsidR="001421AE" w:rsidRDefault="001421AE" w:rsidP="00813948">
            <w:pPr>
              <w:pStyle w:val="StdBodyTextBold"/>
            </w:pPr>
            <w:r>
              <w:t>“Information”</w:t>
            </w:r>
          </w:p>
        </w:tc>
        <w:tc>
          <w:tcPr>
            <w:tcW w:w="5245" w:type="dxa"/>
          </w:tcPr>
          <w:p w14:paraId="385EB3CF" w14:textId="77777777" w:rsidR="001421AE" w:rsidRDefault="001421AE" w:rsidP="00813948">
            <w:pPr>
              <w:pStyle w:val="StdBodyText"/>
            </w:pPr>
            <w:r>
              <w:t>all information of whatever nature, however conveyed and in whatever form, including in writing, orally, by demonstration, electronically and in a tangible, visual or machine-readable medium (including CD-ROM, magnetic and digital form);</w:t>
            </w:r>
          </w:p>
        </w:tc>
      </w:tr>
      <w:tr w:rsidR="001421AE" w14:paraId="0BDE4354" w14:textId="77777777" w:rsidTr="006816C5">
        <w:tc>
          <w:tcPr>
            <w:tcW w:w="3493" w:type="dxa"/>
          </w:tcPr>
          <w:p w14:paraId="3720F93A" w14:textId="77777777" w:rsidR="001421AE" w:rsidRDefault="001421AE" w:rsidP="00813948">
            <w:pPr>
              <w:pStyle w:val="StdBodyTextBold"/>
            </w:pPr>
            <w:r>
              <w:t>“Initial Term”</w:t>
            </w:r>
          </w:p>
        </w:tc>
        <w:tc>
          <w:tcPr>
            <w:tcW w:w="5245" w:type="dxa"/>
          </w:tcPr>
          <w:p w14:paraId="0705FD97" w14:textId="662A8787" w:rsidR="001421AE" w:rsidRDefault="001421AE" w:rsidP="00813948">
            <w:pPr>
              <w:pStyle w:val="StdBodyText"/>
            </w:pPr>
            <w:r>
              <w:t xml:space="preserve">the period </w:t>
            </w:r>
            <w:r w:rsidRPr="0056582C">
              <w:t xml:space="preserve">of </w:t>
            </w:r>
            <w:r w:rsidRPr="006816C5">
              <w:rPr>
                <w:rStyle w:val="StdBodyTextBoldChar"/>
                <w:b w:val="0"/>
              </w:rPr>
              <w:t>5 years</w:t>
            </w:r>
            <w:r>
              <w:t xml:space="preserve"> from and including the Effective Date;</w:t>
            </w:r>
          </w:p>
        </w:tc>
      </w:tr>
      <w:tr w:rsidR="001421AE" w14:paraId="4256E67B" w14:textId="77777777" w:rsidTr="006816C5">
        <w:tc>
          <w:tcPr>
            <w:tcW w:w="3493" w:type="dxa"/>
          </w:tcPr>
          <w:p w14:paraId="68C9AD34" w14:textId="77777777" w:rsidR="001421AE" w:rsidRDefault="001421AE" w:rsidP="00813948">
            <w:pPr>
              <w:pStyle w:val="StdBodyTextBold"/>
            </w:pPr>
            <w:r>
              <w:t>“Initial Upload Date”</w:t>
            </w:r>
          </w:p>
        </w:tc>
        <w:tc>
          <w:tcPr>
            <w:tcW w:w="5245" w:type="dxa"/>
          </w:tcPr>
          <w:p w14:paraId="1C068CDE" w14:textId="397E41A1" w:rsidR="001421AE" w:rsidRDefault="001421AE" w:rsidP="00813948">
            <w:pPr>
              <w:pStyle w:val="StdBodyText"/>
            </w:pPr>
            <w:r>
              <w:t>means the occurrence of an event detailed in Schedule 8.4 (</w:t>
            </w:r>
            <w:r w:rsidRPr="00EA6DA4">
              <w:rPr>
                <w:i/>
              </w:rPr>
              <w:t>Reports and Records Provisions</w:t>
            </w:r>
            <w:r>
              <w:t>) Annex 3 (</w:t>
            </w:r>
            <w:r w:rsidRPr="00EA6DA4">
              <w:rPr>
                <w:i/>
              </w:rPr>
              <w:t>Virtual Library</w:t>
            </w:r>
            <w:r>
              <w:t>) which requires the Supplier to provide its initial upload of the relevant information to the Virtual Library;</w:t>
            </w:r>
          </w:p>
        </w:tc>
      </w:tr>
      <w:tr w:rsidR="001421AE" w14:paraId="15D49026" w14:textId="77777777" w:rsidTr="006816C5">
        <w:tc>
          <w:tcPr>
            <w:tcW w:w="3493" w:type="dxa"/>
          </w:tcPr>
          <w:p w14:paraId="1AD4E19D" w14:textId="77777777" w:rsidR="001421AE" w:rsidRDefault="001421AE" w:rsidP="00813948">
            <w:pPr>
              <w:pStyle w:val="StdBodyTextBold"/>
            </w:pPr>
            <w:r>
              <w:t>“Insolvency Event”</w:t>
            </w:r>
          </w:p>
        </w:tc>
        <w:tc>
          <w:tcPr>
            <w:tcW w:w="5245" w:type="dxa"/>
          </w:tcPr>
          <w:p w14:paraId="73E01135" w14:textId="77777777" w:rsidR="001421AE" w:rsidRDefault="001421AE" w:rsidP="00813948">
            <w:pPr>
              <w:pStyle w:val="StdBodyText"/>
            </w:pPr>
            <w:r>
              <w:t>with respect to any person, means:</w:t>
            </w:r>
          </w:p>
          <w:p w14:paraId="760121E6" w14:textId="77777777" w:rsidR="001421AE" w:rsidRDefault="001421AE" w:rsidP="00AD2EE4">
            <w:pPr>
              <w:pStyle w:val="DefinitionList"/>
              <w:numPr>
                <w:ilvl w:val="0"/>
                <w:numId w:val="45"/>
              </w:numPr>
            </w:pPr>
            <w:r>
              <w:t>that person suspends, or threatens to suspend, payment of its debts, or is unable to pay its debts as they fall due or admits inability to pay its debts, or:</w:t>
            </w:r>
          </w:p>
          <w:p w14:paraId="247E7A4E" w14:textId="77777777" w:rsidR="001421AE" w:rsidRDefault="001421AE" w:rsidP="002C2496">
            <w:pPr>
              <w:pStyle w:val="DefinitionListLevel1"/>
            </w:pPr>
            <w:r>
              <w:t xml:space="preserve">(being a company or a LLP) is deemed unable to pay its debts within the meaning of </w:t>
            </w:r>
            <w:bookmarkStart w:id="67" w:name="_9kR3WTr277DHA0rcszv1FIL8y47tVZGICKE76Ir"/>
            <w:r>
              <w:t>section 123 of the Insolvency Act 1986</w:t>
            </w:r>
            <w:bookmarkEnd w:id="67"/>
            <w:r>
              <w:t xml:space="preserve">, or </w:t>
            </w:r>
          </w:p>
          <w:p w14:paraId="2326BEA8" w14:textId="77777777" w:rsidR="001421AE" w:rsidRDefault="001421AE" w:rsidP="002C2496">
            <w:pPr>
              <w:pStyle w:val="DefinitionListLevel1"/>
            </w:pPr>
            <w:r>
              <w:t xml:space="preserve">(being a partnership) is deemed unable to pay its debts within the meaning of </w:t>
            </w:r>
            <w:bookmarkStart w:id="68" w:name="_9kR3WTr277DGC3rcszv1GJK7y47tVZGICKE76Ir"/>
            <w:r>
              <w:t>section 222 of the Insolvency Act 1986</w:t>
            </w:r>
            <w:bookmarkEnd w:id="68"/>
            <w:r>
              <w:t xml:space="preserve">; </w:t>
            </w:r>
          </w:p>
          <w:p w14:paraId="206CEEFA" w14:textId="77777777" w:rsidR="001421AE" w:rsidRDefault="001421AE" w:rsidP="002C2496">
            <w:pPr>
              <w:pStyle w:val="DefinitionList"/>
            </w:pPr>
            <w: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69" w:name="_9kR3WTr277DGFgLcszv1FQ7rvbVrur8H2SkIAGJ"/>
            <w:r>
              <w:t>Section 1A and Schedule A1 of the Insolvency Act 1986</w:t>
            </w:r>
            <w:bookmarkEnd w:id="69"/>
            <w:r>
              <w:t xml:space="preserve"> other than (in the case of a company, a LLP or a partnership) for the sole purpose of a scheme for a solvent amalgamation of that person with one or more other companies or the solvent reconstruction of that person;</w:t>
            </w:r>
          </w:p>
          <w:p w14:paraId="0E18AC4A" w14:textId="77777777" w:rsidR="001421AE" w:rsidRDefault="001421AE" w:rsidP="002C2496">
            <w:pPr>
              <w:pStyle w:val="DefinitionList"/>
            </w:pPr>
            <w:r>
              <w:t xml:space="preserve">another person becomes entitled to appoint a receiver over the assets </w:t>
            </w:r>
            <w:bookmarkStart w:id="70" w:name="_9kR3WTr5DA48F1o"/>
            <w:r>
              <w:t>of</w:t>
            </w:r>
            <w:bookmarkEnd w:id="70"/>
            <w:r>
              <w:t xml:space="preserve"> </w:t>
            </w:r>
            <w:bookmarkStart w:id="71" w:name="_9kR3WTr5DA48G7vdq"/>
            <w:bookmarkEnd w:id="71"/>
            <w:r>
              <w:t xml:space="preserve">that person or a receiver is appointed over the assets of that person; </w:t>
            </w:r>
          </w:p>
          <w:p w14:paraId="63964096" w14:textId="77777777" w:rsidR="001421AE" w:rsidRDefault="001421AE" w:rsidP="002C2496">
            <w:pPr>
              <w:pStyle w:val="DefinitionList"/>
            </w:pPr>
            <w: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1638B30E" w14:textId="77777777" w:rsidR="001421AE" w:rsidRDefault="001421AE" w:rsidP="002C2496">
            <w:pPr>
              <w:pStyle w:val="DefinitionList"/>
            </w:pPr>
            <w:r>
              <w:t>that person suspends or ceases, or threatens to suspend or cease, carrying on all or a substantial part of its business;</w:t>
            </w:r>
          </w:p>
          <w:p w14:paraId="1839DD88" w14:textId="77777777" w:rsidR="001421AE" w:rsidRDefault="001421AE" w:rsidP="002C2496">
            <w:pPr>
              <w:pStyle w:val="DefinitionList"/>
            </w:pPr>
            <w:r>
              <w:t>where that person is a company, a LLP or a partnership:</w:t>
            </w:r>
          </w:p>
          <w:p w14:paraId="7EF45BC8" w14:textId="77777777" w:rsidR="001421AE" w:rsidRDefault="001421AE" w:rsidP="002C2496">
            <w:pPr>
              <w:pStyle w:val="DefinitionListLevel1"/>
            </w:pPr>
            <w: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7F71FC64" w14:textId="77777777" w:rsidR="001421AE" w:rsidRDefault="001421AE" w:rsidP="002C2496">
            <w:pPr>
              <w:pStyle w:val="DefinitionListLevel1"/>
            </w:pPr>
            <w:r>
              <w:t xml:space="preserve">an application is made to court, or an order is made, for the appointment of an administrator, or if a notice of intention to appoint an administrator is filed at Court or given or if an administrator is appointed, over that person; </w:t>
            </w:r>
          </w:p>
          <w:p w14:paraId="52EC8888" w14:textId="77777777" w:rsidR="001421AE" w:rsidRDefault="001421AE" w:rsidP="002C2496">
            <w:pPr>
              <w:pStyle w:val="DefinitionListLevel1"/>
            </w:pPr>
            <w:r>
              <w:t xml:space="preserve">(being a company or a LLP) the holder of a qualifying floating charge over the assets of that </w:t>
            </w:r>
            <w:bookmarkStart w:id="72" w:name="_9kR3WTr5DA48H4or640"/>
            <w:r>
              <w:t>person</w:t>
            </w:r>
            <w:bookmarkEnd w:id="72"/>
            <w:r>
              <w:t xml:space="preserve"> has become entitled to appoint or has appointed an administrative receiver; or</w:t>
            </w:r>
          </w:p>
          <w:p w14:paraId="573E9B27" w14:textId="77777777" w:rsidR="001421AE" w:rsidRDefault="001421AE" w:rsidP="002C2496">
            <w:pPr>
              <w:pStyle w:val="DefinitionListLevel1"/>
            </w:pPr>
            <w:r>
              <w:t xml:space="preserve">(being a partnership) the holder of an agricultural floating charge over the assets of that person has become entitled to appoint or has appointed an agricultural receiver; or </w:t>
            </w:r>
          </w:p>
          <w:p w14:paraId="17D30787" w14:textId="77777777" w:rsidR="001421AE" w:rsidRDefault="001421AE" w:rsidP="002C2496">
            <w:pPr>
              <w:pStyle w:val="DefinitionList"/>
            </w:pPr>
            <w:r>
              <w:t>any event occurs, or proceeding is taken, with respect to that person in any jurisdiction to which it is subject that has an effect equivalent or similar to any of the events mentioned above;</w:t>
            </w:r>
          </w:p>
        </w:tc>
      </w:tr>
      <w:tr w:rsidR="001421AE" w14:paraId="62570EE0" w14:textId="77777777" w:rsidTr="004C473C">
        <w:tc>
          <w:tcPr>
            <w:tcW w:w="3493" w:type="dxa"/>
          </w:tcPr>
          <w:p w14:paraId="16AACDEF" w14:textId="77777777" w:rsidR="001421AE" w:rsidRDefault="001421AE" w:rsidP="00813948">
            <w:pPr>
              <w:pStyle w:val="StdBodyText"/>
            </w:pPr>
            <w:r w:rsidRPr="00EA6DA4">
              <w:rPr>
                <w:rStyle w:val="StdBodyTextBoldChar"/>
              </w:rPr>
              <w:t>“Intellectual Property Rights”</w:t>
            </w:r>
            <w:r>
              <w:t xml:space="preserve"> or </w:t>
            </w:r>
            <w:r w:rsidRPr="00EA6DA4">
              <w:rPr>
                <w:rStyle w:val="StdBodyTextBoldChar"/>
              </w:rPr>
              <w:t>“IPRs”</w:t>
            </w:r>
          </w:p>
        </w:tc>
        <w:tc>
          <w:tcPr>
            <w:tcW w:w="5245" w:type="dxa"/>
          </w:tcPr>
          <w:p w14:paraId="31AB1248" w14:textId="77777777" w:rsidR="001421AE" w:rsidRDefault="001421AE" w:rsidP="00AD2EE4">
            <w:pPr>
              <w:pStyle w:val="DefinitionList"/>
              <w:numPr>
                <w:ilvl w:val="0"/>
                <w:numId w:val="46"/>
              </w:numPr>
            </w:pPr>
            <w:bookmarkStart w:id="73" w:name="_Ref44062808"/>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bookmarkEnd w:id="73"/>
          </w:p>
          <w:p w14:paraId="0AE92070" w14:textId="77777777" w:rsidR="001421AE" w:rsidRDefault="001421AE" w:rsidP="002C2496">
            <w:pPr>
              <w:pStyle w:val="DefinitionList"/>
            </w:pPr>
            <w:r>
              <w:t xml:space="preserve">applications for registration, and the right to apply for registration, for any of the rights listed at </w:t>
            </w:r>
            <w:r>
              <w:fldChar w:fldCharType="begin"/>
            </w:r>
            <w:r>
              <w:instrText xml:space="preserve"> REF _Ref44062808 \r \h </w:instrText>
            </w:r>
            <w:r>
              <w:fldChar w:fldCharType="separate"/>
            </w:r>
            <w:r>
              <w:t>(a)</w:t>
            </w:r>
            <w:r>
              <w:fldChar w:fldCharType="end"/>
            </w:r>
            <w:r>
              <w:t xml:space="preserve"> that are capable of being registered in any country or jurisdiction; and</w:t>
            </w:r>
          </w:p>
          <w:p w14:paraId="2C8E18B8" w14:textId="77777777" w:rsidR="001421AE" w:rsidRDefault="001421AE" w:rsidP="002C2496">
            <w:pPr>
              <w:pStyle w:val="DefinitionList"/>
            </w:pPr>
            <w:r>
              <w:t>all other rights having equivalent or similar effect in any country or jurisdiction;</w:t>
            </w:r>
          </w:p>
        </w:tc>
      </w:tr>
      <w:tr w:rsidR="001421AE" w14:paraId="07078004" w14:textId="77777777" w:rsidTr="006816C5">
        <w:tc>
          <w:tcPr>
            <w:tcW w:w="3493" w:type="dxa"/>
          </w:tcPr>
          <w:p w14:paraId="40E2A4E1" w14:textId="77777777" w:rsidR="001421AE" w:rsidRPr="00EA6DA4" w:rsidRDefault="001421AE" w:rsidP="00813948">
            <w:pPr>
              <w:pStyle w:val="StdBodyTextBold"/>
              <w:rPr>
                <w:rStyle w:val="StdBodyTextBoldChar"/>
              </w:rPr>
            </w:pPr>
            <w:r>
              <w:t>“Intervention Cause”</w:t>
            </w:r>
          </w:p>
        </w:tc>
        <w:tc>
          <w:tcPr>
            <w:tcW w:w="5245" w:type="dxa"/>
          </w:tcPr>
          <w:p w14:paraId="51DC2F18" w14:textId="77777777" w:rsidR="001421AE" w:rsidRDefault="001421AE" w:rsidP="00813948">
            <w:pPr>
              <w:pStyle w:val="StdBodyText"/>
            </w:pPr>
            <w:r>
              <w:t xml:space="preserve">has the meaning given in </w:t>
            </w:r>
            <w:bookmarkStart w:id="74" w:name="_9kMIH5YVtCIABJKGLLVH"/>
            <w:bookmarkStart w:id="75" w:name="_9kMHG5YVtCJBBJLHLLVH"/>
            <w:r>
              <w:t xml:space="preserve">Clause </w:t>
            </w:r>
            <w:bookmarkEnd w:id="74"/>
            <w:bookmarkEnd w:id="75"/>
            <w:r>
              <w:t>30.1 (</w:t>
            </w:r>
            <w:r w:rsidRPr="00EA6DA4">
              <w:rPr>
                <w:i/>
              </w:rPr>
              <w:t>Remedial</w:t>
            </w:r>
            <w:r>
              <w:t xml:space="preserve"> </w:t>
            </w:r>
            <w:r w:rsidRPr="00EA6DA4">
              <w:rPr>
                <w:i/>
              </w:rPr>
              <w:t>Adviser</w:t>
            </w:r>
            <w:r>
              <w:t>);</w:t>
            </w:r>
          </w:p>
        </w:tc>
      </w:tr>
      <w:tr w:rsidR="001421AE" w14:paraId="2E786064" w14:textId="77777777" w:rsidTr="006816C5">
        <w:tc>
          <w:tcPr>
            <w:tcW w:w="3493" w:type="dxa"/>
          </w:tcPr>
          <w:p w14:paraId="45C6DA31" w14:textId="77777777" w:rsidR="001421AE" w:rsidRDefault="001421AE" w:rsidP="00813948">
            <w:pPr>
              <w:pStyle w:val="StdBodyTextBold"/>
            </w:pPr>
            <w:r>
              <w:t>“</w:t>
            </w:r>
            <w:bookmarkStart w:id="76" w:name="_9kMKJ5YVt4CCFMNaM4wvD1uA628ieHCwt"/>
            <w:r>
              <w:t>Intervention Notice</w:t>
            </w:r>
            <w:bookmarkEnd w:id="76"/>
            <w:r>
              <w:t>”</w:t>
            </w:r>
          </w:p>
        </w:tc>
        <w:tc>
          <w:tcPr>
            <w:tcW w:w="5245" w:type="dxa"/>
          </w:tcPr>
          <w:p w14:paraId="78AD613D" w14:textId="77777777" w:rsidR="001421AE" w:rsidRDefault="001421AE" w:rsidP="00813948">
            <w:pPr>
              <w:pStyle w:val="StdBodyText"/>
            </w:pPr>
            <w:r>
              <w:t xml:space="preserve">has the meaning given in </w:t>
            </w:r>
            <w:bookmarkStart w:id="77" w:name="_9kMJI5YVtCIABJKGLLVH"/>
            <w:bookmarkStart w:id="78" w:name="_9kMIH5YVtCJBBJLHLLVH"/>
            <w:r>
              <w:t xml:space="preserve">Clause </w:t>
            </w:r>
            <w:bookmarkEnd w:id="77"/>
            <w:bookmarkEnd w:id="78"/>
            <w:r>
              <w:t>30.1 (</w:t>
            </w:r>
            <w:r w:rsidRPr="00EA6DA4">
              <w:rPr>
                <w:i/>
              </w:rPr>
              <w:t>Remedial</w:t>
            </w:r>
            <w:r>
              <w:t xml:space="preserve"> </w:t>
            </w:r>
            <w:r w:rsidRPr="00EA6DA4">
              <w:rPr>
                <w:i/>
              </w:rPr>
              <w:t>Adviser</w:t>
            </w:r>
            <w:r>
              <w:t>);</w:t>
            </w:r>
          </w:p>
        </w:tc>
      </w:tr>
      <w:tr w:rsidR="001421AE" w14:paraId="17EB8B91" w14:textId="77777777" w:rsidTr="006816C5">
        <w:tc>
          <w:tcPr>
            <w:tcW w:w="3493" w:type="dxa"/>
          </w:tcPr>
          <w:p w14:paraId="5B16A049" w14:textId="77777777" w:rsidR="001421AE" w:rsidRDefault="001421AE" w:rsidP="00813948">
            <w:pPr>
              <w:pStyle w:val="StdBodyTextBold"/>
            </w:pPr>
            <w:r>
              <w:t>“Intervention Period”</w:t>
            </w:r>
          </w:p>
        </w:tc>
        <w:tc>
          <w:tcPr>
            <w:tcW w:w="5245" w:type="dxa"/>
          </w:tcPr>
          <w:p w14:paraId="0E10070F" w14:textId="77777777" w:rsidR="001421AE" w:rsidRDefault="001421AE" w:rsidP="00813948">
            <w:pPr>
              <w:pStyle w:val="StdBodyText"/>
            </w:pPr>
            <w:r>
              <w:t xml:space="preserve">has the meaning given in </w:t>
            </w:r>
            <w:bookmarkStart w:id="79" w:name="_9kMHG5YVtCIABIMJLMqcoDI3tt7F28BxRcSGCNI"/>
            <w:bookmarkStart w:id="80" w:name="_9kMHG5YVtCJBBINKLMqcoDI3tt7F28BxRcSGCNI"/>
            <w:r>
              <w:t xml:space="preserve">Clause </w:t>
            </w:r>
            <w:bookmarkEnd w:id="79"/>
            <w:bookmarkEnd w:id="80"/>
            <w:r>
              <w:t>30.2(c) (</w:t>
            </w:r>
            <w:r w:rsidRPr="00990F46">
              <w:rPr>
                <w:i/>
              </w:rPr>
              <w:t>Remedial</w:t>
            </w:r>
            <w:r>
              <w:t xml:space="preserve"> </w:t>
            </w:r>
            <w:r w:rsidRPr="00990F46">
              <w:rPr>
                <w:i/>
              </w:rPr>
              <w:t>Adviser</w:t>
            </w:r>
            <w:r>
              <w:t>);</w:t>
            </w:r>
          </w:p>
        </w:tc>
      </w:tr>
      <w:tr w:rsidR="001421AE" w14:paraId="4B5B3542" w14:textId="77777777" w:rsidTr="004C473C">
        <w:tc>
          <w:tcPr>
            <w:tcW w:w="3493" w:type="dxa"/>
          </w:tcPr>
          <w:p w14:paraId="4255E73B" w14:textId="77777777" w:rsidR="001421AE" w:rsidRDefault="001421AE" w:rsidP="00813948">
            <w:pPr>
              <w:pStyle w:val="StdBodyTextBold"/>
            </w:pPr>
            <w:r>
              <w:t>“Intervention Trigger Event”</w:t>
            </w:r>
          </w:p>
        </w:tc>
        <w:tc>
          <w:tcPr>
            <w:tcW w:w="5245" w:type="dxa"/>
          </w:tcPr>
          <w:p w14:paraId="7494AD0E" w14:textId="77777777" w:rsidR="001421AE" w:rsidRDefault="001421AE" w:rsidP="00AD2EE4">
            <w:pPr>
              <w:pStyle w:val="DefinitionList"/>
              <w:numPr>
                <w:ilvl w:val="0"/>
                <w:numId w:val="47"/>
              </w:numPr>
            </w:pPr>
            <w:bookmarkStart w:id="81" w:name="_9kR3WTrAG86CKitjmj09ubZTB32K81HD9FvuG65"/>
            <w:r>
              <w:t>any event falling within limb</w:t>
            </w:r>
            <w:bookmarkEnd w:id="81"/>
            <w:r>
              <w:t xml:space="preserve"> </w:t>
            </w:r>
            <w:bookmarkStart w:id="82" w:name="_9kMHG5YVtCIA8EMkvlol2BwdbVD54MA3JFBHxwI"/>
            <w:r>
              <w:fldChar w:fldCharType="begin"/>
            </w:r>
            <w:r>
              <w:instrText xml:space="preserve"> REF _Ref_ContractCompanion_9kb9Ur28E \w \n \h \t \* MERGEFORMAT </w:instrText>
            </w:r>
            <w:r>
              <w:fldChar w:fldCharType="separate"/>
            </w:r>
            <w:bookmarkStart w:id="83" w:name="_9kMHG5YVt4BBFJIivlol2BwdlmGC93x7xfAJBD6"/>
            <w:r>
              <w:t>(a)</w:t>
            </w:r>
            <w:bookmarkEnd w:id="83"/>
            <w:r>
              <w:fldChar w:fldCharType="end"/>
            </w:r>
            <w:bookmarkEnd w:id="82"/>
            <w:r>
              <w:t xml:space="preserve">, </w:t>
            </w:r>
            <w:bookmarkStart w:id="84" w:name="_9kMHG5YVt4DDEMMr"/>
            <w:r>
              <w:fldChar w:fldCharType="begin"/>
            </w:r>
            <w:r>
              <w:instrText xml:space="preserve"> REF _Ref_ContractCompanion_9kb9Ur8GE \w \n \h \t \* MERGEFORMAT </w:instrText>
            </w:r>
            <w:r>
              <w:fldChar w:fldCharType="separate"/>
            </w:r>
            <w:r>
              <w:t>(b)</w:t>
            </w:r>
            <w:r>
              <w:fldChar w:fldCharType="end"/>
            </w:r>
            <w:bookmarkEnd w:id="84"/>
            <w:r>
              <w:t xml:space="preserve">, </w:t>
            </w:r>
            <w:bookmarkStart w:id="85" w:name="_9kR3WTr2BBCKHn"/>
            <w:r>
              <w:fldChar w:fldCharType="begin"/>
            </w:r>
            <w:r>
              <w:instrText xml:space="preserve"> REF _Ref_ContractCompanion_9kb9Ur8GB \w \n \h \t \* MERGEFORMAT </w:instrText>
            </w:r>
            <w:r>
              <w:fldChar w:fldCharType="separate"/>
            </w:r>
            <w:r>
              <w:t>(c)</w:t>
            </w:r>
            <w:r>
              <w:fldChar w:fldCharType="end"/>
            </w:r>
            <w:bookmarkEnd w:id="85"/>
            <w:r>
              <w:t xml:space="preserve">, </w:t>
            </w:r>
            <w:r>
              <w:fldChar w:fldCharType="begin"/>
            </w:r>
            <w:r>
              <w:instrText xml:space="preserve"> REF _Ref44573604 \r \h </w:instrText>
            </w:r>
            <w:r>
              <w:fldChar w:fldCharType="separate"/>
            </w:r>
            <w:r>
              <w:t>(e)</w:t>
            </w:r>
            <w:r>
              <w:fldChar w:fldCharType="end"/>
            </w:r>
            <w:r>
              <w:t xml:space="preserve">, </w:t>
            </w:r>
            <w:bookmarkStart w:id="86" w:name="_9kMHG5YVtCIA8DGfvlol2BwdlmGC93x7xfAJBD6"/>
            <w:r>
              <w:fldChar w:fldCharType="begin"/>
            </w:r>
            <w:r>
              <w:instrText xml:space="preserve"> REF _Ref_ContractCompanion_9kb9Ur278 \w \n \h \t \* MERGEFORMAT </w:instrText>
            </w:r>
            <w:r>
              <w:fldChar w:fldCharType="separate"/>
            </w:r>
            <w:bookmarkStart w:id="87" w:name="_9kMHG5YVt4BBFJHhvlol2BwdlmGC93x7xfAJBD6"/>
            <w:r>
              <w:t>(f)</w:t>
            </w:r>
            <w:bookmarkEnd w:id="87"/>
            <w:r>
              <w:fldChar w:fldCharType="end"/>
            </w:r>
            <w:bookmarkEnd w:id="86"/>
            <w:r>
              <w:t xml:space="preserve"> or </w:t>
            </w:r>
            <w:bookmarkStart w:id="88" w:name="_9kMIH5YVtCIA8DDcvlol2BwdlmGC93x7xfAJBD6"/>
            <w:r>
              <w:fldChar w:fldCharType="begin"/>
            </w:r>
            <w:r>
              <w:instrText xml:space="preserve"> REF _Ref_ContractCompanion_9kb9Ur26E \w \n \h \t \* MERGEFORMAT </w:instrText>
            </w:r>
            <w:r>
              <w:fldChar w:fldCharType="separate"/>
            </w:r>
            <w:bookmarkStart w:id="89" w:name="_9kMIH5YVt4BBFJGgvlol2BwdlmGC93x7xfAJBD6"/>
            <w:r>
              <w:t>(g)</w:t>
            </w:r>
            <w:bookmarkEnd w:id="89"/>
            <w:r>
              <w:fldChar w:fldCharType="end"/>
            </w:r>
            <w:bookmarkEnd w:id="88"/>
            <w:r>
              <w:t xml:space="preserve"> of the definition of a Supplier Termination Event;</w:t>
            </w:r>
          </w:p>
          <w:p w14:paraId="06BFDE23" w14:textId="77777777" w:rsidR="001421AE" w:rsidRDefault="001421AE" w:rsidP="002C2496">
            <w:pPr>
              <w:pStyle w:val="DefinitionList"/>
            </w:pPr>
            <w:r>
              <w:t>a Default by the Supplier that is materially preventing or materially delaying the performance of the Services or any material part of the Services;</w:t>
            </w:r>
          </w:p>
          <w:p w14:paraId="09B9957F" w14:textId="59C9B2DE" w:rsidR="001421AE" w:rsidRDefault="001421AE" w:rsidP="002C2496">
            <w:pPr>
              <w:pStyle w:val="DefinitionList"/>
            </w:pPr>
            <w:r>
              <w:t xml:space="preserve">the Supplier accruing in aggregate </w:t>
            </w:r>
            <w:r w:rsidR="00940AAA">
              <w:t xml:space="preserve">1,500 </w:t>
            </w:r>
            <w:r>
              <w:t xml:space="preserve">or more Service Points (in terms of the number of points allocated) in any period of </w:t>
            </w:r>
            <w:r w:rsidR="00905693">
              <w:t>3</w:t>
            </w:r>
            <w:r>
              <w:t xml:space="preserve"> months; </w:t>
            </w:r>
          </w:p>
          <w:p w14:paraId="2FA8E621" w14:textId="77777777" w:rsidR="001421AE" w:rsidRDefault="001421AE" w:rsidP="002C2496">
            <w:pPr>
              <w:pStyle w:val="DefinitionList"/>
            </w:pPr>
            <w:r>
              <w:t>the Supplier accruing Service Credits which meet or exceed 75% of the Service Credit Cap; and/or</w:t>
            </w:r>
          </w:p>
          <w:p w14:paraId="7D915447" w14:textId="77777777" w:rsidR="001421AE" w:rsidRDefault="001421AE" w:rsidP="002C2496">
            <w:pPr>
              <w:pStyle w:val="DefinitionList"/>
            </w:pPr>
            <w:r>
              <w:t xml:space="preserve">the Supplier not Achieving a Key Milestone within seventy-five (75) days of its relevant Milestone Date; </w:t>
            </w:r>
          </w:p>
        </w:tc>
      </w:tr>
      <w:tr w:rsidR="001421AE" w14:paraId="3924AF79" w14:textId="77777777" w:rsidTr="006816C5">
        <w:tc>
          <w:tcPr>
            <w:tcW w:w="3493" w:type="dxa"/>
          </w:tcPr>
          <w:p w14:paraId="0516FC6C" w14:textId="77777777" w:rsidR="001421AE" w:rsidRDefault="001421AE" w:rsidP="00813948">
            <w:pPr>
              <w:pStyle w:val="StdBodyTextBold"/>
            </w:pPr>
            <w:r>
              <w:t>“IP Completion Day”</w:t>
            </w:r>
          </w:p>
        </w:tc>
        <w:tc>
          <w:tcPr>
            <w:tcW w:w="5245" w:type="dxa"/>
          </w:tcPr>
          <w:p w14:paraId="5DDE6DBC" w14:textId="77777777" w:rsidR="001421AE" w:rsidRDefault="001421AE" w:rsidP="00397235">
            <w:pPr>
              <w:pStyle w:val="StdBodyText"/>
            </w:pPr>
            <w:r>
              <w:t>has the meaning given to it in the European Union (Withdrawal Agreement) Act 2020;</w:t>
            </w:r>
          </w:p>
        </w:tc>
      </w:tr>
      <w:tr w:rsidR="001421AE" w14:paraId="2D0CFB7D" w14:textId="77777777" w:rsidTr="006816C5">
        <w:tc>
          <w:tcPr>
            <w:tcW w:w="3493" w:type="dxa"/>
          </w:tcPr>
          <w:p w14:paraId="4F6C7731" w14:textId="77777777" w:rsidR="001421AE" w:rsidRDefault="001421AE" w:rsidP="00813948">
            <w:pPr>
              <w:pStyle w:val="StdBodyTextBold"/>
            </w:pPr>
            <w:r>
              <w:t>“IPRs Claim”</w:t>
            </w:r>
          </w:p>
        </w:tc>
        <w:tc>
          <w:tcPr>
            <w:tcW w:w="5245" w:type="dxa"/>
          </w:tcPr>
          <w:p w14:paraId="0F258286" w14:textId="77777777" w:rsidR="001421AE" w:rsidRDefault="001421AE" w:rsidP="00813948">
            <w:pPr>
              <w:pStyle w:val="StdBodyText"/>
            </w:pPr>
            <w: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Authority Software by or on behalf of the Supplier, in either case in combination with any item not supplied or recommended by the Supplier pursuant to this Agreement or for a purpose not reasonably to be inferred from the Services Description or the provisions of this Agreement;</w:t>
            </w:r>
          </w:p>
        </w:tc>
      </w:tr>
      <w:tr w:rsidR="001421AE" w14:paraId="628DA455" w14:textId="77777777" w:rsidTr="006816C5">
        <w:tc>
          <w:tcPr>
            <w:tcW w:w="3493" w:type="dxa"/>
          </w:tcPr>
          <w:p w14:paraId="6618B5B6" w14:textId="77777777" w:rsidR="001421AE" w:rsidRDefault="001421AE" w:rsidP="00813948">
            <w:pPr>
              <w:pStyle w:val="StdBodyTextBold"/>
            </w:pPr>
            <w:r>
              <w:t>“IT Environment”</w:t>
            </w:r>
          </w:p>
        </w:tc>
        <w:tc>
          <w:tcPr>
            <w:tcW w:w="5245" w:type="dxa"/>
          </w:tcPr>
          <w:p w14:paraId="5CFFF602" w14:textId="77777777" w:rsidR="001421AE" w:rsidRDefault="001421AE" w:rsidP="00813948">
            <w:pPr>
              <w:pStyle w:val="StdBodyText"/>
            </w:pPr>
            <w:r>
              <w:t>the Authority System and the Supplier System;</w:t>
            </w:r>
          </w:p>
        </w:tc>
      </w:tr>
      <w:tr w:rsidR="001421AE" w14:paraId="5869F07B" w14:textId="77777777" w:rsidTr="006816C5">
        <w:tc>
          <w:tcPr>
            <w:tcW w:w="3493" w:type="dxa"/>
          </w:tcPr>
          <w:p w14:paraId="6EE64983" w14:textId="77777777" w:rsidR="001421AE" w:rsidRDefault="001421AE" w:rsidP="00813948">
            <w:pPr>
              <w:pStyle w:val="StdBodyTextBold"/>
            </w:pPr>
            <w:r>
              <w:t>“IT”</w:t>
            </w:r>
          </w:p>
        </w:tc>
        <w:tc>
          <w:tcPr>
            <w:tcW w:w="5245" w:type="dxa"/>
          </w:tcPr>
          <w:p w14:paraId="139F115E" w14:textId="77777777" w:rsidR="001421AE" w:rsidRDefault="001421AE" w:rsidP="00813948">
            <w:pPr>
              <w:pStyle w:val="StdBodyText"/>
            </w:pPr>
            <w:r>
              <w:t>information and communications technology;</w:t>
            </w:r>
          </w:p>
        </w:tc>
      </w:tr>
      <w:tr w:rsidR="001421AE" w14:paraId="105A5C2D" w14:textId="77777777" w:rsidTr="006816C5">
        <w:tc>
          <w:tcPr>
            <w:tcW w:w="3493" w:type="dxa"/>
          </w:tcPr>
          <w:p w14:paraId="733B7466" w14:textId="77777777" w:rsidR="001421AE" w:rsidRDefault="001421AE" w:rsidP="00813948">
            <w:pPr>
              <w:pStyle w:val="StdBodyTextBold"/>
            </w:pPr>
            <w:r>
              <w:t>“Joint Controllers”</w:t>
            </w:r>
          </w:p>
        </w:tc>
        <w:tc>
          <w:tcPr>
            <w:tcW w:w="5245" w:type="dxa"/>
          </w:tcPr>
          <w:p w14:paraId="4AED6577" w14:textId="77777777" w:rsidR="001421AE" w:rsidRDefault="001421AE" w:rsidP="00813948">
            <w:pPr>
              <w:pStyle w:val="StdBodyText"/>
            </w:pPr>
            <w:r>
              <w:t>where two or more Controllers jointly determine the purposes and means of processing;</w:t>
            </w:r>
          </w:p>
        </w:tc>
      </w:tr>
      <w:tr w:rsidR="001421AE" w14:paraId="1E54E17C" w14:textId="77777777" w:rsidTr="006816C5">
        <w:tc>
          <w:tcPr>
            <w:tcW w:w="3493" w:type="dxa"/>
          </w:tcPr>
          <w:p w14:paraId="758EEAEF" w14:textId="77777777" w:rsidR="001421AE" w:rsidRDefault="001421AE" w:rsidP="00813948">
            <w:pPr>
              <w:pStyle w:val="StdBodyTextBold"/>
            </w:pPr>
            <w:r>
              <w:t>“Key Milestone”</w:t>
            </w:r>
          </w:p>
        </w:tc>
        <w:tc>
          <w:tcPr>
            <w:tcW w:w="5245" w:type="dxa"/>
          </w:tcPr>
          <w:p w14:paraId="06D7C2B2" w14:textId="7C90C1AD" w:rsidR="001421AE" w:rsidRDefault="001421AE" w:rsidP="00813948">
            <w:pPr>
              <w:pStyle w:val="StdBodyText"/>
            </w:pPr>
            <w:r>
              <w:t>the Milestones identified in the Implementation Plan as key milestones and in respect of which Delay Payments may be payable in accordance with Paragraph</w:t>
            </w:r>
            <w:bookmarkStart w:id="90" w:name="_9kMIH5YVt4EE6DLfGpqgyts0D"/>
            <w:r>
              <w:t xml:space="preserve"> </w:t>
            </w:r>
            <w:bookmarkEnd w:id="90"/>
            <w:r>
              <w:t>1 of Part C of Schedule 7.1 (</w:t>
            </w:r>
            <w:r w:rsidRPr="00990F46">
              <w:rPr>
                <w:i/>
              </w:rPr>
              <w:t>Charges and Invoicing</w:t>
            </w:r>
            <w:r>
              <w:t>) if the Supplier fails to Achieve the Milestone Date in respect of such Milestone;</w:t>
            </w:r>
          </w:p>
        </w:tc>
      </w:tr>
      <w:tr w:rsidR="001421AE" w14:paraId="7724522C" w14:textId="77777777" w:rsidTr="006816C5">
        <w:tc>
          <w:tcPr>
            <w:tcW w:w="3493" w:type="dxa"/>
          </w:tcPr>
          <w:p w14:paraId="395B1C14" w14:textId="77777777" w:rsidR="001421AE" w:rsidRDefault="001421AE" w:rsidP="00813948">
            <w:pPr>
              <w:pStyle w:val="StdBodyTextBold"/>
            </w:pPr>
            <w:r>
              <w:t>“Key Performance Indicator”</w:t>
            </w:r>
          </w:p>
        </w:tc>
        <w:tc>
          <w:tcPr>
            <w:tcW w:w="5245" w:type="dxa"/>
          </w:tcPr>
          <w:p w14:paraId="7750F06C" w14:textId="61DD7C9A" w:rsidR="001421AE" w:rsidRDefault="001421AE" w:rsidP="00813948">
            <w:pPr>
              <w:pStyle w:val="StdBodyText"/>
            </w:pPr>
            <w:r>
              <w:t xml:space="preserve">the key performance indicators set out in </w:t>
            </w:r>
            <w:bookmarkStart w:id="91" w:name="_9kR3WTr2CC56AeIXjn4"/>
            <w:r>
              <w:t>Table 1</w:t>
            </w:r>
            <w:bookmarkEnd w:id="91"/>
            <w:r>
              <w:t xml:space="preserve"> of Part A of Annex 1 of Schedule 2.2 (</w:t>
            </w:r>
            <w:r w:rsidRPr="00990F46">
              <w:rPr>
                <w:i/>
              </w:rPr>
              <w:t>Performance</w:t>
            </w:r>
            <w:r>
              <w:t xml:space="preserve"> </w:t>
            </w:r>
            <w:r w:rsidRPr="00990F46">
              <w:rPr>
                <w:i/>
              </w:rPr>
              <w:t>Levels</w:t>
            </w:r>
            <w:r>
              <w:t>);</w:t>
            </w:r>
          </w:p>
        </w:tc>
      </w:tr>
      <w:tr w:rsidR="001421AE" w14:paraId="128ED88E" w14:textId="77777777" w:rsidTr="006816C5">
        <w:tc>
          <w:tcPr>
            <w:tcW w:w="3493" w:type="dxa"/>
          </w:tcPr>
          <w:p w14:paraId="47715466" w14:textId="77777777" w:rsidR="001421AE" w:rsidRDefault="001421AE" w:rsidP="00813948">
            <w:pPr>
              <w:pStyle w:val="StdBodyTextBold"/>
            </w:pPr>
            <w:r>
              <w:t>“Key Personnel”</w:t>
            </w:r>
          </w:p>
        </w:tc>
        <w:tc>
          <w:tcPr>
            <w:tcW w:w="5245" w:type="dxa"/>
          </w:tcPr>
          <w:p w14:paraId="61BFB4FA" w14:textId="09020494" w:rsidR="001421AE" w:rsidRDefault="001421AE" w:rsidP="00813948">
            <w:pPr>
              <w:pStyle w:val="StdBodyText"/>
            </w:pPr>
            <w:r>
              <w:t>those persons appointed by the Supplier to fulfil the Key Roles, being the persons listed in Schedule 9.2 (</w:t>
            </w:r>
            <w:r w:rsidRPr="00990F46">
              <w:rPr>
                <w:i/>
              </w:rPr>
              <w:t>Key Personnel</w:t>
            </w:r>
            <w:r>
              <w:t xml:space="preserve">) against each Key Role as at the Effective Date or as amended from time to time in accordance with </w:t>
            </w:r>
            <w:bookmarkStart w:id="92" w:name="_9kMHG5YVtCIAEICBFKkUmYjD960u4JAtyADHOSE"/>
            <w:r>
              <w:t xml:space="preserve">Clauses </w:t>
            </w:r>
            <w:bookmarkEnd w:id="92"/>
            <w:r>
              <w:t>14.5 and 14.6 (</w:t>
            </w:r>
            <w:r w:rsidRPr="00990F46">
              <w:rPr>
                <w:i/>
              </w:rPr>
              <w:t>Key</w:t>
            </w:r>
            <w:r>
              <w:t xml:space="preserve"> </w:t>
            </w:r>
            <w:r w:rsidRPr="00990F46">
              <w:rPr>
                <w:i/>
              </w:rPr>
              <w:t>Personnel</w:t>
            </w:r>
            <w:r>
              <w:t>);</w:t>
            </w:r>
          </w:p>
        </w:tc>
      </w:tr>
      <w:tr w:rsidR="001421AE" w14:paraId="2F2FDC07" w14:textId="77777777" w:rsidTr="006816C5">
        <w:tc>
          <w:tcPr>
            <w:tcW w:w="3493" w:type="dxa"/>
          </w:tcPr>
          <w:p w14:paraId="0D166B1F" w14:textId="77777777" w:rsidR="001421AE" w:rsidRDefault="001421AE" w:rsidP="00813948">
            <w:pPr>
              <w:pStyle w:val="StdBodyTextBold"/>
            </w:pPr>
            <w:r>
              <w:t>“Key Roles”</w:t>
            </w:r>
          </w:p>
        </w:tc>
        <w:tc>
          <w:tcPr>
            <w:tcW w:w="5245" w:type="dxa"/>
          </w:tcPr>
          <w:p w14:paraId="30184C32" w14:textId="35F441BA" w:rsidR="001421AE" w:rsidRDefault="001421AE" w:rsidP="00813948">
            <w:pPr>
              <w:pStyle w:val="StdBodyText"/>
            </w:pPr>
            <w:r>
              <w:t>a role described as a Key Role in Schedule 9.2 (</w:t>
            </w:r>
            <w:r w:rsidRPr="00990F46">
              <w:rPr>
                <w:i/>
              </w:rPr>
              <w:t>Key</w:t>
            </w:r>
            <w:r>
              <w:t xml:space="preserve"> </w:t>
            </w:r>
            <w:r w:rsidRPr="00990F46">
              <w:rPr>
                <w:i/>
              </w:rPr>
              <w:t>Personnel</w:t>
            </w:r>
            <w:r>
              <w:t xml:space="preserve">) and any additional roles added from time to time in accordance with </w:t>
            </w:r>
            <w:bookmarkStart w:id="93" w:name="_9kMHG5YVtCIAEIFEFJjUmGRH51C7ARLyBK0x8OK"/>
            <w:r>
              <w:t xml:space="preserve">Clause </w:t>
            </w:r>
            <w:bookmarkEnd w:id="93"/>
            <w:r>
              <w:t>14.4 (</w:t>
            </w:r>
            <w:r w:rsidRPr="00990F46">
              <w:rPr>
                <w:i/>
              </w:rPr>
              <w:t>Key</w:t>
            </w:r>
            <w:r>
              <w:t xml:space="preserve"> </w:t>
            </w:r>
            <w:r w:rsidRPr="00990F46">
              <w:rPr>
                <w:i/>
              </w:rPr>
              <w:t>Personnel</w:t>
            </w:r>
            <w:r>
              <w:t>);</w:t>
            </w:r>
          </w:p>
        </w:tc>
      </w:tr>
      <w:tr w:rsidR="001421AE" w14:paraId="422C86BC" w14:textId="77777777" w:rsidTr="006816C5">
        <w:tc>
          <w:tcPr>
            <w:tcW w:w="3493" w:type="dxa"/>
          </w:tcPr>
          <w:p w14:paraId="5A18C56B" w14:textId="77777777" w:rsidR="001421AE" w:rsidRDefault="001421AE" w:rsidP="00813948">
            <w:pPr>
              <w:pStyle w:val="StdBodyTextBold"/>
            </w:pPr>
            <w:r>
              <w:t>“Key Sub-contract”</w:t>
            </w:r>
          </w:p>
        </w:tc>
        <w:tc>
          <w:tcPr>
            <w:tcW w:w="5245" w:type="dxa"/>
          </w:tcPr>
          <w:p w14:paraId="035A81A7" w14:textId="77777777" w:rsidR="001421AE" w:rsidRDefault="001421AE" w:rsidP="00813948">
            <w:pPr>
              <w:pStyle w:val="StdBodyText"/>
            </w:pPr>
            <w:r>
              <w:t>each Sub-contract with a Key Sub-contractor;</w:t>
            </w:r>
          </w:p>
        </w:tc>
      </w:tr>
      <w:tr w:rsidR="001421AE" w14:paraId="104DD1C0" w14:textId="77777777" w:rsidTr="006816C5">
        <w:tc>
          <w:tcPr>
            <w:tcW w:w="3493" w:type="dxa"/>
          </w:tcPr>
          <w:p w14:paraId="4139B470" w14:textId="77777777" w:rsidR="001421AE" w:rsidRDefault="001421AE" w:rsidP="00813948">
            <w:pPr>
              <w:pStyle w:val="StdBodyTextBold"/>
            </w:pPr>
            <w:r>
              <w:t>“Key Sub-contractor”</w:t>
            </w:r>
          </w:p>
        </w:tc>
        <w:tc>
          <w:tcPr>
            <w:tcW w:w="5245" w:type="dxa"/>
          </w:tcPr>
          <w:p w14:paraId="5DCBF3DE" w14:textId="77777777" w:rsidR="001421AE" w:rsidRDefault="001421AE" w:rsidP="00813948">
            <w:pPr>
              <w:pStyle w:val="StdBodyText"/>
            </w:pPr>
            <w:r>
              <w:t>any Sub-contractor:</w:t>
            </w:r>
          </w:p>
          <w:p w14:paraId="74577AEA" w14:textId="77777777" w:rsidR="001421AE" w:rsidRDefault="001421AE" w:rsidP="00AD2EE4">
            <w:pPr>
              <w:pStyle w:val="DefinitionList"/>
              <w:numPr>
                <w:ilvl w:val="0"/>
                <w:numId w:val="48"/>
              </w:numPr>
            </w:pPr>
            <w:r>
              <w:t>which, in the opinion of the Authority, performs (or would perform if appointed) a critical role in the provision of all or any part of the Services; and/or</w:t>
            </w:r>
          </w:p>
          <w:p w14:paraId="5B135918" w14:textId="77777777" w:rsidR="001421AE" w:rsidRDefault="001421AE" w:rsidP="002C2496">
            <w:pPr>
              <w:pStyle w:val="DefinitionList"/>
            </w:pPr>
            <w:r>
              <w:t>with a Sub-contract with a contract value which at the time of appointment exceeds (or would exceed if appointed) 10% of the aggregate Charges forecast to be payable under this Agreement (as set out in the Financial Model);</w:t>
            </w:r>
          </w:p>
        </w:tc>
      </w:tr>
      <w:tr w:rsidR="001421AE" w14:paraId="5B0174F8" w14:textId="77777777" w:rsidTr="006816C5">
        <w:tc>
          <w:tcPr>
            <w:tcW w:w="3493" w:type="dxa"/>
          </w:tcPr>
          <w:p w14:paraId="14747909" w14:textId="77777777" w:rsidR="001421AE" w:rsidRDefault="001421AE" w:rsidP="00813948">
            <w:pPr>
              <w:pStyle w:val="StdBodyTextBold"/>
            </w:pPr>
            <w:r>
              <w:t>“Know-How”</w:t>
            </w:r>
          </w:p>
        </w:tc>
        <w:tc>
          <w:tcPr>
            <w:tcW w:w="5245" w:type="dxa"/>
          </w:tcPr>
          <w:p w14:paraId="53541048" w14:textId="77777777" w:rsidR="001421AE" w:rsidRDefault="001421AE" w:rsidP="00813948">
            <w:pPr>
              <w:pStyle w:val="StdBodyText"/>
            </w:pPr>
            <w:r>
              <w:t>all ideas, concepts, schemes, information, knowledge, techniques, methodology, and anything else in the nature of know how relating to the Services but excluding know how already in the other Party’s possession before this Agreement;</w:t>
            </w:r>
          </w:p>
        </w:tc>
      </w:tr>
      <w:tr w:rsidR="001421AE" w14:paraId="79E0CA37" w14:textId="77777777" w:rsidTr="006816C5">
        <w:tc>
          <w:tcPr>
            <w:tcW w:w="3493" w:type="dxa"/>
          </w:tcPr>
          <w:p w14:paraId="61F12DA0" w14:textId="77777777" w:rsidR="001421AE" w:rsidRDefault="001421AE" w:rsidP="00813948">
            <w:pPr>
              <w:pStyle w:val="StdBodyTextBold"/>
            </w:pPr>
            <w:r>
              <w:t>“KPI Failure”</w:t>
            </w:r>
          </w:p>
        </w:tc>
        <w:tc>
          <w:tcPr>
            <w:tcW w:w="5245" w:type="dxa"/>
          </w:tcPr>
          <w:p w14:paraId="7C7043AA" w14:textId="77777777" w:rsidR="001421AE" w:rsidRDefault="001421AE" w:rsidP="00813948">
            <w:pPr>
              <w:pStyle w:val="StdBodyText"/>
            </w:pPr>
            <w:r>
              <w:t>a failure to meet the Target Performance Level in respect of a Key Performance Indicator;</w:t>
            </w:r>
          </w:p>
        </w:tc>
      </w:tr>
      <w:tr w:rsidR="001421AE" w14:paraId="630897EA" w14:textId="77777777" w:rsidTr="006816C5">
        <w:tc>
          <w:tcPr>
            <w:tcW w:w="3493" w:type="dxa"/>
          </w:tcPr>
          <w:p w14:paraId="3FBA8AC1" w14:textId="77777777" w:rsidR="001421AE" w:rsidRDefault="001421AE" w:rsidP="00813948">
            <w:pPr>
              <w:pStyle w:val="StdBodyTextBold"/>
            </w:pPr>
            <w:r>
              <w:t>“KPI Service Threshold”</w:t>
            </w:r>
          </w:p>
        </w:tc>
        <w:tc>
          <w:tcPr>
            <w:tcW w:w="5245" w:type="dxa"/>
          </w:tcPr>
          <w:p w14:paraId="7269E1CE" w14:textId="01B98A82" w:rsidR="001421AE" w:rsidRDefault="001421AE" w:rsidP="00813948">
            <w:pPr>
              <w:pStyle w:val="StdBodyText"/>
            </w:pPr>
            <w:r>
              <w:t xml:space="preserve">shall be as set out against the relevant </w:t>
            </w:r>
            <w:bookmarkStart w:id="94" w:name="_9kR3WTr2AADKKZDykLuwu76qsvnUY0wwp7MLGDz"/>
            <w:r>
              <w:t xml:space="preserve">Key Performance Indicator in Table 1 of Part A of </w:t>
            </w:r>
            <w:bookmarkEnd w:id="94"/>
            <w:r>
              <w:t>Annex 1 of Schedule 2.2 (</w:t>
            </w:r>
            <w:r w:rsidRPr="00990F46">
              <w:rPr>
                <w:i/>
              </w:rPr>
              <w:t>Performance Levels</w:t>
            </w:r>
            <w:r>
              <w:t>);</w:t>
            </w:r>
          </w:p>
        </w:tc>
      </w:tr>
      <w:tr w:rsidR="001421AE" w14:paraId="5E18DCA4" w14:textId="77777777" w:rsidTr="006816C5">
        <w:tc>
          <w:tcPr>
            <w:tcW w:w="3493" w:type="dxa"/>
          </w:tcPr>
          <w:p w14:paraId="5BB8E46B" w14:textId="77777777" w:rsidR="001421AE" w:rsidRDefault="001421AE" w:rsidP="00813948">
            <w:pPr>
              <w:pStyle w:val="StdBodyTextBold"/>
            </w:pPr>
            <w:r>
              <w:t>“Law”</w:t>
            </w:r>
          </w:p>
        </w:tc>
        <w:tc>
          <w:tcPr>
            <w:tcW w:w="5245" w:type="dxa"/>
          </w:tcPr>
          <w:p w14:paraId="5F1FB2BD" w14:textId="643F2820" w:rsidR="001421AE" w:rsidRDefault="001421AE" w:rsidP="00813948">
            <w:pPr>
              <w:pStyle w:val="StdBodyText"/>
            </w:pPr>
            <w:r>
              <w:t xml:space="preserve">any law, statute, subordinate legislation within the meaning of </w:t>
            </w:r>
            <w:bookmarkStart w:id="95" w:name="_9kR3WTr277DGD4rcszv1GII6y47tVZH98KLBEBC"/>
            <w:r>
              <w:t>Section 21(1) of the Interpretation Act 1978</w:t>
            </w:r>
            <w:bookmarkEnd w:id="95"/>
            <w:r>
              <w:t>,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1421AE" w14:paraId="6E2F1CCD" w14:textId="77777777" w:rsidTr="006816C5">
        <w:tc>
          <w:tcPr>
            <w:tcW w:w="3493" w:type="dxa"/>
          </w:tcPr>
          <w:p w14:paraId="7AD57390" w14:textId="77777777" w:rsidR="001421AE" w:rsidRDefault="001421AE" w:rsidP="00813948">
            <w:pPr>
              <w:pStyle w:val="StdBodyTextBold"/>
            </w:pPr>
            <w:r>
              <w:t>“LED”</w:t>
            </w:r>
          </w:p>
        </w:tc>
        <w:tc>
          <w:tcPr>
            <w:tcW w:w="5245" w:type="dxa"/>
          </w:tcPr>
          <w:p w14:paraId="69BF6268" w14:textId="77777777" w:rsidR="001421AE" w:rsidRDefault="001421AE" w:rsidP="00813948">
            <w:pPr>
              <w:pStyle w:val="StdBodyText"/>
            </w:pPr>
            <w:r>
              <w:t xml:space="preserve">Law Enforcement Directive </w:t>
            </w:r>
            <w:r w:rsidRPr="00990F46">
              <w:rPr>
                <w:i/>
              </w:rPr>
              <w:t>(Directive (EU) 2016/680)</w:t>
            </w:r>
            <w:r>
              <w:t>;</w:t>
            </w:r>
          </w:p>
        </w:tc>
      </w:tr>
      <w:tr w:rsidR="001421AE" w14:paraId="6AFF975A" w14:textId="77777777" w:rsidTr="006816C5">
        <w:tc>
          <w:tcPr>
            <w:tcW w:w="3493" w:type="dxa"/>
          </w:tcPr>
          <w:p w14:paraId="2070C954" w14:textId="77777777" w:rsidR="001421AE" w:rsidRDefault="001421AE" w:rsidP="00813948">
            <w:pPr>
              <w:pStyle w:val="StdBodyTextBold"/>
            </w:pPr>
            <w:r>
              <w:t>“Licensed Software”</w:t>
            </w:r>
          </w:p>
        </w:tc>
        <w:tc>
          <w:tcPr>
            <w:tcW w:w="5245" w:type="dxa"/>
          </w:tcPr>
          <w:p w14:paraId="21E861E0" w14:textId="77777777" w:rsidR="001421AE" w:rsidRDefault="001421AE" w:rsidP="00813948">
            <w:pPr>
              <w:pStyle w:val="StdBodyText"/>
            </w:pPr>
            <w:r>
              <w:t>all and any Software licensed by or through the Supplier, its Sub-contractors or any third party to the Authority for the purposes of or pursuant to this Agreement, including any Supplier Software, Third Party Software and/or any Specially Written Software;</w:t>
            </w:r>
          </w:p>
        </w:tc>
      </w:tr>
      <w:tr w:rsidR="001421AE" w14:paraId="7BDBDEEB" w14:textId="77777777" w:rsidTr="006816C5">
        <w:tc>
          <w:tcPr>
            <w:tcW w:w="3493" w:type="dxa"/>
          </w:tcPr>
          <w:p w14:paraId="6A5E54C0" w14:textId="77777777" w:rsidR="001421AE" w:rsidRDefault="001421AE" w:rsidP="00813948">
            <w:pPr>
              <w:pStyle w:val="StdBodyTextBold"/>
            </w:pPr>
            <w:r>
              <w:t>“Losses”</w:t>
            </w:r>
          </w:p>
        </w:tc>
        <w:tc>
          <w:tcPr>
            <w:tcW w:w="5245" w:type="dxa"/>
          </w:tcPr>
          <w:p w14:paraId="3FE629BC" w14:textId="77777777" w:rsidR="001421AE" w:rsidRDefault="001421AE" w:rsidP="00813948">
            <w:pPr>
              <w:pStyle w:val="StdBodyText"/>
            </w:pPr>
            <w: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1421AE" w14:paraId="6970FA1A" w14:textId="77777777" w:rsidTr="006816C5">
        <w:tc>
          <w:tcPr>
            <w:tcW w:w="3493" w:type="dxa"/>
          </w:tcPr>
          <w:p w14:paraId="3D03E478" w14:textId="77777777" w:rsidR="001421AE" w:rsidRDefault="001421AE" w:rsidP="00813948">
            <w:pPr>
              <w:pStyle w:val="StdBodyTextBold"/>
            </w:pPr>
            <w:r>
              <w:t>“</w:t>
            </w:r>
            <w:bookmarkStart w:id="96" w:name="_9kMPO5YVt499FMJaDgu6ytqrum"/>
            <w:r>
              <w:t>Maintenance</w:t>
            </w:r>
            <w:bookmarkEnd w:id="96"/>
            <w:r>
              <w:t xml:space="preserve"> Schedule”</w:t>
            </w:r>
          </w:p>
        </w:tc>
        <w:tc>
          <w:tcPr>
            <w:tcW w:w="5245" w:type="dxa"/>
          </w:tcPr>
          <w:p w14:paraId="59609640" w14:textId="77777777" w:rsidR="001421AE" w:rsidRDefault="001421AE" w:rsidP="00813948">
            <w:pPr>
              <w:pStyle w:val="StdBodyText"/>
            </w:pPr>
            <w:r>
              <w:t xml:space="preserve">shall have the meaning set out in </w:t>
            </w:r>
            <w:bookmarkStart w:id="97" w:name="_9kMHG5YVtCIA9AFPNiTlXiC85zt3I9sx918BvBG"/>
            <w:r>
              <w:t xml:space="preserve">Clause </w:t>
            </w:r>
            <w:bookmarkEnd w:id="97"/>
            <w:r>
              <w:t>9.4 (</w:t>
            </w:r>
            <w:bookmarkStart w:id="98" w:name="_9kMHzG6ZWu5AAGNKbEhv7zursvn"/>
            <w:r w:rsidRPr="00990F46">
              <w:rPr>
                <w:i/>
              </w:rPr>
              <w:t>Maintenance</w:t>
            </w:r>
            <w:bookmarkEnd w:id="98"/>
            <w:r>
              <w:t>);</w:t>
            </w:r>
          </w:p>
        </w:tc>
      </w:tr>
      <w:tr w:rsidR="001421AE" w14:paraId="28F2ECDC" w14:textId="77777777" w:rsidTr="006816C5">
        <w:tc>
          <w:tcPr>
            <w:tcW w:w="3493" w:type="dxa"/>
          </w:tcPr>
          <w:p w14:paraId="2E37A405" w14:textId="77777777" w:rsidR="001421AE" w:rsidRDefault="001421AE" w:rsidP="00813948">
            <w:pPr>
              <w:pStyle w:val="StdBodyTextBold"/>
            </w:pPr>
            <w:r>
              <w:t>“Malicious Software”</w:t>
            </w:r>
          </w:p>
        </w:tc>
        <w:tc>
          <w:tcPr>
            <w:tcW w:w="5245" w:type="dxa"/>
          </w:tcPr>
          <w:p w14:paraId="279C0EDD" w14:textId="77777777" w:rsidR="001421AE" w:rsidRDefault="001421AE" w:rsidP="00813948">
            <w:pPr>
              <w:pStyle w:val="StdBodyText"/>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421AE" w14:paraId="71FA6832" w14:textId="77777777" w:rsidTr="006816C5">
        <w:tc>
          <w:tcPr>
            <w:tcW w:w="3493" w:type="dxa"/>
          </w:tcPr>
          <w:p w14:paraId="0A756CB9" w14:textId="77777777" w:rsidR="001421AE" w:rsidRDefault="001421AE" w:rsidP="00813948">
            <w:pPr>
              <w:pStyle w:val="StdBodyTextBold"/>
            </w:pPr>
            <w:r>
              <w:t>“Management Information”</w:t>
            </w:r>
          </w:p>
        </w:tc>
        <w:tc>
          <w:tcPr>
            <w:tcW w:w="5245" w:type="dxa"/>
          </w:tcPr>
          <w:p w14:paraId="55D89C8B" w14:textId="7958982C" w:rsidR="001421AE" w:rsidRDefault="001421AE" w:rsidP="00813948">
            <w:pPr>
              <w:pStyle w:val="StdBodyText"/>
            </w:pPr>
            <w:r>
              <w:t>the management information specified in Schedule 2.2 (</w:t>
            </w:r>
            <w:r w:rsidRPr="00990F46">
              <w:rPr>
                <w:i/>
              </w:rPr>
              <w:t>Performance Levels</w:t>
            </w:r>
            <w:r>
              <w:t>), Schedule 7.1 (</w:t>
            </w:r>
            <w:r w:rsidRPr="00990F46">
              <w:rPr>
                <w:i/>
              </w:rPr>
              <w:t>Charges and Invoicing</w:t>
            </w:r>
            <w:r>
              <w:t>) and Schedule 8.1 (</w:t>
            </w:r>
            <w:r w:rsidRPr="00990F46">
              <w:rPr>
                <w:i/>
              </w:rPr>
              <w:t>Governance</w:t>
            </w:r>
            <w:r>
              <w:t>) to be provided by the Supplier to the Authority;</w:t>
            </w:r>
          </w:p>
        </w:tc>
      </w:tr>
      <w:tr w:rsidR="001421AE" w14:paraId="4E252842" w14:textId="77777777" w:rsidTr="006816C5">
        <w:tc>
          <w:tcPr>
            <w:tcW w:w="3493" w:type="dxa"/>
          </w:tcPr>
          <w:p w14:paraId="2E7C2EFD" w14:textId="77777777" w:rsidR="001421AE" w:rsidRDefault="001421AE" w:rsidP="00813948">
            <w:pPr>
              <w:pStyle w:val="StdBodyTextBold"/>
            </w:pPr>
            <w:r>
              <w:t>“Material KPI Failure”</w:t>
            </w:r>
          </w:p>
        </w:tc>
        <w:tc>
          <w:tcPr>
            <w:tcW w:w="5245" w:type="dxa"/>
          </w:tcPr>
          <w:p w14:paraId="6D237E3E" w14:textId="77777777" w:rsidR="001421AE" w:rsidRDefault="001421AE" w:rsidP="00AD2EE4">
            <w:pPr>
              <w:pStyle w:val="DefinitionList"/>
              <w:numPr>
                <w:ilvl w:val="0"/>
                <w:numId w:val="49"/>
              </w:numPr>
            </w:pPr>
            <w:r>
              <w:t>a Serious KPI Failure;</w:t>
            </w:r>
          </w:p>
          <w:p w14:paraId="05AF04AB" w14:textId="77777777" w:rsidR="001421AE" w:rsidRDefault="001421AE" w:rsidP="002C2496">
            <w:pPr>
              <w:pStyle w:val="DefinitionList"/>
            </w:pPr>
            <w:r>
              <w:t>a Severe KPI Failure; or</w:t>
            </w:r>
          </w:p>
          <w:p w14:paraId="2652B637" w14:textId="77777777" w:rsidR="001421AE" w:rsidRDefault="001421AE" w:rsidP="002C2496">
            <w:pPr>
              <w:pStyle w:val="DefinitionList"/>
            </w:pPr>
            <w:r>
              <w:t>a failure by the Supplier to meet a KPI Service Threshold;</w:t>
            </w:r>
          </w:p>
        </w:tc>
      </w:tr>
      <w:tr w:rsidR="001421AE" w14:paraId="08E48E5D" w14:textId="77777777" w:rsidTr="006816C5">
        <w:tc>
          <w:tcPr>
            <w:tcW w:w="3493" w:type="dxa"/>
          </w:tcPr>
          <w:p w14:paraId="0286425F" w14:textId="77777777" w:rsidR="001421AE" w:rsidRDefault="001421AE" w:rsidP="00813948">
            <w:pPr>
              <w:pStyle w:val="StdBodyTextBold"/>
            </w:pPr>
            <w:r>
              <w:t>“Material PI Failure”</w:t>
            </w:r>
          </w:p>
        </w:tc>
        <w:tc>
          <w:tcPr>
            <w:tcW w:w="5245" w:type="dxa"/>
          </w:tcPr>
          <w:p w14:paraId="73ACFA8B" w14:textId="77777777" w:rsidR="001421AE" w:rsidRDefault="001421AE" w:rsidP="00AD2EE4">
            <w:pPr>
              <w:pStyle w:val="DefinitionList"/>
              <w:numPr>
                <w:ilvl w:val="0"/>
                <w:numId w:val="50"/>
              </w:numPr>
            </w:pPr>
            <w:r>
              <w:t>a failure by the Supplier to meet the PI Service Threshold in respect of 25% or more of the Subsidiary Performance Indicators that are measured in that Service Period; and/or</w:t>
            </w:r>
          </w:p>
          <w:p w14:paraId="4E14A401" w14:textId="77777777" w:rsidR="001421AE" w:rsidRDefault="001421AE" w:rsidP="002C2496">
            <w:pPr>
              <w:pStyle w:val="DefinitionList"/>
            </w:pPr>
            <w:r>
              <w:t>a failure by the Supplier to meet the Target Performance Level in respect of 50% or more of the Subsidiary Performance Indicators that are measured in that Service Period;</w:t>
            </w:r>
          </w:p>
        </w:tc>
      </w:tr>
      <w:tr w:rsidR="001421AE" w14:paraId="2C0850CD" w14:textId="77777777" w:rsidTr="006816C5">
        <w:tc>
          <w:tcPr>
            <w:tcW w:w="3493" w:type="dxa"/>
          </w:tcPr>
          <w:p w14:paraId="43362AA6" w14:textId="77777777" w:rsidR="001421AE" w:rsidRDefault="001421AE" w:rsidP="00813948">
            <w:pPr>
              <w:pStyle w:val="StdBodyTextBold"/>
            </w:pPr>
            <w:r>
              <w:t>“Measurement Period”</w:t>
            </w:r>
          </w:p>
        </w:tc>
        <w:tc>
          <w:tcPr>
            <w:tcW w:w="5245" w:type="dxa"/>
          </w:tcPr>
          <w:p w14:paraId="100F0A3C" w14:textId="77777777" w:rsidR="001421AE" w:rsidRDefault="001421AE" w:rsidP="00813948">
            <w:pPr>
              <w:pStyle w:val="StdBodyText"/>
            </w:pPr>
            <w:r>
              <w:t>in relation to a Key Performance Indicator or Subsidiary Performance Indicator, the period over which the Supplier’s performance is measured (for example, a Service Period if measured monthly or a 12 month period if measured annually);</w:t>
            </w:r>
          </w:p>
        </w:tc>
      </w:tr>
      <w:tr w:rsidR="001421AE" w14:paraId="31413547" w14:textId="77777777" w:rsidTr="006816C5">
        <w:tc>
          <w:tcPr>
            <w:tcW w:w="3493" w:type="dxa"/>
          </w:tcPr>
          <w:p w14:paraId="56109A5E" w14:textId="77777777" w:rsidR="001421AE" w:rsidRDefault="001421AE" w:rsidP="00813948">
            <w:pPr>
              <w:pStyle w:val="StdBodyTextBold"/>
            </w:pPr>
            <w:r>
              <w:t>“</w:t>
            </w:r>
            <w:bookmarkStart w:id="99" w:name="_9kMJI5YVt4CCFMHYLrowC94vJCqxv9A235LlRDT"/>
            <w:r>
              <w:t>Milestone Achievement Certificate</w:t>
            </w:r>
            <w:bookmarkEnd w:id="99"/>
            <w:r>
              <w:t>”</w:t>
            </w:r>
          </w:p>
        </w:tc>
        <w:tc>
          <w:tcPr>
            <w:tcW w:w="5245" w:type="dxa"/>
          </w:tcPr>
          <w:p w14:paraId="55FEF671" w14:textId="6F953E40" w:rsidR="001421AE" w:rsidRDefault="001421AE" w:rsidP="00813948">
            <w:pPr>
              <w:pStyle w:val="StdBodyText"/>
            </w:pPr>
            <w:r>
              <w:t>the certificate to be granted by the Authority when the Supplier has Achieved a Milestone, which shall be in substantially the same form as that set out in Annex 3 of Schedule 6.2 (</w:t>
            </w:r>
            <w:r w:rsidRPr="00831D7A">
              <w:rPr>
                <w:i/>
              </w:rPr>
              <w:t>Testing Procedures</w:t>
            </w:r>
            <w:r>
              <w:t>);</w:t>
            </w:r>
          </w:p>
        </w:tc>
      </w:tr>
      <w:tr w:rsidR="001421AE" w14:paraId="410A6B6C" w14:textId="77777777" w:rsidTr="006816C5">
        <w:tc>
          <w:tcPr>
            <w:tcW w:w="3493" w:type="dxa"/>
          </w:tcPr>
          <w:p w14:paraId="2DA5B1AC" w14:textId="77777777" w:rsidR="001421AE" w:rsidRDefault="001421AE" w:rsidP="00813948">
            <w:pPr>
              <w:pStyle w:val="StdBodyTextBold"/>
            </w:pPr>
            <w:r>
              <w:t>“Milestone Adjustment Payment Amount”</w:t>
            </w:r>
          </w:p>
        </w:tc>
        <w:tc>
          <w:tcPr>
            <w:tcW w:w="5245" w:type="dxa"/>
          </w:tcPr>
          <w:p w14:paraId="489DD4E6" w14:textId="77777777" w:rsidR="001421AE" w:rsidRDefault="001421AE" w:rsidP="00813948">
            <w:pPr>
              <w:pStyle w:val="StdBodyText"/>
            </w:pPr>
            <w:r>
              <w:t xml:space="preserve">in respect of each CPP Milestone the subject of a </w:t>
            </w:r>
            <w:bookmarkStart w:id="100" w:name="_9kMON5YVt4CCFMGXLrowC94vJDtBLLG24KxZFS9"/>
            <w:r>
              <w:t>Milestone Adjustment Payment Notice</w:t>
            </w:r>
            <w:bookmarkEnd w:id="100"/>
            <w:r>
              <w:t>, an amount determined in accordance with the formula:</w:t>
            </w:r>
          </w:p>
          <w:p w14:paraId="69FD44FB" w14:textId="77777777" w:rsidR="001421AE" w:rsidRDefault="001421AE" w:rsidP="00813948">
            <w:pPr>
              <w:pStyle w:val="StdBodyText"/>
            </w:pPr>
            <w:r>
              <w:tab/>
            </w:r>
            <w:r>
              <w:tab/>
              <w:t>A – B</w:t>
            </w:r>
          </w:p>
          <w:p w14:paraId="344C51B0" w14:textId="77777777" w:rsidR="001421AE" w:rsidRDefault="001421AE" w:rsidP="00813948">
            <w:pPr>
              <w:pStyle w:val="StdBodyText"/>
            </w:pPr>
            <w:r>
              <w:t>where:</w:t>
            </w:r>
          </w:p>
          <w:p w14:paraId="6EE6941E" w14:textId="77777777" w:rsidR="001421AE" w:rsidRDefault="001421AE" w:rsidP="00AD2EE4">
            <w:pPr>
              <w:pStyle w:val="DefinitionList"/>
              <w:numPr>
                <w:ilvl w:val="0"/>
                <w:numId w:val="51"/>
              </w:numPr>
            </w:pPr>
            <w:r>
              <w:t>A is an amount equal to the aggregate sum of all Milestone Payments paid to the Supplier in respect of the Milestones (or in the case of Partial Termination, the Milestones for the parts of the Services terminated) relating to that CPP Milestone; and</w:t>
            </w:r>
          </w:p>
          <w:p w14:paraId="1ECD322B" w14:textId="77777777" w:rsidR="001421AE" w:rsidRDefault="001421AE" w:rsidP="002C2496">
            <w:pPr>
              <w:pStyle w:val="DefinitionList"/>
            </w:pPr>
            <w:r>
              <w:t>B is an amount equal to the aggregate Allowable Price for the Retained Deliverables relating to that CPP Milestone or, if there are no such Retained Deliverables, zero;</w:t>
            </w:r>
          </w:p>
        </w:tc>
      </w:tr>
      <w:tr w:rsidR="001421AE" w14:paraId="6575BBBB" w14:textId="77777777" w:rsidTr="006816C5">
        <w:tc>
          <w:tcPr>
            <w:tcW w:w="3493" w:type="dxa"/>
          </w:tcPr>
          <w:p w14:paraId="47C7D2DE" w14:textId="77777777" w:rsidR="001421AE" w:rsidRDefault="001421AE" w:rsidP="00813948">
            <w:pPr>
              <w:pStyle w:val="StdBodyTextBold"/>
            </w:pPr>
            <w:r>
              <w:t>“</w:t>
            </w:r>
            <w:bookmarkStart w:id="101" w:name="_9kMPO5YVt4CCFMGXLrowC94vJDtBLLG24KxZFS9"/>
            <w:r>
              <w:t>Milestone Adjustment Payment Notice</w:t>
            </w:r>
            <w:bookmarkEnd w:id="101"/>
            <w:r>
              <w:t>”</w:t>
            </w:r>
          </w:p>
        </w:tc>
        <w:tc>
          <w:tcPr>
            <w:tcW w:w="5245" w:type="dxa"/>
          </w:tcPr>
          <w:p w14:paraId="57F1772C" w14:textId="77777777" w:rsidR="001421AE" w:rsidRDefault="001421AE" w:rsidP="00813948">
            <w:pPr>
              <w:pStyle w:val="StdBodyText"/>
            </w:pPr>
            <w:r>
              <w:t xml:space="preserve">has the meaning given in </w:t>
            </w:r>
            <w:bookmarkStart w:id="102" w:name="_9kMIH5YVtCIAAHJHHMbHz2s4XG43r013JFFREDM"/>
            <w:bookmarkStart w:id="103" w:name="_9kMHG5YVtCJBAHKIHMbHz2s4XG43r013JFFREDM"/>
            <w:r>
              <w:t xml:space="preserve">Clause </w:t>
            </w:r>
            <w:bookmarkEnd w:id="102"/>
            <w:bookmarkEnd w:id="103"/>
            <w:r>
              <w:t>35.7 (</w:t>
            </w:r>
            <w:r w:rsidRPr="00831D7A">
              <w:rPr>
                <w:i/>
              </w:rPr>
              <w:t>Payments by the Supplier</w:t>
            </w:r>
            <w:r>
              <w:t>);</w:t>
            </w:r>
          </w:p>
        </w:tc>
      </w:tr>
      <w:tr w:rsidR="001421AE" w14:paraId="26B9CC13" w14:textId="77777777" w:rsidTr="006816C5">
        <w:tc>
          <w:tcPr>
            <w:tcW w:w="3493" w:type="dxa"/>
          </w:tcPr>
          <w:p w14:paraId="70AFF296" w14:textId="77777777" w:rsidR="001421AE" w:rsidRDefault="001421AE" w:rsidP="00813948">
            <w:pPr>
              <w:pStyle w:val="StdBodyTextBold"/>
            </w:pPr>
            <w:r>
              <w:t>“Milestone Date”</w:t>
            </w:r>
          </w:p>
        </w:tc>
        <w:tc>
          <w:tcPr>
            <w:tcW w:w="5245" w:type="dxa"/>
          </w:tcPr>
          <w:p w14:paraId="28FA55C9" w14:textId="77777777" w:rsidR="001421AE" w:rsidRDefault="001421AE" w:rsidP="00813948">
            <w:pPr>
              <w:pStyle w:val="StdBodyText"/>
            </w:pPr>
            <w:r>
              <w:t>the target date set out against the relevant Milestone in the Implementation Plan by which the Milestone must be Achieved;</w:t>
            </w:r>
          </w:p>
        </w:tc>
      </w:tr>
      <w:tr w:rsidR="001421AE" w14:paraId="4B7CB796" w14:textId="77777777" w:rsidTr="006816C5">
        <w:tc>
          <w:tcPr>
            <w:tcW w:w="3493" w:type="dxa"/>
          </w:tcPr>
          <w:p w14:paraId="40D6B664" w14:textId="77777777" w:rsidR="001421AE" w:rsidRDefault="001421AE" w:rsidP="00813948">
            <w:pPr>
              <w:pStyle w:val="StdBodyTextBold"/>
            </w:pPr>
            <w:r>
              <w:t>“Milestone Payment”</w:t>
            </w:r>
          </w:p>
        </w:tc>
        <w:tc>
          <w:tcPr>
            <w:tcW w:w="5245" w:type="dxa"/>
          </w:tcPr>
          <w:p w14:paraId="081FEABB" w14:textId="4B820999" w:rsidR="001421AE" w:rsidRDefault="001421AE" w:rsidP="00813948">
            <w:pPr>
              <w:pStyle w:val="StdBodyText"/>
            </w:pPr>
            <w:r>
              <w:t>a payment identified in Schedule 7.1 (</w:t>
            </w:r>
            <w:r w:rsidRPr="00831D7A">
              <w:rPr>
                <w:i/>
              </w:rPr>
              <w:t>Charges and Invoicing</w:t>
            </w:r>
            <w:r>
              <w:t xml:space="preserve">) to be made following the issue of a </w:t>
            </w:r>
            <w:bookmarkStart w:id="104" w:name="_9kMKJ5YVt4CCFMHYLrowC94vJCqxv9A235LlRDT"/>
            <w:r>
              <w:t>Milestone Achievement Certificate</w:t>
            </w:r>
            <w:bookmarkEnd w:id="104"/>
            <w:r>
              <w:t>;</w:t>
            </w:r>
          </w:p>
        </w:tc>
      </w:tr>
      <w:tr w:rsidR="001421AE" w14:paraId="7D5DF24E" w14:textId="77777777" w:rsidTr="006816C5">
        <w:tc>
          <w:tcPr>
            <w:tcW w:w="3493" w:type="dxa"/>
          </w:tcPr>
          <w:p w14:paraId="0A9BE36A" w14:textId="77777777" w:rsidR="001421AE" w:rsidRDefault="001421AE" w:rsidP="00813948">
            <w:pPr>
              <w:pStyle w:val="StdBodyTextBold"/>
            </w:pPr>
            <w:r>
              <w:t>“Milestone Retention”</w:t>
            </w:r>
          </w:p>
        </w:tc>
        <w:tc>
          <w:tcPr>
            <w:tcW w:w="5245" w:type="dxa"/>
          </w:tcPr>
          <w:p w14:paraId="19701EE5" w14:textId="456A73AB" w:rsidR="001421AE" w:rsidRDefault="001421AE" w:rsidP="00813948">
            <w:pPr>
              <w:pStyle w:val="StdBodyText"/>
            </w:pPr>
            <w:r>
              <w:t>has the meaning given in Schedule 7.1 (</w:t>
            </w:r>
            <w:r w:rsidRPr="00831D7A">
              <w:rPr>
                <w:i/>
              </w:rPr>
              <w:t>Charges and Invoicing</w:t>
            </w:r>
            <w:r>
              <w:t>);</w:t>
            </w:r>
          </w:p>
        </w:tc>
      </w:tr>
      <w:tr w:rsidR="001421AE" w14:paraId="67B15D9F" w14:textId="77777777" w:rsidTr="006816C5">
        <w:tc>
          <w:tcPr>
            <w:tcW w:w="3493" w:type="dxa"/>
          </w:tcPr>
          <w:p w14:paraId="1825A69B" w14:textId="77777777" w:rsidR="001421AE" w:rsidRDefault="001421AE" w:rsidP="00813948">
            <w:pPr>
              <w:pStyle w:val="StdBodyTextBold"/>
            </w:pPr>
            <w:r>
              <w:t>“Milestone”</w:t>
            </w:r>
          </w:p>
        </w:tc>
        <w:tc>
          <w:tcPr>
            <w:tcW w:w="5245" w:type="dxa"/>
          </w:tcPr>
          <w:p w14:paraId="77753CFB" w14:textId="77777777" w:rsidR="001421AE" w:rsidRDefault="001421AE" w:rsidP="00813948">
            <w:pPr>
              <w:pStyle w:val="StdBodyText"/>
            </w:pPr>
            <w:r>
              <w:t>an event or task described in the Implementation Plan which, if applicable, shall be completed by the relevant Milestone Date;</w:t>
            </w:r>
          </w:p>
        </w:tc>
      </w:tr>
      <w:tr w:rsidR="001421AE" w14:paraId="4E52467B" w14:textId="77777777" w:rsidTr="006816C5">
        <w:tc>
          <w:tcPr>
            <w:tcW w:w="3493" w:type="dxa"/>
          </w:tcPr>
          <w:p w14:paraId="1A618118" w14:textId="77777777" w:rsidR="001421AE" w:rsidRDefault="001421AE" w:rsidP="00813948">
            <w:pPr>
              <w:pStyle w:val="StdBodyTextBold"/>
            </w:pPr>
            <w:r>
              <w:t>“Minor KPI Failure”</w:t>
            </w:r>
          </w:p>
        </w:tc>
        <w:tc>
          <w:tcPr>
            <w:tcW w:w="5245" w:type="dxa"/>
          </w:tcPr>
          <w:p w14:paraId="29A23183" w14:textId="290BC575" w:rsidR="001421AE" w:rsidRDefault="001421AE" w:rsidP="00813948">
            <w:pPr>
              <w:pStyle w:val="StdBodyText"/>
            </w:pPr>
            <w:r>
              <w:t xml:space="preserve">shall be as set out against the relevant </w:t>
            </w:r>
            <w:bookmarkStart w:id="105" w:name="_9kMHG5YVt4CCFMMbF0mNwyw98suxpWa2yyr9ONI"/>
            <w:r>
              <w:t xml:space="preserve">Key Performance Indicator in Table 1 of Part A of </w:t>
            </w:r>
            <w:bookmarkEnd w:id="105"/>
            <w:r>
              <w:t>Annex 1 of Schedule 2.2 (</w:t>
            </w:r>
            <w:r w:rsidRPr="00831D7A">
              <w:rPr>
                <w:i/>
              </w:rPr>
              <w:t>Performance Levels</w:t>
            </w:r>
            <w:r>
              <w:t>);</w:t>
            </w:r>
          </w:p>
        </w:tc>
      </w:tr>
      <w:tr w:rsidR="001421AE" w14:paraId="2B48707A" w14:textId="77777777" w:rsidTr="006816C5">
        <w:tc>
          <w:tcPr>
            <w:tcW w:w="3493" w:type="dxa"/>
          </w:tcPr>
          <w:p w14:paraId="4566B8FF" w14:textId="77777777" w:rsidR="001421AE" w:rsidRDefault="001421AE" w:rsidP="00813948">
            <w:pPr>
              <w:pStyle w:val="StdBodyTextBold"/>
            </w:pPr>
            <w:r>
              <w:t>“Modern Slavery Assessment Tool”</w:t>
            </w:r>
          </w:p>
        </w:tc>
        <w:tc>
          <w:tcPr>
            <w:tcW w:w="5245" w:type="dxa"/>
          </w:tcPr>
          <w:p w14:paraId="10D3E016" w14:textId="77777777" w:rsidR="001421AE" w:rsidRDefault="001421AE" w:rsidP="00397235">
            <w:pPr>
              <w:pStyle w:val="StdBodyText"/>
            </w:pPr>
            <w:r>
              <w:t>means the modern slavery risk identification and management tool which can be found online at: https://supplierregistration.cabinetoffice.gov.uk/msat;</w:t>
            </w:r>
          </w:p>
        </w:tc>
      </w:tr>
      <w:tr w:rsidR="001421AE" w14:paraId="75BFF6F8" w14:textId="77777777" w:rsidTr="006816C5">
        <w:tc>
          <w:tcPr>
            <w:tcW w:w="3493" w:type="dxa"/>
          </w:tcPr>
          <w:p w14:paraId="150FD2E9" w14:textId="77777777" w:rsidR="001421AE" w:rsidRDefault="001421AE" w:rsidP="00813948">
            <w:pPr>
              <w:pStyle w:val="StdBodyTextBold"/>
            </w:pPr>
            <w:r>
              <w:t>“month”</w:t>
            </w:r>
          </w:p>
        </w:tc>
        <w:tc>
          <w:tcPr>
            <w:tcW w:w="5245" w:type="dxa"/>
          </w:tcPr>
          <w:p w14:paraId="1B1AFF47" w14:textId="77777777" w:rsidR="001421AE" w:rsidRDefault="001421AE" w:rsidP="00813948">
            <w:pPr>
              <w:pStyle w:val="StdBodyText"/>
            </w:pPr>
            <w:r>
              <w:t>a calendar month and “</w:t>
            </w:r>
            <w:r w:rsidRPr="00831D7A">
              <w:rPr>
                <w:rStyle w:val="StdBodyTextBoldChar"/>
              </w:rPr>
              <w:t>monthly</w:t>
            </w:r>
            <w:r>
              <w:t>” shall be interpreted accordingly;</w:t>
            </w:r>
          </w:p>
        </w:tc>
      </w:tr>
      <w:tr w:rsidR="001421AE" w14:paraId="1039FDC5" w14:textId="77777777" w:rsidTr="006816C5">
        <w:tc>
          <w:tcPr>
            <w:tcW w:w="3493" w:type="dxa"/>
          </w:tcPr>
          <w:p w14:paraId="6072806D" w14:textId="77777777" w:rsidR="001421AE" w:rsidRDefault="001421AE" w:rsidP="00813948">
            <w:pPr>
              <w:pStyle w:val="StdBodyTextBold"/>
            </w:pPr>
            <w:r>
              <w:t>“Multi-Party Dispute Resolution Procedure”</w:t>
            </w:r>
          </w:p>
        </w:tc>
        <w:tc>
          <w:tcPr>
            <w:tcW w:w="5245" w:type="dxa"/>
          </w:tcPr>
          <w:p w14:paraId="23B5CB03" w14:textId="0F52B7EE" w:rsidR="001421AE" w:rsidRDefault="001421AE" w:rsidP="00813948">
            <w:pPr>
              <w:pStyle w:val="StdBodyText"/>
            </w:pPr>
            <w:r>
              <w:t xml:space="preserve">has the meaning given in </w:t>
            </w:r>
            <w:bookmarkStart w:id="106" w:name="_9kR3WTr2CC56CcEnoewrqyJR"/>
            <w:r>
              <w:t xml:space="preserve">Paragraph </w:t>
            </w:r>
            <w:bookmarkEnd w:id="106"/>
            <w:r>
              <w:t>9.1 of Schedule 8.3 (</w:t>
            </w:r>
            <w:r w:rsidRPr="00831D7A">
              <w:rPr>
                <w:i/>
              </w:rPr>
              <w:t>Dispute Resolution Procedure</w:t>
            </w:r>
            <w:r>
              <w:t>);</w:t>
            </w:r>
          </w:p>
        </w:tc>
      </w:tr>
      <w:tr w:rsidR="001421AE" w14:paraId="0E7430EE" w14:textId="77777777" w:rsidTr="006816C5">
        <w:tc>
          <w:tcPr>
            <w:tcW w:w="3493" w:type="dxa"/>
          </w:tcPr>
          <w:p w14:paraId="1BC93394" w14:textId="77777777" w:rsidR="001421AE" w:rsidRDefault="001421AE" w:rsidP="00813948">
            <w:pPr>
              <w:pStyle w:val="StdBodyTextBold"/>
            </w:pPr>
            <w:r>
              <w:t>“</w:t>
            </w:r>
            <w:bookmarkStart w:id="107" w:name="_9kMHG5YVt4CCFMEVX331YLuEMthDzqs9O9bfCJK"/>
            <w:r>
              <w:t>Multi-Party Procedure Initiation Notice</w:t>
            </w:r>
            <w:bookmarkEnd w:id="107"/>
            <w:r>
              <w:t>”</w:t>
            </w:r>
          </w:p>
        </w:tc>
        <w:tc>
          <w:tcPr>
            <w:tcW w:w="5245" w:type="dxa"/>
          </w:tcPr>
          <w:p w14:paraId="10CC7369" w14:textId="7FD8FB31" w:rsidR="001421AE" w:rsidRDefault="001421AE" w:rsidP="00813948">
            <w:pPr>
              <w:pStyle w:val="StdBodyText"/>
            </w:pPr>
            <w:r>
              <w:t xml:space="preserve">has the meaning given in </w:t>
            </w:r>
            <w:bookmarkStart w:id="108" w:name="_9kR3WTr2CC56DdEnoewrqyJS"/>
            <w:r>
              <w:t xml:space="preserve">Paragraph </w:t>
            </w:r>
            <w:bookmarkEnd w:id="108"/>
            <w:r>
              <w:t>9.2 of Schedule 8.3 (</w:t>
            </w:r>
            <w:r w:rsidRPr="00831D7A">
              <w:rPr>
                <w:i/>
              </w:rPr>
              <w:t>Dispute Resolution Procedure</w:t>
            </w:r>
            <w:r>
              <w:t>);</w:t>
            </w:r>
          </w:p>
        </w:tc>
      </w:tr>
      <w:tr w:rsidR="001421AE" w14:paraId="6783B54B" w14:textId="77777777" w:rsidTr="006816C5">
        <w:tc>
          <w:tcPr>
            <w:tcW w:w="3493" w:type="dxa"/>
          </w:tcPr>
          <w:p w14:paraId="1A85CD44" w14:textId="77777777" w:rsidR="001421AE" w:rsidRDefault="001421AE" w:rsidP="00813948">
            <w:pPr>
              <w:pStyle w:val="StdBodyTextBold"/>
            </w:pPr>
            <w:r>
              <w:t>“NCSC”</w:t>
            </w:r>
          </w:p>
        </w:tc>
        <w:tc>
          <w:tcPr>
            <w:tcW w:w="5245" w:type="dxa"/>
          </w:tcPr>
          <w:p w14:paraId="1A206307" w14:textId="77777777" w:rsidR="001421AE" w:rsidRDefault="001421AE" w:rsidP="00813948">
            <w:pPr>
              <w:pStyle w:val="StdBodyText"/>
            </w:pPr>
            <w:r>
              <w:t>the National Cyber Security Centre or any replacement or successor body carrying out the same function;</w:t>
            </w:r>
          </w:p>
        </w:tc>
      </w:tr>
      <w:tr w:rsidR="001421AE" w14:paraId="0BFF820A" w14:textId="77777777" w:rsidTr="006816C5">
        <w:tc>
          <w:tcPr>
            <w:tcW w:w="3493" w:type="dxa"/>
          </w:tcPr>
          <w:p w14:paraId="42CEEF77" w14:textId="77777777" w:rsidR="001421AE" w:rsidRDefault="001421AE" w:rsidP="00813948">
            <w:pPr>
              <w:pStyle w:val="StdBodyTextBold"/>
            </w:pPr>
            <w:r>
              <w:t>“New Releases”</w:t>
            </w:r>
          </w:p>
        </w:tc>
        <w:tc>
          <w:tcPr>
            <w:tcW w:w="5245" w:type="dxa"/>
          </w:tcPr>
          <w:p w14:paraId="17C56D51" w14:textId="77777777" w:rsidR="001421AE" w:rsidRDefault="001421AE" w:rsidP="00813948">
            <w:pPr>
              <w:pStyle w:val="StdBodyText"/>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1421AE" w14:paraId="4F1FB42E" w14:textId="77777777" w:rsidTr="006816C5">
        <w:tc>
          <w:tcPr>
            <w:tcW w:w="3493" w:type="dxa"/>
          </w:tcPr>
          <w:p w14:paraId="642C634B" w14:textId="77777777" w:rsidR="001421AE" w:rsidRDefault="001421AE" w:rsidP="00813948">
            <w:pPr>
              <w:pStyle w:val="StdBodyTextBold"/>
            </w:pPr>
            <w:r>
              <w:t>“Non-retained Deliverables”</w:t>
            </w:r>
          </w:p>
        </w:tc>
        <w:tc>
          <w:tcPr>
            <w:tcW w:w="5245" w:type="dxa"/>
          </w:tcPr>
          <w:p w14:paraId="15EA0DCA" w14:textId="77777777" w:rsidR="001421AE" w:rsidRDefault="001421AE" w:rsidP="00813948">
            <w:pPr>
              <w:pStyle w:val="StdBodyText"/>
            </w:pPr>
            <w:r>
              <w:t>in relation to a CPP Milestone Payment Notice and each CPP Milestone the subject of that CPP Milestone Payment Notice, Deliverables provided to the Authority which relate to the relevant CPP Milestone(s) and which are not Retained Deliverables;</w:t>
            </w:r>
          </w:p>
        </w:tc>
      </w:tr>
      <w:tr w:rsidR="001421AE" w14:paraId="73514B2E" w14:textId="77777777" w:rsidTr="006816C5">
        <w:tc>
          <w:tcPr>
            <w:tcW w:w="3493" w:type="dxa"/>
          </w:tcPr>
          <w:p w14:paraId="0E503297" w14:textId="77777777" w:rsidR="001421AE" w:rsidRDefault="001421AE" w:rsidP="00813948">
            <w:pPr>
              <w:pStyle w:val="StdBodyTextBold"/>
            </w:pPr>
            <w:r>
              <w:t>“Non-trivial Customer Base”</w:t>
            </w:r>
          </w:p>
        </w:tc>
        <w:tc>
          <w:tcPr>
            <w:tcW w:w="5245" w:type="dxa"/>
          </w:tcPr>
          <w:p w14:paraId="35B17138" w14:textId="77777777" w:rsidR="001421AE" w:rsidRDefault="001421AE" w:rsidP="00813948">
            <w:pPr>
              <w:pStyle w:val="StdBodyText"/>
            </w:pPr>
            <w:r>
              <w:t>a significant customer base with respect to the date of first release and the relevant market but excluding Affiliates and other entities related to the licensor;</w:t>
            </w:r>
          </w:p>
        </w:tc>
      </w:tr>
      <w:tr w:rsidR="001421AE" w14:paraId="45432B42" w14:textId="77777777" w:rsidTr="006816C5">
        <w:tc>
          <w:tcPr>
            <w:tcW w:w="3493" w:type="dxa"/>
          </w:tcPr>
          <w:p w14:paraId="10BE1BC0" w14:textId="77777777" w:rsidR="001421AE" w:rsidRDefault="001421AE" w:rsidP="00813948">
            <w:pPr>
              <w:pStyle w:val="StdBodyTextBold"/>
            </w:pPr>
            <w:r>
              <w:t>“Notifiable Default”</w:t>
            </w:r>
          </w:p>
        </w:tc>
        <w:tc>
          <w:tcPr>
            <w:tcW w:w="5245" w:type="dxa"/>
          </w:tcPr>
          <w:p w14:paraId="683B47ED" w14:textId="77777777" w:rsidR="001421AE" w:rsidRDefault="001421AE" w:rsidP="00813948">
            <w:pPr>
              <w:pStyle w:val="StdBodyText"/>
            </w:pPr>
            <w:r>
              <w:t xml:space="preserve">shall have the meaning given in </w:t>
            </w:r>
            <w:bookmarkStart w:id="109" w:name="_9kMHG5YVtCJBBLLFJJVP72om45yELAs5"/>
            <w:bookmarkStart w:id="110" w:name="_9kMJI5YVtCIABLOIJJVP72om45yELAs5"/>
            <w:r>
              <w:t xml:space="preserve">Clause </w:t>
            </w:r>
            <w:bookmarkEnd w:id="109"/>
            <w:bookmarkEnd w:id="110"/>
            <w:r>
              <w:t>28.1 (</w:t>
            </w:r>
            <w:r w:rsidRPr="00831D7A">
              <w:rPr>
                <w:i/>
              </w:rPr>
              <w:t>Rectification Plan Process</w:t>
            </w:r>
            <w:r>
              <w:t>);</w:t>
            </w:r>
          </w:p>
        </w:tc>
      </w:tr>
      <w:tr w:rsidR="001421AE" w14:paraId="0C863E94" w14:textId="77777777" w:rsidTr="006816C5">
        <w:tc>
          <w:tcPr>
            <w:tcW w:w="3493" w:type="dxa"/>
          </w:tcPr>
          <w:p w14:paraId="3CDF6CDA" w14:textId="77777777" w:rsidR="001421AE" w:rsidRDefault="001421AE" w:rsidP="00813948">
            <w:pPr>
              <w:pStyle w:val="StdBodyTextBold"/>
            </w:pPr>
            <w:r>
              <w:t>“Object Code”</w:t>
            </w:r>
          </w:p>
        </w:tc>
        <w:tc>
          <w:tcPr>
            <w:tcW w:w="5245" w:type="dxa"/>
          </w:tcPr>
          <w:p w14:paraId="625FB3EC" w14:textId="77777777" w:rsidR="001421AE" w:rsidRDefault="001421AE" w:rsidP="00813948">
            <w:pPr>
              <w:pStyle w:val="StdBodyText"/>
            </w:pPr>
            <w:r>
              <w:t>software and/or data in machine-readable, compiled object code form;</w:t>
            </w:r>
          </w:p>
        </w:tc>
      </w:tr>
      <w:tr w:rsidR="001421AE" w14:paraId="1E287479" w14:textId="77777777" w:rsidTr="006816C5">
        <w:tc>
          <w:tcPr>
            <w:tcW w:w="3493" w:type="dxa"/>
          </w:tcPr>
          <w:p w14:paraId="151B5F14" w14:textId="77777777" w:rsidR="001421AE" w:rsidRDefault="001421AE" w:rsidP="00813948">
            <w:pPr>
              <w:pStyle w:val="StdBodyTextBold"/>
            </w:pPr>
            <w:r>
              <w:t>“Occasion of Tax Non-Compliance”</w:t>
            </w:r>
          </w:p>
        </w:tc>
        <w:tc>
          <w:tcPr>
            <w:tcW w:w="5245" w:type="dxa"/>
          </w:tcPr>
          <w:p w14:paraId="561B354A" w14:textId="77777777" w:rsidR="001421AE" w:rsidRDefault="001421AE" w:rsidP="00AD2EE4">
            <w:pPr>
              <w:pStyle w:val="DefinitionList"/>
              <w:numPr>
                <w:ilvl w:val="0"/>
                <w:numId w:val="52"/>
              </w:numPr>
            </w:pPr>
            <w:r>
              <w:t>any tax return of the Supplier submitted to a Relevant Tax Authority on or after 1 October 2012 is found on or after 1 April 2013 to be incorrect as a result of:</w:t>
            </w:r>
          </w:p>
          <w:p w14:paraId="6CD84C78" w14:textId="77777777" w:rsidR="001421AE" w:rsidRDefault="001421AE" w:rsidP="002C2496">
            <w:pPr>
              <w:pStyle w:val="DefinitionListLevel1"/>
            </w:pPr>
            <w: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0FA89B6" w14:textId="77777777" w:rsidR="001421AE" w:rsidRDefault="001421AE" w:rsidP="002C2496">
            <w:pPr>
              <w:pStyle w:val="DefinitionListLevel1"/>
            </w:pPr>
            <w:r>
              <w:t>the failure of an avoidance scheme which the Supplier was involved in, and which was, or should have been, notified to a Relevant Tax Authority under the DOTAS or any equivalent or similar regime; and/or</w:t>
            </w:r>
          </w:p>
          <w:p w14:paraId="6681D72B" w14:textId="77777777" w:rsidR="001421AE" w:rsidRDefault="001421AE" w:rsidP="002C2496">
            <w:pPr>
              <w:pStyle w:val="DefinitionList"/>
            </w:pPr>
            <w: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1421AE" w14:paraId="610401D2" w14:textId="77777777" w:rsidTr="006816C5">
        <w:tc>
          <w:tcPr>
            <w:tcW w:w="3493" w:type="dxa"/>
          </w:tcPr>
          <w:p w14:paraId="1109165C" w14:textId="77777777" w:rsidR="001421AE" w:rsidRDefault="001421AE" w:rsidP="00813948">
            <w:pPr>
              <w:pStyle w:val="StdBodyTextBold"/>
            </w:pPr>
            <w:r>
              <w:t>“Open Book Data”</w:t>
            </w:r>
          </w:p>
        </w:tc>
        <w:tc>
          <w:tcPr>
            <w:tcW w:w="5245" w:type="dxa"/>
          </w:tcPr>
          <w:p w14:paraId="24AB7714" w14:textId="4ED0DBAA" w:rsidR="001421AE" w:rsidRDefault="001421AE" w:rsidP="00813948">
            <w:pPr>
              <w:pStyle w:val="StdBodyText"/>
            </w:pPr>
            <w:r>
              <w:t xml:space="preserve">has the meaning given in Schedule 7.5 </w:t>
            </w:r>
            <w:r w:rsidRPr="00831D7A">
              <w:rPr>
                <w:i/>
              </w:rPr>
              <w:t>Financial Reports and Audit Rights</w:t>
            </w:r>
            <w:r>
              <w:t>);</w:t>
            </w:r>
          </w:p>
        </w:tc>
      </w:tr>
      <w:tr w:rsidR="001421AE" w14:paraId="1C7B46BB" w14:textId="77777777" w:rsidTr="006816C5">
        <w:tc>
          <w:tcPr>
            <w:tcW w:w="3493" w:type="dxa"/>
          </w:tcPr>
          <w:p w14:paraId="71C6C109" w14:textId="77777777" w:rsidR="001421AE" w:rsidRDefault="001421AE" w:rsidP="00813948">
            <w:pPr>
              <w:pStyle w:val="StdBodyTextBold"/>
            </w:pPr>
            <w:r>
              <w:t>“Open Source”</w:t>
            </w:r>
          </w:p>
        </w:tc>
        <w:tc>
          <w:tcPr>
            <w:tcW w:w="5245" w:type="dxa"/>
          </w:tcPr>
          <w:p w14:paraId="70E857C0" w14:textId="77777777" w:rsidR="001421AE" w:rsidRDefault="001421AE" w:rsidP="00813948">
            <w:pPr>
              <w:pStyle w:val="StdBodyText"/>
            </w:pPr>
            <w:r>
              <w:t>computer Software that is released on the internet for use by any person, such release usually being made under a recognised open source licence and stating that it is released as open source;</w:t>
            </w:r>
          </w:p>
        </w:tc>
      </w:tr>
      <w:tr w:rsidR="001421AE" w14:paraId="0D61834B" w14:textId="77777777" w:rsidTr="006816C5">
        <w:tc>
          <w:tcPr>
            <w:tcW w:w="3493" w:type="dxa"/>
          </w:tcPr>
          <w:p w14:paraId="40552FA7" w14:textId="77777777" w:rsidR="001421AE" w:rsidRDefault="001421AE" w:rsidP="00813948">
            <w:pPr>
              <w:pStyle w:val="StdBodyTextBold"/>
            </w:pPr>
            <w:r>
              <w:t>“Operating Environment”</w:t>
            </w:r>
          </w:p>
        </w:tc>
        <w:tc>
          <w:tcPr>
            <w:tcW w:w="5245" w:type="dxa"/>
          </w:tcPr>
          <w:p w14:paraId="1F11EA98" w14:textId="77777777" w:rsidR="001421AE" w:rsidRDefault="001421AE" w:rsidP="00813948">
            <w:pPr>
              <w:pStyle w:val="StdBodyText"/>
            </w:pPr>
            <w:r>
              <w:t>the Authority System and the Sites;</w:t>
            </w:r>
          </w:p>
        </w:tc>
      </w:tr>
      <w:tr w:rsidR="001421AE" w14:paraId="376E9E9C" w14:textId="77777777" w:rsidTr="006816C5">
        <w:tc>
          <w:tcPr>
            <w:tcW w:w="3493" w:type="dxa"/>
          </w:tcPr>
          <w:p w14:paraId="70F67EF4" w14:textId="77777777" w:rsidR="001421AE" w:rsidRDefault="001421AE" w:rsidP="00813948">
            <w:pPr>
              <w:pStyle w:val="StdBodyTextBold"/>
            </w:pPr>
            <w:r>
              <w:t>“Operational Change”</w:t>
            </w:r>
          </w:p>
        </w:tc>
        <w:tc>
          <w:tcPr>
            <w:tcW w:w="5245" w:type="dxa"/>
          </w:tcPr>
          <w:p w14:paraId="3B714503" w14:textId="77777777" w:rsidR="001421AE" w:rsidRDefault="001421AE" w:rsidP="00813948">
            <w:pPr>
              <w:pStyle w:val="StdBodyText"/>
            </w:pPr>
            <w:r>
              <w:t xml:space="preserve">any change in the </w:t>
            </w:r>
            <w:bookmarkStart w:id="111" w:name="_9kML4H6ZWu9A679B"/>
            <w:r>
              <w:t>Supplier's</w:t>
            </w:r>
            <w:bookmarkEnd w:id="111"/>
            <w:r>
              <w:t xml:space="preserve"> operational procedures which in all respects, when implemented:</w:t>
            </w:r>
          </w:p>
          <w:p w14:paraId="03714D00" w14:textId="77777777" w:rsidR="001421AE" w:rsidRDefault="001421AE" w:rsidP="00AD2EE4">
            <w:pPr>
              <w:pStyle w:val="DefinitionList"/>
              <w:numPr>
                <w:ilvl w:val="0"/>
                <w:numId w:val="53"/>
              </w:numPr>
            </w:pPr>
            <w:r>
              <w:t xml:space="preserve">will not affect the Charges and will not result in any other costs to the Authority; </w:t>
            </w:r>
          </w:p>
          <w:p w14:paraId="2CA3A25D" w14:textId="77777777" w:rsidR="001421AE" w:rsidRDefault="001421AE" w:rsidP="002C2496">
            <w:pPr>
              <w:pStyle w:val="DefinitionList"/>
            </w:pPr>
            <w:r>
              <w:t xml:space="preserve">may change the way in which the Services are delivered but will not adversely affect the output of the Services or increase the risks in performing or receiving the Services; </w:t>
            </w:r>
          </w:p>
          <w:p w14:paraId="1C988774" w14:textId="77777777" w:rsidR="001421AE" w:rsidRDefault="001421AE" w:rsidP="002C2496">
            <w:pPr>
              <w:pStyle w:val="DefinitionList"/>
            </w:pPr>
            <w:r>
              <w:t xml:space="preserve">will not adversely affect the interfaces or interoperability of the Services with any of the </w:t>
            </w:r>
            <w:bookmarkStart w:id="112" w:name="_9kML5I6ZWu9A679B"/>
            <w:r>
              <w:t>Authority's</w:t>
            </w:r>
            <w:bookmarkEnd w:id="112"/>
            <w:r>
              <w:t xml:space="preserve"> IT infrastructure; and</w:t>
            </w:r>
          </w:p>
          <w:p w14:paraId="2291336D" w14:textId="77777777" w:rsidR="001421AE" w:rsidRDefault="001421AE" w:rsidP="002C2496">
            <w:pPr>
              <w:pStyle w:val="DefinitionList"/>
            </w:pPr>
            <w:r>
              <w:t>will not require a change to this Agreement;</w:t>
            </w:r>
          </w:p>
        </w:tc>
      </w:tr>
      <w:tr w:rsidR="001421AE" w14:paraId="7DEDFE84" w14:textId="77777777" w:rsidTr="006816C5">
        <w:tc>
          <w:tcPr>
            <w:tcW w:w="3493" w:type="dxa"/>
          </w:tcPr>
          <w:p w14:paraId="29C7A17D" w14:textId="77777777" w:rsidR="001421AE" w:rsidRDefault="001421AE" w:rsidP="00813948">
            <w:pPr>
              <w:pStyle w:val="StdBodyTextBold"/>
            </w:pPr>
            <w:r>
              <w:t>“Operational Service Commencement Date”</w:t>
            </w:r>
          </w:p>
        </w:tc>
        <w:tc>
          <w:tcPr>
            <w:tcW w:w="5245" w:type="dxa"/>
          </w:tcPr>
          <w:p w14:paraId="6A8AF194" w14:textId="77777777" w:rsidR="001421AE" w:rsidRDefault="001421AE" w:rsidP="00813948">
            <w:pPr>
              <w:pStyle w:val="StdBodyText"/>
            </w:pPr>
            <w:r>
              <w:t>in relation to an Operational Service, the later of:</w:t>
            </w:r>
          </w:p>
          <w:p w14:paraId="6F62AB4E" w14:textId="77777777" w:rsidR="001421AE" w:rsidRDefault="001421AE" w:rsidP="00AD2EE4">
            <w:pPr>
              <w:pStyle w:val="DefinitionList"/>
              <w:numPr>
                <w:ilvl w:val="0"/>
                <w:numId w:val="54"/>
              </w:numPr>
            </w:pPr>
            <w:r>
              <w:t xml:space="preserve">the date identified in the Operational Services Implementation Plan upon which the Operational Service is to commence; and </w:t>
            </w:r>
          </w:p>
          <w:p w14:paraId="3752C8CC" w14:textId="77777777" w:rsidR="001421AE" w:rsidRDefault="001421AE" w:rsidP="002C2496">
            <w:pPr>
              <w:pStyle w:val="DefinitionList"/>
            </w:pPr>
            <w:r>
              <w:t xml:space="preserve">where the Implementation Plan states that the Supplier must have Achieved the relevant ATP Milestone before it can commence the provision of that Operational Service, the date upon which the Supplier Achieves the relevant ATP Milestone; </w:t>
            </w:r>
          </w:p>
        </w:tc>
      </w:tr>
      <w:tr w:rsidR="001421AE" w14:paraId="7170DD5A" w14:textId="77777777" w:rsidTr="006816C5">
        <w:tc>
          <w:tcPr>
            <w:tcW w:w="3493" w:type="dxa"/>
          </w:tcPr>
          <w:p w14:paraId="2E4A07F0" w14:textId="77777777" w:rsidR="001421AE" w:rsidRDefault="001421AE" w:rsidP="00813948">
            <w:pPr>
              <w:pStyle w:val="StdBodyTextBold"/>
            </w:pPr>
            <w:r>
              <w:t>“Operational Services”</w:t>
            </w:r>
          </w:p>
        </w:tc>
        <w:tc>
          <w:tcPr>
            <w:tcW w:w="5245" w:type="dxa"/>
          </w:tcPr>
          <w:p w14:paraId="691F50EF" w14:textId="77777777" w:rsidR="001421AE" w:rsidRDefault="001421AE" w:rsidP="00813948">
            <w:pPr>
              <w:pStyle w:val="StdBodyText"/>
            </w:pPr>
            <w:r>
              <w:t>the operational services described as such in the Services Description;</w:t>
            </w:r>
          </w:p>
        </w:tc>
      </w:tr>
      <w:tr w:rsidR="001421AE" w14:paraId="685B9EAB" w14:textId="77777777" w:rsidTr="006816C5">
        <w:tc>
          <w:tcPr>
            <w:tcW w:w="3493" w:type="dxa"/>
          </w:tcPr>
          <w:p w14:paraId="11E8C18E" w14:textId="77777777" w:rsidR="001421AE" w:rsidRDefault="001421AE" w:rsidP="00813948">
            <w:pPr>
              <w:pStyle w:val="StdBodyTextBold"/>
            </w:pPr>
            <w:r>
              <w:t>“Optional Services Implementation Plan”</w:t>
            </w:r>
          </w:p>
        </w:tc>
        <w:tc>
          <w:tcPr>
            <w:tcW w:w="5245" w:type="dxa"/>
          </w:tcPr>
          <w:p w14:paraId="295621CE" w14:textId="77777777" w:rsidR="001421AE" w:rsidRDefault="001421AE" w:rsidP="00813948">
            <w:pPr>
              <w:pStyle w:val="StdBodyText"/>
            </w:pPr>
            <w:r>
              <w:t>the implementation plan to effect the Optional Services agreed between the Parties prior to the Effective Date and, if not agreed prior to the Effective Date, to be developed by the Supplier and approved by the Authority;</w:t>
            </w:r>
          </w:p>
        </w:tc>
      </w:tr>
      <w:tr w:rsidR="001421AE" w14:paraId="6AF9C1BA" w14:textId="77777777" w:rsidTr="006816C5">
        <w:tc>
          <w:tcPr>
            <w:tcW w:w="3493" w:type="dxa"/>
          </w:tcPr>
          <w:p w14:paraId="1DE3073A" w14:textId="77777777" w:rsidR="001421AE" w:rsidRDefault="001421AE" w:rsidP="00813948">
            <w:pPr>
              <w:pStyle w:val="StdBodyTextBold"/>
            </w:pPr>
            <w:r>
              <w:t>“Optional Services”</w:t>
            </w:r>
          </w:p>
        </w:tc>
        <w:tc>
          <w:tcPr>
            <w:tcW w:w="5245" w:type="dxa"/>
          </w:tcPr>
          <w:p w14:paraId="2998EE46" w14:textId="2046822E" w:rsidR="001421AE" w:rsidRDefault="001421AE" w:rsidP="00813948">
            <w:pPr>
              <w:pStyle w:val="StdBodyText"/>
            </w:pPr>
            <w:r>
              <w:t>the services described as such in Schedule 2.1 (</w:t>
            </w:r>
            <w:r w:rsidRPr="003463DC">
              <w:rPr>
                <w:i/>
              </w:rPr>
              <w:t>Services Description</w:t>
            </w:r>
            <w:r>
              <w:t xml:space="preserve">) which are to be provided by the Supplier if required by the Authority in accordance with </w:t>
            </w:r>
            <w:bookmarkStart w:id="113" w:name="_9kMIH5YVtCIAABBHGCfUmGRH51C7ARLyBTAARKI"/>
            <w:r>
              <w:t xml:space="preserve">Clause </w:t>
            </w:r>
            <w:bookmarkEnd w:id="113"/>
            <w:r>
              <w:t>5.10 (</w:t>
            </w:r>
            <w:r w:rsidRPr="003463DC">
              <w:rPr>
                <w:i/>
              </w:rPr>
              <w:t>Optional Services</w:t>
            </w:r>
            <w:r>
              <w:t>);</w:t>
            </w:r>
          </w:p>
        </w:tc>
      </w:tr>
      <w:tr w:rsidR="001421AE" w14:paraId="0562E6BA" w14:textId="77777777" w:rsidTr="006816C5">
        <w:tc>
          <w:tcPr>
            <w:tcW w:w="3493" w:type="dxa"/>
          </w:tcPr>
          <w:p w14:paraId="0A89F5A8" w14:textId="77777777" w:rsidR="001421AE" w:rsidRDefault="001421AE" w:rsidP="00813948">
            <w:pPr>
              <w:pStyle w:val="StdBodyTextBold"/>
            </w:pPr>
            <w:r>
              <w:t>“Other Supplier”</w:t>
            </w:r>
          </w:p>
        </w:tc>
        <w:tc>
          <w:tcPr>
            <w:tcW w:w="5245" w:type="dxa"/>
          </w:tcPr>
          <w:p w14:paraId="69A1F5E3" w14:textId="38DA5F89" w:rsidR="001421AE" w:rsidRDefault="001421AE" w:rsidP="00813948">
            <w:pPr>
              <w:pStyle w:val="StdBodyText"/>
            </w:pPr>
            <w:r>
              <w:t>any supplier to the Authority (other than the Supplier) which is notified to the Supplier from time to time;</w:t>
            </w:r>
          </w:p>
        </w:tc>
      </w:tr>
      <w:tr w:rsidR="001421AE" w14:paraId="2B5D8C33" w14:textId="77777777" w:rsidTr="006816C5">
        <w:tc>
          <w:tcPr>
            <w:tcW w:w="3493" w:type="dxa"/>
          </w:tcPr>
          <w:p w14:paraId="3E3A1834" w14:textId="77777777" w:rsidR="001421AE" w:rsidRDefault="001421AE" w:rsidP="00813948">
            <w:pPr>
              <w:pStyle w:val="StdBodyTextBold"/>
            </w:pPr>
            <w:r>
              <w:t>“Outline Implementation Plan”</w:t>
            </w:r>
          </w:p>
        </w:tc>
        <w:tc>
          <w:tcPr>
            <w:tcW w:w="5245" w:type="dxa"/>
          </w:tcPr>
          <w:p w14:paraId="55BF6A4A" w14:textId="36B5D026" w:rsidR="001421AE" w:rsidRDefault="001421AE" w:rsidP="00813948">
            <w:pPr>
              <w:pStyle w:val="StdBodyText"/>
            </w:pPr>
            <w:r>
              <w:t>the outline plan set out at Annex 1 of Schedule 6.1 (</w:t>
            </w:r>
            <w:r w:rsidRPr="003463DC">
              <w:rPr>
                <w:i/>
              </w:rPr>
              <w:t>Implementation Plan</w:t>
            </w:r>
            <w:r>
              <w:t>);</w:t>
            </w:r>
          </w:p>
        </w:tc>
      </w:tr>
      <w:tr w:rsidR="001421AE" w14:paraId="4C768627" w14:textId="77777777" w:rsidTr="006816C5">
        <w:tc>
          <w:tcPr>
            <w:tcW w:w="3493" w:type="dxa"/>
          </w:tcPr>
          <w:p w14:paraId="3ED848E9" w14:textId="77777777" w:rsidR="001421AE" w:rsidRDefault="001421AE" w:rsidP="00813948">
            <w:pPr>
              <w:pStyle w:val="StdBodyTextBold"/>
            </w:pPr>
            <w:r>
              <w:t>“Parent Undertaking”</w:t>
            </w:r>
          </w:p>
        </w:tc>
        <w:tc>
          <w:tcPr>
            <w:tcW w:w="5245" w:type="dxa"/>
          </w:tcPr>
          <w:p w14:paraId="0A71D7F5" w14:textId="77777777" w:rsidR="001421AE" w:rsidRDefault="001421AE" w:rsidP="00813948">
            <w:pPr>
              <w:pStyle w:val="StdBodyText"/>
            </w:pPr>
            <w:r>
              <w:t xml:space="preserve">has the meaning set out in </w:t>
            </w:r>
            <w:bookmarkStart w:id="114" w:name="_9kR3WTr277DHC2rcszv1FHNP8z58uQVCE32B3El"/>
            <w:r>
              <w:t>section 1162 of the Companies Act 2006</w:t>
            </w:r>
            <w:bookmarkEnd w:id="114"/>
            <w:r>
              <w:t>;</w:t>
            </w:r>
          </w:p>
        </w:tc>
      </w:tr>
      <w:tr w:rsidR="001421AE" w14:paraId="52D5C0FA" w14:textId="77777777" w:rsidTr="006816C5">
        <w:tc>
          <w:tcPr>
            <w:tcW w:w="3493" w:type="dxa"/>
          </w:tcPr>
          <w:p w14:paraId="7A057030" w14:textId="77777777" w:rsidR="001421AE" w:rsidRDefault="001421AE" w:rsidP="00813948">
            <w:pPr>
              <w:pStyle w:val="StdBodyTextBold"/>
            </w:pPr>
            <w:r>
              <w:t>“Partial Termination”</w:t>
            </w:r>
          </w:p>
        </w:tc>
        <w:tc>
          <w:tcPr>
            <w:tcW w:w="5245" w:type="dxa"/>
          </w:tcPr>
          <w:p w14:paraId="3DADE277" w14:textId="77777777" w:rsidR="001421AE" w:rsidRDefault="001421AE" w:rsidP="00813948">
            <w:pPr>
              <w:pStyle w:val="StdBodyText"/>
            </w:pPr>
            <w:r>
              <w:t xml:space="preserve">the partial termination of this Agreement to the extent that it relates to the provision of any part of the Services as further provided for in </w:t>
            </w:r>
            <w:bookmarkStart w:id="115" w:name="_9kMIH5YVtCIAAJNJGGpiiuE4q16wwANJKBAJBD6"/>
            <w:r>
              <w:t xml:space="preserve">Clause </w:t>
            </w:r>
            <w:bookmarkEnd w:id="115"/>
            <w:r>
              <w:t>34.2(b) (</w:t>
            </w:r>
            <w:r w:rsidRPr="003463DC">
              <w:rPr>
                <w:i/>
              </w:rPr>
              <w:t>Termination by the Authority</w:t>
            </w:r>
            <w:r>
              <w:t>) or 34.3(b) (</w:t>
            </w:r>
            <w:r w:rsidRPr="003463DC">
              <w:rPr>
                <w:i/>
              </w:rPr>
              <w:t>Termination by the Supplier</w:t>
            </w:r>
            <w:r>
              <w:t>) or otherwise by mutual agreement by the Parties;</w:t>
            </w:r>
          </w:p>
        </w:tc>
      </w:tr>
      <w:tr w:rsidR="001421AE" w14:paraId="27146321" w14:textId="77777777" w:rsidTr="006816C5">
        <w:tc>
          <w:tcPr>
            <w:tcW w:w="3493" w:type="dxa"/>
          </w:tcPr>
          <w:p w14:paraId="6D59172D" w14:textId="77777777" w:rsidR="001421AE" w:rsidRDefault="001421AE" w:rsidP="00813948">
            <w:pPr>
              <w:pStyle w:val="StdBodyText"/>
            </w:pPr>
            <w:r w:rsidRPr="003463DC">
              <w:rPr>
                <w:rStyle w:val="StdBodyTextBoldChar"/>
              </w:rPr>
              <w:t>“Parties”</w:t>
            </w:r>
            <w:r>
              <w:t xml:space="preserve"> and </w:t>
            </w:r>
            <w:r w:rsidRPr="003463DC">
              <w:rPr>
                <w:rStyle w:val="StdBodyTextBoldChar"/>
              </w:rPr>
              <w:t>“Party”</w:t>
            </w:r>
          </w:p>
        </w:tc>
        <w:tc>
          <w:tcPr>
            <w:tcW w:w="5245" w:type="dxa"/>
          </w:tcPr>
          <w:p w14:paraId="0DDB09D2" w14:textId="77777777" w:rsidR="001421AE" w:rsidRDefault="001421AE" w:rsidP="00813948">
            <w:pPr>
              <w:pStyle w:val="StdBodyText"/>
            </w:pPr>
            <w:r>
              <w:t>have the meanings respectively given on page 1 of this Agreement;</w:t>
            </w:r>
          </w:p>
        </w:tc>
      </w:tr>
      <w:tr w:rsidR="001421AE" w14:paraId="5AF78A86" w14:textId="77777777" w:rsidTr="006816C5">
        <w:tc>
          <w:tcPr>
            <w:tcW w:w="3493" w:type="dxa"/>
          </w:tcPr>
          <w:p w14:paraId="542BB869" w14:textId="77777777" w:rsidR="001421AE" w:rsidRPr="003463DC" w:rsidRDefault="001421AE" w:rsidP="00813948">
            <w:pPr>
              <w:pStyle w:val="StdBodyTextBold"/>
              <w:rPr>
                <w:rStyle w:val="StdBodyTextBoldChar"/>
                <w:b/>
              </w:rPr>
            </w:pPr>
            <w:r w:rsidRPr="003463DC">
              <w:t>“Performance Failure”</w:t>
            </w:r>
          </w:p>
        </w:tc>
        <w:tc>
          <w:tcPr>
            <w:tcW w:w="5245" w:type="dxa"/>
          </w:tcPr>
          <w:p w14:paraId="2C4E82AA" w14:textId="77777777" w:rsidR="001421AE" w:rsidRDefault="001421AE" w:rsidP="00813948">
            <w:pPr>
              <w:pStyle w:val="StdBodyText"/>
            </w:pPr>
            <w:r>
              <w:t>a KPI Failure or a PI Failure;</w:t>
            </w:r>
          </w:p>
        </w:tc>
      </w:tr>
      <w:tr w:rsidR="001421AE" w14:paraId="5D84AF46" w14:textId="77777777" w:rsidTr="006816C5">
        <w:tc>
          <w:tcPr>
            <w:tcW w:w="3493" w:type="dxa"/>
          </w:tcPr>
          <w:p w14:paraId="658A1D8E" w14:textId="77777777" w:rsidR="001421AE" w:rsidRPr="003463DC" w:rsidRDefault="001421AE" w:rsidP="00813948">
            <w:pPr>
              <w:pStyle w:val="StdBodyTextBold"/>
            </w:pPr>
            <w:r>
              <w:t>“Performance Indicators”</w:t>
            </w:r>
          </w:p>
        </w:tc>
        <w:tc>
          <w:tcPr>
            <w:tcW w:w="5245" w:type="dxa"/>
          </w:tcPr>
          <w:p w14:paraId="7E9CB97B" w14:textId="77777777" w:rsidR="001421AE" w:rsidRDefault="001421AE" w:rsidP="00813948">
            <w:pPr>
              <w:pStyle w:val="StdBodyText"/>
            </w:pPr>
            <w:r>
              <w:t>the Key Performance Indicators and the Subsidiary Performance Indicators;</w:t>
            </w:r>
          </w:p>
        </w:tc>
      </w:tr>
      <w:tr w:rsidR="001421AE" w14:paraId="657CCFBE" w14:textId="77777777" w:rsidTr="006816C5">
        <w:tc>
          <w:tcPr>
            <w:tcW w:w="3493" w:type="dxa"/>
          </w:tcPr>
          <w:p w14:paraId="4644F98E" w14:textId="77777777" w:rsidR="001421AE" w:rsidRDefault="001421AE" w:rsidP="00813948">
            <w:pPr>
              <w:pStyle w:val="StdBodyTextBold"/>
            </w:pPr>
            <w:r>
              <w:t>“Performance Monitoring Report”</w:t>
            </w:r>
          </w:p>
        </w:tc>
        <w:tc>
          <w:tcPr>
            <w:tcW w:w="5245" w:type="dxa"/>
          </w:tcPr>
          <w:p w14:paraId="5F26905B" w14:textId="77FF101A" w:rsidR="001421AE" w:rsidRDefault="001421AE" w:rsidP="00813948">
            <w:pPr>
              <w:pStyle w:val="StdBodyText"/>
            </w:pPr>
            <w:r>
              <w:t>has the meaning given in Schedule 2.2 (</w:t>
            </w:r>
            <w:r w:rsidRPr="003463DC">
              <w:rPr>
                <w:i/>
              </w:rPr>
              <w:t>Performance</w:t>
            </w:r>
            <w:r>
              <w:t xml:space="preserve"> </w:t>
            </w:r>
            <w:r w:rsidRPr="003463DC">
              <w:rPr>
                <w:i/>
              </w:rPr>
              <w:t>Levels</w:t>
            </w:r>
            <w:r>
              <w:t>);</w:t>
            </w:r>
          </w:p>
        </w:tc>
      </w:tr>
      <w:tr w:rsidR="001421AE" w14:paraId="7896D3CC" w14:textId="77777777" w:rsidTr="006816C5">
        <w:tc>
          <w:tcPr>
            <w:tcW w:w="3493" w:type="dxa"/>
          </w:tcPr>
          <w:p w14:paraId="003AA051" w14:textId="77777777" w:rsidR="001421AE" w:rsidRDefault="001421AE" w:rsidP="00813948">
            <w:pPr>
              <w:pStyle w:val="StdBodyTextBold"/>
            </w:pPr>
            <w:r>
              <w:t xml:space="preserve">“Permitted </w:t>
            </w:r>
            <w:bookmarkStart w:id="116" w:name="_9kMH0H6ZWu5AAGNKbEhv7zursvn"/>
            <w:r>
              <w:t>Maintenance</w:t>
            </w:r>
            <w:bookmarkEnd w:id="116"/>
            <w:r>
              <w:t>”</w:t>
            </w:r>
          </w:p>
        </w:tc>
        <w:tc>
          <w:tcPr>
            <w:tcW w:w="5245" w:type="dxa"/>
          </w:tcPr>
          <w:p w14:paraId="6424F34E" w14:textId="77777777" w:rsidR="001421AE" w:rsidRDefault="001421AE" w:rsidP="00813948">
            <w:pPr>
              <w:pStyle w:val="StdBodyText"/>
            </w:pPr>
            <w:r>
              <w:t xml:space="preserve">has the meaning given in </w:t>
            </w:r>
            <w:bookmarkStart w:id="117" w:name="_9kMHG5YVtCJB9ACMNiTlXiC85zt3I9sx918BvBG"/>
            <w:bookmarkStart w:id="118" w:name="_9kMIH5YVtCIA9AFPNiTlXiC85zt3I9sx918BvBG"/>
            <w:bookmarkStart w:id="119" w:name="_9kMHG5YVt4AAFPIJNiTlXiC85zt3I9sx918BvBG"/>
            <w:r>
              <w:t xml:space="preserve">Clause </w:t>
            </w:r>
            <w:bookmarkEnd w:id="117"/>
            <w:bookmarkEnd w:id="118"/>
            <w:bookmarkEnd w:id="119"/>
            <w:r>
              <w:t>9.4 (</w:t>
            </w:r>
            <w:bookmarkStart w:id="120" w:name="_9kMH1I6ZWu5AAGNKbEhv7zursvn"/>
            <w:r w:rsidRPr="003463DC">
              <w:rPr>
                <w:i/>
              </w:rPr>
              <w:t>Maintenance</w:t>
            </w:r>
            <w:bookmarkEnd w:id="120"/>
            <w:r>
              <w:t>);</w:t>
            </w:r>
          </w:p>
        </w:tc>
      </w:tr>
      <w:tr w:rsidR="001421AE" w14:paraId="30E2BB75" w14:textId="77777777" w:rsidTr="006816C5">
        <w:tc>
          <w:tcPr>
            <w:tcW w:w="3493" w:type="dxa"/>
          </w:tcPr>
          <w:p w14:paraId="4D4826E1" w14:textId="77777777" w:rsidR="001421AE" w:rsidRDefault="001421AE" w:rsidP="00813948">
            <w:pPr>
              <w:pStyle w:val="StdBodyTextBold"/>
            </w:pPr>
            <w:r>
              <w:t>“Personal Data Breach”</w:t>
            </w:r>
          </w:p>
        </w:tc>
        <w:tc>
          <w:tcPr>
            <w:tcW w:w="5245" w:type="dxa"/>
          </w:tcPr>
          <w:p w14:paraId="6408639F" w14:textId="2C8FD506" w:rsidR="001421AE" w:rsidRDefault="001421AE" w:rsidP="00813948">
            <w:pPr>
              <w:pStyle w:val="StdBodyText"/>
            </w:pPr>
            <w:r>
              <w:t>has the meaning given in the UK GDPR or the EU GDPR as the context requires;</w:t>
            </w:r>
          </w:p>
        </w:tc>
      </w:tr>
      <w:tr w:rsidR="001421AE" w14:paraId="2C0C5074" w14:textId="77777777" w:rsidTr="006816C5">
        <w:tc>
          <w:tcPr>
            <w:tcW w:w="3493" w:type="dxa"/>
          </w:tcPr>
          <w:p w14:paraId="053E322D" w14:textId="77777777" w:rsidR="001421AE" w:rsidRDefault="001421AE" w:rsidP="00813948">
            <w:pPr>
              <w:pStyle w:val="StdBodyTextBold"/>
            </w:pPr>
            <w:r>
              <w:t>“Personal Data”</w:t>
            </w:r>
          </w:p>
        </w:tc>
        <w:tc>
          <w:tcPr>
            <w:tcW w:w="5245" w:type="dxa"/>
          </w:tcPr>
          <w:p w14:paraId="3E17A471" w14:textId="24EC213F" w:rsidR="001421AE" w:rsidRDefault="001421AE" w:rsidP="00813948">
            <w:pPr>
              <w:pStyle w:val="StdBodyText"/>
            </w:pPr>
            <w:r>
              <w:t>has the meaning given in the UK GDPR or the EU GDPR as the context requires;</w:t>
            </w:r>
          </w:p>
        </w:tc>
      </w:tr>
      <w:tr w:rsidR="001421AE" w14:paraId="776D2A77" w14:textId="77777777" w:rsidTr="006816C5">
        <w:tc>
          <w:tcPr>
            <w:tcW w:w="3493" w:type="dxa"/>
          </w:tcPr>
          <w:p w14:paraId="6F773DF7" w14:textId="77777777" w:rsidR="001421AE" w:rsidRDefault="001421AE" w:rsidP="00813948">
            <w:pPr>
              <w:pStyle w:val="StdBodyTextBold"/>
            </w:pPr>
            <w:r>
              <w:t>“PI Failure”</w:t>
            </w:r>
          </w:p>
        </w:tc>
        <w:tc>
          <w:tcPr>
            <w:tcW w:w="5245" w:type="dxa"/>
          </w:tcPr>
          <w:p w14:paraId="4C91260A" w14:textId="77777777" w:rsidR="001421AE" w:rsidRDefault="001421AE" w:rsidP="00813948">
            <w:pPr>
              <w:pStyle w:val="StdBodyText"/>
            </w:pPr>
            <w:r>
              <w:t>a failure to meet the Target Performance Level in respect of a Subsidiary Performance Indicator;</w:t>
            </w:r>
          </w:p>
        </w:tc>
      </w:tr>
      <w:tr w:rsidR="001421AE" w14:paraId="2AD2D0D1" w14:textId="77777777" w:rsidTr="006816C5">
        <w:tc>
          <w:tcPr>
            <w:tcW w:w="3493" w:type="dxa"/>
          </w:tcPr>
          <w:p w14:paraId="32031975" w14:textId="77777777" w:rsidR="001421AE" w:rsidRDefault="001421AE" w:rsidP="00813948">
            <w:pPr>
              <w:pStyle w:val="StdBodyTextBold"/>
            </w:pPr>
            <w:r>
              <w:t>“PI Service Threshold”</w:t>
            </w:r>
          </w:p>
        </w:tc>
        <w:tc>
          <w:tcPr>
            <w:tcW w:w="5245" w:type="dxa"/>
          </w:tcPr>
          <w:p w14:paraId="3BF46BA8" w14:textId="04D86E9A" w:rsidR="001421AE" w:rsidRDefault="001421AE" w:rsidP="00813948">
            <w:pPr>
              <w:pStyle w:val="StdBodyText"/>
            </w:pPr>
            <w:r>
              <w:t xml:space="preserve">shall be as set out against the relevant Subsidiary Performance Indicator in </w:t>
            </w:r>
            <w:bookmarkStart w:id="121" w:name="_9kR3WTr2CC56EiIXjn5"/>
            <w:r>
              <w:t>Table 2</w:t>
            </w:r>
            <w:bookmarkEnd w:id="121"/>
            <w:r>
              <w:t xml:space="preserve"> in Part A of Annex 1 of Schedule 2.2 (</w:t>
            </w:r>
            <w:r w:rsidRPr="003463DC">
              <w:rPr>
                <w:i/>
              </w:rPr>
              <w:t>Performance Levels</w:t>
            </w:r>
            <w:r>
              <w:t>);</w:t>
            </w:r>
          </w:p>
        </w:tc>
      </w:tr>
      <w:tr w:rsidR="001421AE" w14:paraId="3BEAE7FB" w14:textId="77777777" w:rsidTr="006816C5">
        <w:tc>
          <w:tcPr>
            <w:tcW w:w="3493" w:type="dxa"/>
          </w:tcPr>
          <w:p w14:paraId="74A1B205" w14:textId="77777777" w:rsidR="001421AE" w:rsidRDefault="001421AE" w:rsidP="00813948">
            <w:pPr>
              <w:pStyle w:val="StdBodyTextBold"/>
            </w:pPr>
            <w:r>
              <w:t>“Preceding Services”</w:t>
            </w:r>
          </w:p>
        </w:tc>
        <w:tc>
          <w:tcPr>
            <w:tcW w:w="5245" w:type="dxa"/>
          </w:tcPr>
          <w:p w14:paraId="7A3770AF" w14:textId="77777777" w:rsidR="001421AE" w:rsidRDefault="001421AE" w:rsidP="00813948">
            <w:pPr>
              <w:pStyle w:val="StdBodyText"/>
            </w:pPr>
            <w:r>
              <w:t xml:space="preserve">has the meaning given in </w:t>
            </w:r>
            <w:bookmarkStart w:id="122" w:name="_9kMHG5YVtCIA9JNKHow3mxy"/>
            <w:bookmarkStart w:id="123" w:name="_9kMHG5YVtCJB9JOLHow3mxy"/>
            <w:r>
              <w:t xml:space="preserve">Clause </w:t>
            </w:r>
            <w:bookmarkEnd w:id="122"/>
            <w:bookmarkEnd w:id="123"/>
            <w:r>
              <w:t>5.2(b) (</w:t>
            </w:r>
            <w:r w:rsidRPr="003463DC">
              <w:rPr>
                <w:i/>
              </w:rPr>
              <w:t>Standard of Services</w:t>
            </w:r>
            <w:r>
              <w:t>);</w:t>
            </w:r>
          </w:p>
        </w:tc>
      </w:tr>
      <w:tr w:rsidR="001421AE" w14:paraId="2A8B2983" w14:textId="77777777" w:rsidTr="006816C5">
        <w:tc>
          <w:tcPr>
            <w:tcW w:w="3493" w:type="dxa"/>
          </w:tcPr>
          <w:p w14:paraId="3DD24C25" w14:textId="77777777" w:rsidR="001421AE" w:rsidRDefault="001421AE" w:rsidP="00813948">
            <w:pPr>
              <w:pStyle w:val="StdBodyTextBold"/>
            </w:pPr>
            <w:r>
              <w:t>“Prescribed Person”</w:t>
            </w:r>
          </w:p>
        </w:tc>
        <w:tc>
          <w:tcPr>
            <w:tcW w:w="5245" w:type="dxa"/>
          </w:tcPr>
          <w:p w14:paraId="47BFF79D" w14:textId="77777777" w:rsidR="001421AE" w:rsidRDefault="001421AE" w:rsidP="00397235">
            <w:pPr>
              <w:pStyle w:val="StdBodyText"/>
            </w:pPr>
            <w:r>
              <w:t>a legal adviser, an MP, or an appropriate body which a whistle-blower may make a disclosure to as detailed in ‘Whistleblowing: list of prescribed people and bodies’, available online at: https://www.gov.uk/government/publications/blowing-the-whistle-list-ofprescribed-people-and-bodies--2/whistleblowing-list-of-prescribed-people-andbodies, as updated from time to time;</w:t>
            </w:r>
          </w:p>
        </w:tc>
      </w:tr>
      <w:tr w:rsidR="001421AE" w14:paraId="2A8CCBE1" w14:textId="77777777" w:rsidTr="006816C5">
        <w:tc>
          <w:tcPr>
            <w:tcW w:w="3493" w:type="dxa"/>
          </w:tcPr>
          <w:p w14:paraId="37C45A83" w14:textId="77777777" w:rsidR="001421AE" w:rsidRDefault="001421AE" w:rsidP="00813948">
            <w:pPr>
              <w:pStyle w:val="StdBodyTextBold"/>
            </w:pPr>
            <w:r>
              <w:t>“Processor Personnel”</w:t>
            </w:r>
          </w:p>
        </w:tc>
        <w:tc>
          <w:tcPr>
            <w:tcW w:w="5245" w:type="dxa"/>
          </w:tcPr>
          <w:p w14:paraId="02D117DB" w14:textId="11C42E1A" w:rsidR="001421AE" w:rsidRDefault="001421AE" w:rsidP="00813948">
            <w:pPr>
              <w:pStyle w:val="StdBodyText"/>
            </w:pPr>
            <w:r>
              <w:t>means all directors, officers, employees, agents, consultants and suppliers of the Processor and/or of any Sub-processor engaged in the performance of its obligations under this Agreement;</w:t>
            </w:r>
          </w:p>
        </w:tc>
      </w:tr>
      <w:tr w:rsidR="001421AE" w14:paraId="59A1D59A" w14:textId="77777777" w:rsidTr="006816C5">
        <w:tc>
          <w:tcPr>
            <w:tcW w:w="3493" w:type="dxa"/>
          </w:tcPr>
          <w:p w14:paraId="76764DBB" w14:textId="77777777" w:rsidR="001421AE" w:rsidRDefault="001421AE" w:rsidP="00813948">
            <w:pPr>
              <w:pStyle w:val="StdBodyTextBold"/>
            </w:pPr>
            <w:r>
              <w:t>“Processor”</w:t>
            </w:r>
          </w:p>
        </w:tc>
        <w:tc>
          <w:tcPr>
            <w:tcW w:w="5245" w:type="dxa"/>
          </w:tcPr>
          <w:p w14:paraId="3390EB5B" w14:textId="2E296879" w:rsidR="001421AE" w:rsidRDefault="001421AE" w:rsidP="00813948">
            <w:pPr>
              <w:pStyle w:val="StdBodyText"/>
            </w:pPr>
            <w:r>
              <w:t>has the meaning given to it under the UK GDPR or the EU GDPR as the context requires;</w:t>
            </w:r>
          </w:p>
        </w:tc>
      </w:tr>
      <w:tr w:rsidR="001421AE" w14:paraId="7BA9E60E" w14:textId="77777777" w:rsidTr="006816C5">
        <w:tc>
          <w:tcPr>
            <w:tcW w:w="3493" w:type="dxa"/>
          </w:tcPr>
          <w:p w14:paraId="308C6317" w14:textId="77777777" w:rsidR="001421AE" w:rsidRDefault="001421AE" w:rsidP="00813948">
            <w:pPr>
              <w:pStyle w:val="StdBodyTextBold"/>
            </w:pPr>
            <w:r>
              <w:t>“Programme Board”</w:t>
            </w:r>
          </w:p>
        </w:tc>
        <w:tc>
          <w:tcPr>
            <w:tcW w:w="5245" w:type="dxa"/>
          </w:tcPr>
          <w:p w14:paraId="14C243A6" w14:textId="6E77792A" w:rsidR="001421AE" w:rsidRDefault="001421AE" w:rsidP="00813948">
            <w:pPr>
              <w:pStyle w:val="StdBodyText"/>
            </w:pPr>
            <w:r>
              <w:t xml:space="preserve">the body described in </w:t>
            </w:r>
            <w:bookmarkStart w:id="124" w:name="_9kR3WTr2CC56FfEnoewrqyF"/>
            <w:r>
              <w:t xml:space="preserve">Paragraph </w:t>
            </w:r>
            <w:bookmarkEnd w:id="124"/>
            <w:r>
              <w:t>5 of Schedule 8.1 (</w:t>
            </w:r>
            <w:r w:rsidRPr="00AE0B30">
              <w:rPr>
                <w:i/>
              </w:rPr>
              <w:t>Governance</w:t>
            </w:r>
            <w:r>
              <w:t>);</w:t>
            </w:r>
          </w:p>
        </w:tc>
      </w:tr>
      <w:tr w:rsidR="001421AE" w14:paraId="152F23BF" w14:textId="77777777" w:rsidTr="004C473C">
        <w:tc>
          <w:tcPr>
            <w:tcW w:w="3493" w:type="dxa"/>
          </w:tcPr>
          <w:p w14:paraId="3FEBB47A" w14:textId="77777777" w:rsidR="001421AE" w:rsidRDefault="001421AE" w:rsidP="00813948">
            <w:pPr>
              <w:pStyle w:val="StdBodyTextBold"/>
            </w:pPr>
            <w:r>
              <w:t>“Prohibited Act”</w:t>
            </w:r>
          </w:p>
        </w:tc>
        <w:tc>
          <w:tcPr>
            <w:tcW w:w="5245" w:type="dxa"/>
          </w:tcPr>
          <w:p w14:paraId="50777CDE" w14:textId="77777777" w:rsidR="001421AE" w:rsidRDefault="001421AE" w:rsidP="00AD2EE4">
            <w:pPr>
              <w:pStyle w:val="DefinitionList"/>
              <w:numPr>
                <w:ilvl w:val="0"/>
                <w:numId w:val="55"/>
              </w:numPr>
            </w:pPr>
            <w:r>
              <w:t>to directly or indirectly offer, promise or give any person working for or engaged by the Authority a financial or other advantage to:</w:t>
            </w:r>
          </w:p>
          <w:p w14:paraId="12FE349B" w14:textId="77777777" w:rsidR="001421AE" w:rsidRDefault="001421AE" w:rsidP="002C2496">
            <w:pPr>
              <w:pStyle w:val="DefinitionListLevel1"/>
            </w:pPr>
            <w:r>
              <w:t xml:space="preserve">induce that person to perform improperly a relevant function or activity; or </w:t>
            </w:r>
          </w:p>
          <w:p w14:paraId="3D34DDA0" w14:textId="77777777" w:rsidR="001421AE" w:rsidRDefault="001421AE" w:rsidP="002C2496">
            <w:pPr>
              <w:pStyle w:val="DefinitionListLevel1"/>
            </w:pPr>
            <w:r>
              <w:t>reward that person for improper performance of a relevant function or activity;</w:t>
            </w:r>
          </w:p>
          <w:p w14:paraId="30270942" w14:textId="77777777" w:rsidR="001421AE" w:rsidRDefault="001421AE" w:rsidP="002C2496">
            <w:pPr>
              <w:pStyle w:val="DefinitionList"/>
            </w:pPr>
            <w:r>
              <w:t>to directly or indirectly request, agree to receive or accept any financial or other advantage as an inducement or a reward for improper performance of a relevant function or activity in connection with this Agreement;</w:t>
            </w:r>
          </w:p>
          <w:p w14:paraId="649B036A" w14:textId="77777777" w:rsidR="001421AE" w:rsidRDefault="001421AE" w:rsidP="002C2496">
            <w:pPr>
              <w:pStyle w:val="DefinitionList"/>
            </w:pPr>
            <w:bookmarkStart w:id="125" w:name="_Ref_ContractCompanion_9kb9Ur28B"/>
            <w:bookmarkStart w:id="126" w:name="_9kR3WTrAG86CHftjmj09ubgeA1wrsB8tQKABt5K"/>
            <w:bookmarkStart w:id="127" w:name="_9kR3WTr299DIBatjmj09ubgeA1wrsB8tQKABt5K"/>
            <w:r>
              <w:t>an offence:</w:t>
            </w:r>
            <w:bookmarkEnd w:id="125"/>
            <w:bookmarkEnd w:id="126"/>
            <w:bookmarkEnd w:id="127"/>
          </w:p>
          <w:p w14:paraId="29DEDC91" w14:textId="77777777" w:rsidR="001421AE" w:rsidRDefault="001421AE" w:rsidP="002C2496">
            <w:pPr>
              <w:pStyle w:val="DefinitionListLevel1"/>
            </w:pPr>
            <w:r>
              <w:t xml:space="preserve">under the </w:t>
            </w:r>
            <w:bookmarkStart w:id="128" w:name="_9kMHG5YVt499FOJNJxifwHbA0RMMN"/>
            <w:r>
              <w:t>Bribery Act 2010</w:t>
            </w:r>
            <w:bookmarkEnd w:id="128"/>
            <w:r>
              <w:t xml:space="preserve"> (or any legislation repealed or revoked by such Act); </w:t>
            </w:r>
          </w:p>
          <w:p w14:paraId="65C05F18" w14:textId="77777777" w:rsidR="001421AE" w:rsidRDefault="001421AE" w:rsidP="002C2496">
            <w:pPr>
              <w:pStyle w:val="DefinitionListLevel1"/>
            </w:pPr>
            <w:r>
              <w:t>under legislation or common law concerning fraudulent acts; or</w:t>
            </w:r>
          </w:p>
          <w:p w14:paraId="200D134E" w14:textId="77777777" w:rsidR="001421AE" w:rsidRDefault="001421AE" w:rsidP="002C2496">
            <w:pPr>
              <w:pStyle w:val="DefinitionListLevel1"/>
            </w:pPr>
            <w:r>
              <w:t xml:space="preserve">defrauding, attempting to defraud or conspiring to defraud the Authority (including offences by the Supplier under </w:t>
            </w:r>
            <w:bookmarkStart w:id="129" w:name="_9kR3WTr277DJIdEn7K3tz2oKS5124xwcU9236yF"/>
            <w:r>
              <w:t>Part 3 of the Criminal Finances Act 2017</w:t>
            </w:r>
            <w:bookmarkEnd w:id="129"/>
            <w:r>
              <w:t>); or</w:t>
            </w:r>
          </w:p>
          <w:p w14:paraId="30AA6D48" w14:textId="77777777" w:rsidR="001421AE" w:rsidRDefault="001421AE" w:rsidP="002C2496">
            <w:pPr>
              <w:pStyle w:val="DefinitionList"/>
            </w:pPr>
            <w:r>
              <w:t xml:space="preserve">any activity, practice or conduct which would constitute one of the offences listed under </w:t>
            </w:r>
            <w:bookmarkStart w:id="130" w:name="_9kMHG5YVtCIA8EJhvlol2BwdigC3ytuDAvSMCDv"/>
            <w:r>
              <w:fldChar w:fldCharType="begin"/>
            </w:r>
            <w:r>
              <w:instrText xml:space="preserve"> REF _Ref_ContractCompanion_9kb9Ur28B \w \n \h \t \* MERGEFORMAT </w:instrText>
            </w:r>
            <w:r>
              <w:fldChar w:fldCharType="separate"/>
            </w:r>
            <w:bookmarkStart w:id="131" w:name="_9kMHG5YVt4BBFKDcvlol2BwdigC3ytuDAvSMCDv"/>
            <w:r>
              <w:t>(c)</w:t>
            </w:r>
            <w:bookmarkEnd w:id="131"/>
            <w:r>
              <w:fldChar w:fldCharType="end"/>
            </w:r>
            <w:bookmarkEnd w:id="130"/>
            <w:r>
              <w:t xml:space="preserve"> above if such activity, practice or conduct had been carried out in the UK;</w:t>
            </w:r>
          </w:p>
        </w:tc>
      </w:tr>
      <w:tr w:rsidR="001421AE" w14:paraId="10969D9D" w14:textId="77777777" w:rsidTr="006816C5">
        <w:tc>
          <w:tcPr>
            <w:tcW w:w="3493" w:type="dxa"/>
          </w:tcPr>
          <w:p w14:paraId="4C7B1FE4" w14:textId="77777777" w:rsidR="001421AE" w:rsidRDefault="001421AE" w:rsidP="00813948">
            <w:pPr>
              <w:pStyle w:val="StdBodyTextBold"/>
            </w:pPr>
            <w:r>
              <w:t>“Project Specific IPRs”</w:t>
            </w:r>
          </w:p>
        </w:tc>
        <w:tc>
          <w:tcPr>
            <w:tcW w:w="5245" w:type="dxa"/>
          </w:tcPr>
          <w:p w14:paraId="2A834EF0" w14:textId="77777777" w:rsidR="001421AE" w:rsidRDefault="001421AE" w:rsidP="00AD2EE4">
            <w:pPr>
              <w:pStyle w:val="DefinitionList"/>
              <w:numPr>
                <w:ilvl w:val="0"/>
                <w:numId w:val="56"/>
              </w:numPr>
            </w:pPr>
            <w:r>
              <w:t>Intellectual Property Rights in items created by the Supplier (or by a third party on behalf of the Supplier) specifically for the purposes of this Agreement and updates and amendments of these items including (but not limited to) database schema; and/or</w:t>
            </w:r>
          </w:p>
          <w:p w14:paraId="0A781040" w14:textId="77777777" w:rsidR="001421AE" w:rsidRDefault="001421AE" w:rsidP="002C2496">
            <w:pPr>
              <w:pStyle w:val="DefinitionList"/>
            </w:pPr>
            <w:r>
              <w:t xml:space="preserve">Intellectual Property Rights arising as a result of the performance of the </w:t>
            </w:r>
            <w:bookmarkStart w:id="132" w:name="_9kML6J6ZWu9A679B"/>
            <w:r>
              <w:t>Supplier's</w:t>
            </w:r>
            <w:bookmarkEnd w:id="132"/>
            <w:r>
              <w:t xml:space="preserve"> obligations under this Agreement;</w:t>
            </w:r>
          </w:p>
          <w:p w14:paraId="3B143088" w14:textId="77777777" w:rsidR="001421AE" w:rsidRDefault="001421AE" w:rsidP="00813948">
            <w:pPr>
              <w:pStyle w:val="StdBodyText"/>
            </w:pPr>
            <w:r>
              <w:t>but shall not include the Supplier Background IPRs or the Specially Written Software;</w:t>
            </w:r>
          </w:p>
        </w:tc>
      </w:tr>
      <w:tr w:rsidR="001421AE" w14:paraId="1F93C701" w14:textId="77777777" w:rsidTr="006816C5">
        <w:tc>
          <w:tcPr>
            <w:tcW w:w="3493" w:type="dxa"/>
          </w:tcPr>
          <w:p w14:paraId="7D293918" w14:textId="77777777" w:rsidR="001421AE" w:rsidRDefault="001421AE" w:rsidP="00813948">
            <w:pPr>
              <w:pStyle w:val="StdBodyTextBold"/>
            </w:pPr>
            <w:r>
              <w:t>“Protective Measures”</w:t>
            </w:r>
          </w:p>
        </w:tc>
        <w:tc>
          <w:tcPr>
            <w:tcW w:w="5245" w:type="dxa"/>
          </w:tcPr>
          <w:p w14:paraId="31803C3D" w14:textId="77777777" w:rsidR="001421AE" w:rsidRDefault="001421AE" w:rsidP="00813948">
            <w:pPr>
              <w:pStyle w:val="StdBodyText"/>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421AE" w14:paraId="3F823FF0" w14:textId="77777777" w:rsidTr="006816C5">
        <w:tc>
          <w:tcPr>
            <w:tcW w:w="3493" w:type="dxa"/>
          </w:tcPr>
          <w:p w14:paraId="4676E8BB" w14:textId="77777777" w:rsidR="001421AE" w:rsidRDefault="001421AE" w:rsidP="00813948">
            <w:pPr>
              <w:pStyle w:val="StdBodyTextBold"/>
            </w:pPr>
            <w:r>
              <w:t>“Publishable Performance Information”</w:t>
            </w:r>
          </w:p>
        </w:tc>
        <w:tc>
          <w:tcPr>
            <w:tcW w:w="5245" w:type="dxa"/>
          </w:tcPr>
          <w:p w14:paraId="5ACB2CCB" w14:textId="77777777" w:rsidR="001421AE" w:rsidRDefault="001421AE" w:rsidP="00813948">
            <w:pPr>
              <w:pStyle w:val="StdBodyText"/>
            </w:pPr>
            <w:r>
              <w:t xml:space="preserve">means any of the information in the Performance Monitoring Report as it relates to a Performance Indicator where it is expressed as publishable in the table in </w:t>
            </w:r>
            <w:bookmarkStart w:id="133" w:name="_9kMON5YVt4EE6CGMEyq1P"/>
            <w:r>
              <w:t>Annex 1</w:t>
            </w:r>
            <w:bookmarkEnd w:id="133"/>
            <w:r>
              <w:t xml:space="preserve"> which shall not constitute Commercially Sensitive Information;</w:t>
            </w:r>
          </w:p>
        </w:tc>
      </w:tr>
      <w:tr w:rsidR="001421AE" w14:paraId="2508CF13" w14:textId="77777777" w:rsidTr="006816C5">
        <w:tc>
          <w:tcPr>
            <w:tcW w:w="3493" w:type="dxa"/>
          </w:tcPr>
          <w:p w14:paraId="02DBAC03" w14:textId="77777777" w:rsidR="001421AE" w:rsidRDefault="001421AE" w:rsidP="00813948">
            <w:pPr>
              <w:pStyle w:val="StdBodyTextBold"/>
            </w:pPr>
            <w:r>
              <w:t>“Quality Plans”</w:t>
            </w:r>
          </w:p>
        </w:tc>
        <w:tc>
          <w:tcPr>
            <w:tcW w:w="5245" w:type="dxa"/>
          </w:tcPr>
          <w:p w14:paraId="4062B00E" w14:textId="77777777" w:rsidR="001421AE" w:rsidRDefault="001421AE" w:rsidP="00813948">
            <w:pPr>
              <w:pStyle w:val="StdBodyText"/>
            </w:pPr>
            <w:r>
              <w:t xml:space="preserve">has the meaning given in </w:t>
            </w:r>
            <w:bookmarkStart w:id="134" w:name="_9kR3WTr2BB6GGKChrAvAL"/>
            <w:r>
              <w:t xml:space="preserve">Clause </w:t>
            </w:r>
            <w:bookmarkEnd w:id="134"/>
            <w:r>
              <w:t>6.1 (</w:t>
            </w:r>
            <w:r w:rsidRPr="00AE0B30">
              <w:rPr>
                <w:i/>
              </w:rPr>
              <w:t>Quality Plans</w:t>
            </w:r>
            <w:r>
              <w:t>);</w:t>
            </w:r>
          </w:p>
        </w:tc>
      </w:tr>
      <w:tr w:rsidR="001421AE" w14:paraId="7A6BC8ED" w14:textId="77777777" w:rsidTr="006816C5">
        <w:tc>
          <w:tcPr>
            <w:tcW w:w="3493" w:type="dxa"/>
          </w:tcPr>
          <w:p w14:paraId="5DFCC90B" w14:textId="77777777" w:rsidR="001421AE" w:rsidRDefault="001421AE" w:rsidP="00813948">
            <w:pPr>
              <w:pStyle w:val="StdBodyTextBold"/>
            </w:pPr>
            <w:r>
              <w:t>“Quarter”</w:t>
            </w:r>
          </w:p>
        </w:tc>
        <w:tc>
          <w:tcPr>
            <w:tcW w:w="5245" w:type="dxa"/>
          </w:tcPr>
          <w:p w14:paraId="45B98D3A" w14:textId="77777777" w:rsidR="001421AE" w:rsidRDefault="001421AE" w:rsidP="00813948">
            <w:pPr>
              <w:pStyle w:val="StdBodyText"/>
            </w:pPr>
            <w:r>
              <w:t>the first three Service Periods and each subsequent three Service Periods (save that the final Quarter shall end on the date of termination or expiry of this Agreement);</w:t>
            </w:r>
          </w:p>
        </w:tc>
      </w:tr>
      <w:tr w:rsidR="001421AE" w14:paraId="2D5CF49C" w14:textId="77777777" w:rsidTr="006816C5">
        <w:tc>
          <w:tcPr>
            <w:tcW w:w="3493" w:type="dxa"/>
          </w:tcPr>
          <w:p w14:paraId="14082AA8" w14:textId="77777777" w:rsidR="001421AE" w:rsidRDefault="001421AE" w:rsidP="00813948">
            <w:pPr>
              <w:pStyle w:val="StdBodyTextBold"/>
            </w:pPr>
            <w:r>
              <w:t>“Recipient”</w:t>
            </w:r>
          </w:p>
        </w:tc>
        <w:tc>
          <w:tcPr>
            <w:tcW w:w="5245" w:type="dxa"/>
          </w:tcPr>
          <w:p w14:paraId="18591A91" w14:textId="77777777" w:rsidR="001421AE" w:rsidRDefault="001421AE" w:rsidP="00813948">
            <w:pPr>
              <w:pStyle w:val="StdBodyText"/>
            </w:pPr>
            <w:r>
              <w:t xml:space="preserve">has the meaning given in </w:t>
            </w:r>
            <w:bookmarkStart w:id="135" w:name="_9kMIH5YVtCIACJIFDDSN6C3pyFIECG78J7DG6In"/>
            <w:bookmarkStart w:id="136" w:name="_9kMIH5YVtCJBCJJGDDSN6C3pyFIECG78J7DG6In"/>
            <w:r>
              <w:t xml:space="preserve">Clause </w:t>
            </w:r>
            <w:bookmarkEnd w:id="135"/>
            <w:bookmarkEnd w:id="136"/>
            <w:r>
              <w:t>22.1 (</w:t>
            </w:r>
            <w:r w:rsidRPr="00AE0B30">
              <w:rPr>
                <w:i/>
              </w:rPr>
              <w:t>Confidentiality</w:t>
            </w:r>
            <w:r>
              <w:t>);</w:t>
            </w:r>
          </w:p>
        </w:tc>
      </w:tr>
      <w:tr w:rsidR="001421AE" w14:paraId="60A29BB7" w14:textId="77777777" w:rsidTr="006816C5">
        <w:tc>
          <w:tcPr>
            <w:tcW w:w="3493" w:type="dxa"/>
          </w:tcPr>
          <w:p w14:paraId="6220C688" w14:textId="77777777" w:rsidR="001421AE" w:rsidRDefault="001421AE" w:rsidP="00813948">
            <w:pPr>
              <w:pStyle w:val="StdBodyTextBold"/>
            </w:pPr>
            <w:r>
              <w:t>“Records”</w:t>
            </w:r>
          </w:p>
        </w:tc>
        <w:tc>
          <w:tcPr>
            <w:tcW w:w="5245" w:type="dxa"/>
          </w:tcPr>
          <w:p w14:paraId="1E6D42A6" w14:textId="281CA2DA" w:rsidR="001421AE" w:rsidRDefault="001421AE" w:rsidP="00813948">
            <w:pPr>
              <w:pStyle w:val="StdBodyText"/>
            </w:pPr>
            <w:r>
              <w:t>has the meaning given in Schedule 8.4 (</w:t>
            </w:r>
            <w:r w:rsidRPr="00AE0B30">
              <w:rPr>
                <w:i/>
              </w:rPr>
              <w:t>Reports and Records Provisions</w:t>
            </w:r>
            <w:r>
              <w:t>);</w:t>
            </w:r>
          </w:p>
        </w:tc>
      </w:tr>
      <w:tr w:rsidR="001421AE" w14:paraId="713F4536" w14:textId="77777777" w:rsidTr="006816C5">
        <w:tc>
          <w:tcPr>
            <w:tcW w:w="3493" w:type="dxa"/>
          </w:tcPr>
          <w:p w14:paraId="593CAB46" w14:textId="77777777" w:rsidR="001421AE" w:rsidRDefault="001421AE" w:rsidP="00813948">
            <w:pPr>
              <w:pStyle w:val="StdBodyTextBold"/>
            </w:pPr>
            <w:r>
              <w:t>“Rectification Plan Failure”</w:t>
            </w:r>
          </w:p>
        </w:tc>
        <w:tc>
          <w:tcPr>
            <w:tcW w:w="5245" w:type="dxa"/>
          </w:tcPr>
          <w:p w14:paraId="07837692" w14:textId="77777777" w:rsidR="001421AE" w:rsidRDefault="001421AE" w:rsidP="00AD2EE4">
            <w:pPr>
              <w:pStyle w:val="DefinitionList"/>
              <w:numPr>
                <w:ilvl w:val="0"/>
                <w:numId w:val="57"/>
              </w:numPr>
            </w:pPr>
            <w:r>
              <w:t xml:space="preserve">the Supplier failing to submit or resubmit a draft Rectification Plan to the Authority within the timescales specified in </w:t>
            </w:r>
            <w:bookmarkStart w:id="137" w:name="_9kMIH5YVtCIABKOJJMjUmYjD960u4JAtyAISC5D"/>
            <w:r>
              <w:t xml:space="preserve">Clauses </w:t>
            </w:r>
            <w:bookmarkEnd w:id="137"/>
            <w:r>
              <w:t>28.4 (</w:t>
            </w:r>
            <w:r w:rsidRPr="00AF089B">
              <w:rPr>
                <w:i/>
              </w:rPr>
              <w:t>Submission of the draft Rectification Plan</w:t>
            </w:r>
            <w:r>
              <w:t>) or 28.8 (</w:t>
            </w:r>
            <w:r w:rsidRPr="00AF089B">
              <w:rPr>
                <w:i/>
              </w:rPr>
              <w:t>Agreement of the Rectification Plan</w:t>
            </w:r>
            <w:r>
              <w:t xml:space="preserve">); </w:t>
            </w:r>
          </w:p>
          <w:p w14:paraId="59688638" w14:textId="77777777" w:rsidR="001421AE" w:rsidRDefault="001421AE" w:rsidP="002C2496">
            <w:pPr>
              <w:pStyle w:val="DefinitionList"/>
            </w:pPr>
            <w:r>
              <w:t xml:space="preserve">the Authority, </w:t>
            </w:r>
            <w:bookmarkStart w:id="138" w:name="_9kR3WTr5DA49Ah"/>
            <w:bookmarkEnd w:id="138"/>
            <w:r>
              <w:t xml:space="preserve">acting reasonably, rejecting a revised draft of the Rectification Plan submitted by the Supplier pursuant to </w:t>
            </w:r>
            <w:bookmarkStart w:id="139" w:name="_9kMHG5YVtCIABKLGJPmUmGRH51C7ARLyBTA34yE"/>
            <w:r>
              <w:t xml:space="preserve">Clause </w:t>
            </w:r>
            <w:bookmarkEnd w:id="139"/>
            <w:r>
              <w:t>28.7 (</w:t>
            </w:r>
            <w:r w:rsidRPr="00AE0B30">
              <w:rPr>
                <w:i/>
              </w:rPr>
              <w:t>Agreement of the Rectification Plan</w:t>
            </w:r>
            <w:r>
              <w:t xml:space="preserve">); </w:t>
            </w:r>
          </w:p>
          <w:p w14:paraId="19F2019D" w14:textId="77777777" w:rsidR="001421AE" w:rsidRDefault="001421AE" w:rsidP="002C2496">
            <w:pPr>
              <w:pStyle w:val="DefinitionList"/>
            </w:pPr>
            <w:r>
              <w:t>the Supplier failing to rectify a material Default within the later of:</w:t>
            </w:r>
          </w:p>
          <w:p w14:paraId="7434B3C2" w14:textId="77777777" w:rsidR="001421AE" w:rsidRDefault="001421AE" w:rsidP="002C2496">
            <w:pPr>
              <w:pStyle w:val="DefinitionListLevel1"/>
            </w:pPr>
            <w:r>
              <w:t xml:space="preserve">30 Working Days of a notification made pursuant to </w:t>
            </w:r>
            <w:bookmarkStart w:id="140" w:name="_9kMIH5YVtCIABLICJKWH"/>
            <w:r>
              <w:t xml:space="preserve">Clause </w:t>
            </w:r>
            <w:bookmarkEnd w:id="140"/>
            <w:r>
              <w:t>28.2 (</w:t>
            </w:r>
            <w:r w:rsidRPr="00641D8F">
              <w:rPr>
                <w:i/>
              </w:rPr>
              <w:t>Notification</w:t>
            </w:r>
            <w:r>
              <w:t xml:space="preserve">); and </w:t>
            </w:r>
          </w:p>
          <w:p w14:paraId="24E0FD82" w14:textId="77777777" w:rsidR="001421AE" w:rsidRDefault="001421AE" w:rsidP="002C2496">
            <w:pPr>
              <w:pStyle w:val="DefinitionListLevel1"/>
            </w:pPr>
            <w: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666A2A95" w14:textId="77777777" w:rsidR="001421AE" w:rsidRDefault="001421AE" w:rsidP="002C2496">
            <w:pPr>
              <w:pStyle w:val="DefinitionList"/>
            </w:pPr>
            <w:r>
              <w:t xml:space="preserve">a Material KPI Failure re-occurring in respect of the same Key Performance Indicator for the same (or substantially the same) root cause in any of the 3 Measurement Periods subsequent to the Measurement Period in which the initial Material KPI Failure occurred; </w:t>
            </w:r>
          </w:p>
          <w:p w14:paraId="11F0857A" w14:textId="77777777" w:rsidR="001421AE" w:rsidRDefault="001421AE" w:rsidP="002C2496">
            <w:pPr>
              <w:pStyle w:val="DefinitionList"/>
            </w:pPr>
            <w:r>
              <w:t>the Supplier not Achieving a Key Milestone by the expiry of the Delay Deduction Period; and/or</w:t>
            </w:r>
          </w:p>
          <w:p w14:paraId="533D49A6" w14:textId="77777777" w:rsidR="001421AE" w:rsidRDefault="001421AE" w:rsidP="002C2496">
            <w:pPr>
              <w:pStyle w:val="DefinitionList"/>
            </w:pPr>
            <w:r>
              <w:t>following the successful implementation of a Rectification Plan, the same Notifiable Default recurring within a period of 6 months for the same (or substantially the same) root cause as that of the original Notifiable Default;</w:t>
            </w:r>
          </w:p>
        </w:tc>
      </w:tr>
      <w:tr w:rsidR="001421AE" w14:paraId="48659F9E" w14:textId="77777777" w:rsidTr="006816C5">
        <w:tc>
          <w:tcPr>
            <w:tcW w:w="3493" w:type="dxa"/>
          </w:tcPr>
          <w:p w14:paraId="234F15A4" w14:textId="77777777" w:rsidR="001421AE" w:rsidRDefault="001421AE" w:rsidP="00813948">
            <w:pPr>
              <w:pStyle w:val="StdBodyTextBold"/>
            </w:pPr>
            <w:r>
              <w:t>“Rectification Plan Process”</w:t>
            </w:r>
          </w:p>
        </w:tc>
        <w:tc>
          <w:tcPr>
            <w:tcW w:w="5245" w:type="dxa"/>
          </w:tcPr>
          <w:p w14:paraId="2BFDF325" w14:textId="77777777" w:rsidR="001421AE" w:rsidRDefault="001421AE" w:rsidP="00813948">
            <w:pPr>
              <w:pStyle w:val="StdBodyText"/>
            </w:pPr>
            <w:r>
              <w:t xml:space="preserve">the process set out in </w:t>
            </w:r>
            <w:bookmarkStart w:id="141" w:name="_9kMJI5YVtCIABKOJJMjUmYjD960u4JAtyAISC5D"/>
            <w:r>
              <w:t xml:space="preserve">Clauses </w:t>
            </w:r>
            <w:bookmarkEnd w:id="141"/>
            <w:r>
              <w:t>28.4 (</w:t>
            </w:r>
            <w:r w:rsidRPr="00641D8F">
              <w:rPr>
                <w:i/>
              </w:rPr>
              <w:t>Submission of the draft Rectification Plan</w:t>
            </w:r>
            <w:r>
              <w:t>) to 28.9 (</w:t>
            </w:r>
            <w:r w:rsidRPr="00641D8F">
              <w:rPr>
                <w:i/>
              </w:rPr>
              <w:t>Agreement of the Rectification Plan</w:t>
            </w:r>
            <w:r>
              <w:t>);</w:t>
            </w:r>
          </w:p>
        </w:tc>
      </w:tr>
      <w:tr w:rsidR="001421AE" w14:paraId="60B8E6BD" w14:textId="77777777" w:rsidTr="006816C5">
        <w:tc>
          <w:tcPr>
            <w:tcW w:w="3493" w:type="dxa"/>
          </w:tcPr>
          <w:p w14:paraId="7DA94DAE" w14:textId="77777777" w:rsidR="001421AE" w:rsidRDefault="001421AE" w:rsidP="00813948">
            <w:pPr>
              <w:pStyle w:val="StdBodyTextBold"/>
            </w:pPr>
            <w:r>
              <w:t>“Rectification Plan”</w:t>
            </w:r>
          </w:p>
        </w:tc>
        <w:tc>
          <w:tcPr>
            <w:tcW w:w="5245" w:type="dxa"/>
          </w:tcPr>
          <w:p w14:paraId="631611E2" w14:textId="77777777" w:rsidR="001421AE" w:rsidRDefault="001421AE" w:rsidP="00813948">
            <w:pPr>
              <w:pStyle w:val="StdBodyText"/>
            </w:pPr>
            <w:r>
              <w:t>a plan to address the impact of, and prevent the reoccurrence of, a Notifiable Default;</w:t>
            </w:r>
          </w:p>
        </w:tc>
      </w:tr>
      <w:tr w:rsidR="001421AE" w14:paraId="7A70812C" w14:textId="77777777" w:rsidTr="006816C5">
        <w:tc>
          <w:tcPr>
            <w:tcW w:w="3493" w:type="dxa"/>
          </w:tcPr>
          <w:p w14:paraId="3078C01F" w14:textId="77777777" w:rsidR="001421AE" w:rsidRDefault="001421AE" w:rsidP="00813948">
            <w:pPr>
              <w:pStyle w:val="StdBodyTextBold"/>
            </w:pPr>
            <w:r>
              <w:t xml:space="preserve">“Registers” </w:t>
            </w:r>
          </w:p>
        </w:tc>
        <w:tc>
          <w:tcPr>
            <w:tcW w:w="5245" w:type="dxa"/>
          </w:tcPr>
          <w:p w14:paraId="236F2879" w14:textId="3AC420F4" w:rsidR="001421AE" w:rsidRDefault="001421AE" w:rsidP="00813948">
            <w:pPr>
              <w:pStyle w:val="StdBodyText"/>
            </w:pPr>
            <w:r>
              <w:t>has the meaning given in Schedule 8.5 (</w:t>
            </w:r>
            <w:r w:rsidRPr="00641D8F">
              <w:rPr>
                <w:i/>
              </w:rPr>
              <w:t>Exit</w:t>
            </w:r>
            <w:r>
              <w:t xml:space="preserve"> </w:t>
            </w:r>
            <w:r w:rsidRPr="00641D8F">
              <w:rPr>
                <w:i/>
              </w:rPr>
              <w:t>Management</w:t>
            </w:r>
            <w:r>
              <w:t>);</w:t>
            </w:r>
          </w:p>
        </w:tc>
      </w:tr>
      <w:tr w:rsidR="001421AE" w14:paraId="5F0F175B" w14:textId="77777777" w:rsidTr="006816C5">
        <w:tc>
          <w:tcPr>
            <w:tcW w:w="3493" w:type="dxa"/>
          </w:tcPr>
          <w:p w14:paraId="49185F4F" w14:textId="77777777" w:rsidR="001421AE" w:rsidRDefault="001421AE" w:rsidP="00813948">
            <w:pPr>
              <w:pStyle w:val="StdBodyTextBold"/>
            </w:pPr>
            <w:r>
              <w:t>“Reimbursable Expenses”</w:t>
            </w:r>
          </w:p>
        </w:tc>
        <w:tc>
          <w:tcPr>
            <w:tcW w:w="5245" w:type="dxa"/>
          </w:tcPr>
          <w:p w14:paraId="470D29F3" w14:textId="11310217" w:rsidR="001421AE" w:rsidRDefault="001421AE" w:rsidP="00813948">
            <w:pPr>
              <w:pStyle w:val="StdBodyText"/>
            </w:pPr>
            <w:r>
              <w:t>has the meaning given in Schedule 7.1 (</w:t>
            </w:r>
            <w:r w:rsidRPr="00641D8F">
              <w:rPr>
                <w:i/>
              </w:rPr>
              <w:t>Charges and Invoicing</w:t>
            </w:r>
            <w:r>
              <w:t>);</w:t>
            </w:r>
          </w:p>
        </w:tc>
      </w:tr>
      <w:tr w:rsidR="001421AE" w14:paraId="47AC3921" w14:textId="77777777" w:rsidTr="006816C5">
        <w:tc>
          <w:tcPr>
            <w:tcW w:w="3493" w:type="dxa"/>
          </w:tcPr>
          <w:p w14:paraId="60FFF438" w14:textId="77777777" w:rsidR="001421AE" w:rsidRDefault="001421AE" w:rsidP="00813948">
            <w:pPr>
              <w:pStyle w:val="StdBodyTextBold"/>
            </w:pPr>
            <w:r>
              <w:t>“Relevant Author</w:t>
            </w:r>
            <w:bookmarkStart w:id="142" w:name="_9kR3WTr5DA49BZKlmxun7"/>
            <w:bookmarkEnd w:id="142"/>
            <w:r>
              <w:t>ity” or “Relevant Authorities”</w:t>
            </w:r>
          </w:p>
        </w:tc>
        <w:tc>
          <w:tcPr>
            <w:tcW w:w="5245" w:type="dxa"/>
          </w:tcPr>
          <w:p w14:paraId="5648F357" w14:textId="77777777" w:rsidR="001421AE" w:rsidRDefault="001421AE" w:rsidP="00813948">
            <w:pPr>
              <w:pStyle w:val="StdBodyText"/>
            </w:pPr>
            <w:r>
              <w:t xml:space="preserve">means the Authority and the Cabinet Office Markets and Suppliers </w:t>
            </w:r>
            <w:bookmarkStart w:id="143" w:name="_9kR3WTr5DA49CcMaj"/>
            <w:r>
              <w:t>Team</w:t>
            </w:r>
            <w:bookmarkEnd w:id="143"/>
            <w:r>
              <w:t xml:space="preserve"> or, where the Supplier is a Strategic Supplier, the Cabinet Office Markets and Suppliers Team;</w:t>
            </w:r>
          </w:p>
        </w:tc>
      </w:tr>
      <w:tr w:rsidR="001421AE" w14:paraId="18168792" w14:textId="77777777" w:rsidTr="006816C5">
        <w:tc>
          <w:tcPr>
            <w:tcW w:w="3493" w:type="dxa"/>
          </w:tcPr>
          <w:p w14:paraId="35188FBD" w14:textId="77777777" w:rsidR="001421AE" w:rsidRDefault="001421AE" w:rsidP="00813948">
            <w:pPr>
              <w:pStyle w:val="StdBodyTextBold"/>
            </w:pPr>
            <w:r>
              <w:t>“Relevant IPRs”</w:t>
            </w:r>
          </w:p>
        </w:tc>
        <w:tc>
          <w:tcPr>
            <w:tcW w:w="5245" w:type="dxa"/>
          </w:tcPr>
          <w:p w14:paraId="0A4F1CF5" w14:textId="77777777" w:rsidR="001421AE" w:rsidRDefault="001421AE" w:rsidP="00813948">
            <w:pPr>
              <w:pStyle w:val="StdBodyText"/>
            </w:pPr>
            <w:r>
              <w:t>IPRs used to provide the Services or as otherwise provided and/or licensed by the Supplier (or to which the Supplier has provided access) to the Authority or a third party in the fulfilment of the Supplier’s obligations under this Agreement including IPRs in the Specially Written Software, the Supplier Non-COTS Software, the Supplier Non-COTS Background IPRs, the Third Party Non-COTS Software and the Third Party Non-COTS IPRs but excluding any IPRs in the Authority Software, the Authority Background IPRs, the Supplier COTS Software, the Supplier COTS Background IPRS, the Third Party COTS Software and/or the Third Party COTS IPRs;</w:t>
            </w:r>
          </w:p>
        </w:tc>
      </w:tr>
      <w:tr w:rsidR="001421AE" w14:paraId="2F3CEBA7" w14:textId="77777777" w:rsidTr="006816C5">
        <w:tc>
          <w:tcPr>
            <w:tcW w:w="3493" w:type="dxa"/>
          </w:tcPr>
          <w:p w14:paraId="335BB818" w14:textId="77777777" w:rsidR="001421AE" w:rsidRDefault="001421AE" w:rsidP="00813948">
            <w:pPr>
              <w:pStyle w:val="StdBodyTextBold"/>
            </w:pPr>
            <w:r>
              <w:t>“Relevant Preceding Services”</w:t>
            </w:r>
          </w:p>
        </w:tc>
        <w:tc>
          <w:tcPr>
            <w:tcW w:w="5245" w:type="dxa"/>
          </w:tcPr>
          <w:p w14:paraId="60B23234" w14:textId="77777777" w:rsidR="001421AE" w:rsidRDefault="001421AE" w:rsidP="00813948">
            <w:pPr>
              <w:pStyle w:val="StdBodyText"/>
            </w:pPr>
            <w:r>
              <w:t xml:space="preserve">has the meaning given in </w:t>
            </w:r>
            <w:bookmarkStart w:id="144" w:name="_9kMIH5YVtCIA9JNKHow3mxy"/>
            <w:bookmarkStart w:id="145" w:name="_9kMIH5YVtCJB9JOLHow3mxy"/>
            <w:r>
              <w:t xml:space="preserve">Clause </w:t>
            </w:r>
            <w:bookmarkEnd w:id="144"/>
            <w:bookmarkEnd w:id="145"/>
            <w:r>
              <w:t>5.2(b) (</w:t>
            </w:r>
            <w:r w:rsidRPr="00641D8F">
              <w:rPr>
                <w:i/>
              </w:rPr>
              <w:t>Standard of Services</w:t>
            </w:r>
            <w:r>
              <w:t>);</w:t>
            </w:r>
          </w:p>
        </w:tc>
      </w:tr>
      <w:tr w:rsidR="001421AE" w14:paraId="65114B85" w14:textId="77777777" w:rsidTr="006816C5">
        <w:tc>
          <w:tcPr>
            <w:tcW w:w="3493" w:type="dxa"/>
          </w:tcPr>
          <w:p w14:paraId="4F293BAF" w14:textId="77777777" w:rsidR="001421AE" w:rsidRDefault="001421AE" w:rsidP="00813948">
            <w:pPr>
              <w:pStyle w:val="StdBodyTextBold"/>
            </w:pPr>
            <w:r>
              <w:t>“Relevant Requirements”</w:t>
            </w:r>
          </w:p>
        </w:tc>
        <w:tc>
          <w:tcPr>
            <w:tcW w:w="5245" w:type="dxa"/>
          </w:tcPr>
          <w:p w14:paraId="7BE3967E" w14:textId="77777777" w:rsidR="001421AE" w:rsidRDefault="001421AE" w:rsidP="00813948">
            <w:pPr>
              <w:pStyle w:val="StdBodyText"/>
            </w:pPr>
            <w:r>
              <w:t xml:space="preserve">all applicable Law relating to bribery, corruption and fraud, including the </w:t>
            </w:r>
            <w:bookmarkStart w:id="146" w:name="_9kMIH5YVt499FOJNJxifwHbA0RMMN"/>
            <w:r>
              <w:t>Bribery Act 2010</w:t>
            </w:r>
            <w:bookmarkEnd w:id="146"/>
            <w:r>
              <w:t xml:space="preserve"> and any guidance issued by the Secretary of State for Justice pursuant to </w:t>
            </w:r>
            <w:bookmarkStart w:id="147" w:name="_9kR3WTr277DFG8rcszv1NCw25rMU8tq7SmLBcXX"/>
            <w:r>
              <w:t>section 9 of the Bribery Act 2010</w:t>
            </w:r>
            <w:bookmarkEnd w:id="147"/>
            <w:r>
              <w:t>;</w:t>
            </w:r>
          </w:p>
        </w:tc>
      </w:tr>
      <w:tr w:rsidR="001421AE" w14:paraId="0DB8B7EA" w14:textId="77777777" w:rsidTr="006816C5">
        <w:tc>
          <w:tcPr>
            <w:tcW w:w="3493" w:type="dxa"/>
          </w:tcPr>
          <w:p w14:paraId="638B0EF2" w14:textId="77777777" w:rsidR="001421AE" w:rsidRDefault="001421AE" w:rsidP="00813948">
            <w:pPr>
              <w:pStyle w:val="StdBodyTextBold"/>
            </w:pPr>
            <w:r>
              <w:t>“Relevant Tax Authority”</w:t>
            </w:r>
          </w:p>
        </w:tc>
        <w:tc>
          <w:tcPr>
            <w:tcW w:w="5245" w:type="dxa"/>
          </w:tcPr>
          <w:p w14:paraId="68C94DC0" w14:textId="77777777" w:rsidR="001421AE" w:rsidRDefault="001421AE" w:rsidP="00813948">
            <w:pPr>
              <w:pStyle w:val="StdBodyText"/>
            </w:pPr>
            <w:r>
              <w:t>HMRC, or, if applicable, a tax authority in the jurisdiction in which the Supplier is established;</w:t>
            </w:r>
          </w:p>
        </w:tc>
      </w:tr>
      <w:tr w:rsidR="001421AE" w14:paraId="0D0E2350" w14:textId="77777777" w:rsidTr="006816C5">
        <w:tc>
          <w:tcPr>
            <w:tcW w:w="3493" w:type="dxa"/>
          </w:tcPr>
          <w:p w14:paraId="02743479" w14:textId="77777777" w:rsidR="001421AE" w:rsidRDefault="001421AE" w:rsidP="00813948">
            <w:pPr>
              <w:pStyle w:val="StdBodyTextBold"/>
            </w:pPr>
            <w:r>
              <w:t>“Relevant Transfer”</w:t>
            </w:r>
          </w:p>
        </w:tc>
        <w:tc>
          <w:tcPr>
            <w:tcW w:w="5245" w:type="dxa"/>
          </w:tcPr>
          <w:p w14:paraId="3F0DBCBB" w14:textId="77777777" w:rsidR="001421AE" w:rsidRDefault="001421AE" w:rsidP="00813948">
            <w:pPr>
              <w:pStyle w:val="StdBodyText"/>
            </w:pPr>
            <w:r>
              <w:t>a transfer of employment to which the Employment Regulations applies;</w:t>
            </w:r>
          </w:p>
        </w:tc>
      </w:tr>
      <w:tr w:rsidR="001421AE" w14:paraId="4F9A5C10" w14:textId="77777777" w:rsidTr="006816C5">
        <w:tc>
          <w:tcPr>
            <w:tcW w:w="3493" w:type="dxa"/>
          </w:tcPr>
          <w:p w14:paraId="726D6237" w14:textId="77777777" w:rsidR="001421AE" w:rsidRDefault="001421AE" w:rsidP="00813948">
            <w:pPr>
              <w:pStyle w:val="StdBodyTextBold"/>
            </w:pPr>
            <w:r>
              <w:t>“</w:t>
            </w:r>
            <w:bookmarkStart w:id="148" w:name="_9kMJI5YVt4CCFKKiMnsmkUYB6qn"/>
            <w:r>
              <w:t>Relief Notice</w:t>
            </w:r>
            <w:bookmarkEnd w:id="148"/>
            <w:r>
              <w:t>”</w:t>
            </w:r>
          </w:p>
        </w:tc>
        <w:tc>
          <w:tcPr>
            <w:tcW w:w="5245" w:type="dxa"/>
          </w:tcPr>
          <w:p w14:paraId="695DD3FC" w14:textId="77777777" w:rsidR="001421AE" w:rsidRDefault="001421AE" w:rsidP="00813948">
            <w:pPr>
              <w:pStyle w:val="StdBodyText"/>
            </w:pPr>
            <w:r>
              <w:t xml:space="preserve">has the meaning given in </w:t>
            </w:r>
            <w:bookmarkStart w:id="149" w:name="_9kMHG5YVtCJBBDDGEEWP27xl0GEywvt6z1QSAGJ"/>
            <w:bookmarkStart w:id="150" w:name="_9kMHG5YVtCIABDEHEEWP27xl0GEywvt6z1QSAGJ"/>
            <w:r>
              <w:t xml:space="preserve">Clause </w:t>
            </w:r>
            <w:bookmarkEnd w:id="149"/>
            <w:bookmarkEnd w:id="150"/>
            <w:r>
              <w:t>32.2 (</w:t>
            </w:r>
            <w:r w:rsidRPr="00641D8F">
              <w:rPr>
                <w:i/>
              </w:rPr>
              <w:t>Authority</w:t>
            </w:r>
            <w:r>
              <w:t xml:space="preserve"> </w:t>
            </w:r>
            <w:r w:rsidRPr="00641D8F">
              <w:rPr>
                <w:i/>
              </w:rPr>
              <w:t>Cause</w:t>
            </w:r>
            <w:r>
              <w:t>);</w:t>
            </w:r>
          </w:p>
        </w:tc>
      </w:tr>
      <w:tr w:rsidR="001421AE" w14:paraId="7D69E9AE" w14:textId="77777777" w:rsidTr="006816C5">
        <w:tc>
          <w:tcPr>
            <w:tcW w:w="3493" w:type="dxa"/>
          </w:tcPr>
          <w:p w14:paraId="6FCAB2C4" w14:textId="77777777" w:rsidR="001421AE" w:rsidRDefault="001421AE" w:rsidP="00813948">
            <w:pPr>
              <w:pStyle w:val="StdBodyTextBold"/>
            </w:pPr>
            <w:r>
              <w:t>“Remedial Adviser Failure”</w:t>
            </w:r>
          </w:p>
        </w:tc>
        <w:tc>
          <w:tcPr>
            <w:tcW w:w="5245" w:type="dxa"/>
          </w:tcPr>
          <w:p w14:paraId="4E390B0E" w14:textId="77777777" w:rsidR="001421AE" w:rsidRDefault="001421AE" w:rsidP="00813948">
            <w:pPr>
              <w:pStyle w:val="StdBodyText"/>
            </w:pPr>
            <w:r>
              <w:t xml:space="preserve">has the meaning given in </w:t>
            </w:r>
            <w:bookmarkStart w:id="151" w:name="_9kMHG5YVtCJBBIFCLQaH"/>
            <w:bookmarkStart w:id="152" w:name="_9kMHG5YVtCIABIGDLQaH"/>
            <w:r>
              <w:t xml:space="preserve">Clause </w:t>
            </w:r>
            <w:bookmarkEnd w:id="151"/>
            <w:bookmarkEnd w:id="152"/>
            <w:r>
              <w:t>30.6 (</w:t>
            </w:r>
            <w:r w:rsidRPr="00641D8F">
              <w:rPr>
                <w:i/>
              </w:rPr>
              <w:t>Remedial</w:t>
            </w:r>
            <w:r>
              <w:t xml:space="preserve"> </w:t>
            </w:r>
            <w:r w:rsidRPr="00641D8F">
              <w:rPr>
                <w:i/>
              </w:rPr>
              <w:t>Adviser</w:t>
            </w:r>
            <w:r>
              <w:t>);</w:t>
            </w:r>
          </w:p>
        </w:tc>
      </w:tr>
      <w:tr w:rsidR="001421AE" w14:paraId="25CCA6ED" w14:textId="77777777" w:rsidTr="006816C5">
        <w:tc>
          <w:tcPr>
            <w:tcW w:w="3493" w:type="dxa"/>
          </w:tcPr>
          <w:p w14:paraId="6336B0FE" w14:textId="77777777" w:rsidR="001421AE" w:rsidRDefault="001421AE" w:rsidP="00813948">
            <w:pPr>
              <w:pStyle w:val="StdBodyTextBold"/>
            </w:pPr>
            <w:r>
              <w:t>“Remedial Adviser”</w:t>
            </w:r>
          </w:p>
        </w:tc>
        <w:tc>
          <w:tcPr>
            <w:tcW w:w="5245" w:type="dxa"/>
          </w:tcPr>
          <w:p w14:paraId="4430F8FC" w14:textId="77777777" w:rsidR="001421AE" w:rsidRDefault="001421AE" w:rsidP="00813948">
            <w:pPr>
              <w:pStyle w:val="StdBodyText"/>
            </w:pPr>
            <w:r>
              <w:t xml:space="preserve">the person appointed pursuant to </w:t>
            </w:r>
            <w:bookmarkStart w:id="153" w:name="_9kMHG5YVtCIABJHDLMWHz2oITJ73E9CTH2IFDNK"/>
            <w:r>
              <w:t xml:space="preserve">Clause </w:t>
            </w:r>
            <w:bookmarkEnd w:id="153"/>
            <w:r>
              <w:t>30.2 (</w:t>
            </w:r>
            <w:r w:rsidRPr="00641D8F">
              <w:rPr>
                <w:i/>
              </w:rPr>
              <w:t>Remedial Adviser</w:t>
            </w:r>
            <w:r>
              <w:t>);</w:t>
            </w:r>
          </w:p>
        </w:tc>
      </w:tr>
      <w:tr w:rsidR="001421AE" w14:paraId="28F2A767" w14:textId="77777777" w:rsidTr="006816C5">
        <w:tc>
          <w:tcPr>
            <w:tcW w:w="3493" w:type="dxa"/>
          </w:tcPr>
          <w:p w14:paraId="372CA199" w14:textId="77777777" w:rsidR="001421AE" w:rsidRDefault="001421AE" w:rsidP="00813948">
            <w:pPr>
              <w:pStyle w:val="StdBodyTextBold"/>
            </w:pPr>
            <w:r>
              <w:t>“Replacement Services”</w:t>
            </w:r>
          </w:p>
        </w:tc>
        <w:tc>
          <w:tcPr>
            <w:tcW w:w="5245" w:type="dxa"/>
          </w:tcPr>
          <w:p w14:paraId="464039B5" w14:textId="77777777" w:rsidR="001421AE" w:rsidRDefault="001421AE" w:rsidP="00813948">
            <w:pPr>
              <w:pStyle w:val="StdBodyText"/>
            </w:pPr>
            <w: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1421AE" w14:paraId="05FB511C" w14:textId="77777777" w:rsidTr="006816C5">
        <w:tc>
          <w:tcPr>
            <w:tcW w:w="3493" w:type="dxa"/>
          </w:tcPr>
          <w:p w14:paraId="000CDB4F" w14:textId="77777777" w:rsidR="001421AE" w:rsidRDefault="001421AE" w:rsidP="00813948">
            <w:pPr>
              <w:pStyle w:val="StdBodyTextBold"/>
            </w:pPr>
            <w:r>
              <w:t>“Replacement Supplier”</w:t>
            </w:r>
          </w:p>
        </w:tc>
        <w:tc>
          <w:tcPr>
            <w:tcW w:w="5245" w:type="dxa"/>
          </w:tcPr>
          <w:p w14:paraId="084624B8" w14:textId="77777777" w:rsidR="001421AE" w:rsidRDefault="001421AE" w:rsidP="00813948">
            <w:pPr>
              <w:pStyle w:val="StdBodyText"/>
            </w:pPr>
            <w:r>
              <w:t>any third party service provider of Replacement Services appointed by the Authority from time to time (or where the Authority is providing replacement Services for its own account, the Authority);</w:t>
            </w:r>
          </w:p>
        </w:tc>
      </w:tr>
      <w:tr w:rsidR="001421AE" w14:paraId="083268D7" w14:textId="77777777" w:rsidTr="006816C5">
        <w:tc>
          <w:tcPr>
            <w:tcW w:w="3493" w:type="dxa"/>
          </w:tcPr>
          <w:p w14:paraId="15634B07" w14:textId="77777777" w:rsidR="001421AE" w:rsidRDefault="001421AE" w:rsidP="00813948">
            <w:pPr>
              <w:pStyle w:val="StdBodyTextBold"/>
            </w:pPr>
            <w:r>
              <w:t>“Request For Information”</w:t>
            </w:r>
          </w:p>
        </w:tc>
        <w:tc>
          <w:tcPr>
            <w:tcW w:w="5245" w:type="dxa"/>
          </w:tcPr>
          <w:p w14:paraId="1D420123" w14:textId="77777777" w:rsidR="001421AE" w:rsidRDefault="001421AE" w:rsidP="00813948">
            <w:pPr>
              <w:pStyle w:val="StdBodyText"/>
            </w:pPr>
            <w:r>
              <w:t>a Request for Information under the FOIA or the EIRs;</w:t>
            </w:r>
          </w:p>
        </w:tc>
      </w:tr>
      <w:tr w:rsidR="001421AE" w14:paraId="4B9EAE7B" w14:textId="77777777" w:rsidTr="006816C5">
        <w:tc>
          <w:tcPr>
            <w:tcW w:w="3493" w:type="dxa"/>
          </w:tcPr>
          <w:p w14:paraId="10ECA832" w14:textId="77777777" w:rsidR="001421AE" w:rsidRDefault="001421AE" w:rsidP="00813948">
            <w:pPr>
              <w:pStyle w:val="StdBodyTextBold"/>
            </w:pPr>
            <w:r>
              <w:t>“Required Action”</w:t>
            </w:r>
          </w:p>
        </w:tc>
        <w:tc>
          <w:tcPr>
            <w:tcW w:w="5245" w:type="dxa"/>
          </w:tcPr>
          <w:p w14:paraId="61FD4075" w14:textId="77777777" w:rsidR="001421AE" w:rsidRDefault="001421AE" w:rsidP="00813948">
            <w:pPr>
              <w:pStyle w:val="StdBodyText"/>
            </w:pPr>
            <w:r>
              <w:t xml:space="preserve">has the meaning given in </w:t>
            </w:r>
            <w:bookmarkStart w:id="154" w:name="_9kMHG5YVtCJBBGDDDCnt1nhg0739FAwQbRFBMHK"/>
            <w:bookmarkStart w:id="155" w:name="_9kMHG5YVtCIABGEEDCnt1nhg0739FAwQbRFBMHK"/>
            <w:r>
              <w:t xml:space="preserve">Clause </w:t>
            </w:r>
            <w:bookmarkEnd w:id="154"/>
            <w:bookmarkEnd w:id="155"/>
            <w:r>
              <w:t>31.1(a) (</w:t>
            </w:r>
            <w:r w:rsidRPr="00641D8F">
              <w:rPr>
                <w:i/>
              </w:rPr>
              <w:t>Step-In Rights</w:t>
            </w:r>
            <w:r>
              <w:t>);</w:t>
            </w:r>
          </w:p>
        </w:tc>
      </w:tr>
      <w:tr w:rsidR="001421AE" w14:paraId="43EDE82B" w14:textId="77777777" w:rsidTr="006816C5">
        <w:tc>
          <w:tcPr>
            <w:tcW w:w="3493" w:type="dxa"/>
          </w:tcPr>
          <w:p w14:paraId="219886B1" w14:textId="77777777" w:rsidR="001421AE" w:rsidRDefault="001421AE" w:rsidP="00813948">
            <w:pPr>
              <w:pStyle w:val="StdBodyTextBold"/>
            </w:pPr>
            <w:r>
              <w:t>“Retained Deliverables”</w:t>
            </w:r>
          </w:p>
        </w:tc>
        <w:tc>
          <w:tcPr>
            <w:tcW w:w="5245" w:type="dxa"/>
          </w:tcPr>
          <w:p w14:paraId="7373FE41" w14:textId="77777777" w:rsidR="001421AE" w:rsidRDefault="001421AE" w:rsidP="00813948">
            <w:pPr>
              <w:pStyle w:val="StdBodyText"/>
            </w:pPr>
            <w:r>
              <w:t xml:space="preserve">has the meaning given in </w:t>
            </w:r>
            <w:bookmarkStart w:id="156" w:name="_9kMHG5YVtCJBAHFDHNvjw6ytqz84AGI4rqyFTE2"/>
            <w:bookmarkStart w:id="157" w:name="_9kMHG5YVtCIAAHGEHNvjw6ytqz84AGI4rqyFTE2"/>
            <w:r>
              <w:t xml:space="preserve">Clause </w:t>
            </w:r>
            <w:bookmarkEnd w:id="156"/>
            <w:bookmarkEnd w:id="157"/>
            <w:r>
              <w:t>35.8(b) (</w:t>
            </w:r>
            <w:r w:rsidRPr="009826D4">
              <w:rPr>
                <w:i/>
              </w:rPr>
              <w:t>Payments by the Supplier</w:t>
            </w:r>
            <w:r>
              <w:t>);</w:t>
            </w:r>
          </w:p>
        </w:tc>
      </w:tr>
      <w:tr w:rsidR="001421AE" w14:paraId="299ECFA5" w14:textId="77777777" w:rsidTr="006816C5">
        <w:tc>
          <w:tcPr>
            <w:tcW w:w="3493" w:type="dxa"/>
          </w:tcPr>
          <w:p w14:paraId="18F08A79" w14:textId="77777777" w:rsidR="001421AE" w:rsidRDefault="001421AE" w:rsidP="00813948">
            <w:pPr>
              <w:pStyle w:val="StdBodyTextBold"/>
            </w:pPr>
            <w:r>
              <w:t>“Risk Register”</w:t>
            </w:r>
          </w:p>
        </w:tc>
        <w:tc>
          <w:tcPr>
            <w:tcW w:w="5245" w:type="dxa"/>
          </w:tcPr>
          <w:p w14:paraId="5EFCF70E" w14:textId="7250714A" w:rsidR="001421AE" w:rsidRDefault="001421AE" w:rsidP="00813948">
            <w:pPr>
              <w:pStyle w:val="StdBodyText"/>
            </w:pPr>
            <w:r>
              <w:t>the register of risks and contingencies that have been factored into any Costs due under this Agreement, a copy of which is set out in Annex 4 of Schedule 7.1 (</w:t>
            </w:r>
            <w:r w:rsidRPr="009826D4">
              <w:rPr>
                <w:i/>
              </w:rPr>
              <w:t>Charges and Invoicing</w:t>
            </w:r>
            <w:r>
              <w:t>);</w:t>
            </w:r>
          </w:p>
        </w:tc>
      </w:tr>
      <w:tr w:rsidR="001421AE" w14:paraId="60A3C479" w14:textId="77777777" w:rsidTr="006816C5">
        <w:tc>
          <w:tcPr>
            <w:tcW w:w="3493" w:type="dxa"/>
          </w:tcPr>
          <w:p w14:paraId="4C90B493" w14:textId="77777777" w:rsidR="001421AE" w:rsidRDefault="001421AE" w:rsidP="00813948">
            <w:pPr>
              <w:pStyle w:val="StdBodyTextBold"/>
            </w:pPr>
            <w:r>
              <w:t>“Security Management Plan”</w:t>
            </w:r>
          </w:p>
        </w:tc>
        <w:tc>
          <w:tcPr>
            <w:tcW w:w="5245" w:type="dxa"/>
          </w:tcPr>
          <w:p w14:paraId="666C37C1" w14:textId="7951B76D" w:rsidR="001421AE" w:rsidRDefault="001421AE" w:rsidP="00813948">
            <w:pPr>
              <w:pStyle w:val="StdBodyText"/>
            </w:pPr>
            <w:r>
              <w:t xml:space="preserve">the </w:t>
            </w:r>
            <w:bookmarkStart w:id="158" w:name="_9kML7K6ZWu9A679B"/>
            <w:r>
              <w:t>Supplier's</w:t>
            </w:r>
            <w:bookmarkEnd w:id="158"/>
            <w:r>
              <w:t xml:space="preserve"> security plan as attached as Annex 2 of Schedule 2.4 (</w:t>
            </w:r>
            <w:r w:rsidRPr="009826D4">
              <w:rPr>
                <w:i/>
              </w:rPr>
              <w:t>Security Management</w:t>
            </w:r>
            <w:r>
              <w:t xml:space="preserve">) and as subsequently developed and revised pursuant to </w:t>
            </w:r>
            <w:bookmarkStart w:id="159" w:name="_9kMHG5YVt4EE6GOfGpqgyts04R"/>
            <w:r>
              <w:t xml:space="preserve">Paragraphs </w:t>
            </w:r>
            <w:bookmarkEnd w:id="159"/>
            <w:r>
              <w:t>3 and 4 of Schedule 2.4 (</w:t>
            </w:r>
            <w:r w:rsidRPr="009826D4">
              <w:rPr>
                <w:i/>
              </w:rPr>
              <w:t>Security</w:t>
            </w:r>
            <w:r>
              <w:t xml:space="preserve"> </w:t>
            </w:r>
            <w:r w:rsidRPr="009826D4">
              <w:rPr>
                <w:i/>
              </w:rPr>
              <w:t>Management</w:t>
            </w:r>
            <w:r>
              <w:t>);</w:t>
            </w:r>
          </w:p>
        </w:tc>
      </w:tr>
      <w:tr w:rsidR="001421AE" w14:paraId="3C3D59E5" w14:textId="77777777" w:rsidTr="006816C5">
        <w:tc>
          <w:tcPr>
            <w:tcW w:w="3493" w:type="dxa"/>
          </w:tcPr>
          <w:p w14:paraId="05B53C3D" w14:textId="77777777" w:rsidR="001421AE" w:rsidRDefault="001421AE" w:rsidP="00813948">
            <w:pPr>
              <w:pStyle w:val="StdBodyTextBold"/>
            </w:pPr>
            <w:r>
              <w:t>“Serious KPI Failure”</w:t>
            </w:r>
          </w:p>
        </w:tc>
        <w:tc>
          <w:tcPr>
            <w:tcW w:w="5245" w:type="dxa"/>
          </w:tcPr>
          <w:p w14:paraId="14D4A151" w14:textId="032AAA5F" w:rsidR="001421AE" w:rsidRDefault="001421AE" w:rsidP="00813948">
            <w:pPr>
              <w:pStyle w:val="StdBodyText"/>
            </w:pPr>
            <w:r>
              <w:t xml:space="preserve">shall be as set out against the relevant </w:t>
            </w:r>
            <w:bookmarkStart w:id="160" w:name="_9kMIH5YVt4CCFMMbF0mNwyw98suxpWa2yyr9ONI"/>
            <w:r>
              <w:t xml:space="preserve">Key Performance Indicator in Table 1 of Part A of </w:t>
            </w:r>
            <w:bookmarkStart w:id="161" w:name="_9kMH2J6ZWuDJBDLOKFdNwyw98suxpZUBC3I"/>
            <w:bookmarkStart w:id="162" w:name="_9kMH0H6ZWu5EEEF9cMiliz8tBN"/>
            <w:bookmarkEnd w:id="160"/>
            <w:r>
              <w:t xml:space="preserve">Annex 1 of </w:t>
            </w:r>
            <w:bookmarkEnd w:id="161"/>
            <w:bookmarkEnd w:id="162"/>
            <w:r>
              <w:t>Schedule 2.2 (</w:t>
            </w:r>
            <w:r w:rsidRPr="009826D4">
              <w:rPr>
                <w:i/>
              </w:rPr>
              <w:t>Performance Levels</w:t>
            </w:r>
            <w:r>
              <w:t>);</w:t>
            </w:r>
          </w:p>
        </w:tc>
      </w:tr>
      <w:tr w:rsidR="001421AE" w14:paraId="702A6755" w14:textId="77777777" w:rsidTr="006816C5">
        <w:tc>
          <w:tcPr>
            <w:tcW w:w="3493" w:type="dxa"/>
          </w:tcPr>
          <w:p w14:paraId="18AE8C3F" w14:textId="77777777" w:rsidR="001421AE" w:rsidRDefault="001421AE" w:rsidP="00813948">
            <w:pPr>
              <w:pStyle w:val="StdBodyTextBold"/>
            </w:pPr>
            <w:r>
              <w:t>“Service Charges”</w:t>
            </w:r>
          </w:p>
        </w:tc>
        <w:tc>
          <w:tcPr>
            <w:tcW w:w="5245" w:type="dxa"/>
          </w:tcPr>
          <w:p w14:paraId="7B470F7F" w14:textId="16D6B0CB" w:rsidR="001421AE" w:rsidRDefault="001421AE" w:rsidP="00813948">
            <w:pPr>
              <w:pStyle w:val="StdBodyText"/>
            </w:pPr>
            <w:r>
              <w:t>the periodic payments made in accordance with Schedule 7.1 (</w:t>
            </w:r>
            <w:r w:rsidRPr="009826D4">
              <w:rPr>
                <w:i/>
              </w:rPr>
              <w:t>Charges and Invoicing</w:t>
            </w:r>
            <w:r>
              <w:t>) in respect of the supply of the Operational Services;</w:t>
            </w:r>
          </w:p>
        </w:tc>
      </w:tr>
      <w:tr w:rsidR="001421AE" w14:paraId="037DD609" w14:textId="77777777" w:rsidTr="006816C5">
        <w:tc>
          <w:tcPr>
            <w:tcW w:w="3493" w:type="dxa"/>
          </w:tcPr>
          <w:p w14:paraId="25CB0CCF" w14:textId="77777777" w:rsidR="001421AE" w:rsidRDefault="001421AE" w:rsidP="00813948">
            <w:pPr>
              <w:pStyle w:val="StdBodyTextBold"/>
            </w:pPr>
            <w:r>
              <w:t>“Service Continuity Plan”</w:t>
            </w:r>
          </w:p>
        </w:tc>
        <w:tc>
          <w:tcPr>
            <w:tcW w:w="5245" w:type="dxa"/>
          </w:tcPr>
          <w:p w14:paraId="79B72E72" w14:textId="61A0D298" w:rsidR="001421AE" w:rsidRDefault="001421AE" w:rsidP="00813948">
            <w:pPr>
              <w:pStyle w:val="StdBodyText"/>
            </w:pPr>
            <w:r>
              <w:t xml:space="preserve">any plan prepared pursuant to </w:t>
            </w:r>
            <w:bookmarkStart w:id="163" w:name="_9kMHG5YVt4EE6ELeGpqgyts0E"/>
            <w:r>
              <w:t xml:space="preserve">Paragraph </w:t>
            </w:r>
            <w:bookmarkEnd w:id="163"/>
            <w:r>
              <w:t>2 of Schedule 8.6 (</w:t>
            </w:r>
            <w:r w:rsidRPr="009826D4">
              <w:rPr>
                <w:i/>
              </w:rPr>
              <w:t>Service Continuity Plan</w:t>
            </w:r>
            <w:r>
              <w:t>) as may be amended from time to time;</w:t>
            </w:r>
          </w:p>
        </w:tc>
      </w:tr>
      <w:tr w:rsidR="001421AE" w14:paraId="10EC05A8" w14:textId="77777777" w:rsidTr="006816C5">
        <w:tc>
          <w:tcPr>
            <w:tcW w:w="3493" w:type="dxa"/>
          </w:tcPr>
          <w:p w14:paraId="0D88CC3F" w14:textId="77777777" w:rsidR="001421AE" w:rsidRDefault="001421AE" w:rsidP="00813948">
            <w:pPr>
              <w:pStyle w:val="StdBodyTextBold"/>
            </w:pPr>
            <w:r>
              <w:t>“Service Continuity Services”</w:t>
            </w:r>
          </w:p>
        </w:tc>
        <w:tc>
          <w:tcPr>
            <w:tcW w:w="5245" w:type="dxa"/>
          </w:tcPr>
          <w:p w14:paraId="54105079" w14:textId="51EA87F9" w:rsidR="001421AE" w:rsidRDefault="001421AE" w:rsidP="00813948">
            <w:pPr>
              <w:pStyle w:val="StdBodyText"/>
            </w:pPr>
            <w:r>
              <w:t xml:space="preserve">the business continuity, disaster </w:t>
            </w:r>
            <w:bookmarkStart w:id="164" w:name="_9kR3WTr5DA49D1qcn7yvG"/>
            <w:r>
              <w:t>recovery</w:t>
            </w:r>
            <w:bookmarkEnd w:id="164"/>
            <w:r>
              <w:t xml:space="preserve"> and insolvency continuity services set out in Schedule 8.6 (</w:t>
            </w:r>
            <w:r w:rsidRPr="009826D4">
              <w:rPr>
                <w:i/>
              </w:rPr>
              <w:t>Service Continuity Plan</w:t>
            </w:r>
            <w:r>
              <w:t>);</w:t>
            </w:r>
          </w:p>
        </w:tc>
      </w:tr>
      <w:tr w:rsidR="001421AE" w14:paraId="49C407FD" w14:textId="77777777" w:rsidTr="006816C5">
        <w:tc>
          <w:tcPr>
            <w:tcW w:w="3493" w:type="dxa"/>
          </w:tcPr>
          <w:p w14:paraId="49A1AD63" w14:textId="77777777" w:rsidR="001421AE" w:rsidRDefault="001421AE" w:rsidP="00813948">
            <w:pPr>
              <w:pStyle w:val="StdBodyTextBold"/>
            </w:pPr>
            <w:r>
              <w:t>“Service Credit Cap”</w:t>
            </w:r>
          </w:p>
        </w:tc>
        <w:tc>
          <w:tcPr>
            <w:tcW w:w="5245" w:type="dxa"/>
          </w:tcPr>
          <w:p w14:paraId="5A858103" w14:textId="03CEFB5B" w:rsidR="001421AE" w:rsidRPr="002E5116" w:rsidRDefault="001421AE" w:rsidP="00AD2EE4">
            <w:pPr>
              <w:pStyle w:val="DefinitionList"/>
              <w:numPr>
                <w:ilvl w:val="0"/>
                <w:numId w:val="58"/>
              </w:numPr>
            </w:pPr>
            <w:r>
              <w:t xml:space="preserve">in the period of 12 months from the first Operational Service Commencement Date to occur after the Effective Date, </w:t>
            </w:r>
            <w:r w:rsidRPr="006816C5">
              <w:t xml:space="preserve">10% </w:t>
            </w:r>
            <w:r w:rsidRPr="002E5116">
              <w:t xml:space="preserve">of the Estimated Initial Service Charges; and </w:t>
            </w:r>
          </w:p>
          <w:p w14:paraId="4EB325F5" w14:textId="2F81DBDB" w:rsidR="001421AE" w:rsidRDefault="001421AE" w:rsidP="002C2496">
            <w:pPr>
              <w:pStyle w:val="DefinitionList"/>
            </w:pPr>
            <w:r w:rsidRPr="002E5116">
              <w:t xml:space="preserve">during the remainder of the Term, </w:t>
            </w:r>
            <w:r w:rsidRPr="006816C5">
              <w:t>10%</w:t>
            </w:r>
            <w:r>
              <w:t xml:space="preserve"> of the Service Charges paid and/or due to be paid to the Supplier under this Agreement in the period of 12 months immediately preceding the Service Period in respect of which Service Credits are accrued; </w:t>
            </w:r>
          </w:p>
        </w:tc>
      </w:tr>
      <w:tr w:rsidR="001421AE" w14:paraId="1BEBB573" w14:textId="77777777" w:rsidTr="006816C5">
        <w:tc>
          <w:tcPr>
            <w:tcW w:w="3493" w:type="dxa"/>
          </w:tcPr>
          <w:p w14:paraId="0073428A" w14:textId="77777777" w:rsidR="001421AE" w:rsidRDefault="001421AE" w:rsidP="00813948">
            <w:pPr>
              <w:pStyle w:val="StdBodyTextBold"/>
            </w:pPr>
            <w:r>
              <w:t>“Service Credits”</w:t>
            </w:r>
          </w:p>
        </w:tc>
        <w:tc>
          <w:tcPr>
            <w:tcW w:w="5245" w:type="dxa"/>
          </w:tcPr>
          <w:p w14:paraId="60CC6280" w14:textId="109C5D34" w:rsidR="001421AE" w:rsidRDefault="001421AE" w:rsidP="00813948">
            <w:pPr>
              <w:pStyle w:val="StdBodyText"/>
            </w:pPr>
            <w:r>
              <w:t xml:space="preserve">credits payable by the Supplier due to the occurrence of 1 or more KPI Failures, calculated in accordance with </w:t>
            </w:r>
            <w:bookmarkStart w:id="165" w:name="_9kMKJ5YVt4EE6CEZGpqgyts0F"/>
            <w:r>
              <w:t xml:space="preserve">Paragraph </w:t>
            </w:r>
            <w:bookmarkEnd w:id="165"/>
            <w:r>
              <w:t>3 of Part C of Schedule 7.1 (</w:t>
            </w:r>
            <w:r w:rsidRPr="005157BC">
              <w:rPr>
                <w:i/>
              </w:rPr>
              <w:t>Charges and Invoicing</w:t>
            </w:r>
            <w:r>
              <w:t>);</w:t>
            </w:r>
          </w:p>
        </w:tc>
      </w:tr>
      <w:tr w:rsidR="001421AE" w14:paraId="43D88025" w14:textId="77777777" w:rsidTr="006816C5">
        <w:tc>
          <w:tcPr>
            <w:tcW w:w="3493" w:type="dxa"/>
          </w:tcPr>
          <w:p w14:paraId="3C9CBFC4" w14:textId="77777777" w:rsidR="001421AE" w:rsidRDefault="001421AE" w:rsidP="00813948">
            <w:pPr>
              <w:pStyle w:val="StdBodyTextBold"/>
            </w:pPr>
            <w:r>
              <w:t>“Service Period”</w:t>
            </w:r>
          </w:p>
        </w:tc>
        <w:tc>
          <w:tcPr>
            <w:tcW w:w="5245" w:type="dxa"/>
          </w:tcPr>
          <w:p w14:paraId="64758483" w14:textId="77777777" w:rsidR="001421AE" w:rsidRDefault="001421AE" w:rsidP="00813948">
            <w:pPr>
              <w:pStyle w:val="StdBodyText"/>
            </w:pPr>
            <w:r>
              <w:t>a calendar month, save that:</w:t>
            </w:r>
          </w:p>
          <w:p w14:paraId="0B698C48" w14:textId="77777777" w:rsidR="001421AE" w:rsidRDefault="001421AE" w:rsidP="00AD2EE4">
            <w:pPr>
              <w:pStyle w:val="DefinitionList"/>
              <w:numPr>
                <w:ilvl w:val="0"/>
                <w:numId w:val="59"/>
              </w:numPr>
            </w:pPr>
            <w:r>
              <w:t>the first service period shall begin on the first Operational Service Commencement Date and shall expire at the end of the calendar month in which the first Operational Service Commencement Date falls; and</w:t>
            </w:r>
          </w:p>
          <w:p w14:paraId="6B374ED7" w14:textId="77777777" w:rsidR="001421AE" w:rsidRDefault="001421AE" w:rsidP="002C2496">
            <w:pPr>
              <w:pStyle w:val="DefinitionList"/>
            </w:pPr>
            <w:r>
              <w:t>the final service period shall commence on the first day of the calendar month in which the Term expires or terminates and shall end on the expiry or termination of the Term;</w:t>
            </w:r>
          </w:p>
        </w:tc>
      </w:tr>
      <w:tr w:rsidR="001421AE" w14:paraId="44E8589A" w14:textId="77777777" w:rsidTr="006816C5">
        <w:tc>
          <w:tcPr>
            <w:tcW w:w="3493" w:type="dxa"/>
          </w:tcPr>
          <w:p w14:paraId="63B8F6F6" w14:textId="77777777" w:rsidR="001421AE" w:rsidRDefault="001421AE" w:rsidP="00813948">
            <w:pPr>
              <w:pStyle w:val="StdBodyTextBold"/>
            </w:pPr>
            <w:r>
              <w:t>“Service Points”</w:t>
            </w:r>
          </w:p>
        </w:tc>
        <w:tc>
          <w:tcPr>
            <w:tcW w:w="5245" w:type="dxa"/>
          </w:tcPr>
          <w:p w14:paraId="49E72E4F" w14:textId="6343620E" w:rsidR="001421AE" w:rsidRDefault="001421AE" w:rsidP="00813948">
            <w:pPr>
              <w:pStyle w:val="StdBodyText"/>
            </w:pPr>
            <w:r>
              <w:t>in relation to a KPI Failure, the points that are set out against the relevant Key Performance Indicator in the fifth column of the table in Annex 1 of Schedule 2.2 (</w:t>
            </w:r>
            <w:r w:rsidRPr="005157BC">
              <w:rPr>
                <w:i/>
              </w:rPr>
              <w:t>Performance Levels</w:t>
            </w:r>
            <w:r>
              <w:t>);</w:t>
            </w:r>
          </w:p>
        </w:tc>
      </w:tr>
      <w:tr w:rsidR="001421AE" w14:paraId="551EC694" w14:textId="77777777" w:rsidTr="006816C5">
        <w:tc>
          <w:tcPr>
            <w:tcW w:w="3493" w:type="dxa"/>
          </w:tcPr>
          <w:p w14:paraId="209BE5DD" w14:textId="77777777" w:rsidR="001421AE" w:rsidRDefault="001421AE" w:rsidP="00813948">
            <w:pPr>
              <w:pStyle w:val="StdBodyTextBold"/>
            </w:pPr>
            <w:r>
              <w:t>“Service Transfer Date”</w:t>
            </w:r>
          </w:p>
        </w:tc>
        <w:tc>
          <w:tcPr>
            <w:tcW w:w="5245" w:type="dxa"/>
          </w:tcPr>
          <w:p w14:paraId="17CE0191" w14:textId="2B15A248" w:rsidR="001421AE" w:rsidRDefault="001421AE" w:rsidP="00813948">
            <w:pPr>
              <w:pStyle w:val="StdBodyText"/>
            </w:pPr>
            <w:r>
              <w:t>has the meaning given in Schedule 9.1 (</w:t>
            </w:r>
            <w:r w:rsidRPr="005157BC">
              <w:rPr>
                <w:i/>
              </w:rPr>
              <w:t>Staff</w:t>
            </w:r>
            <w:r>
              <w:t xml:space="preserve"> </w:t>
            </w:r>
            <w:r w:rsidRPr="005157BC">
              <w:rPr>
                <w:i/>
              </w:rPr>
              <w:t>Transfer</w:t>
            </w:r>
            <w:r>
              <w:t>);</w:t>
            </w:r>
          </w:p>
        </w:tc>
      </w:tr>
      <w:tr w:rsidR="001421AE" w14:paraId="0A738EFF" w14:textId="77777777" w:rsidTr="006816C5">
        <w:tc>
          <w:tcPr>
            <w:tcW w:w="3493" w:type="dxa"/>
          </w:tcPr>
          <w:p w14:paraId="18B510BB" w14:textId="77777777" w:rsidR="001421AE" w:rsidRDefault="001421AE" w:rsidP="00813948">
            <w:pPr>
              <w:pStyle w:val="StdBodyTextBold"/>
            </w:pPr>
            <w:r>
              <w:t>“Services Description”</w:t>
            </w:r>
          </w:p>
        </w:tc>
        <w:tc>
          <w:tcPr>
            <w:tcW w:w="5245" w:type="dxa"/>
          </w:tcPr>
          <w:p w14:paraId="754F9E29" w14:textId="1D020ECC" w:rsidR="001421AE" w:rsidRDefault="001421AE" w:rsidP="00813948">
            <w:pPr>
              <w:pStyle w:val="StdBodyText"/>
            </w:pPr>
            <w:r>
              <w:t>the services description set out in Schedule 2.1 (</w:t>
            </w:r>
            <w:r w:rsidRPr="005157BC">
              <w:rPr>
                <w:i/>
              </w:rPr>
              <w:t>Services Description</w:t>
            </w:r>
            <w:r>
              <w:t>);</w:t>
            </w:r>
          </w:p>
        </w:tc>
      </w:tr>
      <w:tr w:rsidR="001421AE" w14:paraId="3A7C2F86" w14:textId="77777777" w:rsidTr="006816C5">
        <w:tc>
          <w:tcPr>
            <w:tcW w:w="3493" w:type="dxa"/>
          </w:tcPr>
          <w:p w14:paraId="0E41891B" w14:textId="77777777" w:rsidR="001421AE" w:rsidRDefault="001421AE" w:rsidP="00813948">
            <w:pPr>
              <w:pStyle w:val="StdBodyTextBold"/>
            </w:pPr>
            <w:r>
              <w:t>“Services”</w:t>
            </w:r>
          </w:p>
        </w:tc>
        <w:tc>
          <w:tcPr>
            <w:tcW w:w="5245" w:type="dxa"/>
          </w:tcPr>
          <w:p w14:paraId="03359AB1" w14:textId="72FE6E2A" w:rsidR="001421AE" w:rsidRDefault="001421AE" w:rsidP="00813948">
            <w:pPr>
              <w:pStyle w:val="StdBodyText"/>
            </w:pPr>
            <w:r>
              <w:t>any and all of the services to be provided by the Supplier under this Agreement, including those set out in Schedule 2.1 (</w:t>
            </w:r>
            <w:r w:rsidRPr="005157BC">
              <w:rPr>
                <w:i/>
              </w:rPr>
              <w:t>Services Description</w:t>
            </w:r>
            <w:r>
              <w:t>);</w:t>
            </w:r>
          </w:p>
        </w:tc>
      </w:tr>
      <w:tr w:rsidR="001421AE" w14:paraId="0E2CB0ED" w14:textId="77777777" w:rsidTr="006816C5">
        <w:tc>
          <w:tcPr>
            <w:tcW w:w="3493" w:type="dxa"/>
          </w:tcPr>
          <w:p w14:paraId="4937FC80" w14:textId="77777777" w:rsidR="001421AE" w:rsidRDefault="001421AE" w:rsidP="00813948">
            <w:pPr>
              <w:pStyle w:val="StdBodyTextBold"/>
            </w:pPr>
            <w:r>
              <w:t>“Severe KPI Failure”</w:t>
            </w:r>
          </w:p>
        </w:tc>
        <w:tc>
          <w:tcPr>
            <w:tcW w:w="5245" w:type="dxa"/>
          </w:tcPr>
          <w:p w14:paraId="03DE9CA9" w14:textId="7985232A" w:rsidR="001421AE" w:rsidRDefault="001421AE" w:rsidP="00813948">
            <w:pPr>
              <w:pStyle w:val="StdBodyText"/>
            </w:pPr>
            <w:r>
              <w:t xml:space="preserve">shall be as set out against the relevant </w:t>
            </w:r>
            <w:bookmarkStart w:id="166" w:name="_9kMJI5YVt4CCFMMbF0mNwyw98suxpWa2yyr9ONI"/>
            <w:r>
              <w:t xml:space="preserve">Key Performance Indicator in Table 1 of Part A of </w:t>
            </w:r>
            <w:bookmarkEnd w:id="166"/>
            <w:r>
              <w:t>Annex 1 of Schedule 2.2 (</w:t>
            </w:r>
            <w:r w:rsidRPr="005157BC">
              <w:rPr>
                <w:i/>
              </w:rPr>
              <w:t>Performance Levels</w:t>
            </w:r>
            <w:r>
              <w:t>);</w:t>
            </w:r>
          </w:p>
        </w:tc>
      </w:tr>
      <w:tr w:rsidR="001421AE" w14:paraId="7DA85AAA" w14:textId="77777777" w:rsidTr="006816C5">
        <w:tc>
          <w:tcPr>
            <w:tcW w:w="3493" w:type="dxa"/>
          </w:tcPr>
          <w:p w14:paraId="638C2A0B" w14:textId="77777777" w:rsidR="001421AE" w:rsidRDefault="001421AE" w:rsidP="00813948">
            <w:pPr>
              <w:pStyle w:val="StdBodyTextBold"/>
            </w:pPr>
            <w:r>
              <w:t>“Sites”</w:t>
            </w:r>
          </w:p>
        </w:tc>
        <w:tc>
          <w:tcPr>
            <w:tcW w:w="5245" w:type="dxa"/>
          </w:tcPr>
          <w:p w14:paraId="1335DFCF" w14:textId="77777777" w:rsidR="001421AE" w:rsidRDefault="001421AE" w:rsidP="00813948">
            <w:pPr>
              <w:pStyle w:val="StdBodyText"/>
            </w:pPr>
            <w:r>
              <w:t xml:space="preserve">any premises (including the Authority Premises, the Supplier’s premises or third party premises): </w:t>
            </w:r>
          </w:p>
          <w:p w14:paraId="14D7CCB0" w14:textId="77777777" w:rsidR="001421AE" w:rsidRDefault="001421AE" w:rsidP="00AD2EE4">
            <w:pPr>
              <w:pStyle w:val="DefinitionList"/>
              <w:numPr>
                <w:ilvl w:val="0"/>
                <w:numId w:val="60"/>
              </w:numPr>
            </w:pPr>
            <w:r>
              <w:t>from, to or at which:</w:t>
            </w:r>
          </w:p>
          <w:p w14:paraId="35D4302A" w14:textId="77777777" w:rsidR="001421AE" w:rsidRDefault="001421AE" w:rsidP="002C2496">
            <w:pPr>
              <w:pStyle w:val="DefinitionListLevel1"/>
            </w:pPr>
            <w:r>
              <w:t xml:space="preserve">the Services are (or are to be) provided; or </w:t>
            </w:r>
          </w:p>
          <w:p w14:paraId="284885E3" w14:textId="77777777" w:rsidR="001421AE" w:rsidRDefault="001421AE" w:rsidP="002C2496">
            <w:pPr>
              <w:pStyle w:val="DefinitionListLevel1"/>
            </w:pPr>
            <w:r>
              <w:t>the Supplier manages, organises or otherwise directs the provision or the use of the Services; or</w:t>
            </w:r>
          </w:p>
          <w:p w14:paraId="01452C03" w14:textId="77777777" w:rsidR="001421AE" w:rsidRDefault="001421AE" w:rsidP="002C2496">
            <w:pPr>
              <w:pStyle w:val="DefinitionList"/>
            </w:pPr>
            <w:r>
              <w:t>where:</w:t>
            </w:r>
          </w:p>
          <w:p w14:paraId="55B61AB2" w14:textId="77777777" w:rsidR="001421AE" w:rsidRDefault="001421AE" w:rsidP="002C2496">
            <w:pPr>
              <w:pStyle w:val="DefinitionListLevel1"/>
            </w:pPr>
            <w:r>
              <w:t xml:space="preserve">any part of the Supplier System is situated; or </w:t>
            </w:r>
          </w:p>
          <w:p w14:paraId="462B13EE" w14:textId="77777777" w:rsidR="001421AE" w:rsidRDefault="001421AE" w:rsidP="002C2496">
            <w:pPr>
              <w:pStyle w:val="DefinitionListLevel1"/>
            </w:pPr>
            <w:r>
              <w:t>any physical interface with the Authority System takes place;</w:t>
            </w:r>
          </w:p>
        </w:tc>
      </w:tr>
      <w:tr w:rsidR="001421AE" w14:paraId="0E94EF18" w14:textId="77777777" w:rsidTr="006816C5">
        <w:tc>
          <w:tcPr>
            <w:tcW w:w="3493" w:type="dxa"/>
          </w:tcPr>
          <w:p w14:paraId="3EAB175B" w14:textId="77777777" w:rsidR="001421AE" w:rsidRDefault="001421AE" w:rsidP="00813948">
            <w:pPr>
              <w:pStyle w:val="StdBodyTextBold"/>
            </w:pPr>
            <w:r>
              <w:t>“SME”</w:t>
            </w:r>
          </w:p>
        </w:tc>
        <w:tc>
          <w:tcPr>
            <w:tcW w:w="5245" w:type="dxa"/>
          </w:tcPr>
          <w:p w14:paraId="44ABD19B" w14:textId="77777777" w:rsidR="001421AE" w:rsidRDefault="001421AE" w:rsidP="00813948">
            <w:pPr>
              <w:pStyle w:val="StdBodyText"/>
            </w:pPr>
            <w:r>
              <w:t>an enterprise falling within the category of micro, small and medium-sized enterprises defined by the Commission Recommendation of 6 May 2003 concerning the definition of micro, small and medium-sized enterprises;</w:t>
            </w:r>
          </w:p>
        </w:tc>
      </w:tr>
      <w:tr w:rsidR="001421AE" w14:paraId="2776707B" w14:textId="77777777" w:rsidTr="006816C5">
        <w:tc>
          <w:tcPr>
            <w:tcW w:w="3493" w:type="dxa"/>
          </w:tcPr>
          <w:p w14:paraId="02A51FA6" w14:textId="77777777" w:rsidR="001421AE" w:rsidRDefault="001421AE" w:rsidP="00813948">
            <w:pPr>
              <w:pStyle w:val="StdBodyTextBold"/>
            </w:pPr>
            <w:r>
              <w:t>“Social Value”</w:t>
            </w:r>
          </w:p>
        </w:tc>
        <w:tc>
          <w:tcPr>
            <w:tcW w:w="5245" w:type="dxa"/>
          </w:tcPr>
          <w:p w14:paraId="13BBD210" w14:textId="1F6F3420" w:rsidR="001421AE" w:rsidRDefault="001421AE" w:rsidP="00813948">
            <w:pPr>
              <w:pStyle w:val="StdBodyText"/>
            </w:pPr>
            <w:r>
              <w:t xml:space="preserve">the </w:t>
            </w:r>
            <w:r>
              <w:rPr>
                <w:color w:val="000000"/>
              </w:rPr>
              <w:t>additional social benefits that can be achieved in the delivery of the Contract,</w:t>
            </w:r>
            <w:r>
              <w:rPr>
                <w:sz w:val="32"/>
              </w:rPr>
              <w:t xml:space="preserve"> </w:t>
            </w:r>
            <w:bookmarkStart w:id="167" w:name="_Hlk78901962"/>
            <w:r>
              <w:t xml:space="preserve">set out in </w:t>
            </w:r>
            <w:bookmarkEnd w:id="167"/>
            <w:r>
              <w:t>the Authority’s Requirements;</w:t>
            </w:r>
          </w:p>
        </w:tc>
      </w:tr>
      <w:tr w:rsidR="001421AE" w14:paraId="69F51C2A" w14:textId="77777777" w:rsidTr="006816C5">
        <w:tc>
          <w:tcPr>
            <w:tcW w:w="3493" w:type="dxa"/>
          </w:tcPr>
          <w:p w14:paraId="05C5DFCD" w14:textId="77777777" w:rsidR="001421AE" w:rsidRDefault="001421AE" w:rsidP="00813948">
            <w:pPr>
              <w:pStyle w:val="StdBodyTextBold"/>
            </w:pPr>
            <w:r>
              <w:t>“Software Supporting Materials”</w:t>
            </w:r>
          </w:p>
        </w:tc>
        <w:tc>
          <w:tcPr>
            <w:tcW w:w="5245" w:type="dxa"/>
          </w:tcPr>
          <w:p w14:paraId="13276908" w14:textId="77777777" w:rsidR="001421AE" w:rsidRDefault="001421AE" w:rsidP="00813948">
            <w:pPr>
              <w:pStyle w:val="StdBodyText"/>
            </w:pPr>
            <w:r>
              <w:t xml:space="preserve">has the meaning given in </w:t>
            </w:r>
            <w:bookmarkStart w:id="168" w:name="_9kMHG5YVtCIADLIDIJobmypz7zvt4FMMOAAHDJO"/>
            <w:bookmarkStart w:id="169" w:name="_9kMHG5YVtCJBDLJEIJobmypz7zvt4FMMOAAHDJO"/>
            <w:r>
              <w:t xml:space="preserve">Clause </w:t>
            </w:r>
            <w:bookmarkEnd w:id="168"/>
            <w:bookmarkEnd w:id="169"/>
            <w:r>
              <w:t>17.1(b) (</w:t>
            </w:r>
            <w:r w:rsidRPr="005157BC">
              <w:rPr>
                <w:i/>
              </w:rPr>
              <w:t>Specially Written Software and Project Specific IPRs</w:t>
            </w:r>
            <w:r>
              <w:t>);</w:t>
            </w:r>
          </w:p>
        </w:tc>
      </w:tr>
      <w:tr w:rsidR="001421AE" w14:paraId="35673203" w14:textId="77777777" w:rsidTr="006816C5">
        <w:tc>
          <w:tcPr>
            <w:tcW w:w="3493" w:type="dxa"/>
          </w:tcPr>
          <w:p w14:paraId="7B46634D" w14:textId="77777777" w:rsidR="001421AE" w:rsidRDefault="001421AE" w:rsidP="00813948">
            <w:pPr>
              <w:pStyle w:val="StdBodyTextBold"/>
            </w:pPr>
            <w:r>
              <w:t>“Software”</w:t>
            </w:r>
          </w:p>
        </w:tc>
        <w:tc>
          <w:tcPr>
            <w:tcW w:w="5245" w:type="dxa"/>
          </w:tcPr>
          <w:p w14:paraId="565C7E54" w14:textId="77777777" w:rsidR="001421AE" w:rsidRDefault="001421AE" w:rsidP="00813948">
            <w:pPr>
              <w:pStyle w:val="StdBodyText"/>
            </w:pPr>
            <w:r>
              <w:t>Specially Written Software, Supplier Software and Third Party Software;</w:t>
            </w:r>
          </w:p>
        </w:tc>
      </w:tr>
      <w:tr w:rsidR="001421AE" w14:paraId="555F379E" w14:textId="77777777" w:rsidTr="006816C5">
        <w:tc>
          <w:tcPr>
            <w:tcW w:w="3493" w:type="dxa"/>
          </w:tcPr>
          <w:p w14:paraId="52F65A3B" w14:textId="77777777" w:rsidR="001421AE" w:rsidRDefault="001421AE" w:rsidP="00813948">
            <w:pPr>
              <w:pStyle w:val="StdBodyTextBold"/>
            </w:pPr>
            <w:r>
              <w:t>“Source Code”</w:t>
            </w:r>
          </w:p>
        </w:tc>
        <w:tc>
          <w:tcPr>
            <w:tcW w:w="5245" w:type="dxa"/>
          </w:tcPr>
          <w:p w14:paraId="4FF06BAA" w14:textId="77777777" w:rsidR="001421AE" w:rsidRDefault="001421AE" w:rsidP="00813948">
            <w:pPr>
              <w:pStyle w:val="StdBodyText"/>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bookmarkStart w:id="170" w:name="_9kMHzG6ZWu5AAGNL2khv7zursvn"/>
            <w:r>
              <w:t>maintenance</w:t>
            </w:r>
            <w:bookmarkEnd w:id="170"/>
            <w:r>
              <w:t>, modification and enhancement of such software;</w:t>
            </w:r>
          </w:p>
        </w:tc>
      </w:tr>
      <w:tr w:rsidR="001421AE" w14:paraId="1DA4BE2D" w14:textId="77777777" w:rsidTr="006816C5">
        <w:tc>
          <w:tcPr>
            <w:tcW w:w="3493" w:type="dxa"/>
          </w:tcPr>
          <w:p w14:paraId="40E58097" w14:textId="77777777" w:rsidR="001421AE" w:rsidRDefault="001421AE" w:rsidP="00813948">
            <w:pPr>
              <w:pStyle w:val="StdBodyTextBold"/>
            </w:pPr>
            <w:r>
              <w:t>“Specially Written Software”</w:t>
            </w:r>
          </w:p>
        </w:tc>
        <w:tc>
          <w:tcPr>
            <w:tcW w:w="5245" w:type="dxa"/>
          </w:tcPr>
          <w:p w14:paraId="3F82F2AD" w14:textId="77777777" w:rsidR="001421AE" w:rsidRDefault="001421AE" w:rsidP="00813948">
            <w:pPr>
              <w:pStyle w:val="StdBodyText"/>
            </w:pPr>
            <w:r>
              <w:t>any software (including database software, linking instructions, test scripts, compilation instructions and test instructions) created by the Supplier (or by a Sub-contractor or other third party on behalf of the Supplier) specifically for the purposes of this Agreement, including any modifications or enhancements to Supplier Software or Third Party Software created specifically for the purposes of this Agreement.</w:t>
            </w:r>
          </w:p>
        </w:tc>
      </w:tr>
      <w:tr w:rsidR="001421AE" w14:paraId="47269389" w14:textId="77777777" w:rsidTr="006816C5">
        <w:tc>
          <w:tcPr>
            <w:tcW w:w="3493" w:type="dxa"/>
          </w:tcPr>
          <w:p w14:paraId="54208A54" w14:textId="77777777" w:rsidR="001421AE" w:rsidRDefault="001421AE" w:rsidP="00813948">
            <w:pPr>
              <w:pStyle w:val="StdBodyTextBold"/>
            </w:pPr>
            <w:r>
              <w:t>“Specific Change in Law”</w:t>
            </w:r>
          </w:p>
        </w:tc>
        <w:tc>
          <w:tcPr>
            <w:tcW w:w="5245" w:type="dxa"/>
          </w:tcPr>
          <w:p w14:paraId="7F67AB61" w14:textId="77777777" w:rsidR="001421AE" w:rsidRDefault="001421AE" w:rsidP="00813948">
            <w:pPr>
              <w:pStyle w:val="StdBodyText"/>
            </w:pPr>
            <w:r>
              <w:t>a Change in Law that relates specifically to the business of the Authority and which would not affect a Comparable Supply;</w:t>
            </w:r>
          </w:p>
        </w:tc>
      </w:tr>
      <w:tr w:rsidR="001421AE" w14:paraId="767E653B" w14:textId="77777777" w:rsidTr="006816C5">
        <w:tc>
          <w:tcPr>
            <w:tcW w:w="3493" w:type="dxa"/>
          </w:tcPr>
          <w:p w14:paraId="2DF6CCCE" w14:textId="77777777" w:rsidR="001421AE" w:rsidRDefault="001421AE" w:rsidP="00813948">
            <w:pPr>
              <w:pStyle w:val="StdBodyTextBold"/>
            </w:pPr>
            <w:r>
              <w:t>“Staffing Information”</w:t>
            </w:r>
          </w:p>
        </w:tc>
        <w:tc>
          <w:tcPr>
            <w:tcW w:w="5245" w:type="dxa"/>
          </w:tcPr>
          <w:p w14:paraId="701BD319" w14:textId="03A2F6DA" w:rsidR="001421AE" w:rsidRDefault="001421AE" w:rsidP="00813948">
            <w:pPr>
              <w:pStyle w:val="StdBodyText"/>
            </w:pPr>
            <w:r>
              <w:t>has the meaning given in Schedule 9.1 (</w:t>
            </w:r>
            <w:r w:rsidRPr="005157BC">
              <w:rPr>
                <w:i/>
              </w:rPr>
              <w:t>Staff</w:t>
            </w:r>
            <w:r>
              <w:t xml:space="preserve"> </w:t>
            </w:r>
            <w:r w:rsidRPr="005157BC">
              <w:rPr>
                <w:i/>
              </w:rPr>
              <w:t>Transfer</w:t>
            </w:r>
            <w:r>
              <w:t>);</w:t>
            </w:r>
          </w:p>
        </w:tc>
      </w:tr>
      <w:tr w:rsidR="001421AE" w14:paraId="60D629F2" w14:textId="77777777" w:rsidTr="006816C5">
        <w:tc>
          <w:tcPr>
            <w:tcW w:w="3493" w:type="dxa"/>
          </w:tcPr>
          <w:p w14:paraId="69FE9213" w14:textId="77777777" w:rsidR="001421AE" w:rsidRDefault="001421AE" w:rsidP="00813948">
            <w:pPr>
              <w:pStyle w:val="StdBodyTextBold"/>
            </w:pPr>
            <w:r>
              <w:t>“Standards”</w:t>
            </w:r>
          </w:p>
        </w:tc>
        <w:tc>
          <w:tcPr>
            <w:tcW w:w="5245" w:type="dxa"/>
          </w:tcPr>
          <w:p w14:paraId="6636D6AA" w14:textId="1DE4AE96" w:rsidR="001421AE" w:rsidRDefault="001421AE" w:rsidP="00813948">
            <w:pPr>
              <w:pStyle w:val="StdBodyText"/>
            </w:pPr>
            <w:r>
              <w:t>the standards, polices and/or procedures identified in Schedule 2.3 (</w:t>
            </w:r>
            <w:r w:rsidRPr="005157BC">
              <w:rPr>
                <w:i/>
              </w:rPr>
              <w:t>Standards</w:t>
            </w:r>
            <w:r>
              <w:t>);</w:t>
            </w:r>
          </w:p>
        </w:tc>
      </w:tr>
      <w:tr w:rsidR="001421AE" w14:paraId="5517ED7D" w14:textId="77777777" w:rsidTr="006816C5">
        <w:tc>
          <w:tcPr>
            <w:tcW w:w="3493" w:type="dxa"/>
          </w:tcPr>
          <w:p w14:paraId="1314223A" w14:textId="77777777" w:rsidR="001421AE" w:rsidRDefault="001421AE" w:rsidP="00813948">
            <w:pPr>
              <w:pStyle w:val="StdBodyTextBold"/>
            </w:pPr>
            <w:r>
              <w:t>“</w:t>
            </w:r>
            <w:bookmarkStart w:id="171" w:name="_9kMLK5YVt4CCFHFhcvsXQcYB6qn"/>
            <w:r>
              <w:t>Step-In Notice</w:t>
            </w:r>
            <w:bookmarkEnd w:id="171"/>
            <w:r>
              <w:t>”</w:t>
            </w:r>
          </w:p>
        </w:tc>
        <w:tc>
          <w:tcPr>
            <w:tcW w:w="5245" w:type="dxa"/>
          </w:tcPr>
          <w:p w14:paraId="0671C179" w14:textId="77777777" w:rsidR="001421AE" w:rsidRDefault="001421AE" w:rsidP="00813948">
            <w:pPr>
              <w:pStyle w:val="StdBodyText"/>
            </w:pPr>
            <w:r>
              <w:t xml:space="preserve">has the meaning given in </w:t>
            </w:r>
            <w:bookmarkStart w:id="172" w:name="_9kMHG5YVtCJBBGHHDCbV72owvk3JH521t68vjxG"/>
            <w:bookmarkStart w:id="173" w:name="_9kMHG5YVtCIABGIIDCbV72owvk3JH521t68vjxG"/>
            <w:r>
              <w:t xml:space="preserve">Clause </w:t>
            </w:r>
            <w:bookmarkEnd w:id="172"/>
            <w:bookmarkEnd w:id="173"/>
            <w:r>
              <w:t>31.1 (</w:t>
            </w:r>
            <w:r w:rsidRPr="005157BC">
              <w:rPr>
                <w:i/>
              </w:rPr>
              <w:t>Step-In Rights</w:t>
            </w:r>
            <w:r>
              <w:t>);</w:t>
            </w:r>
          </w:p>
        </w:tc>
      </w:tr>
      <w:tr w:rsidR="001421AE" w14:paraId="021A2840" w14:textId="77777777" w:rsidTr="006816C5">
        <w:tc>
          <w:tcPr>
            <w:tcW w:w="3493" w:type="dxa"/>
          </w:tcPr>
          <w:p w14:paraId="11FEA689" w14:textId="77777777" w:rsidR="001421AE" w:rsidRDefault="001421AE" w:rsidP="00813948">
            <w:pPr>
              <w:pStyle w:val="StdBodyTextBold"/>
            </w:pPr>
            <w:r>
              <w:t>“Step-In Trigger Event”</w:t>
            </w:r>
          </w:p>
        </w:tc>
        <w:tc>
          <w:tcPr>
            <w:tcW w:w="5245" w:type="dxa"/>
          </w:tcPr>
          <w:p w14:paraId="71478C3D" w14:textId="77777777" w:rsidR="001421AE" w:rsidRDefault="001421AE" w:rsidP="00AD2EE4">
            <w:pPr>
              <w:pStyle w:val="DefinitionList"/>
              <w:numPr>
                <w:ilvl w:val="0"/>
                <w:numId w:val="61"/>
              </w:numPr>
            </w:pPr>
            <w:r>
              <w:t>any event falling within the definition of a Supplier Termination Event;</w:t>
            </w:r>
          </w:p>
          <w:p w14:paraId="60DC0262" w14:textId="77777777" w:rsidR="001421AE" w:rsidRDefault="001421AE" w:rsidP="00AD2EE4">
            <w:pPr>
              <w:pStyle w:val="DefinitionList"/>
              <w:numPr>
                <w:ilvl w:val="0"/>
                <w:numId w:val="15"/>
              </w:numPr>
            </w:pPr>
            <w:r>
              <w:t>a Default by the Supplier that is materially preventing or materially delaying the performance of the Services or any material part of the Services;</w:t>
            </w:r>
          </w:p>
          <w:p w14:paraId="73545E1D" w14:textId="77777777" w:rsidR="001421AE" w:rsidRDefault="001421AE" w:rsidP="00AD2EE4">
            <w:pPr>
              <w:pStyle w:val="DefinitionList"/>
              <w:numPr>
                <w:ilvl w:val="0"/>
                <w:numId w:val="15"/>
              </w:numPr>
            </w:pPr>
            <w:bookmarkStart w:id="174" w:name="_Ref_ContractCompanion_9kb9Ur288"/>
            <w:bookmarkStart w:id="175" w:name="_9kR3WTrAG86CEctjmj09ubjj2zeXpoA0zyAlkHA"/>
            <w:bookmarkStart w:id="176" w:name="_9kR3WTr299DIAZtjmj09ubjj2zeXpoA0zyAlkHA"/>
            <w:r>
              <w:t>the Authority considers that the circumstances constitute an emergency despite the Supplier not being in breach of its obligations under this Agreement;</w:t>
            </w:r>
            <w:bookmarkEnd w:id="174"/>
            <w:bookmarkEnd w:id="175"/>
            <w:bookmarkEnd w:id="176"/>
          </w:p>
          <w:p w14:paraId="06AB69B0" w14:textId="77777777" w:rsidR="001421AE" w:rsidRDefault="001421AE" w:rsidP="00AD2EE4">
            <w:pPr>
              <w:pStyle w:val="DefinitionList"/>
              <w:numPr>
                <w:ilvl w:val="0"/>
                <w:numId w:val="15"/>
              </w:numPr>
            </w:pPr>
            <w:bookmarkStart w:id="177" w:name="_9kR3WTrAG86CBZtjmj09ubjj2zeXpoA0zyAlkHA"/>
            <w:bookmarkStart w:id="178" w:name="_9kR3WTr299DHIitjmj09ubjj2zeXpoA0zyAlkHA"/>
            <w:bookmarkStart w:id="179" w:name="_Ref_ContractCompanion_9kb9Ur27E"/>
            <w:r>
              <w:t xml:space="preserve">the Authority being advised by a regulatory body that the exercise by the Authority of its rights under </w:t>
            </w:r>
            <w:bookmarkStart w:id="180" w:name="_9kMHzG6ZWuDJB8GLiT04qAMMLlM96BAKG66KW"/>
            <w:r>
              <w:t xml:space="preserve">Clause </w:t>
            </w:r>
            <w:bookmarkEnd w:id="180"/>
            <w:r>
              <w:t>31 (</w:t>
            </w:r>
            <w:r w:rsidRPr="003C1311">
              <w:rPr>
                <w:i/>
              </w:rPr>
              <w:t>Step-In Rights</w:t>
            </w:r>
            <w:r>
              <w:t>) is necessary;</w:t>
            </w:r>
            <w:bookmarkEnd w:id="177"/>
            <w:bookmarkEnd w:id="178"/>
            <w:r>
              <w:t xml:space="preserve"> </w:t>
            </w:r>
            <w:bookmarkEnd w:id="179"/>
          </w:p>
          <w:p w14:paraId="79022ED2" w14:textId="77777777" w:rsidR="001421AE" w:rsidRDefault="001421AE" w:rsidP="00AD2EE4">
            <w:pPr>
              <w:pStyle w:val="DefinitionList"/>
              <w:numPr>
                <w:ilvl w:val="0"/>
                <w:numId w:val="15"/>
              </w:numPr>
            </w:pPr>
            <w:r>
              <w:t xml:space="preserve">the existence of a serious risk to the health or safety of persons, property or the environment in connection with the Services; and/or </w:t>
            </w:r>
          </w:p>
          <w:p w14:paraId="63CB1CBB" w14:textId="77777777" w:rsidR="001421AE" w:rsidRDefault="001421AE" w:rsidP="00AD2EE4">
            <w:pPr>
              <w:pStyle w:val="DefinitionList"/>
              <w:numPr>
                <w:ilvl w:val="0"/>
                <w:numId w:val="15"/>
              </w:numPr>
            </w:pPr>
            <w:r>
              <w:t>a need by the Authority to take action to discharge a statutory duty;</w:t>
            </w:r>
          </w:p>
        </w:tc>
      </w:tr>
      <w:tr w:rsidR="001421AE" w14:paraId="1B5B4A86" w14:textId="77777777" w:rsidTr="006816C5">
        <w:tc>
          <w:tcPr>
            <w:tcW w:w="3493" w:type="dxa"/>
          </w:tcPr>
          <w:p w14:paraId="4086CB75" w14:textId="77777777" w:rsidR="001421AE" w:rsidRDefault="001421AE" w:rsidP="00813948">
            <w:pPr>
              <w:pStyle w:val="StdBodyTextBold"/>
            </w:pPr>
            <w:r>
              <w:t>“Step-Out Date”</w:t>
            </w:r>
          </w:p>
        </w:tc>
        <w:tc>
          <w:tcPr>
            <w:tcW w:w="5245" w:type="dxa"/>
          </w:tcPr>
          <w:p w14:paraId="0E3827CB" w14:textId="77777777" w:rsidR="001421AE" w:rsidRDefault="001421AE" w:rsidP="00813948">
            <w:pPr>
              <w:pStyle w:val="StdBodyText"/>
            </w:pPr>
            <w:r>
              <w:t xml:space="preserve">has the meaning given in </w:t>
            </w:r>
            <w:bookmarkStart w:id="181" w:name="_9kMHG5YVtCJBBFBCDGsu1nkhy3z9ID0wwEF1VgW"/>
            <w:bookmarkStart w:id="182" w:name="_9kMHG5YVtCIABFCDDGsu1nkhy3z9ID0wwEF1VgW"/>
            <w:r>
              <w:t xml:space="preserve">Clause </w:t>
            </w:r>
            <w:bookmarkEnd w:id="181"/>
            <w:bookmarkEnd w:id="182"/>
            <w:r>
              <w:t>31.5(b) (</w:t>
            </w:r>
            <w:r w:rsidRPr="009B0F47">
              <w:rPr>
                <w:i/>
              </w:rPr>
              <w:t>Step-In Rights</w:t>
            </w:r>
            <w:r>
              <w:t>);</w:t>
            </w:r>
          </w:p>
        </w:tc>
      </w:tr>
      <w:tr w:rsidR="001421AE" w14:paraId="171E7787" w14:textId="77777777" w:rsidTr="006816C5">
        <w:tc>
          <w:tcPr>
            <w:tcW w:w="3493" w:type="dxa"/>
          </w:tcPr>
          <w:p w14:paraId="1846BDDD" w14:textId="77777777" w:rsidR="001421AE" w:rsidRDefault="001421AE" w:rsidP="00813948">
            <w:pPr>
              <w:pStyle w:val="StdBodyTextBold"/>
            </w:pPr>
            <w:r>
              <w:t>“</w:t>
            </w:r>
            <w:bookmarkStart w:id="183" w:name="_9kMIH5YVt4CCFHEgcvsddFjZC7ro"/>
            <w:r>
              <w:t>Step-Out Notice</w:t>
            </w:r>
            <w:bookmarkEnd w:id="183"/>
            <w:r>
              <w:t>”</w:t>
            </w:r>
          </w:p>
        </w:tc>
        <w:tc>
          <w:tcPr>
            <w:tcW w:w="5245" w:type="dxa"/>
          </w:tcPr>
          <w:p w14:paraId="6CEE9030" w14:textId="77777777" w:rsidR="001421AE" w:rsidRDefault="001421AE" w:rsidP="00813948">
            <w:pPr>
              <w:pStyle w:val="StdBodyText"/>
            </w:pPr>
            <w:r>
              <w:t xml:space="preserve">has the meaning given in </w:t>
            </w:r>
            <w:bookmarkStart w:id="184" w:name="_9kMHG5YVtCJBBFFGDGS9kv8zlml0954BK6GHCB3"/>
            <w:bookmarkStart w:id="185" w:name="_9kMHG5YVtCIABFGHDGS9kv8zlml0954BK6GHCB3"/>
            <w:r>
              <w:t xml:space="preserve">Clause </w:t>
            </w:r>
            <w:bookmarkEnd w:id="184"/>
            <w:bookmarkEnd w:id="185"/>
            <w:r>
              <w:t>31.5 (</w:t>
            </w:r>
            <w:r w:rsidRPr="009B0F47">
              <w:rPr>
                <w:i/>
              </w:rPr>
              <w:t>Step-In Rights</w:t>
            </w:r>
            <w:r>
              <w:t>);</w:t>
            </w:r>
          </w:p>
        </w:tc>
      </w:tr>
      <w:tr w:rsidR="001421AE" w14:paraId="6BFB986D" w14:textId="77777777" w:rsidTr="006816C5">
        <w:tc>
          <w:tcPr>
            <w:tcW w:w="3493" w:type="dxa"/>
          </w:tcPr>
          <w:p w14:paraId="06DC33B6" w14:textId="77777777" w:rsidR="001421AE" w:rsidRDefault="001421AE" w:rsidP="00813948">
            <w:pPr>
              <w:pStyle w:val="StdBodyTextBold"/>
            </w:pPr>
            <w:r>
              <w:t>“Step-Out Plan”</w:t>
            </w:r>
          </w:p>
        </w:tc>
        <w:tc>
          <w:tcPr>
            <w:tcW w:w="5245" w:type="dxa"/>
          </w:tcPr>
          <w:p w14:paraId="48B89366" w14:textId="77777777" w:rsidR="001421AE" w:rsidRDefault="001421AE" w:rsidP="00813948">
            <w:pPr>
              <w:pStyle w:val="StdBodyText"/>
            </w:pPr>
            <w:r>
              <w:t xml:space="preserve">has the meaning given in </w:t>
            </w:r>
            <w:bookmarkStart w:id="186" w:name="_9kMHG5YVtCJBBEEGDHlUmYjD960u4JAtyA59GEI"/>
            <w:bookmarkStart w:id="187" w:name="_9kMIH5YVtCIABEHJDHlUmYjD960u4JAtyA59GEI"/>
            <w:r>
              <w:t xml:space="preserve">Clause </w:t>
            </w:r>
            <w:bookmarkEnd w:id="186"/>
            <w:bookmarkEnd w:id="187"/>
            <w:r>
              <w:t>31.6 (</w:t>
            </w:r>
            <w:r w:rsidRPr="009B0F47">
              <w:rPr>
                <w:i/>
              </w:rPr>
              <w:t>Step-In Rights</w:t>
            </w:r>
            <w:r>
              <w:t>);</w:t>
            </w:r>
          </w:p>
        </w:tc>
      </w:tr>
      <w:tr w:rsidR="001421AE" w14:paraId="59659C69" w14:textId="77777777" w:rsidTr="006816C5">
        <w:tc>
          <w:tcPr>
            <w:tcW w:w="3493" w:type="dxa"/>
          </w:tcPr>
          <w:p w14:paraId="2E138EC7" w14:textId="77777777" w:rsidR="001421AE" w:rsidRDefault="001421AE" w:rsidP="00813948">
            <w:pPr>
              <w:pStyle w:val="StdBodyTextBold"/>
            </w:pPr>
            <w:r>
              <w:t>“Strategic Supplier”</w:t>
            </w:r>
          </w:p>
        </w:tc>
        <w:tc>
          <w:tcPr>
            <w:tcW w:w="5245" w:type="dxa"/>
          </w:tcPr>
          <w:p w14:paraId="3F592177" w14:textId="77777777" w:rsidR="001421AE" w:rsidRDefault="001421AE" w:rsidP="00813948">
            <w:pPr>
              <w:pStyle w:val="StdBodyText"/>
            </w:pPr>
            <w:r>
              <w:t xml:space="preserve">means those suppliers to government listed at </w:t>
            </w:r>
            <w:hyperlink r:id="rId8" w:history="1">
              <w:r w:rsidRPr="005071E9">
                <w:t>https://www.gov.uk/government/publications/strategic-suppliers</w:t>
              </w:r>
            </w:hyperlink>
            <w:r>
              <w:t>;</w:t>
            </w:r>
          </w:p>
        </w:tc>
      </w:tr>
      <w:tr w:rsidR="001421AE" w14:paraId="7D202D92" w14:textId="77777777" w:rsidTr="006816C5">
        <w:tc>
          <w:tcPr>
            <w:tcW w:w="3493" w:type="dxa"/>
          </w:tcPr>
          <w:p w14:paraId="2A2E3B3E" w14:textId="77777777" w:rsidR="001421AE" w:rsidRDefault="001421AE" w:rsidP="00813948">
            <w:pPr>
              <w:pStyle w:val="StdBodyTextBold"/>
            </w:pPr>
            <w:r>
              <w:t>“Sub-contract”</w:t>
            </w:r>
          </w:p>
        </w:tc>
        <w:tc>
          <w:tcPr>
            <w:tcW w:w="5245" w:type="dxa"/>
          </w:tcPr>
          <w:p w14:paraId="4AA37DDC" w14:textId="77777777" w:rsidR="001421AE" w:rsidRDefault="001421AE" w:rsidP="00813948">
            <w:pPr>
              <w:pStyle w:val="StdBodyText"/>
            </w:pPr>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1421AE" w14:paraId="6E03C8D7" w14:textId="77777777" w:rsidTr="004C473C">
        <w:tc>
          <w:tcPr>
            <w:tcW w:w="3493" w:type="dxa"/>
          </w:tcPr>
          <w:p w14:paraId="56813346" w14:textId="77777777" w:rsidR="001421AE" w:rsidRDefault="001421AE" w:rsidP="00813948">
            <w:pPr>
              <w:pStyle w:val="StdBodyTextBold"/>
            </w:pPr>
            <w:r>
              <w:t>“Sub-contractor”</w:t>
            </w:r>
          </w:p>
        </w:tc>
        <w:tc>
          <w:tcPr>
            <w:tcW w:w="5245" w:type="dxa"/>
          </w:tcPr>
          <w:p w14:paraId="3598DA60" w14:textId="77777777" w:rsidR="001421AE" w:rsidRDefault="001421AE" w:rsidP="00813948">
            <w:pPr>
              <w:pStyle w:val="StdBodyText"/>
            </w:pPr>
            <w:r>
              <w:t>any third party with whom:</w:t>
            </w:r>
          </w:p>
          <w:p w14:paraId="43FE5577" w14:textId="77777777" w:rsidR="001421AE" w:rsidRDefault="001421AE" w:rsidP="00AD2EE4">
            <w:pPr>
              <w:pStyle w:val="DefinitionList"/>
              <w:numPr>
                <w:ilvl w:val="0"/>
                <w:numId w:val="62"/>
              </w:numPr>
            </w:pPr>
            <w:bookmarkStart w:id="188" w:name="_9kR3WTrAG86BHgtjmj09ubjjFx05tyvgtNJGA4E"/>
            <w:bookmarkStart w:id="189" w:name="_9kR3WTr299DHHhtjmj09ubjjFx05tyvgtNJGA4E"/>
            <w:bookmarkStart w:id="190" w:name="_Ref_ContractCompanion_9kb9Ur27B"/>
            <w:r>
              <w:t>the Supplier enters into a Sub-contract;</w:t>
            </w:r>
            <w:bookmarkEnd w:id="188"/>
            <w:bookmarkEnd w:id="189"/>
            <w:r>
              <w:t xml:space="preserve"> or </w:t>
            </w:r>
            <w:bookmarkEnd w:id="190"/>
          </w:p>
          <w:p w14:paraId="0F217FBD" w14:textId="77777777" w:rsidR="001421AE" w:rsidRDefault="001421AE" w:rsidP="002C2496">
            <w:pPr>
              <w:pStyle w:val="DefinitionList"/>
            </w:pPr>
            <w:r>
              <w:t xml:space="preserve">a third party under </w:t>
            </w:r>
            <w:bookmarkStart w:id="191" w:name="_9kMHG5YVtCIA8DJivlol2BwdllHz27v0xivPLIC"/>
            <w:r>
              <w:fldChar w:fldCharType="begin"/>
            </w:r>
            <w:r>
              <w:instrText xml:space="preserve"> REF _Ref_ContractCompanion_9kb9Ur27B \w \n \h \t \* MERGEFORMAT </w:instrText>
            </w:r>
            <w:r>
              <w:fldChar w:fldCharType="separate"/>
            </w:r>
            <w:bookmarkStart w:id="192" w:name="_9kMHG5YVt4BBFJJjvlol2BwdllHz27v0xivPLIC"/>
            <w:r>
              <w:t>(a)</w:t>
            </w:r>
            <w:bookmarkEnd w:id="192"/>
            <w:r>
              <w:fldChar w:fldCharType="end"/>
            </w:r>
            <w:bookmarkEnd w:id="191"/>
            <w:r>
              <w:t xml:space="preserve"> above enters into a Sub-contract,</w:t>
            </w:r>
          </w:p>
          <w:p w14:paraId="132E3068" w14:textId="77777777" w:rsidR="001421AE" w:rsidRDefault="001421AE" w:rsidP="00813948">
            <w:pPr>
              <w:pStyle w:val="StdBodyText"/>
            </w:pPr>
            <w:r>
              <w:t>or the servants or agents of that third party;</w:t>
            </w:r>
          </w:p>
        </w:tc>
      </w:tr>
      <w:tr w:rsidR="001421AE" w14:paraId="5C6853CE" w14:textId="77777777" w:rsidTr="006816C5">
        <w:tc>
          <w:tcPr>
            <w:tcW w:w="3493" w:type="dxa"/>
          </w:tcPr>
          <w:p w14:paraId="223CCFC0" w14:textId="77777777" w:rsidR="001421AE" w:rsidRDefault="001421AE" w:rsidP="00813948">
            <w:pPr>
              <w:pStyle w:val="StdBodyTextBold"/>
            </w:pPr>
            <w:r>
              <w:t>“Sub-processor”</w:t>
            </w:r>
          </w:p>
        </w:tc>
        <w:tc>
          <w:tcPr>
            <w:tcW w:w="5245" w:type="dxa"/>
          </w:tcPr>
          <w:p w14:paraId="11FAC51B" w14:textId="77777777" w:rsidR="001421AE" w:rsidRDefault="001421AE" w:rsidP="00813948">
            <w:pPr>
              <w:pStyle w:val="StdBodyText"/>
            </w:pPr>
            <w:r>
              <w:t>any third party appointed to process Personal Data on behalf of the Supplier related to this Agreement;</w:t>
            </w:r>
          </w:p>
        </w:tc>
      </w:tr>
      <w:tr w:rsidR="001421AE" w14:paraId="561D8E8E" w14:textId="77777777" w:rsidTr="006816C5">
        <w:tc>
          <w:tcPr>
            <w:tcW w:w="3493" w:type="dxa"/>
          </w:tcPr>
          <w:p w14:paraId="2963EC1D" w14:textId="77777777" w:rsidR="001421AE" w:rsidRDefault="001421AE" w:rsidP="00813948">
            <w:pPr>
              <w:pStyle w:val="StdBodyTextBold"/>
            </w:pPr>
            <w:r>
              <w:t>“Subsidiary Performance Indicator”</w:t>
            </w:r>
          </w:p>
        </w:tc>
        <w:tc>
          <w:tcPr>
            <w:tcW w:w="5245" w:type="dxa"/>
          </w:tcPr>
          <w:p w14:paraId="7965EC0C" w14:textId="3D5D61C0" w:rsidR="001421AE" w:rsidRDefault="001421AE" w:rsidP="00813948">
            <w:pPr>
              <w:pStyle w:val="StdBodyText"/>
            </w:pPr>
            <w:r>
              <w:t xml:space="preserve">the performance indicators set out in </w:t>
            </w:r>
            <w:bookmarkStart w:id="193" w:name="_9kMHG5YVt4EE78GkKZlp7"/>
            <w:r>
              <w:t>Table 2</w:t>
            </w:r>
            <w:bookmarkEnd w:id="193"/>
            <w:r>
              <w:t xml:space="preserve"> of Part A of Annex 1 of Schedule 2.2 (</w:t>
            </w:r>
            <w:r w:rsidRPr="00BB26A7">
              <w:rPr>
                <w:i/>
              </w:rPr>
              <w:t>Performance Levels</w:t>
            </w:r>
            <w:r>
              <w:t>);</w:t>
            </w:r>
          </w:p>
        </w:tc>
      </w:tr>
      <w:tr w:rsidR="001421AE" w14:paraId="5C40E086" w14:textId="77777777" w:rsidTr="006816C5">
        <w:tc>
          <w:tcPr>
            <w:tcW w:w="3493" w:type="dxa"/>
          </w:tcPr>
          <w:p w14:paraId="46F2C3B7" w14:textId="77777777" w:rsidR="001421AE" w:rsidRDefault="001421AE" w:rsidP="00813948">
            <w:pPr>
              <w:pStyle w:val="StdBodyTextBold"/>
            </w:pPr>
            <w:r>
              <w:t>“Subsidiary Undertaking”</w:t>
            </w:r>
          </w:p>
        </w:tc>
        <w:tc>
          <w:tcPr>
            <w:tcW w:w="5245" w:type="dxa"/>
          </w:tcPr>
          <w:p w14:paraId="6A4B0D0F" w14:textId="77777777" w:rsidR="001421AE" w:rsidRDefault="001421AE" w:rsidP="00813948">
            <w:pPr>
              <w:pStyle w:val="StdBodyText"/>
            </w:pPr>
            <w:r>
              <w:t xml:space="preserve">has the meaning set out in </w:t>
            </w:r>
            <w:bookmarkStart w:id="194" w:name="_9kMHG5YVt499FJE4teu1x3HJPRA17AwSXEG54D5"/>
            <w:r>
              <w:t>section 1162 of the Companies Act 2006</w:t>
            </w:r>
            <w:bookmarkEnd w:id="194"/>
            <w:r>
              <w:t>;</w:t>
            </w:r>
          </w:p>
        </w:tc>
      </w:tr>
      <w:tr w:rsidR="001421AE" w14:paraId="055CAD93" w14:textId="77777777" w:rsidTr="006816C5">
        <w:tc>
          <w:tcPr>
            <w:tcW w:w="3493" w:type="dxa"/>
          </w:tcPr>
          <w:p w14:paraId="3FF259FC" w14:textId="77777777" w:rsidR="001421AE" w:rsidRDefault="001421AE" w:rsidP="00813948">
            <w:pPr>
              <w:pStyle w:val="StdBodyTextBold"/>
            </w:pPr>
            <w:r>
              <w:t>“Successor Body”</w:t>
            </w:r>
          </w:p>
        </w:tc>
        <w:tc>
          <w:tcPr>
            <w:tcW w:w="5245" w:type="dxa"/>
          </w:tcPr>
          <w:p w14:paraId="4F72E233" w14:textId="77777777" w:rsidR="001421AE" w:rsidRDefault="001421AE" w:rsidP="00813948">
            <w:pPr>
              <w:pStyle w:val="StdBodyText"/>
            </w:pPr>
            <w:r>
              <w:t xml:space="preserve">has the meaning given in </w:t>
            </w:r>
            <w:bookmarkStart w:id="195" w:name="_9kMIH5YVtCIAAGDCJLYHz2oITJ73E9CTB6PG5BO"/>
            <w:bookmarkStart w:id="196" w:name="_9kMHG5YVtCJBAGEDJLYHz2oITJ73E9CTB6PG5BO"/>
            <w:r>
              <w:t xml:space="preserve">Clause </w:t>
            </w:r>
            <w:bookmarkEnd w:id="195"/>
            <w:bookmarkEnd w:id="196"/>
            <w:r>
              <w:t>37.4 (</w:t>
            </w:r>
            <w:r w:rsidRPr="00BB26A7">
              <w:rPr>
                <w:i/>
              </w:rPr>
              <w:t>Assignment and Novation</w:t>
            </w:r>
            <w:r>
              <w:t>);</w:t>
            </w:r>
          </w:p>
        </w:tc>
      </w:tr>
      <w:tr w:rsidR="001421AE" w14:paraId="4AEA02B3" w14:textId="77777777" w:rsidTr="006816C5">
        <w:tc>
          <w:tcPr>
            <w:tcW w:w="3493" w:type="dxa"/>
          </w:tcPr>
          <w:p w14:paraId="4F7B9B38" w14:textId="77777777" w:rsidR="001421AE" w:rsidRDefault="001421AE" w:rsidP="00813948">
            <w:pPr>
              <w:pStyle w:val="StdBodyTextBold"/>
            </w:pPr>
            <w:r>
              <w:t>“Supplier Background IPRs”</w:t>
            </w:r>
          </w:p>
        </w:tc>
        <w:tc>
          <w:tcPr>
            <w:tcW w:w="5245" w:type="dxa"/>
          </w:tcPr>
          <w:p w14:paraId="53FEA3BC" w14:textId="77777777" w:rsidR="001421AE" w:rsidRDefault="001421AE" w:rsidP="00AD2EE4">
            <w:pPr>
              <w:pStyle w:val="DefinitionList"/>
              <w:numPr>
                <w:ilvl w:val="0"/>
                <w:numId w:val="63"/>
              </w:numPr>
            </w:pPr>
            <w:r>
              <w:t xml:space="preserve">Intellectual Property Rights owned by the Supplier before the Effective Date, for example those subsisting in the </w:t>
            </w:r>
            <w:bookmarkStart w:id="197" w:name="_9kML8L6ZWu9A679B"/>
            <w:r>
              <w:t>Supplier's</w:t>
            </w:r>
            <w:bookmarkEnd w:id="197"/>
            <w:r>
              <w:t xml:space="preserve"> standard development tools, program components or standard code used in computer programming or in physical or electronic media containing the </w:t>
            </w:r>
            <w:bookmarkStart w:id="198" w:name="_9kML9M6ZWu9A679B"/>
            <w:r>
              <w:t>Supplier's</w:t>
            </w:r>
            <w:bookmarkEnd w:id="198"/>
            <w:r>
              <w:t xml:space="preserve"> Know-How or generic business methodologies; and/or</w:t>
            </w:r>
          </w:p>
          <w:p w14:paraId="6ADC4ED1" w14:textId="77777777" w:rsidR="001421AE" w:rsidRDefault="001421AE" w:rsidP="002C2496">
            <w:pPr>
              <w:pStyle w:val="DefinitionList"/>
            </w:pPr>
            <w:r>
              <w:t>Intellectual Property Rights created by the Supplier independently of this Agreement,</w:t>
            </w:r>
          </w:p>
          <w:p w14:paraId="20C89ADE" w14:textId="77777777" w:rsidR="001421AE" w:rsidRDefault="001421AE" w:rsidP="00813948">
            <w:pPr>
              <w:pStyle w:val="StdBodyText"/>
            </w:pPr>
            <w:r>
              <w:t>which in each case is or will be used before or during the Term for designing, testing implementing or providing the Services but excluding Intellectual Property Rights owned by the Supplier subsisting in the Supplier Software;</w:t>
            </w:r>
          </w:p>
        </w:tc>
      </w:tr>
      <w:tr w:rsidR="001421AE" w14:paraId="049EEDF2" w14:textId="77777777" w:rsidTr="006816C5">
        <w:tc>
          <w:tcPr>
            <w:tcW w:w="3493" w:type="dxa"/>
          </w:tcPr>
          <w:p w14:paraId="0E7674E2" w14:textId="77777777" w:rsidR="001421AE" w:rsidRDefault="001421AE" w:rsidP="00813948">
            <w:pPr>
              <w:pStyle w:val="StdBodyTextBold"/>
            </w:pPr>
            <w:r>
              <w:t>“Supplier COTS Background IPRs”</w:t>
            </w:r>
          </w:p>
        </w:tc>
        <w:tc>
          <w:tcPr>
            <w:tcW w:w="5245" w:type="dxa"/>
          </w:tcPr>
          <w:p w14:paraId="716EAC22" w14:textId="77777777" w:rsidR="001421AE" w:rsidRDefault="001421AE" w:rsidP="00813948">
            <w:pPr>
              <w:pStyle w:val="StdBodyText"/>
            </w:pPr>
            <w:r>
              <w:t>Any embodiments of Supplier Background IPRs that:</w:t>
            </w:r>
          </w:p>
          <w:p w14:paraId="3DCE90BC" w14:textId="77777777" w:rsidR="001421AE" w:rsidRDefault="001421AE" w:rsidP="00AD2EE4">
            <w:pPr>
              <w:pStyle w:val="DefinitionList"/>
              <w:numPr>
                <w:ilvl w:val="0"/>
                <w:numId w:val="64"/>
              </w:numPr>
            </w:pPr>
            <w:r>
              <w:t>the Supplier makes generally available commercially prior to the date of this Agreement (whether by way of sale, lease or licence) on standard terms which are not typically negotiated by the Supplier save as to price; and</w:t>
            </w:r>
          </w:p>
          <w:p w14:paraId="389343DB" w14:textId="77777777" w:rsidR="001421AE" w:rsidRDefault="001421AE" w:rsidP="002C2496">
            <w:pPr>
              <w:pStyle w:val="DefinitionList"/>
            </w:pPr>
            <w:r>
              <w:t>has a Non-trivial Customer Base;</w:t>
            </w:r>
          </w:p>
        </w:tc>
      </w:tr>
      <w:tr w:rsidR="001421AE" w14:paraId="3C9ABBFA" w14:textId="77777777" w:rsidTr="006816C5">
        <w:tc>
          <w:tcPr>
            <w:tcW w:w="3493" w:type="dxa"/>
          </w:tcPr>
          <w:p w14:paraId="601B1808" w14:textId="77777777" w:rsidR="001421AE" w:rsidRDefault="001421AE" w:rsidP="00813948">
            <w:pPr>
              <w:pStyle w:val="StdBodyTextBold"/>
            </w:pPr>
            <w:r>
              <w:t>“Supplier COTS Software”</w:t>
            </w:r>
          </w:p>
        </w:tc>
        <w:tc>
          <w:tcPr>
            <w:tcW w:w="5245" w:type="dxa"/>
          </w:tcPr>
          <w:p w14:paraId="0A75D0D0" w14:textId="77777777" w:rsidR="001421AE" w:rsidRDefault="001421AE" w:rsidP="00813948">
            <w:pPr>
              <w:pStyle w:val="StdBodyText"/>
            </w:pPr>
            <w:r>
              <w:t>Supplier Software (including open source software) that:</w:t>
            </w:r>
          </w:p>
          <w:p w14:paraId="64D8703C" w14:textId="77777777" w:rsidR="001421AE" w:rsidRDefault="001421AE" w:rsidP="00AD2EE4">
            <w:pPr>
              <w:pStyle w:val="DefinitionList"/>
              <w:numPr>
                <w:ilvl w:val="0"/>
                <w:numId w:val="65"/>
              </w:numPr>
            </w:pPr>
            <w:r>
              <w:t>the Supplier makes generally available commercially prior to the date of this Agreement (whether by way of sale, lease or licence) on standard terms which are not typically negotiated by the Supplier save as to price; and</w:t>
            </w:r>
          </w:p>
          <w:p w14:paraId="5E56A23C" w14:textId="77777777" w:rsidR="001421AE" w:rsidRDefault="001421AE" w:rsidP="002C2496">
            <w:pPr>
              <w:pStyle w:val="DefinitionList"/>
            </w:pPr>
            <w:r>
              <w:t>has a Non-trivial Customer Base;</w:t>
            </w:r>
          </w:p>
        </w:tc>
      </w:tr>
      <w:tr w:rsidR="001421AE" w14:paraId="347647C4" w14:textId="77777777" w:rsidTr="006816C5">
        <w:tc>
          <w:tcPr>
            <w:tcW w:w="3493" w:type="dxa"/>
          </w:tcPr>
          <w:p w14:paraId="172A3A0B" w14:textId="77777777" w:rsidR="001421AE" w:rsidRDefault="001421AE" w:rsidP="00813948">
            <w:pPr>
              <w:pStyle w:val="StdBodyTextBold"/>
            </w:pPr>
            <w:r>
              <w:t>“Supplier Equipment”</w:t>
            </w:r>
          </w:p>
        </w:tc>
        <w:tc>
          <w:tcPr>
            <w:tcW w:w="5245" w:type="dxa"/>
          </w:tcPr>
          <w:p w14:paraId="4A0171C4" w14:textId="77777777" w:rsidR="001421AE" w:rsidRDefault="001421AE" w:rsidP="00813948">
            <w:pPr>
              <w:pStyle w:val="StdBodyText"/>
            </w:pPr>
            <w:r>
              <w:t>the hardware, computer and telecoms devices and equipment used by the Supplier or its Sub-contractors (but not hired, leased or loaned from the Authority) for the provision of the Services;</w:t>
            </w:r>
          </w:p>
        </w:tc>
      </w:tr>
      <w:tr w:rsidR="001421AE" w14:paraId="4E21667A" w14:textId="77777777" w:rsidTr="006816C5">
        <w:tc>
          <w:tcPr>
            <w:tcW w:w="3493" w:type="dxa"/>
          </w:tcPr>
          <w:p w14:paraId="38AC02B2" w14:textId="77777777" w:rsidR="001421AE" w:rsidRDefault="001421AE" w:rsidP="00813948">
            <w:pPr>
              <w:pStyle w:val="StdBodyTextBold"/>
            </w:pPr>
            <w:r>
              <w:t>“Supplier Group”</w:t>
            </w:r>
          </w:p>
        </w:tc>
        <w:tc>
          <w:tcPr>
            <w:tcW w:w="5245" w:type="dxa"/>
          </w:tcPr>
          <w:p w14:paraId="39F02DFF" w14:textId="77777777" w:rsidR="001421AE" w:rsidRDefault="001421AE" w:rsidP="00813948">
            <w:pPr>
              <w:pStyle w:val="StdBodyText"/>
            </w:pPr>
            <w:r>
              <w:t>means the Supplier, its Dependent Parent Undertakings and all Subsidiary Undertakings and Associates of such Dependent Parent Undertakings;</w:t>
            </w:r>
          </w:p>
        </w:tc>
      </w:tr>
      <w:tr w:rsidR="001421AE" w14:paraId="1ADD12F3" w14:textId="77777777" w:rsidTr="006816C5">
        <w:tc>
          <w:tcPr>
            <w:tcW w:w="3493" w:type="dxa"/>
          </w:tcPr>
          <w:p w14:paraId="7265442A" w14:textId="77777777" w:rsidR="001421AE" w:rsidRDefault="001421AE" w:rsidP="00813948">
            <w:pPr>
              <w:pStyle w:val="StdBodyTextBold"/>
            </w:pPr>
            <w:r>
              <w:t>“Supplier Non-COTS Background IPRs”</w:t>
            </w:r>
          </w:p>
        </w:tc>
        <w:tc>
          <w:tcPr>
            <w:tcW w:w="5245" w:type="dxa"/>
          </w:tcPr>
          <w:p w14:paraId="31F4E40A" w14:textId="77777777" w:rsidR="001421AE" w:rsidRDefault="001421AE" w:rsidP="00813948">
            <w:pPr>
              <w:pStyle w:val="StdBodyText"/>
            </w:pPr>
            <w:r>
              <w:t>Any embodiments of Supplier Background IPRs that have been delivered by the Supplier to the Authority and that are not Supplier COTS Background IPRs;</w:t>
            </w:r>
          </w:p>
        </w:tc>
      </w:tr>
      <w:tr w:rsidR="001421AE" w14:paraId="3F39BF2F" w14:textId="77777777" w:rsidTr="006816C5">
        <w:tc>
          <w:tcPr>
            <w:tcW w:w="3493" w:type="dxa"/>
          </w:tcPr>
          <w:p w14:paraId="2E2CBA69" w14:textId="77777777" w:rsidR="001421AE" w:rsidRDefault="001421AE" w:rsidP="00813948">
            <w:pPr>
              <w:pStyle w:val="StdBodyTextBold"/>
            </w:pPr>
            <w:r>
              <w:t>“Supplier Non-COTS Software”</w:t>
            </w:r>
          </w:p>
        </w:tc>
        <w:tc>
          <w:tcPr>
            <w:tcW w:w="5245" w:type="dxa"/>
          </w:tcPr>
          <w:p w14:paraId="04F82896" w14:textId="77777777" w:rsidR="001421AE" w:rsidRDefault="001421AE" w:rsidP="00813948">
            <w:pPr>
              <w:pStyle w:val="StdBodyText"/>
            </w:pPr>
            <w:r>
              <w:t>Supplier Software that is not Supplier COTS Software;</w:t>
            </w:r>
          </w:p>
        </w:tc>
      </w:tr>
      <w:tr w:rsidR="001421AE" w14:paraId="598A1262" w14:textId="77777777" w:rsidTr="006816C5">
        <w:tc>
          <w:tcPr>
            <w:tcW w:w="3493" w:type="dxa"/>
          </w:tcPr>
          <w:p w14:paraId="25684CDC" w14:textId="77777777" w:rsidR="001421AE" w:rsidRDefault="001421AE" w:rsidP="00813948">
            <w:pPr>
              <w:pStyle w:val="StdBodyTextBold"/>
            </w:pPr>
            <w:r>
              <w:t>“Supplier Non-Performance”</w:t>
            </w:r>
          </w:p>
        </w:tc>
        <w:tc>
          <w:tcPr>
            <w:tcW w:w="5245" w:type="dxa"/>
          </w:tcPr>
          <w:p w14:paraId="2D596525" w14:textId="77777777" w:rsidR="001421AE" w:rsidRDefault="001421AE" w:rsidP="00813948">
            <w:pPr>
              <w:pStyle w:val="StdBodyText"/>
            </w:pPr>
            <w:r>
              <w:t xml:space="preserve">has the meaning given in </w:t>
            </w:r>
            <w:bookmarkStart w:id="199" w:name="_9kMHG5YVtCJBBDHKEDaV8H7555I1w0w76u2RTPJ"/>
            <w:bookmarkStart w:id="200" w:name="_9kMIH5YVtCIABEBDEDaV8H7555I1w0w76u2RTPJ"/>
            <w:r>
              <w:t xml:space="preserve">Clause </w:t>
            </w:r>
            <w:bookmarkEnd w:id="199"/>
            <w:bookmarkEnd w:id="200"/>
            <w:r>
              <w:t>32.1 (</w:t>
            </w:r>
            <w:r w:rsidRPr="00BB26A7">
              <w:rPr>
                <w:i/>
              </w:rPr>
              <w:t>Authority Cause</w:t>
            </w:r>
            <w:r>
              <w:t>);</w:t>
            </w:r>
          </w:p>
        </w:tc>
      </w:tr>
      <w:tr w:rsidR="001421AE" w14:paraId="091FA077" w14:textId="77777777" w:rsidTr="006816C5">
        <w:tc>
          <w:tcPr>
            <w:tcW w:w="3493" w:type="dxa"/>
          </w:tcPr>
          <w:p w14:paraId="20F0208E" w14:textId="77777777" w:rsidR="001421AE" w:rsidRDefault="001421AE" w:rsidP="00813948">
            <w:pPr>
              <w:pStyle w:val="StdBodyTextBold"/>
            </w:pPr>
            <w:r>
              <w:t>“Supplier Personnel”</w:t>
            </w:r>
          </w:p>
        </w:tc>
        <w:tc>
          <w:tcPr>
            <w:tcW w:w="5245" w:type="dxa"/>
          </w:tcPr>
          <w:p w14:paraId="371DB117" w14:textId="77777777" w:rsidR="001421AE" w:rsidRDefault="001421AE" w:rsidP="00813948">
            <w:pPr>
              <w:pStyle w:val="StdBodyText"/>
            </w:pPr>
            <w:r>
              <w:t>all directors, officers, employees, agents, consultants and contractors of the Supplier and/or of any Sub-contractor engaged in the performance of the Supplier’s obligations under this Agreement;</w:t>
            </w:r>
          </w:p>
        </w:tc>
      </w:tr>
      <w:tr w:rsidR="001421AE" w14:paraId="0F9AAD40" w14:textId="77777777" w:rsidTr="006816C5">
        <w:tc>
          <w:tcPr>
            <w:tcW w:w="3493" w:type="dxa"/>
          </w:tcPr>
          <w:p w14:paraId="1D5BB84B" w14:textId="77777777" w:rsidR="001421AE" w:rsidRDefault="001421AE" w:rsidP="00813948">
            <w:pPr>
              <w:pStyle w:val="StdBodyTextBold"/>
            </w:pPr>
            <w:r>
              <w:t>“Supplier Profit Margin”</w:t>
            </w:r>
          </w:p>
        </w:tc>
        <w:tc>
          <w:tcPr>
            <w:tcW w:w="5245" w:type="dxa"/>
          </w:tcPr>
          <w:p w14:paraId="62B9DE86" w14:textId="427BCDD4" w:rsidR="001421AE" w:rsidRDefault="001421AE" w:rsidP="00813948">
            <w:pPr>
              <w:pStyle w:val="StdBodyText"/>
            </w:pPr>
            <w:r>
              <w:t>has the meaning given in Schedule 7.1 (</w:t>
            </w:r>
            <w:r w:rsidRPr="00BB26A7">
              <w:rPr>
                <w:i/>
              </w:rPr>
              <w:t>Charges and Invoicing</w:t>
            </w:r>
            <w:r>
              <w:t>);</w:t>
            </w:r>
          </w:p>
        </w:tc>
      </w:tr>
      <w:tr w:rsidR="001421AE" w14:paraId="4E386D1C" w14:textId="77777777" w:rsidTr="006816C5">
        <w:tc>
          <w:tcPr>
            <w:tcW w:w="3493" w:type="dxa"/>
          </w:tcPr>
          <w:p w14:paraId="3BF51950" w14:textId="77777777" w:rsidR="001421AE" w:rsidRDefault="001421AE" w:rsidP="00813948">
            <w:pPr>
              <w:pStyle w:val="StdBodyTextBold"/>
            </w:pPr>
            <w:r>
              <w:t>“Supplier Profit”</w:t>
            </w:r>
          </w:p>
        </w:tc>
        <w:tc>
          <w:tcPr>
            <w:tcW w:w="5245" w:type="dxa"/>
          </w:tcPr>
          <w:p w14:paraId="44D8DA38" w14:textId="22941802" w:rsidR="001421AE" w:rsidRDefault="001421AE" w:rsidP="00813948">
            <w:pPr>
              <w:pStyle w:val="StdBodyText"/>
            </w:pPr>
            <w:r>
              <w:t>has the meaning given in Schedule 7.1 (</w:t>
            </w:r>
            <w:r w:rsidRPr="00BB26A7">
              <w:rPr>
                <w:i/>
              </w:rPr>
              <w:t>Charges and Invoicing</w:t>
            </w:r>
            <w:r>
              <w:t>);</w:t>
            </w:r>
          </w:p>
        </w:tc>
      </w:tr>
      <w:tr w:rsidR="001421AE" w14:paraId="18704C35" w14:textId="77777777" w:rsidTr="006816C5">
        <w:tc>
          <w:tcPr>
            <w:tcW w:w="3493" w:type="dxa"/>
          </w:tcPr>
          <w:p w14:paraId="65BEB20C" w14:textId="77777777" w:rsidR="001421AE" w:rsidRDefault="001421AE" w:rsidP="00813948">
            <w:pPr>
              <w:pStyle w:val="StdBodyTextBold"/>
            </w:pPr>
            <w:r>
              <w:t>“Supplier Representative”</w:t>
            </w:r>
          </w:p>
        </w:tc>
        <w:tc>
          <w:tcPr>
            <w:tcW w:w="5245" w:type="dxa"/>
          </w:tcPr>
          <w:p w14:paraId="5FC15F42" w14:textId="77777777" w:rsidR="001421AE" w:rsidRDefault="001421AE" w:rsidP="00813948">
            <w:pPr>
              <w:pStyle w:val="StdBodyText"/>
            </w:pPr>
            <w:r>
              <w:t xml:space="preserve">the representative appointed by the Supplier pursuant to </w:t>
            </w:r>
            <w:bookmarkStart w:id="201" w:name="_9kMHG5YVtCIAEJFDCFiUmoyz67ptmqKGD71BzhC"/>
            <w:r>
              <w:t xml:space="preserve">Clause </w:t>
            </w:r>
            <w:bookmarkEnd w:id="201"/>
            <w:r>
              <w:t>11.3 (</w:t>
            </w:r>
            <w:r w:rsidRPr="00BB26A7">
              <w:rPr>
                <w:i/>
              </w:rPr>
              <w:t>Representatives</w:t>
            </w:r>
            <w:r>
              <w:t>);</w:t>
            </w:r>
          </w:p>
        </w:tc>
      </w:tr>
      <w:tr w:rsidR="001421AE" w14:paraId="30946681" w14:textId="77777777" w:rsidTr="006816C5">
        <w:tc>
          <w:tcPr>
            <w:tcW w:w="3493" w:type="dxa"/>
          </w:tcPr>
          <w:p w14:paraId="27284FF1" w14:textId="77777777" w:rsidR="001421AE" w:rsidRDefault="001421AE" w:rsidP="00813948">
            <w:pPr>
              <w:pStyle w:val="StdBodyTextBold"/>
            </w:pPr>
            <w:r>
              <w:t>“Supplier Software”</w:t>
            </w:r>
          </w:p>
        </w:tc>
        <w:tc>
          <w:tcPr>
            <w:tcW w:w="5245" w:type="dxa"/>
          </w:tcPr>
          <w:p w14:paraId="508F9D5A" w14:textId="2669BDF9" w:rsidR="001421AE" w:rsidRDefault="001421AE" w:rsidP="00813948">
            <w:pPr>
              <w:pStyle w:val="StdBodyText"/>
            </w:pPr>
            <w:r>
              <w:t>software which is proprietary to the Supplier (or an Affiliate of the Supplier) and which is or will be used by the Supplier for the purposes of providing the Services, including the software specified as such in Schedule 5 (</w:t>
            </w:r>
            <w:r w:rsidRPr="00BB26A7">
              <w:rPr>
                <w:i/>
              </w:rPr>
              <w:t>Software</w:t>
            </w:r>
            <w:r>
              <w:t>);</w:t>
            </w:r>
          </w:p>
        </w:tc>
      </w:tr>
      <w:tr w:rsidR="001421AE" w14:paraId="105A4423" w14:textId="77777777" w:rsidTr="006816C5">
        <w:tc>
          <w:tcPr>
            <w:tcW w:w="3493" w:type="dxa"/>
          </w:tcPr>
          <w:p w14:paraId="482D306A" w14:textId="77777777" w:rsidR="001421AE" w:rsidRDefault="001421AE" w:rsidP="00813948">
            <w:pPr>
              <w:pStyle w:val="StdBodyTextBold"/>
            </w:pPr>
            <w:r>
              <w:t>“Supplier Solution”</w:t>
            </w:r>
          </w:p>
        </w:tc>
        <w:tc>
          <w:tcPr>
            <w:tcW w:w="5245" w:type="dxa"/>
          </w:tcPr>
          <w:p w14:paraId="08A72C47" w14:textId="41A9CA9B" w:rsidR="001421AE" w:rsidRDefault="001421AE" w:rsidP="00813948">
            <w:pPr>
              <w:pStyle w:val="StdBodyText"/>
            </w:pPr>
            <w:r>
              <w:t xml:space="preserve">the </w:t>
            </w:r>
            <w:bookmarkStart w:id="202" w:name="_9kMLAN6ZWu9A679B"/>
            <w:r>
              <w:t>Supplier's</w:t>
            </w:r>
            <w:bookmarkEnd w:id="202"/>
            <w:r>
              <w:t xml:space="preserve"> solution for the Services set out in Schedule 4.1 (</w:t>
            </w:r>
            <w:r w:rsidRPr="00BB26A7">
              <w:rPr>
                <w:i/>
              </w:rPr>
              <w:t>Supplier Solution</w:t>
            </w:r>
            <w:r>
              <w:t>) including any Annexes of that Schedule;</w:t>
            </w:r>
          </w:p>
        </w:tc>
      </w:tr>
      <w:tr w:rsidR="001421AE" w14:paraId="7CA67B0F" w14:textId="77777777" w:rsidTr="006816C5">
        <w:tc>
          <w:tcPr>
            <w:tcW w:w="3493" w:type="dxa"/>
          </w:tcPr>
          <w:p w14:paraId="71F4A9DC" w14:textId="77777777" w:rsidR="001421AE" w:rsidRDefault="001421AE" w:rsidP="00813948">
            <w:pPr>
              <w:pStyle w:val="StdBodyTextBold"/>
            </w:pPr>
            <w:r>
              <w:t>“Supplier System”</w:t>
            </w:r>
          </w:p>
        </w:tc>
        <w:tc>
          <w:tcPr>
            <w:tcW w:w="5245" w:type="dxa"/>
          </w:tcPr>
          <w:p w14:paraId="52255123" w14:textId="77777777" w:rsidR="001421AE" w:rsidRDefault="001421AE" w:rsidP="00813948">
            <w:pPr>
              <w:pStyle w:val="StdBodyText"/>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Authority System);</w:t>
            </w:r>
          </w:p>
        </w:tc>
      </w:tr>
      <w:tr w:rsidR="001421AE" w14:paraId="592B5D91" w14:textId="77777777" w:rsidTr="006816C5">
        <w:tc>
          <w:tcPr>
            <w:tcW w:w="3493" w:type="dxa"/>
          </w:tcPr>
          <w:p w14:paraId="19CBFC5E" w14:textId="77777777" w:rsidR="001421AE" w:rsidRDefault="001421AE" w:rsidP="00813948">
            <w:pPr>
              <w:pStyle w:val="StdBodyTextBold"/>
            </w:pPr>
            <w:r>
              <w:t>“Supplier Termination Event”</w:t>
            </w:r>
          </w:p>
        </w:tc>
        <w:tc>
          <w:tcPr>
            <w:tcW w:w="5245" w:type="dxa"/>
          </w:tcPr>
          <w:p w14:paraId="419D56D3" w14:textId="77777777" w:rsidR="001421AE" w:rsidRDefault="001421AE" w:rsidP="00AD2EE4">
            <w:pPr>
              <w:pStyle w:val="DefinitionList"/>
              <w:numPr>
                <w:ilvl w:val="0"/>
                <w:numId w:val="66"/>
              </w:numPr>
            </w:pPr>
            <w:bookmarkStart w:id="203" w:name="_9kR3WTr299DHGgtjmj09ubjkEA71v5vd8H9B4BK"/>
            <w:bookmarkStart w:id="204" w:name="_Ref_ContractCompanion_9kb9Ur28E"/>
            <w:r>
              <w:t>the Supplier’s level of performance constituting a Critical Performance Failure;</w:t>
            </w:r>
            <w:bookmarkEnd w:id="203"/>
            <w:r>
              <w:t xml:space="preserve"> </w:t>
            </w:r>
            <w:bookmarkEnd w:id="204"/>
          </w:p>
          <w:p w14:paraId="4C18AABA" w14:textId="77777777" w:rsidR="001421AE" w:rsidRDefault="001421AE" w:rsidP="002C2496">
            <w:pPr>
              <w:pStyle w:val="DefinitionList"/>
            </w:pPr>
            <w:bookmarkStart w:id="205" w:name="_Ref_ContractCompanion_9kb9Ur8GE"/>
            <w:r>
              <w:t xml:space="preserve">the Supplier committing a material Default which is irremediable; </w:t>
            </w:r>
            <w:bookmarkEnd w:id="205"/>
          </w:p>
          <w:p w14:paraId="695A85BF" w14:textId="77777777" w:rsidR="001421AE" w:rsidRDefault="001421AE" w:rsidP="002C2496">
            <w:pPr>
              <w:pStyle w:val="DefinitionList"/>
            </w:pPr>
            <w:bookmarkStart w:id="206" w:name="_Ref_ContractCompanion_9kb9Ur8GB"/>
            <w:r>
              <w:t xml:space="preserve">as a result of the </w:t>
            </w:r>
            <w:bookmarkStart w:id="207" w:name="_9kMLBO6ZWu9A679B"/>
            <w:r>
              <w:t>Supplier's</w:t>
            </w:r>
            <w:bookmarkEnd w:id="207"/>
            <w:r>
              <w:t xml:space="preserve"> Default, the Authority incurring Losses in any Contract Year which exceed 80% of the value of the aggregate annual liability cap for that Contract Year as set out in </w:t>
            </w:r>
            <w:bookmarkStart w:id="208" w:name="_9kMHG5YVtCIACDEHHMst1nHSI62D8BSSOLM923z"/>
            <w:r>
              <w:t xml:space="preserve">Clause </w:t>
            </w:r>
            <w:bookmarkEnd w:id="208"/>
            <w:r>
              <w:t>26.6(a) (</w:t>
            </w:r>
            <w:r w:rsidRPr="00BB26A7">
              <w:rPr>
                <w:i/>
              </w:rPr>
              <w:t>Financial and other Limits</w:t>
            </w:r>
            <w:r>
              <w:t>);</w:t>
            </w:r>
            <w:bookmarkEnd w:id="206"/>
          </w:p>
          <w:p w14:paraId="50C9EAF8" w14:textId="77777777" w:rsidR="001421AE" w:rsidRDefault="001421AE" w:rsidP="002C2496">
            <w:pPr>
              <w:pStyle w:val="DefinitionList"/>
            </w:pPr>
            <w:r>
              <w:t>a Remedial Adviser Failure;</w:t>
            </w:r>
          </w:p>
          <w:p w14:paraId="6D480C39" w14:textId="77777777" w:rsidR="001421AE" w:rsidRDefault="001421AE" w:rsidP="002C2496">
            <w:pPr>
              <w:pStyle w:val="DefinitionList"/>
            </w:pPr>
            <w:bookmarkStart w:id="209" w:name="_Ref44573604"/>
            <w:r>
              <w:t>a Rectification Plan Failure;</w:t>
            </w:r>
            <w:bookmarkEnd w:id="209"/>
          </w:p>
          <w:p w14:paraId="0009E8A3" w14:textId="77777777" w:rsidR="001421AE" w:rsidRDefault="001421AE" w:rsidP="002C2496">
            <w:pPr>
              <w:pStyle w:val="DefinitionList"/>
            </w:pPr>
            <w:bookmarkStart w:id="210" w:name="_Ref_ContractCompanion_9kb9Ur278"/>
            <w:bookmarkStart w:id="211" w:name="_9kR3WTrAG86BEdtjmj09ubjkEA71v5vd8H9B4BK"/>
            <w:bookmarkStart w:id="212" w:name="_9kR3WTr299DHFftjmj09ubjkEA71v5vd8H9B4BK"/>
            <w:r>
              <w:t>where a right of termination is expressly reserved in this Agreement, including pursuant to:</w:t>
            </w:r>
            <w:bookmarkEnd w:id="210"/>
            <w:bookmarkEnd w:id="211"/>
            <w:bookmarkEnd w:id="212"/>
          </w:p>
          <w:p w14:paraId="172E677F" w14:textId="77777777" w:rsidR="001421AE" w:rsidRDefault="001421AE" w:rsidP="002C2496">
            <w:pPr>
              <w:pStyle w:val="DefinitionListLevel1"/>
            </w:pPr>
            <w:bookmarkStart w:id="213" w:name="_9kMIH5YVtCIA89CgSz3p9LJRj7Hlj95x7HELc"/>
            <w:r>
              <w:t xml:space="preserve">Clause </w:t>
            </w:r>
            <w:bookmarkEnd w:id="213"/>
            <w:r>
              <w:t>19 (</w:t>
            </w:r>
            <w:r w:rsidRPr="00BB26A7">
              <w:rPr>
                <w:i/>
              </w:rPr>
              <w:t>IPRs Indemnity</w:t>
            </w:r>
            <w:r>
              <w:t xml:space="preserve">); </w:t>
            </w:r>
          </w:p>
          <w:p w14:paraId="6A45220A" w14:textId="77777777" w:rsidR="001421AE" w:rsidRDefault="001421AE" w:rsidP="002C2496">
            <w:pPr>
              <w:pStyle w:val="DefinitionListLevel1"/>
            </w:pPr>
            <w:r>
              <w:t>Clause 36 (</w:t>
            </w:r>
            <w:r w:rsidRPr="006816C5">
              <w:rPr>
                <w:i/>
                <w:iCs/>
              </w:rPr>
              <w:t>Compliance</w:t>
            </w:r>
            <w:r>
              <w:t>);</w:t>
            </w:r>
          </w:p>
          <w:p w14:paraId="7937DC40" w14:textId="77777777" w:rsidR="001421AE" w:rsidRDefault="001421AE" w:rsidP="002C2496">
            <w:pPr>
              <w:pStyle w:val="DefinitionListLevel1"/>
            </w:pPr>
            <w:bookmarkStart w:id="214" w:name="_9kMHG5YVtCIAAEDEMQtjv0tlqo05yJS98H9B4BG"/>
            <w:r>
              <w:t xml:space="preserve">Clause </w:t>
            </w:r>
            <w:bookmarkEnd w:id="214"/>
            <w:r>
              <w:t>40.6(b) (</w:t>
            </w:r>
            <w:r w:rsidRPr="00BB26A7">
              <w:rPr>
                <w:i/>
              </w:rPr>
              <w:t>Prevention of Fraud and Bribery</w:t>
            </w:r>
            <w:r>
              <w:t>); and/or</w:t>
            </w:r>
          </w:p>
          <w:p w14:paraId="6F096C39" w14:textId="6EF6943A" w:rsidR="001421AE" w:rsidRDefault="001421AE" w:rsidP="002C2496">
            <w:pPr>
              <w:pStyle w:val="DefinitionListLevel1"/>
            </w:pPr>
            <w:bookmarkStart w:id="215" w:name="_9kMKJ5YVt4EE6BIeGpqgyts0I"/>
            <w:r>
              <w:t xml:space="preserve">Paragraph </w:t>
            </w:r>
            <w:bookmarkEnd w:id="215"/>
            <w:r>
              <w:t>6 of Schedule 7.4 (</w:t>
            </w:r>
            <w:r w:rsidRPr="00BB26A7">
              <w:rPr>
                <w:i/>
              </w:rPr>
              <w:t>Financial</w:t>
            </w:r>
            <w:r>
              <w:t xml:space="preserve"> </w:t>
            </w:r>
            <w:r w:rsidRPr="00BB26A7">
              <w:rPr>
                <w:i/>
              </w:rPr>
              <w:t>Distress</w:t>
            </w:r>
            <w:r>
              <w:t xml:space="preserve">); </w:t>
            </w:r>
          </w:p>
          <w:p w14:paraId="5789B2FA" w14:textId="08041481" w:rsidR="001421AE" w:rsidRDefault="001421AE" w:rsidP="002C2496">
            <w:pPr>
              <w:pStyle w:val="DefinitionListLevel1"/>
            </w:pPr>
            <w:bookmarkStart w:id="216" w:name="_9kR3WTr2CC578XEnoewrqyBK"/>
            <w:r>
              <w:t xml:space="preserve">Paragraph 12 </w:t>
            </w:r>
            <w:bookmarkEnd w:id="216"/>
            <w:r>
              <w:t>of Part B to Schedule 8.6 (</w:t>
            </w:r>
            <w:r w:rsidRPr="00BB26A7">
              <w:rPr>
                <w:i/>
              </w:rPr>
              <w:t>Service Continuity Plan</w:t>
            </w:r>
            <w:r>
              <w:t>);</w:t>
            </w:r>
          </w:p>
          <w:p w14:paraId="58A40CCA" w14:textId="77777777" w:rsidR="001421AE" w:rsidRDefault="001421AE" w:rsidP="002C2496">
            <w:pPr>
              <w:pStyle w:val="DefinitionList"/>
            </w:pPr>
            <w:bookmarkStart w:id="217" w:name="_Ref_ContractCompanion_9kb9Ur26E"/>
            <w:bookmarkStart w:id="218" w:name="_9kR3WTrAG86BBatjmj09ubjkEA71v5vd8H9B4BK"/>
            <w:bookmarkStart w:id="219" w:name="_9kR3WTr299DHEetjmj09ubjkEA71v5vd8H9B4BK"/>
            <w:r>
              <w:t xml:space="preserve">the representation and warranty given by the Supplier pursuant to </w:t>
            </w:r>
            <w:bookmarkStart w:id="220" w:name="_9kMHG5YVtCIABGLLFvp11jv96D8vwws8DzTeUIE"/>
            <w:r>
              <w:t xml:space="preserve">Clause </w:t>
            </w:r>
            <w:bookmarkEnd w:id="220"/>
            <w:r>
              <w:t>3.2(i) (</w:t>
            </w:r>
            <w:r w:rsidRPr="008758C5">
              <w:rPr>
                <w:i/>
              </w:rPr>
              <w:t>Warranties</w:t>
            </w:r>
            <w:r>
              <w:t>) being materially untrue or misleading;</w:t>
            </w:r>
            <w:bookmarkEnd w:id="217"/>
            <w:bookmarkEnd w:id="218"/>
            <w:bookmarkEnd w:id="219"/>
          </w:p>
          <w:p w14:paraId="288B97C5" w14:textId="77777777" w:rsidR="001421AE" w:rsidRDefault="001421AE" w:rsidP="002C2496">
            <w:pPr>
              <w:pStyle w:val="DefinitionList"/>
            </w:pPr>
            <w:r>
              <w:t xml:space="preserve">the Supplier committing a material Default under </w:t>
            </w:r>
            <w:bookmarkStart w:id="221" w:name="_9kMHG5YVtCIAELFBBCDVIhwxsHKB55H8APEBAHJ"/>
            <w:r>
              <w:t xml:space="preserve">Clause </w:t>
            </w:r>
            <w:bookmarkEnd w:id="221"/>
            <w:r>
              <w:t>10.10 (</w:t>
            </w:r>
            <w:r w:rsidRPr="008758C5">
              <w:rPr>
                <w:i/>
              </w:rPr>
              <w:t>Promoting Tax Compliance</w:t>
            </w:r>
            <w:r>
              <w:t xml:space="preserve">) or failing to provide details of steps being taken and mitigating factors pursuant to </w:t>
            </w:r>
            <w:bookmarkStart w:id="222" w:name="_9kMIH5YVtCIAELFBBCDVIhwxsHKB55H8APEBAHJ"/>
            <w:r>
              <w:t xml:space="preserve">Clause </w:t>
            </w:r>
            <w:bookmarkEnd w:id="222"/>
            <w:r>
              <w:t>10.10 (</w:t>
            </w:r>
            <w:r w:rsidRPr="008758C5">
              <w:rPr>
                <w:i/>
              </w:rPr>
              <w:t>Promoting Tax Compliance</w:t>
            </w:r>
            <w:r>
              <w:t>) which in the reasonable opinion of the Authority are acceptable;</w:t>
            </w:r>
          </w:p>
          <w:p w14:paraId="0E4A3A1C" w14:textId="77777777" w:rsidR="001421AE" w:rsidRDefault="001421AE" w:rsidP="002C2496">
            <w:pPr>
              <w:pStyle w:val="DefinitionList"/>
            </w:pPr>
            <w:r>
              <w:t>the Supplier committing a material Default under any of the following Clauses:</w:t>
            </w:r>
          </w:p>
          <w:p w14:paraId="50A3F9F8" w14:textId="77777777" w:rsidR="001421AE" w:rsidRDefault="001421AE" w:rsidP="002C2496">
            <w:pPr>
              <w:pStyle w:val="DefinitionListLevel1"/>
            </w:pPr>
            <w:bookmarkStart w:id="223" w:name="_9kMIH5YVtCIA9GKKKzogu2ozyw64u38q047MMRM"/>
            <w:r>
              <w:t xml:space="preserve">Clause </w:t>
            </w:r>
            <w:bookmarkEnd w:id="223"/>
            <w:r>
              <w:t>5.5(j) (</w:t>
            </w:r>
            <w:r w:rsidRPr="008758C5">
              <w:rPr>
                <w:i/>
              </w:rPr>
              <w:t>Services</w:t>
            </w:r>
            <w:r>
              <w:t>);</w:t>
            </w:r>
          </w:p>
          <w:p w14:paraId="3DB988F8" w14:textId="77777777" w:rsidR="001421AE" w:rsidRDefault="001421AE" w:rsidP="002C2496">
            <w:pPr>
              <w:pStyle w:val="DefinitionListLevel1"/>
            </w:pPr>
            <w:bookmarkStart w:id="224" w:name="_9kMKJ5YVtCIA7HJeSz3p9LKMkGGJAuAHDJKDFFI"/>
            <w:r>
              <w:t xml:space="preserve">Clause </w:t>
            </w:r>
            <w:bookmarkEnd w:id="224"/>
            <w:r>
              <w:t>24 (</w:t>
            </w:r>
            <w:r w:rsidRPr="008758C5">
              <w:rPr>
                <w:i/>
              </w:rPr>
              <w:t>Protection of Personal Data</w:t>
            </w:r>
            <w:r>
              <w:t xml:space="preserve">); </w:t>
            </w:r>
          </w:p>
          <w:p w14:paraId="11C85ED3" w14:textId="77777777" w:rsidR="001421AE" w:rsidRDefault="001421AE" w:rsidP="002C2496">
            <w:pPr>
              <w:pStyle w:val="DefinitionListLevel1"/>
            </w:pPr>
            <w:bookmarkStart w:id="225" w:name="_9kMML5YVtCIA7HMhSz3p9LKLnK2zIL47C98KJ9D"/>
            <w:r>
              <w:t xml:space="preserve">Clause </w:t>
            </w:r>
            <w:bookmarkEnd w:id="225"/>
            <w:r>
              <w:t>23 (</w:t>
            </w:r>
            <w:r w:rsidRPr="008758C5">
              <w:rPr>
                <w:i/>
              </w:rPr>
              <w:t>Transparency and Freedom of Information</w:t>
            </w:r>
            <w:r>
              <w:t xml:space="preserve">); </w:t>
            </w:r>
          </w:p>
          <w:p w14:paraId="4EEA7821" w14:textId="77777777" w:rsidR="001421AE" w:rsidRDefault="001421AE" w:rsidP="002C2496">
            <w:pPr>
              <w:pStyle w:val="DefinitionListLevel1"/>
            </w:pPr>
            <w:bookmarkStart w:id="226" w:name="_9kMH0H6ZWuDJB8IQlT04qAMLLW1D510x8OK26FO"/>
            <w:r>
              <w:t xml:space="preserve">Clause </w:t>
            </w:r>
            <w:bookmarkEnd w:id="226"/>
            <w:r>
              <w:t>22 (</w:t>
            </w:r>
            <w:r w:rsidRPr="008758C5">
              <w:rPr>
                <w:i/>
              </w:rPr>
              <w:t>Confidentiality</w:t>
            </w:r>
            <w:r>
              <w:t>); and</w:t>
            </w:r>
          </w:p>
          <w:p w14:paraId="140F5BAA" w14:textId="77777777" w:rsidR="001421AE" w:rsidRDefault="001421AE" w:rsidP="002C2496">
            <w:pPr>
              <w:pStyle w:val="DefinitionListLevel1"/>
            </w:pPr>
            <w:bookmarkStart w:id="227" w:name="_9kMHG5YVtCIA7EHfSz3p9LLPZ0BDD7x36y"/>
            <w:r>
              <w:t xml:space="preserve">Clause </w:t>
            </w:r>
            <w:bookmarkEnd w:id="227"/>
            <w:r>
              <w:t>36 (</w:t>
            </w:r>
            <w:r w:rsidRPr="008758C5">
              <w:rPr>
                <w:i/>
              </w:rPr>
              <w:t>Compliance</w:t>
            </w:r>
            <w:r>
              <w:t>); and/or</w:t>
            </w:r>
          </w:p>
          <w:p w14:paraId="2C3C3BC9" w14:textId="06180E56" w:rsidR="001421AE" w:rsidRDefault="001421AE" w:rsidP="00813948">
            <w:pPr>
              <w:pStyle w:val="StdBodyText1"/>
            </w:pPr>
            <w:r>
              <w:t>in respect of any security requirements set out in Schedule 2.1 (</w:t>
            </w:r>
            <w:r w:rsidRPr="008758C5">
              <w:rPr>
                <w:i/>
              </w:rPr>
              <w:t>Services Description</w:t>
            </w:r>
            <w:r>
              <w:t>), Schedule 2.4 (</w:t>
            </w:r>
            <w:r w:rsidRPr="008758C5">
              <w:rPr>
                <w:i/>
              </w:rPr>
              <w:t>Security Management</w:t>
            </w:r>
            <w:r>
              <w:t>) or the Baseline Security Requirements; and/or</w:t>
            </w:r>
          </w:p>
          <w:p w14:paraId="1DCE5C3F" w14:textId="3D63DB58" w:rsidR="001421AE" w:rsidRDefault="001421AE" w:rsidP="00813948">
            <w:pPr>
              <w:pStyle w:val="StdBodyText1"/>
            </w:pPr>
            <w:r>
              <w:t>in respect of any requirements set out in Schedule 9.1 (</w:t>
            </w:r>
            <w:r w:rsidRPr="008758C5">
              <w:rPr>
                <w:i/>
              </w:rPr>
              <w:t>Staff Transfer</w:t>
            </w:r>
            <w:r>
              <w:t>);</w:t>
            </w:r>
          </w:p>
          <w:p w14:paraId="10B5A8A4" w14:textId="5A8AFFAD" w:rsidR="001421AE" w:rsidRDefault="001421AE" w:rsidP="002C2496">
            <w:pPr>
              <w:pStyle w:val="DefinitionList"/>
            </w:pPr>
            <w:r>
              <w:t xml:space="preserve">any failure by the Supplier to implement the changes set out in a Benchmark Report as referred to in </w:t>
            </w:r>
            <w:bookmarkStart w:id="228" w:name="_9kR3WTr2CC579YEnoewrqyFV"/>
            <w:r>
              <w:t xml:space="preserve">Paragraph </w:t>
            </w:r>
            <w:bookmarkEnd w:id="228"/>
            <w:r>
              <w:t>5.9 of Schedule 7.3 (</w:t>
            </w:r>
            <w:r w:rsidRPr="008758C5">
              <w:rPr>
                <w:i/>
              </w:rPr>
              <w:t>Benchmarking</w:t>
            </w:r>
            <w:r>
              <w:t>);</w:t>
            </w:r>
          </w:p>
          <w:p w14:paraId="2413678F" w14:textId="77777777" w:rsidR="001421AE" w:rsidRDefault="001421AE" w:rsidP="002C2496">
            <w:pPr>
              <w:pStyle w:val="DefinitionList"/>
            </w:pPr>
            <w:bookmarkStart w:id="229" w:name="_9kR3WTrAG86AHhtjmj09ubjkEA71v5vd8H9B4BK"/>
            <w:bookmarkStart w:id="230" w:name="_9kR3WTr299DHDdtjmj09ubjkEA71v5vd8H9B4BK"/>
            <w:bookmarkStart w:id="231" w:name="_Ref_ContractCompanion_9kb9Ur26B"/>
            <w:r>
              <w:t>an Insolvency Event occurring in respect of the Supplier or the Guarantor;</w:t>
            </w:r>
            <w:bookmarkEnd w:id="229"/>
            <w:bookmarkEnd w:id="230"/>
            <w:r>
              <w:t xml:space="preserve"> </w:t>
            </w:r>
            <w:bookmarkEnd w:id="231"/>
          </w:p>
          <w:p w14:paraId="17789379" w14:textId="77777777" w:rsidR="001421AE" w:rsidRDefault="001421AE" w:rsidP="002C2496">
            <w:pPr>
              <w:pStyle w:val="DefinitionList"/>
            </w:pPr>
            <w:r>
              <w:t>the Guarantee ceasing to be valid or enforceable for any reason (without the Guarantee being replaced with a comparable guarantee to the satisfaction of the Authority with the Guarantor or with another guarantor which is acceptable to the Authority);</w:t>
            </w:r>
          </w:p>
          <w:p w14:paraId="07BE371E" w14:textId="77777777" w:rsidR="001421AE" w:rsidRDefault="001421AE" w:rsidP="002C2496">
            <w:pPr>
              <w:pStyle w:val="DefinitionList"/>
            </w:pPr>
            <w:r>
              <w:t>a change of Control of the Supplier or a Guarantor unless:</w:t>
            </w:r>
          </w:p>
          <w:p w14:paraId="2755292E" w14:textId="77777777" w:rsidR="001421AE" w:rsidRDefault="001421AE" w:rsidP="002C2496">
            <w:pPr>
              <w:pStyle w:val="DefinitionListLevel1"/>
            </w:pPr>
            <w:r>
              <w:t>the Authority has given its prior written consent to the particular Change of Control, which subsequently takes place as proposed; or</w:t>
            </w:r>
          </w:p>
          <w:p w14:paraId="091994CB" w14:textId="77777777" w:rsidR="001421AE" w:rsidRDefault="001421AE" w:rsidP="002C2496">
            <w:pPr>
              <w:pStyle w:val="DefinitionListLevel1"/>
            </w:pPr>
            <w:r>
              <w:t xml:space="preserve">the Authority has not served its notice of objection within 6 months of the later of the date on which the Change of Control took place or the date on which the Authority was given notice of the Change of Control; </w:t>
            </w:r>
          </w:p>
          <w:p w14:paraId="356DE35F" w14:textId="77777777" w:rsidR="001421AE" w:rsidRDefault="001421AE" w:rsidP="002C2496">
            <w:pPr>
              <w:pStyle w:val="DefinitionList"/>
            </w:pPr>
            <w:r>
              <w:t xml:space="preserve">a change of Control of a Key Sub-contractor unless, within 6 months of being notified by the Authority that it objects to such change of Control, the Supplier terminates the relevant Key Sub-contract and replaces it with a comparable Key Sub-contract which is approved by the Authority pursuant to </w:t>
            </w:r>
            <w:bookmarkStart w:id="232" w:name="_9kMHG5YVtCIAEGCDGHDjYnyz26sepJFC60ATLII"/>
            <w:r>
              <w:t xml:space="preserve">Clause </w:t>
            </w:r>
            <w:bookmarkEnd w:id="232"/>
            <w:r>
              <w:t>15.10 (</w:t>
            </w:r>
            <w:r w:rsidRPr="008758C5">
              <w:rPr>
                <w:i/>
              </w:rPr>
              <w:t>Appointment of Key Sub-contractors</w:t>
            </w:r>
            <w:r>
              <w:t xml:space="preserve">); </w:t>
            </w:r>
          </w:p>
          <w:p w14:paraId="53B8931F" w14:textId="05F0256D" w:rsidR="001421AE" w:rsidRDefault="001421AE" w:rsidP="002C2496">
            <w:pPr>
              <w:pStyle w:val="DefinitionList"/>
            </w:pPr>
            <w:r>
              <w:t xml:space="preserve">any failure by the Supplier to enter into or to comply with an </w:t>
            </w:r>
            <w:bookmarkStart w:id="233" w:name="_9kR3WTr2AADMMP2lry90x3QE21pyz1HPK4wBRI4"/>
            <w:r>
              <w:t>Admission Agreement under the Annex</w:t>
            </w:r>
            <w:bookmarkEnd w:id="233"/>
            <w:r>
              <w:t xml:space="preserve"> to either Part A or Part B of Schedule 9.1 (</w:t>
            </w:r>
            <w:r w:rsidRPr="008758C5">
              <w:rPr>
                <w:i/>
              </w:rPr>
              <w:t>Staff Transfer</w:t>
            </w:r>
            <w:r>
              <w:t xml:space="preserve">); </w:t>
            </w:r>
          </w:p>
          <w:p w14:paraId="6AF0DD68" w14:textId="77777777" w:rsidR="001421AE" w:rsidRDefault="001421AE" w:rsidP="002C2496">
            <w:pPr>
              <w:pStyle w:val="DefinitionList"/>
            </w:pPr>
            <w:r>
              <w:t xml:space="preserve">the Authority has become aware that the Supplier should have been excluded under </w:t>
            </w:r>
            <w:bookmarkStart w:id="234" w:name="_9kR3WTr277DIJhKgx3kt2y4MUR9DSD4ADzitC4C"/>
            <w:r>
              <w:t>Regulation 57(1) or (2) of the Public Contracts Regulations 2015</w:t>
            </w:r>
            <w:bookmarkEnd w:id="234"/>
            <w:r>
              <w:t xml:space="preserve"> from the procurement procedure leading to the award of this Agreement; </w:t>
            </w:r>
          </w:p>
          <w:p w14:paraId="356AD41F" w14:textId="77777777" w:rsidR="001421AE" w:rsidRDefault="001421AE" w:rsidP="002C2496">
            <w:pPr>
              <w:pStyle w:val="DefinitionList"/>
            </w:pPr>
            <w:r>
              <w:t>a failure by the Supplier to comply in the performance of the Services with legal obligations in the fields of environmental, social or labour law; or</w:t>
            </w:r>
          </w:p>
          <w:p w14:paraId="5E586E1F" w14:textId="68D88C0E" w:rsidR="001421AE" w:rsidRDefault="001421AE" w:rsidP="002C2496">
            <w:pPr>
              <w:pStyle w:val="DefinitionList"/>
            </w:pPr>
            <w:r>
              <w:t>in relation to Schedule 2.4 (</w:t>
            </w:r>
            <w:r w:rsidRPr="006B0E9A">
              <w:rPr>
                <w:i/>
              </w:rPr>
              <w:t>Security</w:t>
            </w:r>
            <w:r>
              <w:t xml:space="preserve"> </w:t>
            </w:r>
            <w:r w:rsidRPr="006B0E9A">
              <w:rPr>
                <w:i/>
              </w:rPr>
              <w:t>Requirements</w:t>
            </w:r>
            <w:r>
              <w:t>):</w:t>
            </w:r>
          </w:p>
          <w:p w14:paraId="01857255" w14:textId="2AF7A1D8" w:rsidR="001421AE" w:rsidRDefault="001421AE" w:rsidP="002C2496">
            <w:pPr>
              <w:pStyle w:val="DefinitionListLevel1"/>
            </w:pPr>
            <w:r>
              <w:t xml:space="preserve">the Authority has issued two rejection notices in respect of the Security Management Plan under </w:t>
            </w:r>
            <w:bookmarkStart w:id="235" w:name="_9kR3WTr2CC57BaEnoewrqyEQP"/>
            <w:r w:rsidRPr="006816C5">
              <w:t xml:space="preserve">Paragraph </w:t>
            </w:r>
            <w:bookmarkEnd w:id="235"/>
            <w:r w:rsidRPr="006816C5">
              <w:t>4.5(b) (Part A)</w:t>
            </w:r>
            <w:r w:rsidRPr="005F6010">
              <w:t>;</w:t>
            </w:r>
            <w:r>
              <w:t xml:space="preserve"> </w:t>
            </w:r>
          </w:p>
          <w:p w14:paraId="777FDCE6" w14:textId="77777777" w:rsidR="001421AE" w:rsidRDefault="001421AE" w:rsidP="002C2496">
            <w:pPr>
              <w:pStyle w:val="DefinitionListLevel1"/>
            </w:pPr>
            <w:r>
              <w:t>the Supplier fails to implement a change required by the Required Changes Register in accordance with the timescales set out in the Required Changes Register;</w:t>
            </w:r>
          </w:p>
          <w:p w14:paraId="7F4A6255" w14:textId="77777777" w:rsidR="001421AE" w:rsidRDefault="001421AE" w:rsidP="002C2496">
            <w:pPr>
              <w:pStyle w:val="DefinitionListLevel1"/>
            </w:pPr>
            <w:r>
              <w:t>Supplier COTS Software and Third Party COTS Software is not within mainstream support unless the Authority has agreed in writing.</w:t>
            </w:r>
          </w:p>
          <w:p w14:paraId="63AB4925" w14:textId="77777777" w:rsidR="001421AE" w:rsidRDefault="001421AE" w:rsidP="002C2496">
            <w:pPr>
              <w:pStyle w:val="DefinitionListLevel1"/>
            </w:pPr>
            <w:r>
              <w:t xml:space="preserve">the Supplier fails to patch vulnerabilities in accordance with the Security Requirements; and/or, </w:t>
            </w:r>
          </w:p>
          <w:p w14:paraId="3D21EA6E" w14:textId="77777777" w:rsidR="001421AE" w:rsidRDefault="001421AE" w:rsidP="002C2496">
            <w:pPr>
              <w:pStyle w:val="DefinitionListLevel1"/>
            </w:pPr>
            <w:r>
              <w:t>the Supplier fails to comply with the Incident Management Process.</w:t>
            </w:r>
          </w:p>
        </w:tc>
      </w:tr>
      <w:tr w:rsidR="001421AE" w14:paraId="68893A5D" w14:textId="77777777" w:rsidTr="006816C5">
        <w:tc>
          <w:tcPr>
            <w:tcW w:w="3493" w:type="dxa"/>
          </w:tcPr>
          <w:p w14:paraId="6FB17B2F" w14:textId="77777777" w:rsidR="001421AE" w:rsidRDefault="001421AE" w:rsidP="00813948">
            <w:pPr>
              <w:pStyle w:val="StdBodyTextBold"/>
            </w:pPr>
            <w:r>
              <w:t>“Supply Chain Transparency Report”</w:t>
            </w:r>
          </w:p>
        </w:tc>
        <w:tc>
          <w:tcPr>
            <w:tcW w:w="5245" w:type="dxa"/>
          </w:tcPr>
          <w:p w14:paraId="06CFAF6A" w14:textId="5AA83155" w:rsidR="001421AE" w:rsidRDefault="001421AE" w:rsidP="00813948">
            <w:pPr>
              <w:pStyle w:val="StdBodyText"/>
            </w:pPr>
            <w:r>
              <w:t>means the report provided by the Supplier to the Authority in the form set out in Annex 4 of Schedule 8.4 (</w:t>
            </w:r>
            <w:r w:rsidRPr="00394D24">
              <w:rPr>
                <w:i/>
              </w:rPr>
              <w:t>Reports and Records Provisions</w:t>
            </w:r>
            <w:r>
              <w:t>);</w:t>
            </w:r>
          </w:p>
        </w:tc>
      </w:tr>
      <w:tr w:rsidR="001421AE" w14:paraId="1DBC97A4" w14:textId="77777777" w:rsidTr="006816C5">
        <w:tc>
          <w:tcPr>
            <w:tcW w:w="3493" w:type="dxa"/>
          </w:tcPr>
          <w:p w14:paraId="7390FF36" w14:textId="77777777" w:rsidR="001421AE" w:rsidRDefault="001421AE" w:rsidP="00813948">
            <w:pPr>
              <w:pStyle w:val="StdBodyTextBold"/>
            </w:pPr>
            <w:r>
              <w:t>“Target Performance Level”</w:t>
            </w:r>
          </w:p>
        </w:tc>
        <w:tc>
          <w:tcPr>
            <w:tcW w:w="5245" w:type="dxa"/>
          </w:tcPr>
          <w:p w14:paraId="1C9BBD5F" w14:textId="2A018F5C" w:rsidR="001421AE" w:rsidRDefault="001421AE" w:rsidP="00813948">
            <w:pPr>
              <w:pStyle w:val="StdBodyText"/>
            </w:pPr>
            <w:r>
              <w:t>the minimum level of performance for a Performance Indicator which is required by the Authority, as set out against the relevant Performance Indicator in the tables in Annex 1 of Schedule 2.2 (</w:t>
            </w:r>
            <w:r w:rsidRPr="00394D24">
              <w:rPr>
                <w:i/>
              </w:rPr>
              <w:t>Performance</w:t>
            </w:r>
            <w:r>
              <w:t xml:space="preserve"> </w:t>
            </w:r>
            <w:r w:rsidRPr="00394D24">
              <w:rPr>
                <w:i/>
              </w:rPr>
              <w:t>Levels</w:t>
            </w:r>
            <w:r>
              <w:t>);</w:t>
            </w:r>
          </w:p>
        </w:tc>
      </w:tr>
      <w:tr w:rsidR="001421AE" w14:paraId="7B8B3CE3" w14:textId="77777777" w:rsidTr="006816C5">
        <w:tc>
          <w:tcPr>
            <w:tcW w:w="3493" w:type="dxa"/>
          </w:tcPr>
          <w:p w14:paraId="671235E8" w14:textId="77777777" w:rsidR="001421AE" w:rsidRDefault="001421AE" w:rsidP="00813948">
            <w:pPr>
              <w:pStyle w:val="StdBodyTextBold"/>
            </w:pPr>
            <w:r>
              <w:t>“Term”</w:t>
            </w:r>
          </w:p>
        </w:tc>
        <w:tc>
          <w:tcPr>
            <w:tcW w:w="5245" w:type="dxa"/>
          </w:tcPr>
          <w:p w14:paraId="40AB027D" w14:textId="77777777" w:rsidR="001421AE" w:rsidRDefault="001421AE" w:rsidP="00813948">
            <w:pPr>
              <w:pStyle w:val="StdBodyText"/>
            </w:pPr>
            <w:r>
              <w:t>the period commencing on the Effective Date and ending on the expiry of the Initial Term or any Extension Period or on earlier termination of this Agreement;</w:t>
            </w:r>
          </w:p>
        </w:tc>
      </w:tr>
      <w:tr w:rsidR="001421AE" w14:paraId="3F89E60B" w14:textId="77777777" w:rsidTr="006816C5">
        <w:tc>
          <w:tcPr>
            <w:tcW w:w="3493" w:type="dxa"/>
          </w:tcPr>
          <w:p w14:paraId="27ABDB9C" w14:textId="77777777" w:rsidR="001421AE" w:rsidRDefault="001421AE" w:rsidP="00813948">
            <w:pPr>
              <w:pStyle w:val="StdBodyTextBold"/>
            </w:pPr>
            <w:r>
              <w:t>“</w:t>
            </w:r>
            <w:bookmarkStart w:id="236" w:name="_9kR3WTr2AADFAdMr0sunu3z5SSH89L4z2uglOJ3"/>
            <w:r>
              <w:t>Termination Assistance Notice</w:t>
            </w:r>
            <w:bookmarkEnd w:id="236"/>
            <w:r>
              <w:t>”</w:t>
            </w:r>
          </w:p>
        </w:tc>
        <w:tc>
          <w:tcPr>
            <w:tcW w:w="5245" w:type="dxa"/>
          </w:tcPr>
          <w:p w14:paraId="0714AEFD" w14:textId="3A216CC2" w:rsidR="001421AE" w:rsidRDefault="001421AE" w:rsidP="00813948">
            <w:pPr>
              <w:pStyle w:val="StdBodyText"/>
            </w:pPr>
            <w:r>
              <w:t xml:space="preserve">has the meaning given in </w:t>
            </w:r>
            <w:bookmarkStart w:id="237" w:name="_9kR3WTr2CC57DcEnoewrqyFN"/>
            <w:r>
              <w:t xml:space="preserve">Paragraph </w:t>
            </w:r>
            <w:bookmarkEnd w:id="237"/>
            <w:r>
              <w:t>5.2 of Schedule 8.5 (</w:t>
            </w:r>
            <w:r w:rsidRPr="00394D24">
              <w:rPr>
                <w:i/>
              </w:rPr>
              <w:t>Exit Management</w:t>
            </w:r>
            <w:r>
              <w:t>);</w:t>
            </w:r>
          </w:p>
        </w:tc>
      </w:tr>
      <w:tr w:rsidR="001421AE" w14:paraId="54D6B706" w14:textId="77777777" w:rsidTr="006816C5">
        <w:tc>
          <w:tcPr>
            <w:tcW w:w="3493" w:type="dxa"/>
          </w:tcPr>
          <w:p w14:paraId="284B0E70" w14:textId="77777777" w:rsidR="001421AE" w:rsidRDefault="001421AE" w:rsidP="00813948">
            <w:pPr>
              <w:pStyle w:val="StdBodyTextBold"/>
            </w:pPr>
            <w:r>
              <w:t>“Termination Assistance Period”</w:t>
            </w:r>
          </w:p>
        </w:tc>
        <w:tc>
          <w:tcPr>
            <w:tcW w:w="5245" w:type="dxa"/>
          </w:tcPr>
          <w:p w14:paraId="62759B61" w14:textId="0300FA5D" w:rsidR="001421AE" w:rsidRDefault="001421AE" w:rsidP="00813948">
            <w:pPr>
              <w:pStyle w:val="StdBodyText"/>
            </w:pPr>
            <w:r>
              <w:t xml:space="preserve">in relation to a </w:t>
            </w:r>
            <w:bookmarkStart w:id="238" w:name="_9kMHG5YVt4CCFHCfOt2uwpw517UUJABN614winQ"/>
            <w:r>
              <w:t>Termination Assistance Notice</w:t>
            </w:r>
            <w:bookmarkEnd w:id="238"/>
            <w:r>
              <w:t xml:space="preserve">, the period specified in the </w:t>
            </w:r>
            <w:bookmarkStart w:id="239" w:name="_9kMIH5YVt4CCFHCfOt2uwpw517UUJABN614winQ"/>
            <w:r>
              <w:t>Termination Assistance Notice</w:t>
            </w:r>
            <w:bookmarkEnd w:id="239"/>
            <w:r>
              <w:t xml:space="preserve"> for which the Supplier is required to provide the Termination Services as such period may be extended pursuant to </w:t>
            </w:r>
            <w:bookmarkStart w:id="240" w:name="_9kR3WTr2CC57EdEnoewrqyFO"/>
            <w:r>
              <w:t xml:space="preserve">Paragraph </w:t>
            </w:r>
            <w:bookmarkEnd w:id="240"/>
            <w:r>
              <w:t>5.2 of Schedule 8.5 (</w:t>
            </w:r>
            <w:r w:rsidRPr="00394D24">
              <w:rPr>
                <w:i/>
              </w:rPr>
              <w:t>Exit Management</w:t>
            </w:r>
            <w:r>
              <w:t>);</w:t>
            </w:r>
          </w:p>
        </w:tc>
      </w:tr>
      <w:tr w:rsidR="001421AE" w14:paraId="49A70360" w14:textId="77777777" w:rsidTr="006816C5">
        <w:tc>
          <w:tcPr>
            <w:tcW w:w="3493" w:type="dxa"/>
          </w:tcPr>
          <w:p w14:paraId="4C383267" w14:textId="77777777" w:rsidR="001421AE" w:rsidRDefault="001421AE" w:rsidP="00813948">
            <w:pPr>
              <w:pStyle w:val="StdBodyTextBold"/>
            </w:pPr>
            <w:r>
              <w:t>“Termination Date”</w:t>
            </w:r>
          </w:p>
        </w:tc>
        <w:tc>
          <w:tcPr>
            <w:tcW w:w="5245" w:type="dxa"/>
          </w:tcPr>
          <w:p w14:paraId="22F26F5D" w14:textId="77777777" w:rsidR="001421AE" w:rsidRDefault="001421AE" w:rsidP="00813948">
            <w:pPr>
              <w:pStyle w:val="StdBodyText"/>
            </w:pPr>
            <w:r>
              <w:t xml:space="preserve">the date set out in a </w:t>
            </w:r>
            <w:bookmarkStart w:id="241" w:name="_9kMH1I6ZWu5DDGICfPu3vxqx628ieHCwt"/>
            <w:r>
              <w:t>Termination Notice</w:t>
            </w:r>
            <w:bookmarkEnd w:id="241"/>
            <w:r>
              <w:t xml:space="preserve"> on which this Agreement (or a part of it as the case may be) is to terminate;</w:t>
            </w:r>
          </w:p>
        </w:tc>
      </w:tr>
      <w:tr w:rsidR="001421AE" w14:paraId="15383665" w14:textId="77777777" w:rsidTr="006816C5">
        <w:tc>
          <w:tcPr>
            <w:tcW w:w="3493" w:type="dxa"/>
          </w:tcPr>
          <w:p w14:paraId="27394362" w14:textId="77777777" w:rsidR="001421AE" w:rsidRDefault="001421AE" w:rsidP="00813948">
            <w:pPr>
              <w:pStyle w:val="StdBodyTextBold"/>
            </w:pPr>
            <w:r>
              <w:t>“</w:t>
            </w:r>
            <w:bookmarkStart w:id="242" w:name="_9kMH2J6ZWu5DDGICfPu3vxqx628ieHCwt"/>
            <w:r>
              <w:t>Termination Notice</w:t>
            </w:r>
            <w:bookmarkEnd w:id="242"/>
            <w:r>
              <w:t>”</w:t>
            </w:r>
          </w:p>
        </w:tc>
        <w:tc>
          <w:tcPr>
            <w:tcW w:w="5245" w:type="dxa"/>
          </w:tcPr>
          <w:p w14:paraId="5ADAC158" w14:textId="77777777" w:rsidR="001421AE" w:rsidRDefault="001421AE" w:rsidP="00813948">
            <w:pPr>
              <w:pStyle w:val="StdBodyText"/>
            </w:pPr>
            <w:r>
              <w:t>a written notice of termination given by one Party to the other, notifying the Party receiving the notice of the intention of the Party giving the notice to terminate this Agreement (or any part thereof) on a specified date and setting out the grounds for termination;</w:t>
            </w:r>
          </w:p>
        </w:tc>
      </w:tr>
      <w:tr w:rsidR="001421AE" w14:paraId="7D35DFD1" w14:textId="77777777" w:rsidTr="006816C5">
        <w:tc>
          <w:tcPr>
            <w:tcW w:w="3493" w:type="dxa"/>
          </w:tcPr>
          <w:p w14:paraId="288B89F9" w14:textId="77777777" w:rsidR="001421AE" w:rsidRDefault="001421AE" w:rsidP="00813948">
            <w:pPr>
              <w:pStyle w:val="StdBodyTextBold"/>
            </w:pPr>
            <w:r>
              <w:t>“Termination Payment”</w:t>
            </w:r>
          </w:p>
        </w:tc>
        <w:tc>
          <w:tcPr>
            <w:tcW w:w="5245" w:type="dxa"/>
          </w:tcPr>
          <w:p w14:paraId="0C38E1AA" w14:textId="57916261" w:rsidR="001421AE" w:rsidRDefault="001421AE" w:rsidP="00813948">
            <w:pPr>
              <w:pStyle w:val="StdBodyText"/>
            </w:pPr>
            <w:r>
              <w:t>the payment determined in accordance with Schedule 7.2 (</w:t>
            </w:r>
            <w:r w:rsidRPr="00871608">
              <w:rPr>
                <w:i/>
              </w:rPr>
              <w:t>Payments on Termination</w:t>
            </w:r>
            <w:r>
              <w:t>);</w:t>
            </w:r>
          </w:p>
        </w:tc>
      </w:tr>
      <w:tr w:rsidR="001421AE" w14:paraId="7C410274" w14:textId="77777777" w:rsidTr="006816C5">
        <w:tc>
          <w:tcPr>
            <w:tcW w:w="3493" w:type="dxa"/>
          </w:tcPr>
          <w:p w14:paraId="16D84373" w14:textId="77777777" w:rsidR="001421AE" w:rsidRDefault="001421AE" w:rsidP="00813948">
            <w:pPr>
              <w:pStyle w:val="StdBodyTextBold"/>
            </w:pPr>
            <w:r>
              <w:t>“Termination Services”</w:t>
            </w:r>
          </w:p>
        </w:tc>
        <w:tc>
          <w:tcPr>
            <w:tcW w:w="5245" w:type="dxa"/>
          </w:tcPr>
          <w:p w14:paraId="01A04343" w14:textId="3E2D631C" w:rsidR="001421AE" w:rsidRDefault="001421AE" w:rsidP="00813948">
            <w:pPr>
              <w:pStyle w:val="StdBodyText"/>
            </w:pPr>
            <w:r>
              <w:t>the services and activities to be performed by the Supplier pursuant to the Exit Plan, including those activities listed in Annex 1 of Schedule 8.5 (</w:t>
            </w:r>
            <w:r w:rsidRPr="00871608">
              <w:rPr>
                <w:i/>
              </w:rPr>
              <w:t>Exit</w:t>
            </w:r>
            <w:r>
              <w:t xml:space="preserve"> </w:t>
            </w:r>
            <w:r w:rsidRPr="00871608">
              <w:rPr>
                <w:i/>
              </w:rPr>
              <w:t>Management</w:t>
            </w:r>
            <w:r>
              <w:t xml:space="preserve">), and any other services required pursuant to the </w:t>
            </w:r>
            <w:bookmarkStart w:id="243" w:name="_9kMJI5YVt4CCFHCfOt2uwpw517UUJABN614winQ"/>
            <w:r>
              <w:t>Termination Assistance Notice</w:t>
            </w:r>
            <w:bookmarkEnd w:id="243"/>
            <w:r>
              <w:t>;</w:t>
            </w:r>
          </w:p>
        </w:tc>
      </w:tr>
      <w:tr w:rsidR="001421AE" w14:paraId="69ADB5F5" w14:textId="77777777" w:rsidTr="006816C5">
        <w:tc>
          <w:tcPr>
            <w:tcW w:w="3493" w:type="dxa"/>
          </w:tcPr>
          <w:p w14:paraId="65082748" w14:textId="77777777" w:rsidR="001421AE" w:rsidRDefault="001421AE" w:rsidP="00813948">
            <w:pPr>
              <w:pStyle w:val="StdBodyTextBold"/>
            </w:pPr>
            <w:r>
              <w:t>“Test Issues”</w:t>
            </w:r>
          </w:p>
        </w:tc>
        <w:tc>
          <w:tcPr>
            <w:tcW w:w="5245" w:type="dxa"/>
          </w:tcPr>
          <w:p w14:paraId="04D7E660" w14:textId="6E3FFAD7" w:rsidR="001421AE" w:rsidRDefault="001421AE" w:rsidP="00813948">
            <w:pPr>
              <w:pStyle w:val="StdBodyText"/>
            </w:pPr>
            <w:r>
              <w:t>has the meaning given in Schedule 6.2 (</w:t>
            </w:r>
            <w:r w:rsidRPr="00871608">
              <w:rPr>
                <w:i/>
              </w:rPr>
              <w:t>Testing</w:t>
            </w:r>
            <w:r>
              <w:t xml:space="preserve"> </w:t>
            </w:r>
            <w:r w:rsidRPr="00871608">
              <w:rPr>
                <w:i/>
              </w:rPr>
              <w:t>Procedures</w:t>
            </w:r>
            <w:r>
              <w:t>);</w:t>
            </w:r>
          </w:p>
        </w:tc>
      </w:tr>
      <w:tr w:rsidR="001421AE" w14:paraId="44336102" w14:textId="77777777" w:rsidTr="006816C5">
        <w:tc>
          <w:tcPr>
            <w:tcW w:w="3493" w:type="dxa"/>
          </w:tcPr>
          <w:p w14:paraId="482A63FA" w14:textId="77777777" w:rsidR="001421AE" w:rsidRDefault="001421AE" w:rsidP="00813948">
            <w:pPr>
              <w:pStyle w:val="StdBodyTextBold"/>
            </w:pPr>
            <w:r>
              <w:t>“Test Success Criteria”</w:t>
            </w:r>
          </w:p>
        </w:tc>
        <w:tc>
          <w:tcPr>
            <w:tcW w:w="5245" w:type="dxa"/>
          </w:tcPr>
          <w:p w14:paraId="1D4A3DD9" w14:textId="278709DC" w:rsidR="001421AE" w:rsidRDefault="001421AE" w:rsidP="00813948">
            <w:pPr>
              <w:pStyle w:val="StdBodyText"/>
            </w:pPr>
            <w:r>
              <w:t>has the meaning given in Schedule 6.2 (</w:t>
            </w:r>
            <w:r w:rsidRPr="00871608">
              <w:rPr>
                <w:i/>
              </w:rPr>
              <w:t>Testing</w:t>
            </w:r>
            <w:r>
              <w:t xml:space="preserve"> </w:t>
            </w:r>
            <w:r w:rsidRPr="00871608">
              <w:rPr>
                <w:i/>
              </w:rPr>
              <w:t>Procedures</w:t>
            </w:r>
            <w:r>
              <w:t>);</w:t>
            </w:r>
          </w:p>
        </w:tc>
      </w:tr>
      <w:tr w:rsidR="001421AE" w14:paraId="2A1F9956" w14:textId="77777777" w:rsidTr="006816C5">
        <w:tc>
          <w:tcPr>
            <w:tcW w:w="3493" w:type="dxa"/>
          </w:tcPr>
          <w:p w14:paraId="021D65E4" w14:textId="77777777" w:rsidR="001421AE" w:rsidRDefault="001421AE" w:rsidP="00813948">
            <w:pPr>
              <w:pStyle w:val="StdBodyTextBold"/>
            </w:pPr>
            <w:r>
              <w:t>“Tests” and “Testing”</w:t>
            </w:r>
          </w:p>
        </w:tc>
        <w:tc>
          <w:tcPr>
            <w:tcW w:w="5245" w:type="dxa"/>
          </w:tcPr>
          <w:p w14:paraId="3CDA9F57" w14:textId="37C55C6E" w:rsidR="001421AE" w:rsidRDefault="001421AE" w:rsidP="00813948">
            <w:pPr>
              <w:pStyle w:val="StdBodyText"/>
            </w:pPr>
            <w:r>
              <w:t>any tests required to be carried out under this Agreement, as further described in Schedule 6.2 (</w:t>
            </w:r>
            <w:r w:rsidRPr="00871608">
              <w:rPr>
                <w:i/>
              </w:rPr>
              <w:t>Testing Procedure</w:t>
            </w:r>
            <w:r>
              <w:t>) and “</w:t>
            </w:r>
            <w:r w:rsidRPr="00871608">
              <w:rPr>
                <w:rStyle w:val="StdBodyTextBoldChar"/>
              </w:rPr>
              <w:t>Tested</w:t>
            </w:r>
            <w:r>
              <w:t>” shall be construed accordingly;</w:t>
            </w:r>
          </w:p>
        </w:tc>
      </w:tr>
      <w:tr w:rsidR="001421AE" w14:paraId="6810B4C6" w14:textId="77777777" w:rsidTr="006816C5">
        <w:tc>
          <w:tcPr>
            <w:tcW w:w="3493" w:type="dxa"/>
          </w:tcPr>
          <w:p w14:paraId="194A42B9" w14:textId="77777777" w:rsidR="001421AE" w:rsidRDefault="001421AE" w:rsidP="00813948">
            <w:pPr>
              <w:pStyle w:val="StdBodyTextBold"/>
            </w:pPr>
            <w:r>
              <w:t>“Third Party Auditor”</w:t>
            </w:r>
          </w:p>
        </w:tc>
        <w:tc>
          <w:tcPr>
            <w:tcW w:w="5245" w:type="dxa"/>
          </w:tcPr>
          <w:p w14:paraId="50EE7BD0" w14:textId="0952425F" w:rsidR="001421AE" w:rsidRDefault="001421AE" w:rsidP="00813948">
            <w:pPr>
              <w:pStyle w:val="StdBodyText"/>
            </w:pPr>
            <w:r>
              <w:t>an independent third party auditor as appointed by the Authority from time to time to confirm the completeness and accuracy of information uploaded to the Virtual Library in accordance with the requirements outlined in Schedule 8.4 (</w:t>
            </w:r>
            <w:r w:rsidRPr="00871608">
              <w:rPr>
                <w:i/>
              </w:rPr>
              <w:t>Reports and</w:t>
            </w:r>
            <w:r>
              <w:t xml:space="preserve"> </w:t>
            </w:r>
            <w:r w:rsidRPr="00871608">
              <w:rPr>
                <w:i/>
              </w:rPr>
              <w:t>Records Provisions</w:t>
            </w:r>
            <w:r>
              <w:t>);</w:t>
            </w:r>
          </w:p>
        </w:tc>
      </w:tr>
      <w:tr w:rsidR="001421AE" w14:paraId="00D3CAA1" w14:textId="77777777" w:rsidTr="006816C5">
        <w:tc>
          <w:tcPr>
            <w:tcW w:w="3493" w:type="dxa"/>
          </w:tcPr>
          <w:p w14:paraId="63F40471" w14:textId="77777777" w:rsidR="001421AE" w:rsidRDefault="001421AE" w:rsidP="00813948">
            <w:pPr>
              <w:pStyle w:val="StdBodyTextBold"/>
            </w:pPr>
            <w:r>
              <w:t>“Third Party Beneficiary”</w:t>
            </w:r>
          </w:p>
        </w:tc>
        <w:tc>
          <w:tcPr>
            <w:tcW w:w="5245" w:type="dxa"/>
          </w:tcPr>
          <w:p w14:paraId="235B4E33" w14:textId="77777777" w:rsidR="001421AE" w:rsidRDefault="001421AE" w:rsidP="00813948">
            <w:pPr>
              <w:pStyle w:val="StdBodyText"/>
            </w:pPr>
            <w:r>
              <w:t xml:space="preserve">has the meaning given in </w:t>
            </w:r>
            <w:bookmarkStart w:id="244" w:name="_9kMJI5YVtCIAACBFHFgUmv99E9785BGI6VW1BUF"/>
            <w:bookmarkStart w:id="245" w:name="_9kMHG5YVtCJBACCGHFgUmv99E9785BGI6VW1BUF"/>
            <w:r>
              <w:t xml:space="preserve">Clause </w:t>
            </w:r>
            <w:bookmarkEnd w:id="244"/>
            <w:bookmarkEnd w:id="245"/>
            <w:r>
              <w:t>44.1 (</w:t>
            </w:r>
            <w:r w:rsidRPr="00871608">
              <w:rPr>
                <w:i/>
              </w:rPr>
              <w:t>Third Party</w:t>
            </w:r>
            <w:r>
              <w:t xml:space="preserve"> </w:t>
            </w:r>
            <w:r w:rsidRPr="00871608">
              <w:rPr>
                <w:i/>
              </w:rPr>
              <w:t>Rights</w:t>
            </w:r>
            <w:r>
              <w:t>);</w:t>
            </w:r>
          </w:p>
        </w:tc>
      </w:tr>
      <w:tr w:rsidR="001421AE" w14:paraId="0B77E777" w14:textId="77777777" w:rsidTr="006816C5">
        <w:tc>
          <w:tcPr>
            <w:tcW w:w="3493" w:type="dxa"/>
          </w:tcPr>
          <w:p w14:paraId="58113CA2" w14:textId="77777777" w:rsidR="001421AE" w:rsidRDefault="001421AE" w:rsidP="00813948">
            <w:pPr>
              <w:pStyle w:val="StdBodyTextBold"/>
            </w:pPr>
            <w:r>
              <w:t>“Third Party COTS IPRs”</w:t>
            </w:r>
          </w:p>
        </w:tc>
        <w:tc>
          <w:tcPr>
            <w:tcW w:w="5245" w:type="dxa"/>
          </w:tcPr>
          <w:p w14:paraId="284FEAE5" w14:textId="77777777" w:rsidR="001421AE" w:rsidRDefault="001421AE" w:rsidP="00813948">
            <w:pPr>
              <w:pStyle w:val="StdBodyText"/>
            </w:pPr>
            <w:r>
              <w:t>Third Party IPRs that:</w:t>
            </w:r>
          </w:p>
          <w:p w14:paraId="1CF3228B" w14:textId="77777777" w:rsidR="001421AE" w:rsidRDefault="001421AE" w:rsidP="00AD2EE4">
            <w:pPr>
              <w:pStyle w:val="DefinitionList"/>
              <w:numPr>
                <w:ilvl w:val="0"/>
                <w:numId w:val="67"/>
              </w:numPr>
            </w:pPr>
            <w:r>
              <w:t>the supplier makes generally available commercially prior to the date of this Agreement (whether by way of sale, lease or licence) on standard terms which are not typically negotiated by the supplier save as to price; and</w:t>
            </w:r>
          </w:p>
          <w:p w14:paraId="3680EFAF" w14:textId="77777777" w:rsidR="001421AE" w:rsidRDefault="001421AE" w:rsidP="002C2496">
            <w:pPr>
              <w:pStyle w:val="DefinitionList"/>
            </w:pPr>
            <w:r>
              <w:t>has a Non-trivial Customer Base;</w:t>
            </w:r>
          </w:p>
        </w:tc>
      </w:tr>
      <w:tr w:rsidR="001421AE" w14:paraId="0435C5D5" w14:textId="77777777" w:rsidTr="006816C5">
        <w:tc>
          <w:tcPr>
            <w:tcW w:w="3493" w:type="dxa"/>
          </w:tcPr>
          <w:p w14:paraId="11F7805F" w14:textId="77777777" w:rsidR="001421AE" w:rsidRDefault="001421AE" w:rsidP="00813948">
            <w:pPr>
              <w:pStyle w:val="StdBodyTextBold"/>
            </w:pPr>
            <w:r>
              <w:t>“Third Party COTS Software”</w:t>
            </w:r>
          </w:p>
        </w:tc>
        <w:tc>
          <w:tcPr>
            <w:tcW w:w="5245" w:type="dxa"/>
          </w:tcPr>
          <w:p w14:paraId="5F048291" w14:textId="77777777" w:rsidR="001421AE" w:rsidRDefault="001421AE" w:rsidP="00813948">
            <w:pPr>
              <w:pStyle w:val="StdBodyText"/>
            </w:pPr>
            <w:r>
              <w:t>Third Party Software (including open source software) that:</w:t>
            </w:r>
          </w:p>
          <w:p w14:paraId="4B11EE82" w14:textId="77777777" w:rsidR="001421AE" w:rsidRDefault="001421AE" w:rsidP="00AD2EE4">
            <w:pPr>
              <w:pStyle w:val="DefinitionList"/>
              <w:numPr>
                <w:ilvl w:val="0"/>
                <w:numId w:val="68"/>
              </w:numPr>
            </w:pPr>
            <w:r>
              <w:t>the supplier makes generally available commercially prior to the date of this Agreement (whether by way of sale, lease or licence) on standard terms which are not typically negotiated by the supplier save as to price; and</w:t>
            </w:r>
          </w:p>
          <w:p w14:paraId="09F7D868" w14:textId="77777777" w:rsidR="001421AE" w:rsidRDefault="001421AE" w:rsidP="002C2496">
            <w:pPr>
              <w:pStyle w:val="DefinitionList"/>
            </w:pPr>
            <w:r>
              <w:t>has a Non-trivial Customer base;</w:t>
            </w:r>
          </w:p>
        </w:tc>
      </w:tr>
      <w:tr w:rsidR="001421AE" w14:paraId="14CAAE43" w14:textId="77777777" w:rsidTr="006816C5">
        <w:tc>
          <w:tcPr>
            <w:tcW w:w="3493" w:type="dxa"/>
          </w:tcPr>
          <w:p w14:paraId="1DF32AC3" w14:textId="77777777" w:rsidR="001421AE" w:rsidRDefault="001421AE" w:rsidP="00813948">
            <w:pPr>
              <w:pStyle w:val="StdBodyTextBold"/>
            </w:pPr>
            <w:r>
              <w:t>“Third Party IPRs”</w:t>
            </w:r>
          </w:p>
        </w:tc>
        <w:tc>
          <w:tcPr>
            <w:tcW w:w="5245" w:type="dxa"/>
          </w:tcPr>
          <w:p w14:paraId="14BC3F07" w14:textId="77777777" w:rsidR="001421AE" w:rsidRDefault="001421AE" w:rsidP="00813948">
            <w:pPr>
              <w:pStyle w:val="StdBodyText"/>
            </w:pPr>
            <w:r>
              <w:t>Intellectual Property Rights owned by a third party but excluding Intellectual Property Rights owned by the third party subsisting in any Third Party Software, which in any case is, will be or is proposed to be used by the Supplier for the purposes of providing the Services;</w:t>
            </w:r>
          </w:p>
        </w:tc>
      </w:tr>
      <w:tr w:rsidR="001421AE" w14:paraId="1554511E" w14:textId="77777777" w:rsidTr="006816C5">
        <w:tc>
          <w:tcPr>
            <w:tcW w:w="3493" w:type="dxa"/>
          </w:tcPr>
          <w:p w14:paraId="3E8BF517" w14:textId="77777777" w:rsidR="001421AE" w:rsidRDefault="001421AE" w:rsidP="00813948">
            <w:pPr>
              <w:pStyle w:val="StdBodyTextBold"/>
            </w:pPr>
            <w:r>
              <w:t>“Third Party Non-COTS IPRs”</w:t>
            </w:r>
          </w:p>
        </w:tc>
        <w:tc>
          <w:tcPr>
            <w:tcW w:w="5245" w:type="dxa"/>
          </w:tcPr>
          <w:p w14:paraId="1A464867" w14:textId="77777777" w:rsidR="001421AE" w:rsidRDefault="001421AE" w:rsidP="00813948">
            <w:pPr>
              <w:pStyle w:val="StdBodyText"/>
            </w:pPr>
            <w:r>
              <w:t>Third Party IPRs that are not Third Party COTS IPRs;</w:t>
            </w:r>
          </w:p>
        </w:tc>
      </w:tr>
      <w:tr w:rsidR="001421AE" w14:paraId="23D29AE8" w14:textId="77777777" w:rsidTr="006816C5">
        <w:tc>
          <w:tcPr>
            <w:tcW w:w="3493" w:type="dxa"/>
          </w:tcPr>
          <w:p w14:paraId="5EB89A21" w14:textId="77777777" w:rsidR="001421AE" w:rsidRDefault="001421AE" w:rsidP="00813948">
            <w:pPr>
              <w:pStyle w:val="StdBodyTextBold"/>
            </w:pPr>
            <w:r>
              <w:t>“Third Party Non-COTS Software”</w:t>
            </w:r>
          </w:p>
        </w:tc>
        <w:tc>
          <w:tcPr>
            <w:tcW w:w="5245" w:type="dxa"/>
          </w:tcPr>
          <w:p w14:paraId="6AFDC099" w14:textId="77777777" w:rsidR="001421AE" w:rsidRDefault="001421AE" w:rsidP="00813948">
            <w:pPr>
              <w:pStyle w:val="StdBodyText"/>
            </w:pPr>
            <w:r>
              <w:t>Third Party Software that is not Third Party COTS Software;</w:t>
            </w:r>
          </w:p>
        </w:tc>
      </w:tr>
      <w:tr w:rsidR="001421AE" w14:paraId="78E21F51" w14:textId="77777777" w:rsidTr="006816C5">
        <w:tc>
          <w:tcPr>
            <w:tcW w:w="3493" w:type="dxa"/>
          </w:tcPr>
          <w:p w14:paraId="618D6A5B" w14:textId="77777777" w:rsidR="001421AE" w:rsidRDefault="001421AE" w:rsidP="00813948">
            <w:pPr>
              <w:pStyle w:val="StdBodyTextBold"/>
            </w:pPr>
            <w:r>
              <w:t>“Third Party Provisions”</w:t>
            </w:r>
          </w:p>
        </w:tc>
        <w:tc>
          <w:tcPr>
            <w:tcW w:w="5245" w:type="dxa"/>
          </w:tcPr>
          <w:p w14:paraId="0936081E" w14:textId="77777777" w:rsidR="001421AE" w:rsidRDefault="001421AE" w:rsidP="00813948">
            <w:pPr>
              <w:pStyle w:val="StdBodyText"/>
            </w:pPr>
            <w:r>
              <w:t xml:space="preserve">has the meaning given in </w:t>
            </w:r>
            <w:bookmarkStart w:id="246" w:name="_9kMKJ5YVtCIAACBFHFgUmv99E9785BGI6VW1BUF"/>
            <w:bookmarkStart w:id="247" w:name="_9kMIH5YVtCJBACCGHFgUmv99E9785BGI6VW1BUF"/>
            <w:r>
              <w:t xml:space="preserve">Clause </w:t>
            </w:r>
            <w:bookmarkEnd w:id="246"/>
            <w:bookmarkEnd w:id="247"/>
            <w:r>
              <w:t>44.1 (</w:t>
            </w:r>
            <w:r w:rsidRPr="00D92367">
              <w:rPr>
                <w:i/>
              </w:rPr>
              <w:t>Third Party</w:t>
            </w:r>
            <w:r>
              <w:t xml:space="preserve"> </w:t>
            </w:r>
            <w:r w:rsidRPr="00D92367">
              <w:rPr>
                <w:i/>
              </w:rPr>
              <w:t>Rights</w:t>
            </w:r>
            <w:r>
              <w:t>);</w:t>
            </w:r>
          </w:p>
        </w:tc>
      </w:tr>
      <w:tr w:rsidR="001421AE" w14:paraId="6DFF6CDB" w14:textId="77777777" w:rsidTr="006816C5">
        <w:tc>
          <w:tcPr>
            <w:tcW w:w="3493" w:type="dxa"/>
          </w:tcPr>
          <w:p w14:paraId="15D85E04" w14:textId="77777777" w:rsidR="001421AE" w:rsidRDefault="001421AE" w:rsidP="00813948">
            <w:pPr>
              <w:pStyle w:val="StdBodyTextBold"/>
            </w:pPr>
            <w:r>
              <w:t>“Third Party Software”</w:t>
            </w:r>
          </w:p>
        </w:tc>
        <w:tc>
          <w:tcPr>
            <w:tcW w:w="5245" w:type="dxa"/>
          </w:tcPr>
          <w:p w14:paraId="289B6F09" w14:textId="33C8F860" w:rsidR="001421AE" w:rsidRDefault="001421AE" w:rsidP="00813948">
            <w:pPr>
              <w:pStyle w:val="StdBodyText"/>
            </w:pPr>
            <w:r>
              <w:t>software which is proprietary to any third party (other than an Affiliate of the Supplier) or any Open Source Software which in any case is, will be or is proposed to be used by the Supplier for the purposes of providing the Services, including the software specified as such in Schedule 5 (</w:t>
            </w:r>
            <w:r w:rsidRPr="00D92367">
              <w:rPr>
                <w:i/>
              </w:rPr>
              <w:t>Software</w:t>
            </w:r>
            <w:r>
              <w:t>);</w:t>
            </w:r>
          </w:p>
        </w:tc>
      </w:tr>
      <w:tr w:rsidR="001421AE" w14:paraId="1E9205C3" w14:textId="77777777" w:rsidTr="006816C5">
        <w:tc>
          <w:tcPr>
            <w:tcW w:w="3493" w:type="dxa"/>
          </w:tcPr>
          <w:p w14:paraId="7AFFFD6C" w14:textId="77777777" w:rsidR="001421AE" w:rsidRDefault="001421AE" w:rsidP="00813948">
            <w:pPr>
              <w:pStyle w:val="StdBodyTextBold"/>
            </w:pPr>
            <w:r>
              <w:t>“Transferring Assets”</w:t>
            </w:r>
          </w:p>
        </w:tc>
        <w:tc>
          <w:tcPr>
            <w:tcW w:w="5245" w:type="dxa"/>
          </w:tcPr>
          <w:p w14:paraId="49AA1FC8" w14:textId="2C41A819" w:rsidR="001421AE" w:rsidRDefault="001421AE" w:rsidP="00813948">
            <w:pPr>
              <w:pStyle w:val="StdBodyText"/>
            </w:pPr>
            <w:r>
              <w:t xml:space="preserve">has the meaning given in </w:t>
            </w:r>
            <w:bookmarkStart w:id="248" w:name="_9kR3WTr2CC57FeEnoewrqyGPu"/>
            <w:r>
              <w:t xml:space="preserve">Paragraph </w:t>
            </w:r>
            <w:bookmarkEnd w:id="248"/>
            <w:r>
              <w:t>6.2(a) of Schedule 8.5 (</w:t>
            </w:r>
            <w:r w:rsidRPr="00D92367">
              <w:rPr>
                <w:i/>
              </w:rPr>
              <w:t>Exit Management</w:t>
            </w:r>
            <w:r>
              <w:t>);</w:t>
            </w:r>
          </w:p>
        </w:tc>
      </w:tr>
      <w:tr w:rsidR="001421AE" w14:paraId="06E61481" w14:textId="77777777" w:rsidTr="006816C5">
        <w:tc>
          <w:tcPr>
            <w:tcW w:w="3493" w:type="dxa"/>
          </w:tcPr>
          <w:p w14:paraId="62F3D5F7" w14:textId="77777777" w:rsidR="001421AE" w:rsidRDefault="001421AE" w:rsidP="00813948">
            <w:pPr>
              <w:pStyle w:val="StdBodyTextBold"/>
            </w:pPr>
            <w:r>
              <w:t>“Transferring Authority Employees”</w:t>
            </w:r>
          </w:p>
        </w:tc>
        <w:tc>
          <w:tcPr>
            <w:tcW w:w="5245" w:type="dxa"/>
          </w:tcPr>
          <w:p w14:paraId="3F64538D" w14:textId="6DDA8E43" w:rsidR="001421AE" w:rsidRDefault="001421AE" w:rsidP="00813948">
            <w:pPr>
              <w:pStyle w:val="StdBodyText"/>
            </w:pPr>
            <w:r>
              <w:t>has the meaning given in Schedule 9.1 (</w:t>
            </w:r>
            <w:r w:rsidRPr="00D92367">
              <w:rPr>
                <w:i/>
              </w:rPr>
              <w:t>Staff</w:t>
            </w:r>
            <w:r>
              <w:t xml:space="preserve"> </w:t>
            </w:r>
            <w:r w:rsidRPr="00D92367">
              <w:rPr>
                <w:i/>
              </w:rPr>
              <w:t>Transfer</w:t>
            </w:r>
            <w:r>
              <w:t>);</w:t>
            </w:r>
          </w:p>
        </w:tc>
      </w:tr>
      <w:tr w:rsidR="001421AE" w14:paraId="4183B136" w14:textId="77777777" w:rsidTr="006816C5">
        <w:tc>
          <w:tcPr>
            <w:tcW w:w="3493" w:type="dxa"/>
          </w:tcPr>
          <w:p w14:paraId="43AD48E4" w14:textId="77777777" w:rsidR="001421AE" w:rsidRDefault="001421AE" w:rsidP="00813948">
            <w:pPr>
              <w:pStyle w:val="StdBodyTextBold"/>
            </w:pPr>
            <w:r>
              <w:t>“Transferring Former Supplier Employees”</w:t>
            </w:r>
          </w:p>
        </w:tc>
        <w:tc>
          <w:tcPr>
            <w:tcW w:w="5245" w:type="dxa"/>
          </w:tcPr>
          <w:p w14:paraId="69D23D39" w14:textId="6A9B5FA7" w:rsidR="001421AE" w:rsidRDefault="001421AE" w:rsidP="00813948">
            <w:pPr>
              <w:pStyle w:val="StdBodyText"/>
            </w:pPr>
            <w:r>
              <w:t>has the meaning given in Schedule 9.1 (</w:t>
            </w:r>
            <w:r w:rsidRPr="00D92367">
              <w:rPr>
                <w:i/>
              </w:rPr>
              <w:t>Staff</w:t>
            </w:r>
            <w:r>
              <w:t xml:space="preserve"> </w:t>
            </w:r>
            <w:r w:rsidRPr="00D92367">
              <w:rPr>
                <w:i/>
              </w:rPr>
              <w:t>Transfer</w:t>
            </w:r>
            <w:r>
              <w:t>);</w:t>
            </w:r>
          </w:p>
        </w:tc>
      </w:tr>
      <w:tr w:rsidR="001421AE" w14:paraId="409D7FED" w14:textId="77777777" w:rsidTr="006816C5">
        <w:tc>
          <w:tcPr>
            <w:tcW w:w="3493" w:type="dxa"/>
          </w:tcPr>
          <w:p w14:paraId="743247F8" w14:textId="77777777" w:rsidR="001421AE" w:rsidRDefault="001421AE" w:rsidP="00813948">
            <w:pPr>
              <w:pStyle w:val="StdBodyTextBold"/>
            </w:pPr>
            <w:r>
              <w:t>“Transferring Supplier Employees”</w:t>
            </w:r>
          </w:p>
        </w:tc>
        <w:tc>
          <w:tcPr>
            <w:tcW w:w="5245" w:type="dxa"/>
          </w:tcPr>
          <w:p w14:paraId="47FFEFC0" w14:textId="674DBE52" w:rsidR="001421AE" w:rsidRDefault="001421AE" w:rsidP="00813948">
            <w:pPr>
              <w:pStyle w:val="StdBodyText"/>
            </w:pPr>
            <w:r>
              <w:t>has the meaning given in Schedule 9.1 (</w:t>
            </w:r>
            <w:r w:rsidRPr="00D92367">
              <w:rPr>
                <w:i/>
              </w:rPr>
              <w:t>Staff</w:t>
            </w:r>
            <w:r>
              <w:t xml:space="preserve"> </w:t>
            </w:r>
            <w:r w:rsidRPr="00D92367">
              <w:rPr>
                <w:i/>
              </w:rPr>
              <w:t>Transfer</w:t>
            </w:r>
            <w:r>
              <w:t>);</w:t>
            </w:r>
          </w:p>
        </w:tc>
      </w:tr>
      <w:tr w:rsidR="001421AE" w14:paraId="6C4B34B7" w14:textId="77777777" w:rsidTr="006816C5">
        <w:tc>
          <w:tcPr>
            <w:tcW w:w="3493" w:type="dxa"/>
          </w:tcPr>
          <w:p w14:paraId="75418581" w14:textId="77777777" w:rsidR="001421AE" w:rsidRDefault="001421AE" w:rsidP="00813948">
            <w:pPr>
              <w:pStyle w:val="StdBodyTextBold"/>
            </w:pPr>
            <w:r>
              <w:t>“Transparency Information”</w:t>
            </w:r>
          </w:p>
        </w:tc>
        <w:tc>
          <w:tcPr>
            <w:tcW w:w="5245" w:type="dxa"/>
          </w:tcPr>
          <w:p w14:paraId="6DABA0F8" w14:textId="77777777" w:rsidR="001421AE" w:rsidRDefault="001421AE" w:rsidP="00813948">
            <w:pPr>
              <w:pStyle w:val="StdBodyText"/>
            </w:pPr>
            <w:r>
              <w:t xml:space="preserve">has the meaning given in </w:t>
            </w:r>
            <w:bookmarkStart w:id="249" w:name="_9kMIH5YVtCIACIECEEgUmVMvF7t41mx9EOM5y13"/>
            <w:bookmarkStart w:id="250" w:name="_9kMHG5YVtCJBCIFDEEgUmVMvF7t41mx9EOM5y13"/>
            <w:r>
              <w:t xml:space="preserve">Clause </w:t>
            </w:r>
            <w:bookmarkEnd w:id="249"/>
            <w:bookmarkEnd w:id="250"/>
            <w:r>
              <w:t>23.1 (</w:t>
            </w:r>
            <w:r w:rsidRPr="00D92367">
              <w:rPr>
                <w:i/>
              </w:rPr>
              <w:t>Transparency</w:t>
            </w:r>
            <w:r>
              <w:t xml:space="preserve"> </w:t>
            </w:r>
            <w:r w:rsidRPr="00D92367">
              <w:rPr>
                <w:i/>
              </w:rPr>
              <w:t>and Freedom of Information</w:t>
            </w:r>
            <w:r>
              <w:t>);</w:t>
            </w:r>
          </w:p>
        </w:tc>
      </w:tr>
      <w:tr w:rsidR="001421AE" w14:paraId="4AC41E73" w14:textId="77777777" w:rsidTr="006816C5">
        <w:tc>
          <w:tcPr>
            <w:tcW w:w="3493" w:type="dxa"/>
          </w:tcPr>
          <w:p w14:paraId="1C323C9B" w14:textId="77777777" w:rsidR="001421AE" w:rsidRDefault="001421AE" w:rsidP="00813948">
            <w:pPr>
              <w:pStyle w:val="StdBodyTextBold"/>
            </w:pPr>
            <w:r>
              <w:t>“Transparency Reports”</w:t>
            </w:r>
          </w:p>
        </w:tc>
        <w:tc>
          <w:tcPr>
            <w:tcW w:w="5245" w:type="dxa"/>
          </w:tcPr>
          <w:p w14:paraId="4E4BBDFB" w14:textId="72E84A3A" w:rsidR="001421AE" w:rsidRDefault="001421AE" w:rsidP="00813948">
            <w:pPr>
              <w:pStyle w:val="StdBodyText"/>
            </w:pPr>
            <w:r>
              <w:t>has the meaning given in Schedule 8.4 (</w:t>
            </w:r>
            <w:r w:rsidRPr="00D92367">
              <w:rPr>
                <w:i/>
              </w:rPr>
              <w:t>Reports and Records Provisions</w:t>
            </w:r>
            <w:r>
              <w:t>);</w:t>
            </w:r>
          </w:p>
        </w:tc>
      </w:tr>
      <w:tr w:rsidR="001421AE" w14:paraId="6CB5F775" w14:textId="77777777" w:rsidTr="006816C5">
        <w:tc>
          <w:tcPr>
            <w:tcW w:w="3493" w:type="dxa"/>
          </w:tcPr>
          <w:p w14:paraId="60D0FA91" w14:textId="77777777" w:rsidR="001421AE" w:rsidRDefault="001421AE" w:rsidP="00813948">
            <w:pPr>
              <w:pStyle w:val="StdBodyTextBold"/>
            </w:pPr>
            <w:r>
              <w:t>“UK GDPR”</w:t>
            </w:r>
          </w:p>
        </w:tc>
        <w:tc>
          <w:tcPr>
            <w:tcW w:w="5245" w:type="dxa"/>
          </w:tcPr>
          <w:p w14:paraId="4C296FE1" w14:textId="77777777" w:rsidR="001421AE" w:rsidRDefault="001421AE" w:rsidP="00397235">
            <w:pPr>
              <w:pStyle w:val="StdBodyText"/>
            </w:pPr>
            <w: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1421AE" w14:paraId="566E4424" w14:textId="77777777" w:rsidTr="006816C5">
        <w:tc>
          <w:tcPr>
            <w:tcW w:w="3493" w:type="dxa"/>
          </w:tcPr>
          <w:p w14:paraId="2F2C4C72" w14:textId="77777777" w:rsidR="001421AE" w:rsidRDefault="001421AE" w:rsidP="00813948">
            <w:pPr>
              <w:pStyle w:val="StdBodyTextBold"/>
            </w:pPr>
            <w:r>
              <w:t>“UK Public Sector Business”</w:t>
            </w:r>
          </w:p>
        </w:tc>
        <w:tc>
          <w:tcPr>
            <w:tcW w:w="5245" w:type="dxa"/>
          </w:tcPr>
          <w:p w14:paraId="517D7E97" w14:textId="77777777" w:rsidR="001421AE" w:rsidRDefault="001421AE" w:rsidP="00813948">
            <w:pPr>
              <w:pStyle w:val="StdBodyText"/>
            </w:pPr>
            <w:r>
              <w:t xml:space="preserve">means any goods, service or works provision to UK public sector bodies, including Central Government Departments and their </w:t>
            </w:r>
            <w:bookmarkStart w:id="251" w:name="_9kMLCP6ZWu9A679B"/>
            <w:r>
              <w:t>arm's</w:t>
            </w:r>
            <w:bookmarkEnd w:id="251"/>
            <w:r>
              <w:t xml:space="preserve"> length bodies and agencies, non-departmental public bodies, NHS bodies, local authorities, health bodies, police, fire and rescue, education bodies and devolved administrations;</w:t>
            </w:r>
          </w:p>
        </w:tc>
      </w:tr>
      <w:tr w:rsidR="001421AE" w14:paraId="6B4BF867" w14:textId="77777777" w:rsidTr="006816C5">
        <w:tc>
          <w:tcPr>
            <w:tcW w:w="3493" w:type="dxa"/>
          </w:tcPr>
          <w:p w14:paraId="5F38F863" w14:textId="77777777" w:rsidR="001421AE" w:rsidRDefault="001421AE" w:rsidP="00813948">
            <w:pPr>
              <w:pStyle w:val="StdBodyTextBold"/>
            </w:pPr>
            <w:r>
              <w:t>“UK”</w:t>
            </w:r>
          </w:p>
        </w:tc>
        <w:tc>
          <w:tcPr>
            <w:tcW w:w="5245" w:type="dxa"/>
          </w:tcPr>
          <w:p w14:paraId="279DC99B" w14:textId="77777777" w:rsidR="001421AE" w:rsidRDefault="001421AE" w:rsidP="00813948">
            <w:pPr>
              <w:pStyle w:val="StdBodyText"/>
            </w:pPr>
            <w:r>
              <w:t>the United Kingdom;</w:t>
            </w:r>
          </w:p>
        </w:tc>
      </w:tr>
      <w:tr w:rsidR="001421AE" w14:paraId="435F609B" w14:textId="77777777" w:rsidTr="006816C5">
        <w:tc>
          <w:tcPr>
            <w:tcW w:w="3493" w:type="dxa"/>
          </w:tcPr>
          <w:p w14:paraId="5C8570FE" w14:textId="77777777" w:rsidR="001421AE" w:rsidRDefault="001421AE" w:rsidP="00813948">
            <w:pPr>
              <w:pStyle w:val="StdBodyTextBold"/>
            </w:pPr>
            <w:r>
              <w:t>“Unacceptable KPI Failure”</w:t>
            </w:r>
          </w:p>
        </w:tc>
        <w:tc>
          <w:tcPr>
            <w:tcW w:w="5245" w:type="dxa"/>
          </w:tcPr>
          <w:p w14:paraId="064C9792" w14:textId="77777777" w:rsidR="001421AE" w:rsidRDefault="001421AE" w:rsidP="00813948">
            <w:pPr>
              <w:pStyle w:val="StdBodyText"/>
            </w:pPr>
            <w:r>
              <w:t>the Supplier failing to achieve the KPI Service Threshold in respect of more than 50% of the Key Performance Indicators that are measured in that Service Period;</w:t>
            </w:r>
          </w:p>
        </w:tc>
      </w:tr>
      <w:tr w:rsidR="001421AE" w14:paraId="3FA330D4" w14:textId="77777777" w:rsidTr="006816C5">
        <w:tc>
          <w:tcPr>
            <w:tcW w:w="3493" w:type="dxa"/>
          </w:tcPr>
          <w:p w14:paraId="3D09E65C" w14:textId="77777777" w:rsidR="001421AE" w:rsidRDefault="001421AE" w:rsidP="00813948">
            <w:pPr>
              <w:pStyle w:val="StdBodyTextBold"/>
            </w:pPr>
            <w:r>
              <w:t>“Unconnected Sub-contract”</w:t>
            </w:r>
          </w:p>
        </w:tc>
        <w:tc>
          <w:tcPr>
            <w:tcW w:w="5245" w:type="dxa"/>
          </w:tcPr>
          <w:p w14:paraId="3FD73F46" w14:textId="77777777" w:rsidR="001421AE" w:rsidRDefault="001421AE" w:rsidP="00813948">
            <w:pPr>
              <w:pStyle w:val="StdBodyText"/>
            </w:pPr>
            <w:r>
              <w:t xml:space="preserve">any contract or agreement which is not a Sub-contract and is between the Supplier and a third party (which is not an Affiliate of the Supplier) and is a qualifying contract under regulation 6 of The </w:t>
            </w:r>
            <w:bookmarkStart w:id="252" w:name="_9kR3WTr277DIHfKp0391wvx5hP5Iz1Hun5rBI2z"/>
            <w:r>
              <w:t>Reporting on Payment Practices and Performance Regulations 2017</w:t>
            </w:r>
            <w:bookmarkEnd w:id="252"/>
            <w:r>
              <w:t>;</w:t>
            </w:r>
          </w:p>
        </w:tc>
      </w:tr>
      <w:tr w:rsidR="001421AE" w14:paraId="3D32CD7A" w14:textId="77777777" w:rsidTr="006816C5">
        <w:tc>
          <w:tcPr>
            <w:tcW w:w="3493" w:type="dxa"/>
          </w:tcPr>
          <w:p w14:paraId="72950B08" w14:textId="77777777" w:rsidR="001421AE" w:rsidRDefault="001421AE" w:rsidP="00813948">
            <w:pPr>
              <w:pStyle w:val="StdBodyTextBold"/>
            </w:pPr>
            <w:r>
              <w:t>“Unconnected Sub-contractor”</w:t>
            </w:r>
          </w:p>
        </w:tc>
        <w:tc>
          <w:tcPr>
            <w:tcW w:w="5245" w:type="dxa"/>
          </w:tcPr>
          <w:p w14:paraId="5AD51FD3" w14:textId="77777777" w:rsidR="001421AE" w:rsidRDefault="001421AE" w:rsidP="00813948">
            <w:pPr>
              <w:pStyle w:val="StdBodyText"/>
            </w:pPr>
            <w:r>
              <w:t>any third party with whom the Supplier enters into an Unconnected Sub-contract;</w:t>
            </w:r>
          </w:p>
        </w:tc>
      </w:tr>
      <w:tr w:rsidR="001421AE" w14:paraId="330A85BA" w14:textId="77777777" w:rsidTr="006816C5">
        <w:tc>
          <w:tcPr>
            <w:tcW w:w="3493" w:type="dxa"/>
          </w:tcPr>
          <w:p w14:paraId="61018368" w14:textId="77777777" w:rsidR="001421AE" w:rsidRDefault="001421AE" w:rsidP="00813948">
            <w:pPr>
              <w:pStyle w:val="StdBodyTextBold"/>
            </w:pPr>
            <w:r>
              <w:t>“Unrecovered Payment”</w:t>
            </w:r>
          </w:p>
        </w:tc>
        <w:tc>
          <w:tcPr>
            <w:tcW w:w="5245" w:type="dxa"/>
          </w:tcPr>
          <w:p w14:paraId="121B0E91" w14:textId="2158D15F" w:rsidR="001421AE" w:rsidRDefault="001421AE" w:rsidP="00813948">
            <w:pPr>
              <w:pStyle w:val="StdBodyText"/>
            </w:pPr>
            <w:r>
              <w:t>has the meaning given in Schedule 7.2 (</w:t>
            </w:r>
            <w:r w:rsidRPr="00D92367">
              <w:rPr>
                <w:i/>
              </w:rPr>
              <w:t>Payments on</w:t>
            </w:r>
            <w:r>
              <w:t xml:space="preserve"> </w:t>
            </w:r>
            <w:r w:rsidRPr="00D92367">
              <w:rPr>
                <w:i/>
              </w:rPr>
              <w:t>Termination</w:t>
            </w:r>
            <w:r>
              <w:t>);</w:t>
            </w:r>
          </w:p>
        </w:tc>
      </w:tr>
      <w:tr w:rsidR="001421AE" w14:paraId="1207DCA0" w14:textId="77777777" w:rsidTr="006816C5">
        <w:tc>
          <w:tcPr>
            <w:tcW w:w="3493" w:type="dxa"/>
          </w:tcPr>
          <w:p w14:paraId="35B8FB20" w14:textId="77777777" w:rsidR="001421AE" w:rsidRDefault="001421AE" w:rsidP="00813948">
            <w:pPr>
              <w:pStyle w:val="StdBodyTextBold"/>
            </w:pPr>
            <w:r>
              <w:t>“Update Requirement”</w:t>
            </w:r>
          </w:p>
        </w:tc>
        <w:tc>
          <w:tcPr>
            <w:tcW w:w="5245" w:type="dxa"/>
          </w:tcPr>
          <w:p w14:paraId="1486CA34" w14:textId="2C3EBCA7" w:rsidR="001421AE" w:rsidRDefault="001421AE" w:rsidP="00813948">
            <w:pPr>
              <w:pStyle w:val="StdBodyText"/>
            </w:pPr>
            <w:r>
              <w:t>means the occurrence of an event detailed in Schedule 8.4 (</w:t>
            </w:r>
            <w:r w:rsidRPr="00D92367">
              <w:rPr>
                <w:i/>
              </w:rPr>
              <w:t>Reports and Records Provisions</w:t>
            </w:r>
            <w:r>
              <w:t>) Annex 3 (</w:t>
            </w:r>
            <w:r w:rsidRPr="00D92367">
              <w:rPr>
                <w:i/>
              </w:rPr>
              <w:t>Virtual Library</w:t>
            </w:r>
            <w:r>
              <w:t>) which requires the Supplier to update the relevant information hosted on the Virtual Library;</w:t>
            </w:r>
          </w:p>
        </w:tc>
      </w:tr>
      <w:tr w:rsidR="001421AE" w14:paraId="0830634D" w14:textId="77777777" w:rsidTr="006816C5">
        <w:tc>
          <w:tcPr>
            <w:tcW w:w="3493" w:type="dxa"/>
          </w:tcPr>
          <w:p w14:paraId="52A78E49" w14:textId="77777777" w:rsidR="001421AE" w:rsidRDefault="001421AE" w:rsidP="00813948">
            <w:pPr>
              <w:pStyle w:val="StdBodyTextBold"/>
            </w:pPr>
            <w:r>
              <w:t>“Updates”</w:t>
            </w:r>
          </w:p>
        </w:tc>
        <w:tc>
          <w:tcPr>
            <w:tcW w:w="5245" w:type="dxa"/>
          </w:tcPr>
          <w:p w14:paraId="010A6E26" w14:textId="77777777" w:rsidR="001421AE" w:rsidRDefault="001421AE" w:rsidP="00813948">
            <w:pPr>
              <w:pStyle w:val="StdBodyText"/>
            </w:pPr>
            <w:r>
              <w:t>in relation to any Software and/or any Deliverable means a version of such item which has been produced primarily to overcome Defects in, or to improve the operation of, that item;</w:t>
            </w:r>
          </w:p>
        </w:tc>
      </w:tr>
      <w:tr w:rsidR="001421AE" w14:paraId="456605D0" w14:textId="77777777" w:rsidTr="006816C5">
        <w:tc>
          <w:tcPr>
            <w:tcW w:w="3493" w:type="dxa"/>
          </w:tcPr>
          <w:p w14:paraId="435E3CFE" w14:textId="77777777" w:rsidR="001421AE" w:rsidRDefault="001421AE" w:rsidP="00813948">
            <w:pPr>
              <w:pStyle w:val="StdBodyTextBold"/>
            </w:pPr>
            <w:r>
              <w:t>“Upgrades”</w:t>
            </w:r>
          </w:p>
        </w:tc>
        <w:tc>
          <w:tcPr>
            <w:tcW w:w="5245" w:type="dxa"/>
          </w:tcPr>
          <w:p w14:paraId="1156AE36" w14:textId="77777777" w:rsidR="001421AE" w:rsidRDefault="001421AE" w:rsidP="00813948">
            <w:pPr>
              <w:pStyle w:val="StdBodyText"/>
            </w:pPr>
            <w:r>
              <w:t>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Term;</w:t>
            </w:r>
          </w:p>
        </w:tc>
      </w:tr>
      <w:tr w:rsidR="001421AE" w14:paraId="3895BDD8" w14:textId="77777777" w:rsidTr="006816C5">
        <w:tc>
          <w:tcPr>
            <w:tcW w:w="3493" w:type="dxa"/>
          </w:tcPr>
          <w:p w14:paraId="75F9DF3D" w14:textId="77777777" w:rsidR="001421AE" w:rsidRDefault="001421AE" w:rsidP="00813948">
            <w:pPr>
              <w:pStyle w:val="StdBodyTextBold"/>
            </w:pPr>
            <w:r>
              <w:t>“Valid”</w:t>
            </w:r>
          </w:p>
        </w:tc>
        <w:tc>
          <w:tcPr>
            <w:tcW w:w="5245" w:type="dxa"/>
          </w:tcPr>
          <w:p w14:paraId="0DF62FD5" w14:textId="30F4F33C" w:rsidR="001421AE" w:rsidRDefault="001421AE" w:rsidP="00813948">
            <w:pPr>
              <w:pStyle w:val="StdBodyText"/>
            </w:pPr>
            <w:r>
              <w:t xml:space="preserve">in respect of an Assurance, has the meaning given to it in </w:t>
            </w:r>
            <w:bookmarkStart w:id="253" w:name="_9kR3WTr2CC57GfEnoewrqyBJQ"/>
            <w:r>
              <w:t xml:space="preserve">Paragraph </w:t>
            </w:r>
            <w:bookmarkEnd w:id="253"/>
            <w:r>
              <w:t>11.7 of Part B to Schedule 8.6 (</w:t>
            </w:r>
            <w:r w:rsidRPr="00D92367">
              <w:rPr>
                <w:i/>
              </w:rPr>
              <w:t>Service Continuity Plan</w:t>
            </w:r>
            <w:r>
              <w:t>);</w:t>
            </w:r>
          </w:p>
        </w:tc>
      </w:tr>
      <w:tr w:rsidR="001421AE" w14:paraId="4F3FED52" w14:textId="77777777" w:rsidTr="006816C5">
        <w:tc>
          <w:tcPr>
            <w:tcW w:w="3493" w:type="dxa"/>
          </w:tcPr>
          <w:p w14:paraId="63A0DB89" w14:textId="77777777" w:rsidR="001421AE" w:rsidRDefault="001421AE" w:rsidP="00813948">
            <w:pPr>
              <w:pStyle w:val="StdBodyTextBold"/>
            </w:pPr>
            <w:r>
              <w:t>“VAT”</w:t>
            </w:r>
          </w:p>
        </w:tc>
        <w:tc>
          <w:tcPr>
            <w:tcW w:w="5245" w:type="dxa"/>
          </w:tcPr>
          <w:p w14:paraId="2D130F55" w14:textId="77777777" w:rsidR="001421AE" w:rsidRDefault="001421AE" w:rsidP="00813948">
            <w:pPr>
              <w:pStyle w:val="StdBodyText"/>
            </w:pPr>
            <w:r>
              <w:t xml:space="preserve">value added tax as provided for in the </w:t>
            </w:r>
            <w:bookmarkStart w:id="254" w:name="_9kR3WTr277CKLkKh2wD7hjkaS3eE4UYhd"/>
            <w:r>
              <w:t>Value Added Tax Act 1994</w:t>
            </w:r>
            <w:bookmarkEnd w:id="254"/>
            <w:r>
              <w:t>;</w:t>
            </w:r>
          </w:p>
        </w:tc>
      </w:tr>
      <w:tr w:rsidR="001421AE" w14:paraId="2AB26F59" w14:textId="77777777" w:rsidTr="006816C5">
        <w:tc>
          <w:tcPr>
            <w:tcW w:w="3493" w:type="dxa"/>
          </w:tcPr>
          <w:p w14:paraId="62803A87" w14:textId="77777777" w:rsidR="001421AE" w:rsidRDefault="001421AE" w:rsidP="00813948">
            <w:pPr>
              <w:pStyle w:val="StdBodyTextBold"/>
            </w:pPr>
            <w:r>
              <w:t>“VCSE”</w:t>
            </w:r>
          </w:p>
        </w:tc>
        <w:tc>
          <w:tcPr>
            <w:tcW w:w="5245" w:type="dxa"/>
          </w:tcPr>
          <w:p w14:paraId="6C5241C7" w14:textId="77777777" w:rsidR="001421AE" w:rsidRDefault="001421AE" w:rsidP="00813948">
            <w:pPr>
              <w:pStyle w:val="StdBodyText"/>
            </w:pPr>
            <w:r>
              <w:t>means a non-governmental organisation that is value-driven and which principally reinvests its surpluses to further social, environmental or cultural objectives;</w:t>
            </w:r>
          </w:p>
        </w:tc>
      </w:tr>
      <w:tr w:rsidR="001421AE" w14:paraId="541F6A91" w14:textId="77777777" w:rsidTr="006816C5">
        <w:tc>
          <w:tcPr>
            <w:tcW w:w="3493" w:type="dxa"/>
          </w:tcPr>
          <w:p w14:paraId="1A666D25" w14:textId="77777777" w:rsidR="001421AE" w:rsidRDefault="001421AE" w:rsidP="00813948">
            <w:pPr>
              <w:pStyle w:val="StdBodyTextBold"/>
            </w:pPr>
            <w:r>
              <w:t>“Virtual Library”</w:t>
            </w:r>
          </w:p>
        </w:tc>
        <w:tc>
          <w:tcPr>
            <w:tcW w:w="5245" w:type="dxa"/>
          </w:tcPr>
          <w:p w14:paraId="6675E6AD" w14:textId="402407A2" w:rsidR="001421AE" w:rsidRDefault="001421AE" w:rsidP="00813948">
            <w:pPr>
              <w:pStyle w:val="StdBodyText"/>
            </w:pPr>
            <w:r>
              <w:t>means the data repository hosted by the Supplier containing the information about this Agreement and the Services provided under it in accordance with Schedule 8.4 (</w:t>
            </w:r>
            <w:r w:rsidRPr="00D92367">
              <w:rPr>
                <w:i/>
              </w:rPr>
              <w:t>Reports and Records Provisions</w:t>
            </w:r>
            <w:r>
              <w:t>); and</w:t>
            </w:r>
          </w:p>
        </w:tc>
      </w:tr>
      <w:tr w:rsidR="001421AE" w14:paraId="450EDE3F" w14:textId="77777777" w:rsidTr="006816C5">
        <w:tc>
          <w:tcPr>
            <w:tcW w:w="3493" w:type="dxa"/>
          </w:tcPr>
          <w:p w14:paraId="54480FD8" w14:textId="77777777" w:rsidR="001421AE" w:rsidRDefault="001421AE" w:rsidP="00813948">
            <w:pPr>
              <w:pStyle w:val="StdBodyTextBold"/>
            </w:pPr>
            <w:r>
              <w:t>“Working Day”</w:t>
            </w:r>
          </w:p>
        </w:tc>
        <w:tc>
          <w:tcPr>
            <w:tcW w:w="5245" w:type="dxa"/>
          </w:tcPr>
          <w:p w14:paraId="6B94C322" w14:textId="77777777" w:rsidR="001421AE" w:rsidRDefault="001421AE" w:rsidP="00813948">
            <w:pPr>
              <w:pStyle w:val="StdBodyText"/>
            </w:pPr>
            <w:r>
              <w:t>any day other than a Saturday, Sunday or public holiday in England and Wales.</w:t>
            </w:r>
          </w:p>
        </w:tc>
      </w:tr>
    </w:tbl>
    <w:p w14:paraId="5EA0A179" w14:textId="77777777" w:rsidR="006B2B5A" w:rsidRDefault="006B2B5A"/>
    <w:sectPr w:rsidR="006B2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E8C677BE"/>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5"/>
  </w:num>
  <w:num w:numId="8">
    <w:abstractNumId w:val="10"/>
  </w:num>
  <w:num w:numId="9">
    <w:abstractNumId w:val="9"/>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96"/>
    <w:rsid w:val="00010FD3"/>
    <w:rsid w:val="000467D5"/>
    <w:rsid w:val="0004693D"/>
    <w:rsid w:val="000605EE"/>
    <w:rsid w:val="000825F8"/>
    <w:rsid w:val="000A1A5B"/>
    <w:rsid w:val="000C154C"/>
    <w:rsid w:val="00113573"/>
    <w:rsid w:val="00137431"/>
    <w:rsid w:val="001421AE"/>
    <w:rsid w:val="00150E66"/>
    <w:rsid w:val="0016721F"/>
    <w:rsid w:val="001A2F34"/>
    <w:rsid w:val="001B496B"/>
    <w:rsid w:val="00201C0E"/>
    <w:rsid w:val="00205664"/>
    <w:rsid w:val="0020584D"/>
    <w:rsid w:val="00214715"/>
    <w:rsid w:val="00275B23"/>
    <w:rsid w:val="002B6589"/>
    <w:rsid w:val="002C2496"/>
    <w:rsid w:val="002E5116"/>
    <w:rsid w:val="00335486"/>
    <w:rsid w:val="00376AFD"/>
    <w:rsid w:val="00397235"/>
    <w:rsid w:val="003B6964"/>
    <w:rsid w:val="00407AF6"/>
    <w:rsid w:val="004124C9"/>
    <w:rsid w:val="00443E62"/>
    <w:rsid w:val="00474C3E"/>
    <w:rsid w:val="00477A74"/>
    <w:rsid w:val="004C473C"/>
    <w:rsid w:val="004D5AC6"/>
    <w:rsid w:val="004D5DA1"/>
    <w:rsid w:val="004E1CEE"/>
    <w:rsid w:val="00544C64"/>
    <w:rsid w:val="0056582C"/>
    <w:rsid w:val="005E61C2"/>
    <w:rsid w:val="005F3065"/>
    <w:rsid w:val="005F6010"/>
    <w:rsid w:val="005F725D"/>
    <w:rsid w:val="00616778"/>
    <w:rsid w:val="00661074"/>
    <w:rsid w:val="006816C5"/>
    <w:rsid w:val="006816FE"/>
    <w:rsid w:val="006B2B5A"/>
    <w:rsid w:val="006B58F7"/>
    <w:rsid w:val="006E52EB"/>
    <w:rsid w:val="007730E8"/>
    <w:rsid w:val="00794E84"/>
    <w:rsid w:val="007A68F8"/>
    <w:rsid w:val="007C050E"/>
    <w:rsid w:val="007D2607"/>
    <w:rsid w:val="007D3A5A"/>
    <w:rsid w:val="007E1684"/>
    <w:rsid w:val="00813948"/>
    <w:rsid w:val="00816B87"/>
    <w:rsid w:val="008244B3"/>
    <w:rsid w:val="00824A2F"/>
    <w:rsid w:val="0084507E"/>
    <w:rsid w:val="00855059"/>
    <w:rsid w:val="00876F8C"/>
    <w:rsid w:val="008A4900"/>
    <w:rsid w:val="008E7D5B"/>
    <w:rsid w:val="00905693"/>
    <w:rsid w:val="00921C10"/>
    <w:rsid w:val="00936AB3"/>
    <w:rsid w:val="00940AAA"/>
    <w:rsid w:val="009A5A67"/>
    <w:rsid w:val="009F1B2E"/>
    <w:rsid w:val="009F3A67"/>
    <w:rsid w:val="00A04DD0"/>
    <w:rsid w:val="00A23BC3"/>
    <w:rsid w:val="00A2770F"/>
    <w:rsid w:val="00A926E8"/>
    <w:rsid w:val="00AC4128"/>
    <w:rsid w:val="00AD2EE4"/>
    <w:rsid w:val="00AF5501"/>
    <w:rsid w:val="00B04741"/>
    <w:rsid w:val="00B72E91"/>
    <w:rsid w:val="00B77D4B"/>
    <w:rsid w:val="00B77FEC"/>
    <w:rsid w:val="00B91C78"/>
    <w:rsid w:val="00BA2B4F"/>
    <w:rsid w:val="00BB674D"/>
    <w:rsid w:val="00BF77F2"/>
    <w:rsid w:val="00C22211"/>
    <w:rsid w:val="00C7386B"/>
    <w:rsid w:val="00C8772D"/>
    <w:rsid w:val="00CC1AC7"/>
    <w:rsid w:val="00CE51E7"/>
    <w:rsid w:val="00D9676C"/>
    <w:rsid w:val="00D9681E"/>
    <w:rsid w:val="00D96C48"/>
    <w:rsid w:val="00DC236A"/>
    <w:rsid w:val="00DE3EB6"/>
    <w:rsid w:val="00E51731"/>
    <w:rsid w:val="00E52145"/>
    <w:rsid w:val="00EB64BC"/>
    <w:rsid w:val="00ED04C6"/>
    <w:rsid w:val="00F036D6"/>
    <w:rsid w:val="00F9345D"/>
    <w:rsid w:val="00FF6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E592"/>
  <w15:chartTrackingRefBased/>
  <w15:docId w15:val="{EB373E29-DE50-4BDA-AA7F-4E6EEE0C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2496"/>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2C249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2C24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2C249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2C249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2C2496"/>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2C2496"/>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2C24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C249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C249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9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C249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C2496"/>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2C2496"/>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2C2496"/>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2C2496"/>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2C2496"/>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2C2496"/>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2C2496"/>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2C2496"/>
    <w:pPr>
      <w:tabs>
        <w:tab w:val="center" w:pos="4513"/>
        <w:tab w:val="right" w:pos="9026"/>
      </w:tabs>
    </w:pPr>
  </w:style>
  <w:style w:type="character" w:customStyle="1" w:styleId="HeaderChar">
    <w:name w:val="Header Char"/>
    <w:basedOn w:val="DefaultParagraphFont"/>
    <w:link w:val="Header"/>
    <w:uiPriority w:val="99"/>
    <w:rsid w:val="002C2496"/>
    <w:rPr>
      <w:rFonts w:ascii="Arial" w:hAnsi="Arial"/>
      <w:sz w:val="24"/>
      <w:szCs w:val="20"/>
    </w:rPr>
  </w:style>
  <w:style w:type="paragraph" w:styleId="Footer">
    <w:name w:val="footer"/>
    <w:basedOn w:val="Normal"/>
    <w:link w:val="FooterChar"/>
    <w:uiPriority w:val="99"/>
    <w:unhideWhenUsed/>
    <w:rsid w:val="002C2496"/>
    <w:pPr>
      <w:tabs>
        <w:tab w:val="center" w:pos="4513"/>
        <w:tab w:val="right" w:pos="9026"/>
      </w:tabs>
    </w:pPr>
  </w:style>
  <w:style w:type="character" w:customStyle="1" w:styleId="FooterChar">
    <w:name w:val="Footer Char"/>
    <w:basedOn w:val="DefaultParagraphFont"/>
    <w:link w:val="Footer"/>
    <w:uiPriority w:val="99"/>
    <w:rsid w:val="002C2496"/>
    <w:rPr>
      <w:rFonts w:ascii="Arial" w:hAnsi="Arial"/>
      <w:sz w:val="24"/>
      <w:szCs w:val="20"/>
    </w:rPr>
  </w:style>
  <w:style w:type="paragraph" w:styleId="BalloonText">
    <w:name w:val="Balloon Text"/>
    <w:basedOn w:val="Normal"/>
    <w:link w:val="BalloonTextChar"/>
    <w:uiPriority w:val="99"/>
    <w:semiHidden/>
    <w:unhideWhenUsed/>
    <w:rsid w:val="002C2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96"/>
    <w:rPr>
      <w:rFonts w:ascii="Segoe UI" w:hAnsi="Segoe UI" w:cs="Segoe UI"/>
      <w:sz w:val="18"/>
      <w:szCs w:val="18"/>
    </w:rPr>
  </w:style>
  <w:style w:type="paragraph" w:styleId="Revision">
    <w:name w:val="Revision"/>
    <w:hidden/>
    <w:uiPriority w:val="99"/>
    <w:semiHidden/>
    <w:rsid w:val="002C2496"/>
    <w:pPr>
      <w:spacing w:after="0" w:line="240" w:lineRule="auto"/>
    </w:pPr>
    <w:rPr>
      <w:rFonts w:ascii="Arial" w:hAnsi="Arial"/>
      <w:sz w:val="20"/>
      <w:szCs w:val="24"/>
      <w:lang w:eastAsia="en-GB"/>
    </w:rPr>
  </w:style>
  <w:style w:type="numbering" w:customStyle="1" w:styleId="Level">
    <w:name w:val="Level"/>
    <w:uiPriority w:val="99"/>
    <w:rsid w:val="002C2496"/>
    <w:pPr>
      <w:numPr>
        <w:numId w:val="1"/>
      </w:numPr>
    </w:pPr>
  </w:style>
  <w:style w:type="numbering" w:customStyle="1" w:styleId="Scheduletext">
    <w:name w:val="Schedule text"/>
    <w:uiPriority w:val="99"/>
    <w:rsid w:val="002C2496"/>
    <w:pPr>
      <w:numPr>
        <w:numId w:val="3"/>
      </w:numPr>
    </w:pPr>
  </w:style>
  <w:style w:type="numbering" w:customStyle="1" w:styleId="Appendix">
    <w:name w:val="Appendix"/>
    <w:uiPriority w:val="99"/>
    <w:rsid w:val="002C2496"/>
    <w:pPr>
      <w:numPr>
        <w:numId w:val="4"/>
      </w:numPr>
    </w:pPr>
  </w:style>
  <w:style w:type="numbering" w:customStyle="1" w:styleId="Scheduleheading">
    <w:name w:val="Schedule heading"/>
    <w:uiPriority w:val="99"/>
    <w:rsid w:val="002C2496"/>
    <w:pPr>
      <w:numPr>
        <w:numId w:val="2"/>
      </w:numPr>
    </w:pPr>
  </w:style>
  <w:style w:type="numbering" w:customStyle="1" w:styleId="Bullets">
    <w:name w:val="Bullets"/>
    <w:uiPriority w:val="99"/>
    <w:rsid w:val="002C2496"/>
    <w:pPr>
      <w:numPr>
        <w:numId w:val="5"/>
      </w:numPr>
    </w:pPr>
  </w:style>
  <w:style w:type="numbering" w:customStyle="1" w:styleId="Definitions">
    <w:name w:val="Definitions"/>
    <w:uiPriority w:val="99"/>
    <w:rsid w:val="002C2496"/>
    <w:pPr>
      <w:numPr>
        <w:numId w:val="6"/>
      </w:numPr>
    </w:pPr>
  </w:style>
  <w:style w:type="paragraph" w:customStyle="1" w:styleId="Address">
    <w:name w:val="Address"/>
    <w:basedOn w:val="Normal"/>
    <w:rsid w:val="002C2496"/>
    <w:rPr>
      <w:rFonts w:eastAsia="Times New Roman" w:cs="Times New Roman"/>
      <w:szCs w:val="24"/>
      <w:lang w:eastAsia="en-GB"/>
    </w:rPr>
  </w:style>
  <w:style w:type="paragraph" w:customStyle="1" w:styleId="AnnexHeading">
    <w:name w:val="Annex Heading"/>
    <w:basedOn w:val="Normal"/>
    <w:next w:val="Normal"/>
    <w:rsid w:val="002C2496"/>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2C2496"/>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2C2496"/>
    <w:pPr>
      <w:numPr>
        <w:ilvl w:val="1"/>
      </w:numPr>
    </w:pPr>
    <w:rPr>
      <w:b w:val="0"/>
    </w:rPr>
  </w:style>
  <w:style w:type="paragraph" w:customStyle="1" w:styleId="AppendixText3">
    <w:name w:val="Appendix Text 3"/>
    <w:basedOn w:val="Normal"/>
    <w:next w:val="StdBodyText3"/>
    <w:rsid w:val="002C2496"/>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2C2496"/>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2C2496"/>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2C2496"/>
    <w:pPr>
      <w:spacing w:after="200"/>
      <w:jc w:val="center"/>
    </w:pPr>
    <w:rPr>
      <w:rFonts w:eastAsia="Times New Roman" w:cs="Times New Roman"/>
      <w:b/>
      <w:szCs w:val="24"/>
      <w:lang w:eastAsia="en-GB"/>
    </w:rPr>
  </w:style>
  <w:style w:type="paragraph" w:customStyle="1" w:styleId="StdBodyText">
    <w:name w:val="Std Body Text"/>
    <w:basedOn w:val="Normal"/>
    <w:qFormat/>
    <w:rsid w:val="002C2496"/>
    <w:pPr>
      <w:spacing w:before="100" w:after="200"/>
    </w:pPr>
    <w:rPr>
      <w:rFonts w:eastAsia="Times New Roman" w:cs="Times New Roman"/>
      <w:szCs w:val="24"/>
      <w:lang w:eastAsia="en-GB"/>
    </w:rPr>
  </w:style>
  <w:style w:type="paragraph" w:customStyle="1" w:styleId="StdBodyText1">
    <w:name w:val="Std Body Text 1"/>
    <w:basedOn w:val="StdBodyText"/>
    <w:rsid w:val="002C2496"/>
    <w:pPr>
      <w:ind w:left="720"/>
    </w:pPr>
  </w:style>
  <w:style w:type="paragraph" w:customStyle="1" w:styleId="StdBodyText2">
    <w:name w:val="Std Body Text 2"/>
    <w:basedOn w:val="StdBodyText1"/>
    <w:rsid w:val="002C2496"/>
  </w:style>
  <w:style w:type="paragraph" w:customStyle="1" w:styleId="StdBodyText3">
    <w:name w:val="Std Body Text 3"/>
    <w:basedOn w:val="StdBodyText2"/>
    <w:rsid w:val="002C2496"/>
    <w:pPr>
      <w:ind w:left="1803"/>
    </w:pPr>
  </w:style>
  <w:style w:type="paragraph" w:customStyle="1" w:styleId="StdBodyText4">
    <w:name w:val="Std Body Text 4"/>
    <w:basedOn w:val="StdBodyText3"/>
    <w:rsid w:val="002C2496"/>
  </w:style>
  <w:style w:type="paragraph" w:customStyle="1" w:styleId="StdBodyText5">
    <w:name w:val="Std Body Text 5"/>
    <w:basedOn w:val="StdBodyText4"/>
    <w:rsid w:val="002C2496"/>
    <w:pPr>
      <w:ind w:left="2523"/>
    </w:pPr>
  </w:style>
  <w:style w:type="paragraph" w:customStyle="1" w:styleId="StdBodyTextBold">
    <w:name w:val="Std Body Text Bold"/>
    <w:basedOn w:val="Normal"/>
    <w:next w:val="StdBodyText"/>
    <w:link w:val="StdBodyTextBoldChar"/>
    <w:qFormat/>
    <w:rsid w:val="002C249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2C2496"/>
    <w:rPr>
      <w:rFonts w:ascii="Arial" w:eastAsia="Times New Roman" w:hAnsi="Arial" w:cs="Times New Roman"/>
      <w:b/>
      <w:sz w:val="24"/>
      <w:szCs w:val="24"/>
      <w:lang w:eastAsia="en-GB"/>
    </w:rPr>
  </w:style>
  <w:style w:type="paragraph" w:customStyle="1" w:styleId="BulletsBody">
    <w:name w:val="Bullets Body"/>
    <w:basedOn w:val="StdBodyText"/>
    <w:rsid w:val="002C2496"/>
    <w:pPr>
      <w:numPr>
        <w:numId w:val="7"/>
      </w:numPr>
    </w:pPr>
  </w:style>
  <w:style w:type="paragraph" w:customStyle="1" w:styleId="BulletsLevel1">
    <w:name w:val="Bullets Level 1"/>
    <w:basedOn w:val="StdBodyText1"/>
    <w:rsid w:val="002C2496"/>
    <w:pPr>
      <w:numPr>
        <w:ilvl w:val="1"/>
        <w:numId w:val="7"/>
      </w:numPr>
      <w:tabs>
        <w:tab w:val="left" w:pos="1797"/>
      </w:tabs>
    </w:pPr>
  </w:style>
  <w:style w:type="paragraph" w:customStyle="1" w:styleId="Centered">
    <w:name w:val="Centered"/>
    <w:basedOn w:val="Normal"/>
    <w:next w:val="StdBodyText"/>
    <w:rsid w:val="002C2496"/>
    <w:pPr>
      <w:spacing w:before="100" w:after="200"/>
      <w:jc w:val="center"/>
    </w:pPr>
    <w:rPr>
      <w:rFonts w:eastAsia="Times New Roman" w:cs="Times New Roman"/>
      <w:szCs w:val="24"/>
      <w:lang w:eastAsia="en-GB"/>
    </w:rPr>
  </w:style>
  <w:style w:type="paragraph" w:customStyle="1" w:styleId="Centre">
    <w:name w:val="Centre"/>
    <w:basedOn w:val="Normal"/>
    <w:next w:val="Normal"/>
    <w:rsid w:val="002C2496"/>
    <w:pPr>
      <w:spacing w:before="100" w:after="600"/>
      <w:jc w:val="center"/>
    </w:pPr>
    <w:rPr>
      <w:rFonts w:eastAsia="Times New Roman" w:cs="Times New Roman"/>
      <w:szCs w:val="24"/>
      <w:lang w:eastAsia="en-GB"/>
    </w:rPr>
  </w:style>
  <w:style w:type="paragraph" w:customStyle="1" w:styleId="DefinitionList">
    <w:name w:val="Definition List"/>
    <w:basedOn w:val="Normal"/>
    <w:rsid w:val="002C2496"/>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2C2496"/>
    <w:pPr>
      <w:spacing w:before="100" w:after="200"/>
    </w:pPr>
    <w:rPr>
      <w:rFonts w:eastAsia="Times New Roman" w:cs="Times New Roman"/>
      <w:b/>
      <w:szCs w:val="24"/>
      <w:lang w:eastAsia="en-GB"/>
    </w:rPr>
  </w:style>
  <w:style w:type="paragraph" w:customStyle="1" w:styleId="PartHeading">
    <w:name w:val="Part Heading"/>
    <w:basedOn w:val="Normal"/>
    <w:next w:val="StdBodyText"/>
    <w:rsid w:val="002C2496"/>
    <w:pPr>
      <w:numPr>
        <w:numId w:val="16"/>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2C2496"/>
    <w:pPr>
      <w:numPr>
        <w:numId w:val="17"/>
      </w:numPr>
      <w:spacing w:before="100" w:after="200"/>
    </w:pPr>
    <w:rPr>
      <w:rFonts w:eastAsia="Times New Roman" w:cs="Times New Roman"/>
      <w:szCs w:val="24"/>
      <w:lang w:eastAsia="en-GB"/>
    </w:rPr>
  </w:style>
  <w:style w:type="paragraph" w:customStyle="1" w:styleId="Recitals">
    <w:name w:val="Recitals"/>
    <w:basedOn w:val="Normal"/>
    <w:rsid w:val="002C2496"/>
    <w:pPr>
      <w:numPr>
        <w:numId w:val="18"/>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2C2496"/>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2C2496"/>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2C2496"/>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2C2496"/>
    <w:pPr>
      <w:numPr>
        <w:ilvl w:val="1"/>
      </w:numPr>
    </w:pPr>
    <w:rPr>
      <w:b w:val="0"/>
    </w:rPr>
  </w:style>
  <w:style w:type="paragraph" w:customStyle="1" w:styleId="ScheduleText3">
    <w:name w:val="Schedule Text 3"/>
    <w:basedOn w:val="Normal"/>
    <w:next w:val="StdBodyText3"/>
    <w:rsid w:val="002C2496"/>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2C2496"/>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2C2496"/>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2C2496"/>
    <w:rPr>
      <w:rFonts w:eastAsia="Times New Roman" w:cs="Times New Roman"/>
      <w:b/>
      <w:szCs w:val="24"/>
      <w:lang w:eastAsia="en-GB"/>
    </w:rPr>
  </w:style>
  <w:style w:type="table" w:styleId="TableGrid">
    <w:name w:val="Table Grid"/>
    <w:basedOn w:val="TableNormal"/>
    <w:uiPriority w:val="59"/>
    <w:rsid w:val="002C2496"/>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2C2496"/>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2C2496"/>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2C2496"/>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2C2496"/>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C2496"/>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2C2496"/>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2C2496"/>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2C2496"/>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2C2496"/>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2C2496"/>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2C2496"/>
    <w:pPr>
      <w:numPr>
        <w:numId w:val="8"/>
      </w:numPr>
    </w:pPr>
  </w:style>
  <w:style w:type="paragraph" w:customStyle="1" w:styleId="DefinitionListLevel1">
    <w:name w:val="Definition List Level 1"/>
    <w:basedOn w:val="DefinitionList"/>
    <w:rsid w:val="002C2496"/>
    <w:pPr>
      <w:numPr>
        <w:ilvl w:val="1"/>
      </w:numPr>
    </w:pPr>
  </w:style>
  <w:style w:type="paragraph" w:customStyle="1" w:styleId="BulletsLevel2">
    <w:name w:val="Bullets Level 2"/>
    <w:basedOn w:val="BulletsLevel1"/>
    <w:rsid w:val="002C2496"/>
    <w:pPr>
      <w:numPr>
        <w:ilvl w:val="2"/>
      </w:numPr>
      <w:tabs>
        <w:tab w:val="clear" w:pos="1797"/>
      </w:tabs>
    </w:pPr>
  </w:style>
  <w:style w:type="paragraph" w:customStyle="1" w:styleId="ScheduleText6">
    <w:name w:val="Schedule Text 6"/>
    <w:basedOn w:val="ScheduleText5"/>
    <w:rsid w:val="002C2496"/>
    <w:pPr>
      <w:numPr>
        <w:ilvl w:val="5"/>
      </w:numPr>
    </w:pPr>
  </w:style>
  <w:style w:type="paragraph" w:styleId="ListParagraph">
    <w:name w:val="List Paragraph"/>
    <w:basedOn w:val="Normal"/>
    <w:uiPriority w:val="34"/>
    <w:qFormat/>
    <w:rsid w:val="002C2496"/>
    <w:pPr>
      <w:ind w:left="720"/>
      <w:contextualSpacing/>
    </w:pPr>
  </w:style>
  <w:style w:type="paragraph" w:customStyle="1" w:styleId="DefinitionListLevel2">
    <w:name w:val="Definition List Level 2"/>
    <w:basedOn w:val="DefinitionListLevel1"/>
    <w:rsid w:val="002C2496"/>
    <w:pPr>
      <w:numPr>
        <w:ilvl w:val="2"/>
      </w:numPr>
    </w:pPr>
  </w:style>
  <w:style w:type="paragraph" w:customStyle="1" w:styleId="ScheduleHeading0">
    <w:name w:val="Schedule Heading"/>
    <w:basedOn w:val="ScheduleHeading2"/>
    <w:rsid w:val="002C2496"/>
    <w:pPr>
      <w:numPr>
        <w:ilvl w:val="0"/>
      </w:numPr>
    </w:pPr>
  </w:style>
  <w:style w:type="paragraph" w:customStyle="1" w:styleId="AnnextoPart">
    <w:name w:val="Annex to Part"/>
    <w:basedOn w:val="PartHeading"/>
    <w:rsid w:val="002C2496"/>
    <w:pPr>
      <w:numPr>
        <w:ilvl w:val="1"/>
      </w:numPr>
    </w:pPr>
    <w:rPr>
      <w:caps w:val="0"/>
    </w:rPr>
  </w:style>
  <w:style w:type="paragraph" w:customStyle="1" w:styleId="AppendixText6">
    <w:name w:val="Appendix Text 6"/>
    <w:basedOn w:val="AppendixText5"/>
    <w:rsid w:val="002C2496"/>
    <w:pPr>
      <w:numPr>
        <w:ilvl w:val="5"/>
      </w:numPr>
    </w:pPr>
  </w:style>
  <w:style w:type="paragraph" w:styleId="FootnoteText">
    <w:name w:val="footnote text"/>
    <w:basedOn w:val="Normal"/>
    <w:link w:val="FootnoteTextChar"/>
    <w:uiPriority w:val="99"/>
    <w:semiHidden/>
    <w:unhideWhenUsed/>
    <w:rsid w:val="002C2496"/>
    <w:rPr>
      <w:sz w:val="20"/>
    </w:rPr>
  </w:style>
  <w:style w:type="character" w:customStyle="1" w:styleId="FootnoteTextChar">
    <w:name w:val="Footnote Text Char"/>
    <w:basedOn w:val="DefaultParagraphFont"/>
    <w:link w:val="FootnoteText"/>
    <w:uiPriority w:val="99"/>
    <w:semiHidden/>
    <w:rsid w:val="002C2496"/>
    <w:rPr>
      <w:rFonts w:ascii="Arial" w:hAnsi="Arial"/>
      <w:sz w:val="20"/>
      <w:szCs w:val="20"/>
    </w:rPr>
  </w:style>
  <w:style w:type="character" w:styleId="FootnoteReference">
    <w:name w:val="footnote reference"/>
    <w:basedOn w:val="DefaultParagraphFont"/>
    <w:uiPriority w:val="99"/>
    <w:semiHidden/>
    <w:unhideWhenUsed/>
    <w:rsid w:val="002C2496"/>
    <w:rPr>
      <w:vertAlign w:val="superscript"/>
    </w:rPr>
  </w:style>
  <w:style w:type="paragraph" w:customStyle="1" w:styleId="ScheduleText7">
    <w:name w:val="Schedule Text 7"/>
    <w:basedOn w:val="ScheduleText6"/>
    <w:rsid w:val="002C2496"/>
    <w:pPr>
      <w:numPr>
        <w:ilvl w:val="6"/>
      </w:numPr>
    </w:pPr>
  </w:style>
  <w:style w:type="character" w:styleId="Hyperlink">
    <w:name w:val="Hyperlink"/>
    <w:basedOn w:val="DefaultParagraphFont"/>
    <w:uiPriority w:val="99"/>
    <w:unhideWhenUsed/>
    <w:rsid w:val="002C2496"/>
    <w:rPr>
      <w:color w:val="000000" w:themeColor="text1"/>
      <w:u w:val="none"/>
    </w:rPr>
  </w:style>
  <w:style w:type="paragraph" w:customStyle="1" w:styleId="PartiesFrontSheet">
    <w:name w:val="Parties Front Sheet"/>
    <w:basedOn w:val="Normal"/>
    <w:rsid w:val="002C2496"/>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2C249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2C249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2C2496"/>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2C2496"/>
    <w:rPr>
      <w:color w:val="605E5C"/>
      <w:shd w:val="clear" w:color="auto" w:fill="E1DFDD"/>
    </w:rPr>
  </w:style>
  <w:style w:type="character" w:styleId="FollowedHyperlink">
    <w:name w:val="FollowedHyperlink"/>
    <w:basedOn w:val="DefaultParagraphFont"/>
    <w:semiHidden/>
    <w:unhideWhenUsed/>
    <w:rsid w:val="002C2496"/>
    <w:rPr>
      <w:color w:val="000000" w:themeColor="text1"/>
      <w:u w:val="none"/>
    </w:rPr>
  </w:style>
  <w:style w:type="character" w:styleId="CommentReference">
    <w:name w:val="annotation reference"/>
    <w:basedOn w:val="DefaultParagraphFont"/>
    <w:uiPriority w:val="99"/>
    <w:semiHidden/>
    <w:unhideWhenUsed/>
    <w:rsid w:val="000A1A5B"/>
    <w:rPr>
      <w:sz w:val="16"/>
      <w:szCs w:val="16"/>
    </w:rPr>
  </w:style>
  <w:style w:type="paragraph" w:styleId="CommentText">
    <w:name w:val="annotation text"/>
    <w:basedOn w:val="Normal"/>
    <w:link w:val="CommentTextChar"/>
    <w:uiPriority w:val="99"/>
    <w:semiHidden/>
    <w:unhideWhenUsed/>
    <w:rsid w:val="000A1A5B"/>
    <w:rPr>
      <w:sz w:val="20"/>
    </w:rPr>
  </w:style>
  <w:style w:type="character" w:customStyle="1" w:styleId="CommentTextChar">
    <w:name w:val="Comment Text Char"/>
    <w:basedOn w:val="DefaultParagraphFont"/>
    <w:link w:val="CommentText"/>
    <w:uiPriority w:val="99"/>
    <w:semiHidden/>
    <w:rsid w:val="000A1A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1A5B"/>
    <w:rPr>
      <w:b/>
      <w:bCs/>
    </w:rPr>
  </w:style>
  <w:style w:type="character" w:customStyle="1" w:styleId="CommentSubjectChar">
    <w:name w:val="Comment Subject Char"/>
    <w:basedOn w:val="CommentTextChar"/>
    <w:link w:val="CommentSubject"/>
    <w:uiPriority w:val="99"/>
    <w:semiHidden/>
    <w:rsid w:val="000A1A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5F24A-E23E-4001-92F4-66A5A506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01E55-85D3-4F1C-966B-317A58A5B452}">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ce06c1b5-0e50-4cbc-a9a5-cc76b116f6d1"/>
    <ds:schemaRef ds:uri="http://schemas.openxmlformats.org/package/2006/metadata/core-properties"/>
    <ds:schemaRef ds:uri="e3e4714b-b22f-4e5b-9218-d771a01b7a7d"/>
    <ds:schemaRef ds:uri="http://schemas.microsoft.com/office/2006/metadata/properties"/>
    <ds:schemaRef ds:uri="662745e8-e224-48e8-a2e3-254862b8c2f5"/>
  </ds:schemaRefs>
</ds:datastoreItem>
</file>

<file path=customXml/itemProps3.xml><?xml version="1.0" encoding="utf-8"?>
<ds:datastoreItem xmlns:ds="http://schemas.openxmlformats.org/officeDocument/2006/customXml" ds:itemID="{EB75A7A8-3E5E-464C-9C9C-75C079F29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12732</Words>
  <Characters>72575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Neil Widdop</cp:lastModifiedBy>
  <cp:revision>100</cp:revision>
  <dcterms:created xsi:type="dcterms:W3CDTF">2021-10-25T10:09:00Z</dcterms:created>
  <dcterms:modified xsi:type="dcterms:W3CDTF">2022-07-21T11:47:00Z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