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932539B" w:rsidR="00CA4BA2" w:rsidRPr="00EA529F" w:rsidRDefault="00FA2C69">
            <w:pPr>
              <w:tabs>
                <w:tab w:val="left" w:pos="709"/>
              </w:tabs>
              <w:rPr>
                <w:rFonts w:ascii="Arial" w:hAnsi="Arial" w:cs="Arial"/>
                <w:iCs/>
                <w:sz w:val="18"/>
                <w:szCs w:val="18"/>
                <w:highlight w:val="yellow"/>
              </w:rPr>
            </w:pPr>
            <w:r w:rsidRPr="00921EE2">
              <w:rPr>
                <w:rFonts w:ascii="Arial" w:hAnsi="Arial" w:cs="Arial"/>
                <w:i/>
                <w:sz w:val="18"/>
                <w:szCs w:val="18"/>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18A2900B"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r w:rsidR="006C46CB" w:rsidRPr="009433E1">
              <w:rPr>
                <w:rFonts w:ascii="Arial" w:hAnsi="Arial" w:cs="Arial"/>
                <w:b/>
                <w:bCs/>
                <w:i/>
                <w:sz w:val="18"/>
                <w:szCs w:val="18"/>
                <w:highlight w:val="cyan"/>
              </w:rPr>
              <w:t xml:space="preserve"> </w:t>
            </w:r>
            <w:r w:rsidR="006C46CB">
              <w:rPr>
                <w:rFonts w:ascii="Arial" w:hAnsi="Arial" w:cs="Arial"/>
                <w:b/>
                <w:bCs/>
                <w:i/>
                <w:sz w:val="18"/>
                <w:szCs w:val="18"/>
                <w:highlight w:val="cyan"/>
              </w:rPr>
              <w:t>[</w:t>
            </w:r>
            <w:r w:rsidR="006C46CB" w:rsidRPr="009433E1">
              <w:rPr>
                <w:rFonts w:ascii="Arial" w:hAnsi="Arial" w:cs="Arial"/>
                <w:b/>
                <w:bCs/>
                <w:i/>
                <w:sz w:val="18"/>
                <w:szCs w:val="18"/>
                <w:highlight w:val="cyan"/>
              </w:rPr>
              <w:t>Guidance Note: If the Customer is Defra, include the words “acting as part of the Crown”</w:t>
            </w:r>
            <w:r w:rsidR="006C46CB">
              <w:rPr>
                <w:rFonts w:ascii="Arial" w:hAnsi="Arial" w:cs="Arial"/>
                <w:b/>
                <w:bCs/>
                <w:i/>
                <w:sz w:val="18"/>
                <w:szCs w:val="18"/>
                <w:highlight w:val="cyan"/>
              </w:rPr>
              <w:t>, i.e. “The Secretary of State for Environment, Food and Rural Affairs, acting as part of the Crown”</w:t>
            </w:r>
            <w:r w:rsidR="006C46CB" w:rsidRPr="009433E1">
              <w:rPr>
                <w:rFonts w:ascii="Arial" w:hAnsi="Arial" w:cs="Arial"/>
                <w:iCs/>
                <w:sz w:val="18"/>
                <w:szCs w:val="18"/>
                <w:highlight w:val="cyan"/>
              </w:rPr>
              <w:t>]</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4A94471E"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1F7939">
              <w:rPr>
                <w:rFonts w:ascii="Arial" w:hAnsi="Arial" w:cs="Arial"/>
                <w:i/>
                <w:sz w:val="18"/>
                <w:szCs w:val="18"/>
                <w:highlight w:val="cyan"/>
              </w:rPr>
              <w:t>use</w:t>
            </w:r>
            <w:r w:rsidR="0081639D" w:rsidRPr="0081639D">
              <w:rPr>
                <w:rFonts w:ascii="Arial" w:hAnsi="Arial" w:cs="Arial"/>
                <w:i/>
                <w:sz w:val="18"/>
                <w:szCs w:val="18"/>
                <w:highlight w:val="cyan"/>
              </w:rPr>
              <w:t xml:space="preserve"> </w:t>
            </w:r>
            <w:r w:rsidR="001F7939">
              <w:rPr>
                <w:rFonts w:ascii="Arial" w:hAnsi="Arial" w:cs="Arial"/>
                <w:i/>
                <w:sz w:val="18"/>
                <w:szCs w:val="18"/>
                <w:highlight w:val="cyan"/>
              </w:rPr>
              <w:t>C</w:t>
            </w:r>
            <w:r w:rsidR="0081639D" w:rsidRPr="0081639D">
              <w:rPr>
                <w:rFonts w:ascii="Arial" w:hAnsi="Arial" w:cs="Arial"/>
                <w:i/>
                <w:sz w:val="18"/>
                <w:szCs w:val="18"/>
                <w:highlight w:val="cyan"/>
              </w:rPr>
              <w:t xml:space="preserve">ompanies </w:t>
            </w:r>
            <w:r w:rsidR="001F7939">
              <w:rPr>
                <w:rFonts w:ascii="Arial" w:hAnsi="Arial" w:cs="Arial"/>
                <w:i/>
                <w:sz w:val="18"/>
                <w:szCs w:val="18"/>
                <w:highlight w:val="cyan"/>
              </w:rPr>
              <w:t>H</w:t>
            </w:r>
            <w:r w:rsidR="0081639D" w:rsidRPr="0081639D">
              <w:rPr>
                <w:rFonts w:ascii="Arial" w:hAnsi="Arial" w:cs="Arial"/>
                <w:i/>
                <w:sz w:val="18"/>
                <w:szCs w:val="18"/>
                <w:highlight w:val="cyan"/>
              </w:rPr>
              <w:t xml:space="preserve">ouse </w:t>
            </w:r>
            <w:hyperlink r:id="rId13" w:history="1">
              <w:r w:rsidR="0081639D" w:rsidRPr="0081639D">
                <w:rPr>
                  <w:rStyle w:val="Hyperlink"/>
                  <w:rFonts w:ascii="Arial" w:hAnsi="Arial" w:cs="Arial"/>
                  <w:i/>
                  <w:sz w:val="18"/>
                  <w:szCs w:val="18"/>
                  <w:highlight w:val="cyan"/>
                </w:rPr>
                <w:t>website</w:t>
              </w:r>
            </w:hyperlink>
            <w:r w:rsidR="001F7939">
              <w:rPr>
                <w:rFonts w:ascii="Arial" w:hAnsi="Arial" w:cs="Arial"/>
                <w:i/>
                <w:sz w:val="18"/>
                <w:szCs w:val="18"/>
                <w:highlight w:val="cyan"/>
              </w:rPr>
              <w:t xml:space="preserve"> to obtain or validate details of incorporated entities</w:t>
            </w:r>
            <w:r w:rsidR="0081639D" w:rsidRPr="0081639D">
              <w:rPr>
                <w:rFonts w:ascii="Arial" w:hAnsi="Arial" w:cs="Arial"/>
                <w:i/>
                <w:sz w:val="18"/>
                <w:szCs w:val="18"/>
                <w:highlight w:val="cyan"/>
              </w:rPr>
              <w:t>)</w:t>
            </w:r>
            <w:r w:rsidRPr="00B46D37">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72DEB779" w:rsidR="007E7D58" w:rsidRDefault="007E7D58" w:rsidP="007E7D58">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r w:rsidR="00786A8B" w:rsidRPr="009433E1">
              <w:rPr>
                <w:rFonts w:ascii="Arial" w:hAnsi="Arial" w:cs="Arial"/>
                <w:b/>
                <w:bCs/>
                <w:i/>
                <w:sz w:val="18"/>
                <w:szCs w:val="18"/>
                <w:highlight w:val="cyan"/>
              </w:rPr>
              <w:t xml:space="preserve"> Guidance Note: </w:t>
            </w:r>
            <w:r w:rsidR="00786A8B">
              <w:rPr>
                <w:rFonts w:ascii="Arial" w:hAnsi="Arial" w:cs="Arial"/>
                <w:b/>
                <w:bCs/>
                <w:i/>
                <w:sz w:val="18"/>
                <w:szCs w:val="18"/>
                <w:highlight w:val="cyan"/>
              </w:rPr>
              <w:t>This section is to make clear which Defra Group Members the Goods/Services are for the benefit of</w:t>
            </w:r>
            <w:r w:rsidR="001F7939">
              <w:rPr>
                <w:rFonts w:ascii="Arial" w:hAnsi="Arial" w:cs="Arial"/>
                <w:b/>
                <w:bCs/>
                <w:i/>
                <w:sz w:val="18"/>
                <w:szCs w:val="18"/>
                <w:highlight w:val="cyan"/>
              </w:rPr>
              <w:t xml:space="preserve"> (if any) for the purposes of Annex 3 of the terms and conditions</w:t>
            </w:r>
            <w:r w:rsidR="00786A8B" w:rsidRPr="009433E1">
              <w:rPr>
                <w:rFonts w:ascii="Arial" w:hAnsi="Arial" w:cs="Arial"/>
                <w:iCs/>
                <w:sz w:val="18"/>
                <w:szCs w:val="18"/>
                <w:highlight w:val="cyan"/>
              </w:rPr>
              <w:t>]</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54315922" w14:textId="433E9499" w:rsidR="007E7D58" w:rsidRDefault="007E7D58" w:rsidP="007E7D58">
            <w:pPr>
              <w:tabs>
                <w:tab w:val="left" w:pos="709"/>
              </w:tabs>
              <w:rPr>
                <w:rFonts w:ascii="Arial" w:hAnsi="Arial" w:cs="Arial"/>
                <w:b/>
                <w:i/>
                <w:sz w:val="18"/>
                <w:szCs w:val="18"/>
              </w:rPr>
            </w:pPr>
            <w:r w:rsidRPr="00775FBA">
              <w:rPr>
                <w:rFonts w:ascii="Arial" w:hAnsi="Arial" w:cs="Arial"/>
                <w:b/>
                <w:i/>
                <w:sz w:val="18"/>
                <w:szCs w:val="18"/>
                <w:highlight w:val="cyan"/>
              </w:rPr>
              <w:t>[</w:t>
            </w:r>
            <w:r>
              <w:rPr>
                <w:rFonts w:ascii="Arial" w:hAnsi="Arial" w:cs="Arial"/>
                <w:b/>
                <w:i/>
                <w:sz w:val="18"/>
                <w:szCs w:val="18"/>
                <w:highlight w:val="cyan"/>
              </w:rPr>
              <w:t xml:space="preserve">Guidance note: </w:t>
            </w:r>
            <w:r w:rsidRPr="00775FBA">
              <w:rPr>
                <w:rFonts w:ascii="Arial" w:hAnsi="Arial" w:cs="Arial"/>
                <w:b/>
                <w:i/>
                <w:sz w:val="18"/>
                <w:szCs w:val="18"/>
                <w:highlight w:val="cyan"/>
              </w:rPr>
              <w:t>Please do not attach any Contractor terms and conditions to this Order</w:t>
            </w:r>
            <w:r w:rsidR="005B1BD6">
              <w:rPr>
                <w:rFonts w:ascii="Arial" w:hAnsi="Arial" w:cs="Arial"/>
                <w:b/>
                <w:i/>
                <w:sz w:val="18"/>
                <w:szCs w:val="18"/>
                <w:highlight w:val="cyan"/>
              </w:rPr>
              <w:t xml:space="preserve">. Please speak to </w:t>
            </w:r>
            <w:r w:rsidR="001F7939">
              <w:rPr>
                <w:rFonts w:ascii="Arial" w:hAnsi="Arial" w:cs="Arial"/>
                <w:b/>
                <w:i/>
                <w:sz w:val="18"/>
                <w:szCs w:val="18"/>
                <w:highlight w:val="cyan"/>
              </w:rPr>
              <w:t>GLD or your</w:t>
            </w:r>
            <w:r w:rsidR="005B1BD6">
              <w:rPr>
                <w:rFonts w:ascii="Arial" w:hAnsi="Arial" w:cs="Arial"/>
                <w:b/>
                <w:i/>
                <w:sz w:val="18"/>
                <w:szCs w:val="18"/>
                <w:highlight w:val="cyan"/>
              </w:rPr>
              <w:t xml:space="preserve"> relevant legal team if the Contractor is seeking to incorporate its own terms such as for software licenses as this may not be a suitable </w:t>
            </w:r>
            <w:r w:rsidR="001F7939">
              <w:rPr>
                <w:rFonts w:ascii="Arial" w:hAnsi="Arial" w:cs="Arial"/>
                <w:b/>
                <w:i/>
                <w:sz w:val="18"/>
                <w:szCs w:val="18"/>
                <w:highlight w:val="cyan"/>
              </w:rPr>
              <w:t xml:space="preserve">template </w:t>
            </w:r>
            <w:r w:rsidR="005B1BD6">
              <w:rPr>
                <w:rFonts w:ascii="Arial" w:hAnsi="Arial" w:cs="Arial"/>
                <w:b/>
                <w:i/>
                <w:sz w:val="18"/>
                <w:szCs w:val="18"/>
                <w:highlight w:val="cyan"/>
              </w:rPr>
              <w:t>contract</w:t>
            </w:r>
            <w:r w:rsidR="001F7939">
              <w:rPr>
                <w:rFonts w:ascii="Arial" w:hAnsi="Arial" w:cs="Arial"/>
                <w:b/>
                <w:i/>
                <w:sz w:val="18"/>
                <w:szCs w:val="18"/>
                <w:highlight w:val="cyan"/>
              </w:rPr>
              <w:t xml:space="preserve"> in those circumstances</w:t>
            </w:r>
            <w:r w:rsidR="005B1BD6">
              <w:rPr>
                <w:rFonts w:ascii="Arial" w:hAnsi="Arial" w:cs="Arial"/>
                <w:b/>
                <w:i/>
                <w:sz w:val="18"/>
                <w:szCs w:val="18"/>
                <w:highlight w:val="cyan"/>
              </w:rPr>
              <w:t>.</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51F88D1C"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242CB8">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6D347938" w:rsidR="007E7D58" w:rsidRPr="00B46D37" w:rsidRDefault="005B1BD6" w:rsidP="00242CB8">
            <w:pPr>
              <w:pStyle w:val="pf0"/>
              <w:rPr>
                <w:rFonts w:ascii="Arial" w:hAnsi="Arial" w:cs="Arial"/>
                <w:sz w:val="18"/>
                <w:szCs w:val="18"/>
              </w:rPr>
            </w:pPr>
            <w:r w:rsidRPr="00242CB8">
              <w:rPr>
                <w:rStyle w:val="cf21"/>
                <w:rFonts w:ascii="Arial" w:eastAsia="STZhongsong" w:hAnsi="Arial" w:cs="Arial"/>
              </w:rPr>
              <w:t>None</w:t>
            </w:r>
            <w:r w:rsidRPr="00242CB8">
              <w:rPr>
                <w:rStyle w:val="cf31"/>
                <w:rFonts w:ascii="Arial" w:eastAsia="STZhongsong" w:hAnsi="Arial" w:cs="Arial"/>
              </w:rPr>
              <w:t>.</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6065CEB6" w14:textId="1AE10808" w:rsidR="007E7D58" w:rsidRPr="00EC7959" w:rsidRDefault="004A78E6" w:rsidP="00EC7959">
            <w:pPr>
              <w:pStyle w:val="pf0"/>
              <w:rPr>
                <w:rFonts w:ascii="Arial" w:hAnsi="Arial" w:cs="Arial"/>
                <w:sz w:val="20"/>
                <w:szCs w:val="20"/>
              </w:rPr>
            </w:pPr>
            <w:bookmarkStart w:id="0" w:name="_DV_C144"/>
            <w:bookmarkStart w:id="1" w:name="_Ref377110627"/>
            <w:r w:rsidRPr="00850A3D">
              <w:rPr>
                <w:rStyle w:val="cf21"/>
                <w:rFonts w:ascii="Arial" w:eastAsia="STZhongsong" w:hAnsi="Arial" w:cs="Arial"/>
                <w:b w:val="0"/>
                <w:bCs w:val="0"/>
              </w:rPr>
              <w:t xml:space="preserve">Description: as set out in </w:t>
            </w:r>
            <w:r w:rsidR="00D80362" w:rsidRPr="00D80362">
              <w:rPr>
                <w:rStyle w:val="cf21"/>
                <w:rFonts w:ascii="Arial" w:eastAsia="STZhongsong" w:hAnsi="Arial" w:cs="Arial"/>
                <w:b w:val="0"/>
                <w:bCs w:val="0"/>
              </w:rPr>
              <w:t>Appendix 2: Specification/Description</w:t>
            </w:r>
          </w:p>
          <w:p w14:paraId="3CB7F8A7" w14:textId="4FF02AA9"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 xml:space="preserve">To be performed at </w:t>
            </w:r>
            <w:bookmarkEnd w:id="0"/>
            <w:bookmarkEnd w:id="1"/>
            <w:r w:rsidR="00850A3D">
              <w:rPr>
                <w:rFonts w:ascii="Arial" w:hAnsi="Arial" w:cs="Arial"/>
                <w:b/>
                <w:i/>
                <w:sz w:val="18"/>
                <w:szCs w:val="18"/>
              </w:rPr>
              <w:t>[to be confirmed]</w:t>
            </w:r>
          </w:p>
          <w:p w14:paraId="78CB0504" w14:textId="77777777" w:rsidR="007E7D58" w:rsidRPr="00B46D37" w:rsidRDefault="007E7D58" w:rsidP="007E7D58">
            <w:pPr>
              <w:tabs>
                <w:tab w:val="left" w:pos="709"/>
              </w:tabs>
              <w:rPr>
                <w:rFonts w:ascii="Arial" w:hAnsi="Arial" w:cs="Arial"/>
                <w:i/>
                <w:sz w:val="18"/>
                <w:szCs w:val="18"/>
              </w:rPr>
            </w:pPr>
          </w:p>
          <w:p w14:paraId="2A786758" w14:textId="5A42CD95" w:rsidR="007E7D58" w:rsidRPr="00242CB8" w:rsidRDefault="007E7D58" w:rsidP="00242CB8">
            <w:pPr>
              <w:tabs>
                <w:tab w:val="left" w:pos="709"/>
              </w:tabs>
              <w:rPr>
                <w:rFonts w:ascii="Arial" w:hAnsi="Arial" w:cs="Arial"/>
                <w:sz w:val="18"/>
                <w:szCs w:val="18"/>
                <w:highlight w:val="yellow"/>
              </w:rPr>
            </w:pPr>
            <w:r w:rsidRPr="00B46D37">
              <w:rPr>
                <w:rFonts w:ascii="Arial" w:hAnsi="Arial" w:cs="Arial"/>
                <w:sz w:val="18"/>
                <w:szCs w:val="18"/>
              </w:rPr>
              <w:t>Date(s) of Delivery:</w:t>
            </w:r>
            <w:r w:rsidR="00242CB8">
              <w:rPr>
                <w:rFonts w:ascii="Arial" w:hAnsi="Arial" w:cs="Arial"/>
                <w:sz w:val="18"/>
                <w:szCs w:val="18"/>
              </w:rPr>
              <w:t xml:space="preserve"> 30 April 2024</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2" w:name="_DV_C161"/>
            <w:bookmarkStart w:id="3"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2"/>
            <w:bookmarkEnd w:id="3"/>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6F23D40D"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r w:rsidR="003E0478" w:rsidRPr="003E0478">
              <w:rPr>
                <w:rFonts w:ascii="Arial" w:hAnsi="Arial" w:cs="Arial"/>
                <w:b/>
                <w:i/>
                <w:sz w:val="18"/>
                <w:szCs w:val="18"/>
                <w:highlight w:val="cyan"/>
              </w:rPr>
              <w:t xml:space="preserve"> [Guidance note: Please note that in respect of </w:t>
            </w:r>
            <w:r w:rsidR="001F7939">
              <w:rPr>
                <w:rFonts w:ascii="Arial" w:hAnsi="Arial" w:cs="Arial"/>
                <w:b/>
                <w:i/>
                <w:sz w:val="18"/>
                <w:szCs w:val="18"/>
                <w:highlight w:val="cyan"/>
              </w:rPr>
              <w:t>S</w:t>
            </w:r>
            <w:r w:rsidR="003E0478" w:rsidRPr="003E0478">
              <w:rPr>
                <w:rFonts w:ascii="Arial" w:hAnsi="Arial" w:cs="Arial"/>
                <w:b/>
                <w:i/>
                <w:sz w:val="18"/>
                <w:szCs w:val="18"/>
                <w:highlight w:val="cyan"/>
              </w:rPr>
              <w:t xml:space="preserve">ervices </w:t>
            </w:r>
            <w:r w:rsidR="003E0478">
              <w:rPr>
                <w:rFonts w:ascii="Arial" w:hAnsi="Arial" w:cs="Arial"/>
                <w:b/>
                <w:i/>
                <w:sz w:val="18"/>
                <w:szCs w:val="18"/>
                <w:highlight w:val="cyan"/>
              </w:rPr>
              <w:t>at paragraph 2.3 of Annex 2</w:t>
            </w:r>
            <w:r w:rsidR="001F7939">
              <w:rPr>
                <w:rFonts w:ascii="Arial" w:hAnsi="Arial" w:cs="Arial"/>
                <w:b/>
                <w:i/>
                <w:sz w:val="18"/>
                <w:szCs w:val="18"/>
                <w:highlight w:val="cyan"/>
              </w:rPr>
              <w:t xml:space="preserve"> </w:t>
            </w:r>
            <w:r w:rsidR="001F7939" w:rsidRPr="001F7939">
              <w:rPr>
                <w:rFonts w:ascii="Arial" w:hAnsi="Arial" w:cs="Arial"/>
                <w:b/>
                <w:i/>
                <w:sz w:val="18"/>
                <w:szCs w:val="18"/>
                <w:highlight w:val="cyan"/>
              </w:rPr>
              <w:t>of the terms and conditions</w:t>
            </w:r>
            <w:r w:rsidR="003E0478">
              <w:rPr>
                <w:rFonts w:ascii="Arial" w:hAnsi="Arial" w:cs="Arial"/>
                <w:b/>
                <w:i/>
                <w:sz w:val="18"/>
                <w:szCs w:val="18"/>
                <w:highlight w:val="cyan"/>
              </w:rPr>
              <w:t xml:space="preserve">, </w:t>
            </w:r>
            <w:r w:rsidR="003E0478" w:rsidRPr="003E0478">
              <w:rPr>
                <w:rFonts w:ascii="Arial" w:hAnsi="Arial" w:cs="Arial"/>
                <w:b/>
                <w:i/>
                <w:sz w:val="18"/>
                <w:szCs w:val="18"/>
                <w:highlight w:val="cyan"/>
              </w:rPr>
              <w:t xml:space="preserve">that </w:t>
            </w:r>
            <w:r w:rsidR="003E0478" w:rsidRPr="003E0478">
              <w:rPr>
                <w:rFonts w:ascii="Arial" w:hAnsi="Arial" w:cs="Arial"/>
                <w:b/>
                <w:i/>
                <w:sz w:val="18"/>
                <w:szCs w:val="18"/>
                <w:highlight w:val="cyan"/>
              </w:rPr>
              <w:lastRenderedPageBreak/>
              <w:t>the Customer has the option to extend the Agreement by a further period of up to 6 months]</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lastRenderedPageBreak/>
              <w:t>Charges</w:t>
            </w:r>
            <w:bookmarkEnd w:id="4"/>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69814FB4" w:rsidR="007E7D58" w:rsidRDefault="00DE4F91" w:rsidP="007E7D58">
            <w:pPr>
              <w:pStyle w:val="Header"/>
              <w:tabs>
                <w:tab w:val="left" w:pos="709"/>
              </w:tabs>
              <w:rPr>
                <w:rFonts w:ascii="Arial" w:hAnsi="Arial" w:cs="Arial"/>
                <w:sz w:val="18"/>
                <w:szCs w:val="18"/>
              </w:rPr>
            </w:pPr>
            <w:r>
              <w:rPr>
                <w:rFonts w:ascii="Arial" w:hAnsi="Arial" w:cs="Arial"/>
                <w:sz w:val="18"/>
                <w:szCs w:val="18"/>
              </w:rPr>
              <w:t>[</w:t>
            </w:r>
            <w:r w:rsidRPr="00FC1519">
              <w:rPr>
                <w:rFonts w:ascii="Arial" w:hAnsi="Arial" w:cs="Arial"/>
                <w:b/>
                <w:i/>
                <w:sz w:val="18"/>
                <w:szCs w:val="18"/>
                <w:highlight w:val="cyan"/>
              </w:rPr>
              <w:t>Guidance note: To avoid confusion, you may wish to add the following to ensure that the supplier is clear on how payments will be made unless alternative arrangements have already been agreed] “payments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4ADD73A1" w14:textId="7AA02067" w:rsidR="00622BBD" w:rsidRPr="00242CB8" w:rsidRDefault="009179C1" w:rsidP="00242CB8">
            <w:pPr>
              <w:pStyle w:val="Header"/>
              <w:tabs>
                <w:tab w:val="left" w:pos="709"/>
              </w:tabs>
              <w:rPr>
                <w:rFonts w:ascii="Arial" w:hAnsi="Arial" w:cs="Arial"/>
                <w:sz w:val="18"/>
                <w:szCs w:val="18"/>
              </w:rPr>
            </w:pPr>
            <w:r w:rsidRPr="00242CB8">
              <w:rPr>
                <w:rFonts w:ascii="Arial" w:hAnsi="Arial" w:cs="Arial"/>
                <w:sz w:val="18"/>
                <w:szCs w:val="18"/>
              </w:rPr>
              <w:t>A sum equal to £5,000,000</w:t>
            </w:r>
            <w:r w:rsidR="000465D8" w:rsidRPr="00242CB8">
              <w:rPr>
                <w:rFonts w:ascii="Arial" w:hAnsi="Arial" w:cs="Arial"/>
                <w:sz w:val="18"/>
                <w:szCs w:val="18"/>
              </w:rPr>
              <w:t>.</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02C46575"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sidR="000C2454">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699605EB" w14:textId="3C83D1E6" w:rsidR="007E7D58" w:rsidRPr="00B46D37" w:rsidRDefault="007E7D58" w:rsidP="000C2454">
            <w:pPr>
              <w:pStyle w:val="Header"/>
              <w:tabs>
                <w:tab w:val="left" w:pos="709"/>
              </w:tabs>
              <w:ind w:right="3"/>
              <w:rPr>
                <w:rFonts w:ascii="Arial" w:hAnsi="Arial" w:cs="Arial"/>
                <w:b/>
                <w:i/>
                <w:sz w:val="18"/>
                <w:szCs w:val="18"/>
                <w:highlight w:val="yellow"/>
              </w:rPr>
            </w:pPr>
            <w:r w:rsidRPr="00775FBA">
              <w:rPr>
                <w:rFonts w:ascii="Arial" w:hAnsi="Arial" w:cs="Arial"/>
                <w:b/>
                <w:i/>
                <w:sz w:val="18"/>
                <w:szCs w:val="18"/>
                <w:highlight w:val="cyan"/>
              </w:rPr>
              <w:t xml:space="preserve">  </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r w:rsidRPr="00060369">
              <w:rPr>
                <w:rFonts w:ascii="Arial" w:eastAsia="Arial" w:hAnsi="Arial" w:cs="Arial"/>
                <w:b/>
                <w:i/>
                <w:sz w:val="18"/>
                <w:szCs w:val="18"/>
                <w:highlight w:val="yellow"/>
              </w:rPr>
              <w:t>insert</w:t>
            </w:r>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r w:rsidRPr="00060369">
              <w:rPr>
                <w:rFonts w:ascii="Arial" w:eastAsia="Arial" w:hAnsi="Arial" w:cs="Arial"/>
                <w:color w:val="000000"/>
                <w:sz w:val="18"/>
                <w:szCs w:val="18"/>
              </w:rPr>
              <w:t>]</w:t>
            </w:r>
          </w:p>
          <w:p w14:paraId="4AC4472A" w14:textId="166AEEBA"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note: See clause </w:t>
            </w:r>
            <w:r>
              <w:rPr>
                <w:rFonts w:ascii="Arial" w:hAnsi="Arial" w:cs="Arial"/>
                <w:b/>
                <w:i/>
                <w:sz w:val="18"/>
                <w:szCs w:val="18"/>
                <w:highlight w:val="cyan"/>
              </w:rPr>
              <w:t>9</w:t>
            </w:r>
            <w:r w:rsidRPr="00775FBA">
              <w:rPr>
                <w:rFonts w:ascii="Arial" w:hAnsi="Arial" w:cs="Arial"/>
                <w:b/>
                <w:i/>
                <w:sz w:val="18"/>
                <w:szCs w:val="18"/>
                <w:highlight w:val="cyan"/>
              </w:rPr>
              <w:t xml:space="preserve"> of the term</w:t>
            </w:r>
            <w:r w:rsidR="004028F1">
              <w:rPr>
                <w:rFonts w:ascii="Arial" w:hAnsi="Arial" w:cs="Arial"/>
                <w:b/>
                <w:i/>
                <w:sz w:val="18"/>
                <w:szCs w:val="18"/>
                <w:highlight w:val="cyan"/>
              </w:rPr>
              <w:t>s</w:t>
            </w:r>
            <w:r w:rsidRPr="00775FBA">
              <w:rPr>
                <w:rFonts w:ascii="Arial" w:hAnsi="Arial" w:cs="Arial"/>
                <w:b/>
                <w:i/>
                <w:sz w:val="18"/>
                <w:szCs w:val="18"/>
                <w:highlight w:val="cyan"/>
              </w:rPr>
              <w:t xml:space="preserve"> and conditions for further details]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7A8B2AF" w:rsidR="00E567F8" w:rsidRPr="00CA4BA2" w:rsidRDefault="00E567F8" w:rsidP="007E7D58">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note: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[Guidance note: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lastRenderedPageBreak/>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lastRenderedPageBreak/>
              <w:t>Special Terms</w:t>
            </w:r>
            <w:bookmarkEnd w:id="15"/>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r>
              <w:rPr>
                <w:rFonts w:ascii="Arial" w:eastAsia="Arial" w:hAnsi="Arial" w:cs="Arial"/>
                <w:b/>
                <w:i/>
                <w:sz w:val="18"/>
                <w:szCs w:val="18"/>
                <w:highlight w:val="yellow"/>
              </w:rPr>
              <w:t>period</w:t>
            </w:r>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471A725E" w14:textId="6B5615E2" w:rsidR="007E7D58" w:rsidRPr="00E567F8" w:rsidRDefault="007E7D58" w:rsidP="00E567F8">
            <w:pPr>
              <w:spacing w:before="120" w:after="120"/>
              <w:rPr>
                <w:rFonts w:ascii="Arial" w:eastAsia="Arial" w:hAnsi="Arial" w:cs="Arial"/>
                <w:b/>
                <w:i/>
                <w:sz w:val="18"/>
                <w:szCs w:val="18"/>
              </w:rPr>
            </w:pPr>
            <w:r w:rsidRPr="00E567F8">
              <w:rPr>
                <w:rFonts w:ascii="Arial" w:eastAsia="Arial" w:hAnsi="Arial" w:cs="Arial"/>
                <w:b/>
                <w:i/>
                <w:sz w:val="18"/>
                <w:szCs w:val="18"/>
              </w:rPr>
              <w:t>[</w:t>
            </w:r>
            <w:r w:rsidRPr="00E567F8">
              <w:rPr>
                <w:rFonts w:ascii="Arial" w:eastAsia="Arial" w:hAnsi="Arial" w:cs="Arial"/>
                <w:b/>
                <w:i/>
                <w:sz w:val="18"/>
                <w:szCs w:val="18"/>
                <w:highlight w:val="cyan"/>
              </w:rPr>
              <w:t>Guidance note: Always seek legal advice when including special terms which revise or supplement the standard terms and conditions.]</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48480435" w:rsidR="007E7D58" w:rsidRPr="00060369" w:rsidRDefault="007E7D58" w:rsidP="007E7D58">
            <w:pPr>
              <w:spacing w:before="120" w:after="120"/>
              <w:rPr>
                <w:rFonts w:ascii="Arial" w:eastAsia="Arial" w:hAnsi="Arial" w:cs="Arial"/>
                <w:sz w:val="18"/>
                <w:szCs w:val="18"/>
              </w:rPr>
            </w:pPr>
            <w:r w:rsidRPr="00775FBA">
              <w:rPr>
                <w:rFonts w:ascii="Arial" w:eastAsia="Arial" w:hAnsi="Arial" w:cs="Arial"/>
                <w:sz w:val="18"/>
                <w:szCs w:val="18"/>
                <w:highlight w:val="cyan"/>
              </w:rPr>
              <w:t>[</w:t>
            </w:r>
            <w:r w:rsidRPr="00775FBA">
              <w:rPr>
                <w:rFonts w:ascii="Arial" w:eastAsia="Arial" w:hAnsi="Arial" w:cs="Arial"/>
                <w:b/>
                <w:bCs/>
                <w:i/>
                <w:iCs/>
                <w:sz w:val="18"/>
                <w:szCs w:val="18"/>
                <w:highlight w:val="cyan"/>
              </w:rPr>
              <w:t>Guidance note: Customer to include any additional express insurance requirements. Default of the Agreement is only for insurance to be in place</w:t>
            </w:r>
            <w:r w:rsidR="00937B12">
              <w:rPr>
                <w:rFonts w:ascii="Arial" w:eastAsia="Arial" w:hAnsi="Arial" w:cs="Arial"/>
                <w:b/>
                <w:bCs/>
                <w:i/>
                <w:iCs/>
                <w:sz w:val="18"/>
                <w:szCs w:val="18"/>
                <w:highlight w:val="cyan"/>
              </w:rPr>
              <w:t xml:space="preserve"> in line with industry best practice</w:t>
            </w:r>
            <w:r w:rsidRPr="00775FBA">
              <w:rPr>
                <w:rFonts w:ascii="Arial" w:eastAsia="Arial" w:hAnsi="Arial" w:cs="Arial"/>
                <w:sz w:val="18"/>
                <w:szCs w:val="18"/>
                <w:highlight w:val="cyan"/>
              </w:rPr>
              <w:t>]</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07170370" w:rsidR="007E7D58" w:rsidRPr="00D80362" w:rsidRDefault="007E7D58" w:rsidP="00D80362">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D80362">
                  <w:rPr>
                    <w:rFonts w:ascii="MS Gothic" w:eastAsia="MS Gothic" w:hAnsi="MS Gothic" w:cs="Arial" w:hint="eastAsia"/>
                    <w:b/>
                    <w:bCs/>
                    <w:sz w:val="18"/>
                    <w:szCs w:val="18"/>
                  </w:rPr>
                  <w:t>☒</w:t>
                </w:r>
              </w:sdtContent>
            </w:sdt>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t xml:space="preserve"> </w:t>
      </w:r>
      <w:r w:rsidR="00E567F8" w:rsidRPr="003E0478">
        <w:rPr>
          <w:rFonts w:ascii="Arial" w:hAnsi="Arial" w:cs="Arial"/>
          <w:b/>
          <w:i/>
          <w:sz w:val="18"/>
          <w:szCs w:val="18"/>
          <w:highlight w:val="cyan"/>
        </w:rPr>
        <w:t xml:space="preserve">[Guidance note: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Pr="00D80362" w:rsidRDefault="00964799" w:rsidP="004D3C24">
      <w:pPr>
        <w:rPr>
          <w:rFonts w:ascii="Arial" w:hAnsi="Arial" w:cs="Arial"/>
          <w:b/>
          <w:bCs/>
        </w:rPr>
      </w:pPr>
      <w:r w:rsidRPr="00D80362">
        <w:rPr>
          <w:rFonts w:ascii="Arial" w:hAnsi="Arial" w:cs="Arial"/>
          <w:b/>
          <w:bCs/>
        </w:rPr>
        <w:t>A</w:t>
      </w:r>
      <w:r w:rsidR="00BF4F9C" w:rsidRPr="00D80362">
        <w:rPr>
          <w:rFonts w:ascii="Arial" w:hAnsi="Arial" w:cs="Arial"/>
          <w:b/>
          <w:bCs/>
        </w:rPr>
        <w:t>ppendix</w:t>
      </w:r>
      <w:r w:rsidRPr="00D80362">
        <w:rPr>
          <w:rFonts w:ascii="Arial" w:hAnsi="Arial" w:cs="Arial"/>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052595F" w14:textId="77777777" w:rsidR="00E503B0" w:rsidRDefault="00964799" w:rsidP="004D3C24">
      <w:pPr>
        <w:spacing w:after="240"/>
        <w:rPr>
          <w:rFonts w:ascii="Arial" w:hAnsi="Arial" w:cs="Arial"/>
          <w:b/>
          <w:bCs/>
        </w:rPr>
      </w:pPr>
      <w:r w:rsidRPr="00E503B0">
        <w:rPr>
          <w:rFonts w:ascii="Arial" w:hAnsi="Arial" w:cs="Arial"/>
          <w:b/>
          <w:bCs/>
        </w:rPr>
        <w:lastRenderedPageBreak/>
        <w:t>A</w:t>
      </w:r>
      <w:r w:rsidR="00BF4F9C" w:rsidRPr="00E503B0">
        <w:rPr>
          <w:rFonts w:ascii="Arial" w:hAnsi="Arial" w:cs="Arial"/>
          <w:b/>
          <w:bCs/>
        </w:rPr>
        <w:t>ppendix</w:t>
      </w:r>
      <w:r w:rsidRPr="00E503B0">
        <w:rPr>
          <w:rFonts w:ascii="Arial" w:hAnsi="Arial" w:cs="Arial"/>
          <w:b/>
          <w:bCs/>
        </w:rPr>
        <w:t xml:space="preserve"> 2: Specification</w:t>
      </w:r>
      <w:r w:rsidR="008B397E" w:rsidRPr="00E503B0">
        <w:rPr>
          <w:rFonts w:ascii="Arial" w:hAnsi="Arial" w:cs="Arial"/>
          <w:b/>
          <w:bCs/>
        </w:rPr>
        <w:t xml:space="preserve">/Description </w:t>
      </w:r>
    </w:p>
    <w:p w14:paraId="04A71FE6" w14:textId="00030E90" w:rsidR="00E503B0" w:rsidRPr="00E503B0" w:rsidRDefault="00E503B0" w:rsidP="00E503B0">
      <w:pPr>
        <w:rPr>
          <w:rFonts w:ascii="Arial" w:eastAsia="Times New Roman" w:hAnsi="Arial" w:cs="Arial"/>
        </w:rPr>
      </w:pPr>
      <w:r w:rsidRPr="00E503B0">
        <w:rPr>
          <w:rStyle w:val="normaltextrun"/>
          <w:rFonts w:ascii="Arial" w:hAnsi="Arial" w:cs="Arial"/>
        </w:rPr>
        <w:t>Encouraging and supporting long-term, collaborative partnerships is fundamental to the success of future Protected Site Strategies. PSS are likely to be especially valuable where there are complex issues affecting the condition of protected sites and, where the solutions involve multiple stakeholders with vested and conflicting interests. Identifying the most effective approach to local governance will be key to successful delivery of PSS over the next decade and beyond.</w:t>
      </w:r>
      <w:r w:rsidRPr="00E503B0">
        <w:rPr>
          <w:rStyle w:val="eop"/>
          <w:rFonts w:ascii="Arial" w:hAnsi="Arial" w:cs="Arial"/>
        </w:rPr>
        <w:t> </w:t>
      </w:r>
    </w:p>
    <w:p w14:paraId="1A7F5AA0" w14:textId="5363A880"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rPr>
        <w:t xml:space="preserve">The efficacy of governance structures is fundamental to the sustainable management of estuary environments yet, achieving it is a complex endeavour that requires balancing internal and cross stakeholder dynamics (van Bets </w:t>
      </w:r>
      <w:r w:rsidRPr="00E503B0">
        <w:rPr>
          <w:rStyle w:val="normaltextrun"/>
          <w:rFonts w:ascii="Arial" w:hAnsi="Arial" w:cs="Arial"/>
          <w:i/>
          <w:iCs/>
        </w:rPr>
        <w:t>et al</w:t>
      </w:r>
      <w:r w:rsidRPr="00E503B0">
        <w:rPr>
          <w:rStyle w:val="normaltextrun"/>
          <w:rFonts w:ascii="Arial" w:hAnsi="Arial" w:cs="Arial"/>
        </w:rPr>
        <w:t>., 2020). The advantages of joint governance arrangements within the Humber region have been recently acknowledged in the Devolution Deals (subject to ratification) (DLUHC, 2023). As a key stakeholder themselves, Natural England has a strong interest in investigating how collaborative stakeholder relationships can be improved in the Humber. This piece of research is part of a case study designed to explore existing, and propose alternative, governance structures in the Humber region.</w:t>
      </w:r>
      <w:r w:rsidRPr="00E503B0">
        <w:rPr>
          <w:rStyle w:val="eop"/>
          <w:rFonts w:ascii="Arial" w:eastAsiaTheme="minorEastAsia" w:hAnsi="Arial" w:cs="Arial"/>
        </w:rPr>
        <w:t> </w:t>
      </w:r>
    </w:p>
    <w:p w14:paraId="22C47C13"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rPr>
        <w:t>Specific objectives / deliverables</w:t>
      </w:r>
      <w:r w:rsidRPr="00E503B0">
        <w:rPr>
          <w:rStyle w:val="eop"/>
          <w:rFonts w:ascii="Arial" w:eastAsiaTheme="minorEastAsia" w:hAnsi="Arial" w:cs="Arial"/>
        </w:rPr>
        <w:t> </w:t>
      </w:r>
    </w:p>
    <w:p w14:paraId="66D8B779" w14:textId="5DB71313"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rPr>
        <w:t>The Humber PSS Pilot Coordinator and the Social Science team are seeking a contractor that will examine and map existing structures that govern land use on and around the estuary and explore their impacts on managing development and nature, especially in relation to functionally linked land. </w:t>
      </w:r>
      <w:r w:rsidRPr="00E503B0">
        <w:rPr>
          <w:rStyle w:val="eop"/>
          <w:rFonts w:ascii="Arial" w:eastAsiaTheme="minorEastAsia" w:hAnsi="Arial" w:cs="Arial"/>
        </w:rPr>
        <w:t> </w:t>
      </w:r>
    </w:p>
    <w:p w14:paraId="23037D3E" w14:textId="1E7B0584"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rPr>
        <w:t>The geographical extent of the case study is coarsely defined by a 10 km buffer zone around the protected sites on the estuary</w:t>
      </w:r>
      <w:r>
        <w:rPr>
          <w:rStyle w:val="normaltextrun"/>
          <w:rFonts w:ascii="Arial" w:hAnsi="Arial" w:cs="Arial"/>
        </w:rPr>
        <w:t>.</w:t>
      </w:r>
    </w:p>
    <w:p w14:paraId="0C1D01A5" w14:textId="77777777" w:rsidR="00E503B0" w:rsidRPr="00E503B0" w:rsidRDefault="00E503B0" w:rsidP="00E503B0">
      <w:pPr>
        <w:pStyle w:val="paragraph"/>
        <w:spacing w:before="120" w:beforeAutospacing="0" w:after="120" w:afterAutospacing="0"/>
        <w:textAlignment w:val="baseline"/>
        <w:rPr>
          <w:rFonts w:ascii="Arial" w:hAnsi="Arial" w:cs="Arial"/>
          <w:b/>
          <w:bCs/>
        </w:rPr>
      </w:pPr>
      <w:r w:rsidRPr="00E503B0">
        <w:rPr>
          <w:rStyle w:val="normaltextrun"/>
          <w:rFonts w:ascii="Arial" w:hAnsi="Arial" w:cs="Arial"/>
          <w:b/>
          <w:bCs/>
        </w:rPr>
        <w:t>Methodology</w:t>
      </w:r>
      <w:r w:rsidRPr="00E503B0">
        <w:rPr>
          <w:rStyle w:val="eop"/>
          <w:rFonts w:ascii="Arial" w:eastAsiaTheme="minorEastAsia" w:hAnsi="Arial" w:cs="Arial"/>
          <w:b/>
          <w:bCs/>
        </w:rPr>
        <w:t> </w:t>
      </w:r>
    </w:p>
    <w:p w14:paraId="4FD4DF06"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rPr>
        <w:t>The research is expected to deliver on the following objectives:</w:t>
      </w:r>
      <w:r w:rsidRPr="00E503B0">
        <w:rPr>
          <w:rStyle w:val="eop"/>
          <w:rFonts w:ascii="Arial" w:eastAsiaTheme="minorEastAsia" w:hAnsi="Arial" w:cs="Arial"/>
        </w:rPr>
        <w:t> </w:t>
      </w:r>
    </w:p>
    <w:p w14:paraId="347CB8FB" w14:textId="77777777" w:rsidR="00E503B0" w:rsidRPr="00E503B0" w:rsidRDefault="00E503B0" w:rsidP="00E503B0">
      <w:pPr>
        <w:pStyle w:val="paragraph"/>
        <w:numPr>
          <w:ilvl w:val="0"/>
          <w:numId w:val="13"/>
        </w:numPr>
        <w:spacing w:before="120" w:beforeAutospacing="0" w:after="120" w:afterAutospacing="0"/>
        <w:ind w:left="1080" w:firstLine="0"/>
        <w:textAlignment w:val="baseline"/>
        <w:rPr>
          <w:rFonts w:ascii="Arial" w:hAnsi="Arial" w:cs="Arial"/>
        </w:rPr>
      </w:pPr>
      <w:r w:rsidRPr="00E503B0">
        <w:rPr>
          <w:rStyle w:val="normaltextrun"/>
          <w:rFonts w:ascii="Arial" w:hAnsi="Arial" w:cs="Arial"/>
          <w:b/>
          <w:bCs/>
        </w:rPr>
        <w:t>Review existing institutional and governance structures</w:t>
      </w:r>
      <w:r w:rsidRPr="00E503B0">
        <w:rPr>
          <w:rStyle w:val="normaltextrun"/>
          <w:rFonts w:ascii="Arial" w:hAnsi="Arial" w:cs="Arial"/>
        </w:rPr>
        <w:t xml:space="preserve"> for relevant local authorities, nature conservation organisations and statutory bodies, and development agencies operating within the wider Humber area and, explore and illustrate the relationships (positive or negative) between these stakeholders</w:t>
      </w:r>
      <w:r w:rsidRPr="00E503B0">
        <w:rPr>
          <w:rStyle w:val="eop"/>
          <w:rFonts w:ascii="Arial" w:eastAsiaTheme="minorEastAsia" w:hAnsi="Arial" w:cs="Arial"/>
        </w:rPr>
        <w:t> </w:t>
      </w:r>
    </w:p>
    <w:p w14:paraId="2FD139D2" w14:textId="77777777" w:rsidR="00E503B0" w:rsidRPr="00E503B0" w:rsidRDefault="00E503B0" w:rsidP="00E503B0">
      <w:pPr>
        <w:pStyle w:val="paragraph"/>
        <w:numPr>
          <w:ilvl w:val="0"/>
          <w:numId w:val="14"/>
        </w:numPr>
        <w:spacing w:before="120" w:beforeAutospacing="0" w:after="120" w:afterAutospacing="0"/>
        <w:ind w:left="1080" w:firstLine="0"/>
        <w:textAlignment w:val="baseline"/>
        <w:rPr>
          <w:rFonts w:ascii="Arial" w:hAnsi="Arial" w:cs="Arial"/>
        </w:rPr>
      </w:pPr>
      <w:r w:rsidRPr="00E503B0">
        <w:rPr>
          <w:rStyle w:val="normaltextrun"/>
          <w:rFonts w:ascii="Arial" w:hAnsi="Arial" w:cs="Arial"/>
          <w:b/>
          <w:bCs/>
        </w:rPr>
        <w:t xml:space="preserve">Explore and analyse the diverse views and objectives </w:t>
      </w:r>
      <w:r w:rsidRPr="00E503B0">
        <w:rPr>
          <w:rStyle w:val="normaltextrun"/>
          <w:rFonts w:ascii="Arial" w:hAnsi="Arial" w:cs="Arial"/>
        </w:rPr>
        <w:t>of development and environmental conservation that impact (positively or negatively) on sustainable management of protected areas and their functionally link land across the Estuary. </w:t>
      </w:r>
      <w:r w:rsidRPr="00E503B0">
        <w:rPr>
          <w:rStyle w:val="eop"/>
          <w:rFonts w:ascii="Arial" w:eastAsiaTheme="minorEastAsia" w:hAnsi="Arial" w:cs="Arial"/>
        </w:rPr>
        <w:t> </w:t>
      </w:r>
    </w:p>
    <w:p w14:paraId="08A3EF74"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rPr>
        <w:t>Insights from this research are expected to inform further research and the design of deliberative and innovative participatory processes that would allow stakeholders to interact, share evidence, and debate alternative governance structures that would engender cross-estuary land-use management decisions at the long-term.</w:t>
      </w:r>
      <w:r w:rsidRPr="00E503B0">
        <w:rPr>
          <w:rStyle w:val="normaltextrun"/>
          <w:rFonts w:ascii="Arial" w:hAnsi="Arial" w:cs="Arial"/>
          <w:b/>
          <w:bCs/>
          <w:color w:val="0E101A"/>
        </w:rPr>
        <w:t> </w:t>
      </w:r>
      <w:r w:rsidRPr="00E503B0">
        <w:rPr>
          <w:rStyle w:val="eop"/>
          <w:rFonts w:ascii="Arial" w:eastAsiaTheme="minorEastAsia" w:hAnsi="Arial" w:cs="Arial"/>
          <w:color w:val="0E101A"/>
        </w:rPr>
        <w:t> </w:t>
      </w:r>
    </w:p>
    <w:p w14:paraId="0F95CD56" w14:textId="2732A461"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color w:val="0E101A"/>
        </w:rPr>
        <w:t>The key research questions</w:t>
      </w:r>
      <w:r w:rsidRPr="00E503B0">
        <w:rPr>
          <w:rStyle w:val="normaltextrun"/>
          <w:rFonts w:ascii="Arial" w:hAnsi="Arial" w:cs="Arial"/>
          <w:color w:val="0E101A"/>
        </w:rPr>
        <w:t xml:space="preserve"> we seek to answer with this piece of work are: What governance structures operate in a Humber-Wide area, and how have they been modified (or not) in recent years? Were there any past (or new) attempts to create a Humber-wide approach to governance? What kind of </w:t>
      </w:r>
      <w:r w:rsidRPr="00E503B0">
        <w:rPr>
          <w:rStyle w:val="normaltextrun"/>
          <w:rFonts w:ascii="Arial" w:hAnsi="Arial" w:cs="Arial"/>
        </w:rPr>
        <w:t>motivations and challenges were behind such attempts? How do governance structures impact the development and environmental objectives in the Humber Estuary? How are such structures expected to influence development and environmental goals in the future?</w:t>
      </w:r>
      <w:r w:rsidRPr="00E503B0">
        <w:rPr>
          <w:rStyle w:val="eop"/>
          <w:rFonts w:ascii="Arial" w:eastAsiaTheme="minorEastAsia" w:hAnsi="Arial" w:cs="Arial"/>
        </w:rPr>
        <w:t> </w:t>
      </w:r>
    </w:p>
    <w:p w14:paraId="00F3272D"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color w:val="0E101A"/>
        </w:rPr>
        <w:t>To answer these research questions and deliver its objectives the project is structured in four parts.  </w:t>
      </w:r>
      <w:r w:rsidRPr="00E503B0">
        <w:rPr>
          <w:rStyle w:val="eop"/>
          <w:rFonts w:ascii="Arial" w:eastAsiaTheme="minorEastAsia" w:hAnsi="Arial" w:cs="Arial"/>
          <w:color w:val="0E101A"/>
        </w:rPr>
        <w:t> </w:t>
      </w:r>
    </w:p>
    <w:p w14:paraId="0B328F0A"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rPr>
        <w:t>Part I – desk top study and stakeholder scoping</w:t>
      </w:r>
      <w:r w:rsidRPr="00E503B0">
        <w:rPr>
          <w:rStyle w:val="normaltextrun"/>
          <w:rFonts w:ascii="Arial" w:hAnsi="Arial" w:cs="Arial"/>
        </w:rPr>
        <w:t xml:space="preserve">. Reviewing, collating and analysing </w:t>
      </w:r>
      <w:r w:rsidRPr="00E503B0">
        <w:rPr>
          <w:rStyle w:val="normaltextrun"/>
          <w:rFonts w:ascii="Arial" w:hAnsi="Arial" w:cs="Arial"/>
          <w:color w:val="000000"/>
        </w:rPr>
        <w:t>published (paper or electronic) resources</w:t>
      </w:r>
      <w:r w:rsidRPr="00E503B0">
        <w:rPr>
          <w:rStyle w:val="normaltextrun"/>
          <w:rFonts w:ascii="Arial" w:hAnsi="Arial" w:cs="Arial"/>
        </w:rPr>
        <w:t xml:space="preserve"> on interrelationships between stakeholder participation, governance structure and environmental outcomes. </w:t>
      </w:r>
      <w:r w:rsidRPr="00E503B0">
        <w:rPr>
          <w:rStyle w:val="normaltextrun"/>
          <w:rFonts w:ascii="Arial" w:hAnsi="Arial" w:cs="Arial"/>
          <w:color w:val="000000"/>
        </w:rPr>
        <w:t xml:space="preserve">This review will include peer </w:t>
      </w:r>
      <w:r w:rsidRPr="00E503B0">
        <w:rPr>
          <w:rStyle w:val="normaltextrun"/>
          <w:rFonts w:ascii="Arial" w:hAnsi="Arial" w:cs="Arial"/>
          <w:color w:val="000000"/>
        </w:rPr>
        <w:lastRenderedPageBreak/>
        <w:t>review and grey literature and especially studies on the local area and will inform stakeholder scoping. Respond to Objective 1. </w:t>
      </w:r>
      <w:r w:rsidRPr="00E503B0">
        <w:rPr>
          <w:rStyle w:val="eop"/>
          <w:rFonts w:ascii="Arial" w:eastAsiaTheme="minorEastAsia" w:hAnsi="Arial" w:cs="Arial"/>
          <w:color w:val="000000"/>
        </w:rPr>
        <w:t> </w:t>
      </w:r>
    </w:p>
    <w:p w14:paraId="2DA6341F"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rPr>
        <w:t xml:space="preserve">Part II – mapping of stakeholder and governance structures. </w:t>
      </w:r>
      <w:r w:rsidRPr="00E503B0">
        <w:rPr>
          <w:rStyle w:val="normaltextrun"/>
          <w:rFonts w:ascii="Arial" w:hAnsi="Arial" w:cs="Arial"/>
        </w:rPr>
        <w:t xml:space="preserve">Based on the findings of part I this exercise will illustrate relationships and interdependencies between stakeholders, governance structures and challenges for delivering environmental outcomes and sustainable development. </w:t>
      </w:r>
      <w:r w:rsidRPr="00E503B0">
        <w:rPr>
          <w:rStyle w:val="normaltextrun"/>
          <w:rFonts w:ascii="Arial" w:hAnsi="Arial" w:cs="Arial"/>
          <w:color w:val="000000"/>
        </w:rPr>
        <w:t>Respond to Objective 1.</w:t>
      </w:r>
      <w:r w:rsidRPr="00E503B0">
        <w:rPr>
          <w:rStyle w:val="eop"/>
          <w:rFonts w:ascii="Arial" w:eastAsiaTheme="minorEastAsia" w:hAnsi="Arial" w:cs="Arial"/>
          <w:color w:val="000000"/>
        </w:rPr>
        <w:t> </w:t>
      </w:r>
    </w:p>
    <w:p w14:paraId="5C2A6529"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rPr>
        <w:t xml:space="preserve">Part III – exploring current objectives </w:t>
      </w:r>
      <w:r w:rsidRPr="00E503B0">
        <w:rPr>
          <w:rStyle w:val="normaltextrun"/>
          <w:rFonts w:ascii="Arial" w:hAnsi="Arial" w:cs="Arial"/>
        </w:rPr>
        <w:t xml:space="preserve">for development and nature conservation in the Humber. Contact a number of interviews </w:t>
      </w:r>
      <w:r w:rsidRPr="00E503B0">
        <w:rPr>
          <w:rStyle w:val="normaltextrun"/>
          <w:rFonts w:ascii="Arial" w:hAnsi="Arial" w:cs="Arial"/>
          <w:color w:val="000000"/>
        </w:rPr>
        <w:t>(online, telephone or face-to-face) with a representative sample of informants of a wide variety of stakeholders to record internal structures and hierarchies of each organisation. Respond to Objective 2.</w:t>
      </w:r>
      <w:r w:rsidRPr="00E503B0">
        <w:rPr>
          <w:rStyle w:val="eop"/>
          <w:rFonts w:ascii="Arial" w:eastAsiaTheme="minorEastAsia" w:hAnsi="Arial" w:cs="Arial"/>
          <w:color w:val="000000"/>
        </w:rPr>
        <w:t> </w:t>
      </w:r>
    </w:p>
    <w:p w14:paraId="6177BA8F"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color w:val="000000"/>
        </w:rPr>
        <w:t>Part IV – Analysis and write up.</w:t>
      </w:r>
      <w:r w:rsidRPr="00E503B0">
        <w:rPr>
          <w:rStyle w:val="normaltextrun"/>
          <w:rFonts w:ascii="Arial" w:hAnsi="Arial" w:cs="Arial"/>
          <w:color w:val="000000"/>
        </w:rPr>
        <w:t xml:space="preserve"> Data collected during Parts I-III, will be analysed to evaluate</w:t>
      </w:r>
      <w:r w:rsidRPr="00E503B0">
        <w:rPr>
          <w:rStyle w:val="normaltextrun"/>
          <w:rFonts w:ascii="Arial" w:hAnsi="Arial" w:cs="Arial"/>
        </w:rPr>
        <w:t xml:space="preserve"> challenges and opportunities for further engagement. An output will outline the processes, reflect and synthesise findings from the desktop study, stakeholders mapping and interviews.  </w:t>
      </w:r>
      <w:r w:rsidRPr="00E503B0">
        <w:rPr>
          <w:rStyle w:val="normaltextrun"/>
          <w:rFonts w:ascii="Arial" w:hAnsi="Arial" w:cs="Arial"/>
          <w:color w:val="000000"/>
        </w:rPr>
        <w:t>Respond to Objectives 1 &amp; 2.</w:t>
      </w:r>
      <w:r w:rsidRPr="00E503B0">
        <w:rPr>
          <w:rStyle w:val="eop"/>
          <w:rFonts w:ascii="Arial" w:eastAsiaTheme="minorEastAsia" w:hAnsi="Arial" w:cs="Arial"/>
          <w:color w:val="000000"/>
        </w:rPr>
        <w:t> </w:t>
      </w:r>
    </w:p>
    <w:p w14:paraId="493CEE3E" w14:textId="77777777" w:rsidR="00E503B0" w:rsidRPr="00E503B0" w:rsidRDefault="00E503B0" w:rsidP="00E503B0">
      <w:pPr>
        <w:pStyle w:val="paragraph"/>
        <w:spacing w:before="120" w:beforeAutospacing="0" w:after="120" w:afterAutospacing="0"/>
        <w:textAlignment w:val="baseline"/>
        <w:rPr>
          <w:rFonts w:ascii="Arial" w:hAnsi="Arial" w:cs="Arial"/>
          <w:b/>
          <w:bCs/>
        </w:rPr>
      </w:pPr>
      <w:r w:rsidRPr="00E503B0">
        <w:rPr>
          <w:rStyle w:val="normaltextrun"/>
          <w:rFonts w:ascii="Arial" w:hAnsi="Arial" w:cs="Arial"/>
          <w:b/>
          <w:bCs/>
        </w:rPr>
        <w:t>Expected outputs (deliverables)</w:t>
      </w:r>
      <w:r w:rsidRPr="00E503B0">
        <w:rPr>
          <w:rStyle w:val="eop"/>
          <w:rFonts w:ascii="Arial" w:eastAsiaTheme="minorEastAsia" w:hAnsi="Arial" w:cs="Arial"/>
          <w:b/>
          <w:bCs/>
        </w:rPr>
        <w:t> </w:t>
      </w:r>
    </w:p>
    <w:p w14:paraId="418CA8C0" w14:textId="0A2F9014" w:rsidR="00E503B0" w:rsidRPr="00E503B0" w:rsidRDefault="00E503B0" w:rsidP="00E503B0">
      <w:pPr>
        <w:pStyle w:val="paragraph"/>
        <w:numPr>
          <w:ilvl w:val="0"/>
          <w:numId w:val="15"/>
        </w:numPr>
        <w:spacing w:before="120" w:beforeAutospacing="0" w:after="120" w:afterAutospacing="0"/>
        <w:ind w:left="1080" w:firstLine="0"/>
        <w:textAlignment w:val="baseline"/>
        <w:rPr>
          <w:rFonts w:ascii="Arial" w:hAnsi="Arial" w:cs="Arial"/>
        </w:rPr>
      </w:pPr>
      <w:r w:rsidRPr="00E503B0">
        <w:rPr>
          <w:rStyle w:val="normaltextrun"/>
          <w:rFonts w:ascii="Arial" w:hAnsi="Arial" w:cs="Arial"/>
        </w:rPr>
        <w:t>A short report presenting stakeholder mapping with visualisation linking stakeholders, governance structures and nature conservation pressures</w:t>
      </w:r>
      <w:r>
        <w:rPr>
          <w:rStyle w:val="normaltextrun"/>
          <w:rFonts w:ascii="Arial" w:hAnsi="Arial" w:cs="Arial"/>
        </w:rPr>
        <w:t>.</w:t>
      </w:r>
      <w:r w:rsidRPr="00E503B0">
        <w:rPr>
          <w:rStyle w:val="normaltextrun"/>
          <w:rFonts w:ascii="Arial" w:hAnsi="Arial" w:cs="Arial"/>
        </w:rPr>
        <w:t> </w:t>
      </w:r>
      <w:r w:rsidRPr="00E503B0">
        <w:rPr>
          <w:rStyle w:val="eop"/>
          <w:rFonts w:ascii="Arial" w:eastAsiaTheme="minorEastAsia" w:hAnsi="Arial" w:cs="Arial"/>
        </w:rPr>
        <w:t> </w:t>
      </w:r>
    </w:p>
    <w:p w14:paraId="4C329AA0" w14:textId="77777777" w:rsidR="00E503B0" w:rsidRPr="00E503B0" w:rsidRDefault="00E503B0" w:rsidP="00E503B0">
      <w:pPr>
        <w:pStyle w:val="paragraph"/>
        <w:numPr>
          <w:ilvl w:val="0"/>
          <w:numId w:val="16"/>
        </w:numPr>
        <w:spacing w:before="120" w:beforeAutospacing="0" w:after="120" w:afterAutospacing="0"/>
        <w:ind w:left="1080" w:firstLine="0"/>
        <w:textAlignment w:val="baseline"/>
        <w:rPr>
          <w:rFonts w:ascii="Arial" w:hAnsi="Arial" w:cs="Arial"/>
        </w:rPr>
      </w:pPr>
      <w:r w:rsidRPr="00E503B0">
        <w:rPr>
          <w:rStyle w:val="normaltextrun"/>
          <w:rFonts w:ascii="Arial" w:hAnsi="Arial" w:cs="Arial"/>
        </w:rPr>
        <w:t>A final report outlining baseline information, findings, and reflections about:</w:t>
      </w:r>
      <w:r w:rsidRPr="00E503B0">
        <w:rPr>
          <w:rStyle w:val="eop"/>
          <w:rFonts w:ascii="Arial" w:eastAsiaTheme="minorEastAsia" w:hAnsi="Arial" w:cs="Arial"/>
        </w:rPr>
        <w:t> </w:t>
      </w:r>
    </w:p>
    <w:p w14:paraId="4C62D3E6" w14:textId="77777777" w:rsidR="00E503B0" w:rsidRPr="00E503B0" w:rsidRDefault="00E503B0" w:rsidP="00E503B0">
      <w:pPr>
        <w:pStyle w:val="paragraph"/>
        <w:numPr>
          <w:ilvl w:val="0"/>
          <w:numId w:val="17"/>
        </w:numPr>
        <w:spacing w:before="120" w:beforeAutospacing="0" w:after="120" w:afterAutospacing="0"/>
        <w:ind w:left="1800" w:firstLine="0"/>
        <w:textAlignment w:val="baseline"/>
        <w:rPr>
          <w:rFonts w:ascii="Arial" w:hAnsi="Arial" w:cs="Arial"/>
        </w:rPr>
      </w:pPr>
      <w:r w:rsidRPr="00E503B0">
        <w:rPr>
          <w:rStyle w:val="normaltextrun"/>
          <w:rFonts w:ascii="Arial" w:hAnsi="Arial" w:cs="Arial"/>
        </w:rPr>
        <w:t>Relevant literature on stakeholders, governance structures and environmental outcomes; </w:t>
      </w:r>
      <w:r w:rsidRPr="00E503B0">
        <w:rPr>
          <w:rStyle w:val="eop"/>
          <w:rFonts w:ascii="Arial" w:eastAsiaTheme="minorEastAsia" w:hAnsi="Arial" w:cs="Arial"/>
        </w:rPr>
        <w:t> </w:t>
      </w:r>
    </w:p>
    <w:p w14:paraId="06680E5A" w14:textId="77777777" w:rsidR="00E503B0" w:rsidRPr="00E503B0" w:rsidRDefault="00E503B0" w:rsidP="00E503B0">
      <w:pPr>
        <w:pStyle w:val="paragraph"/>
        <w:numPr>
          <w:ilvl w:val="0"/>
          <w:numId w:val="18"/>
        </w:numPr>
        <w:spacing w:before="120" w:beforeAutospacing="0" w:after="120" w:afterAutospacing="0"/>
        <w:ind w:left="1800" w:firstLine="0"/>
        <w:textAlignment w:val="baseline"/>
        <w:rPr>
          <w:rFonts w:ascii="Arial" w:hAnsi="Arial" w:cs="Arial"/>
        </w:rPr>
      </w:pPr>
      <w:r w:rsidRPr="00E503B0">
        <w:rPr>
          <w:rStyle w:val="normaltextrun"/>
          <w:rFonts w:ascii="Arial" w:hAnsi="Arial" w:cs="Arial"/>
        </w:rPr>
        <w:t>Existing governance structures and decision-making strategies on the Humber Estuary;</w:t>
      </w:r>
      <w:r w:rsidRPr="00E503B0">
        <w:rPr>
          <w:rStyle w:val="eop"/>
          <w:rFonts w:ascii="Arial" w:eastAsiaTheme="minorEastAsia" w:hAnsi="Arial" w:cs="Arial"/>
        </w:rPr>
        <w:t> </w:t>
      </w:r>
    </w:p>
    <w:p w14:paraId="60FB4678" w14:textId="77777777" w:rsidR="00E503B0" w:rsidRPr="00E503B0" w:rsidRDefault="00E503B0" w:rsidP="00E503B0">
      <w:pPr>
        <w:pStyle w:val="paragraph"/>
        <w:numPr>
          <w:ilvl w:val="0"/>
          <w:numId w:val="19"/>
        </w:numPr>
        <w:spacing w:before="120" w:beforeAutospacing="0" w:after="120" w:afterAutospacing="0"/>
        <w:ind w:left="1800" w:firstLine="0"/>
        <w:textAlignment w:val="baseline"/>
        <w:rPr>
          <w:rFonts w:ascii="Arial" w:hAnsi="Arial" w:cs="Arial"/>
        </w:rPr>
      </w:pPr>
      <w:r w:rsidRPr="00E503B0">
        <w:rPr>
          <w:rStyle w:val="normaltextrun"/>
          <w:rFonts w:ascii="Arial" w:hAnsi="Arial" w:cs="Arial"/>
        </w:rPr>
        <w:t>Stakeholder mapping and links to governance structures;</w:t>
      </w:r>
      <w:r w:rsidRPr="00E503B0">
        <w:rPr>
          <w:rStyle w:val="eop"/>
          <w:rFonts w:ascii="Arial" w:eastAsiaTheme="minorEastAsia" w:hAnsi="Arial" w:cs="Arial"/>
        </w:rPr>
        <w:t> </w:t>
      </w:r>
    </w:p>
    <w:p w14:paraId="22CB5724" w14:textId="77777777" w:rsidR="00E503B0" w:rsidRPr="00E503B0" w:rsidRDefault="00E503B0" w:rsidP="00E503B0">
      <w:pPr>
        <w:pStyle w:val="paragraph"/>
        <w:numPr>
          <w:ilvl w:val="0"/>
          <w:numId w:val="20"/>
        </w:numPr>
        <w:spacing w:before="120" w:beforeAutospacing="0" w:after="120" w:afterAutospacing="0"/>
        <w:ind w:left="1800" w:firstLine="0"/>
        <w:textAlignment w:val="baseline"/>
        <w:rPr>
          <w:rFonts w:ascii="Arial" w:hAnsi="Arial" w:cs="Arial"/>
        </w:rPr>
      </w:pPr>
      <w:r w:rsidRPr="00E503B0">
        <w:rPr>
          <w:rStyle w:val="normaltextrun"/>
          <w:rFonts w:ascii="Arial" w:hAnsi="Arial" w:cs="Arial"/>
        </w:rPr>
        <w:t>Stakeholder priorities and objectives regarding land use.</w:t>
      </w:r>
      <w:r w:rsidRPr="00E503B0">
        <w:rPr>
          <w:rStyle w:val="eop"/>
          <w:rFonts w:ascii="Arial" w:eastAsiaTheme="minorEastAsia" w:hAnsi="Arial" w:cs="Arial"/>
        </w:rPr>
        <w:t> </w:t>
      </w:r>
    </w:p>
    <w:p w14:paraId="1F0A7A86" w14:textId="031817CB" w:rsidR="00E503B0" w:rsidRPr="00E503B0" w:rsidRDefault="00E503B0">
      <w:pPr>
        <w:rPr>
          <w:b/>
          <w:bCs/>
        </w:rPr>
      </w:pPr>
      <w:r w:rsidRPr="00E503B0">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34842" w14:textId="77777777" w:rsidR="00837518" w:rsidRDefault="00837518" w:rsidP="006D4D44">
      <w:r>
        <w:separator/>
      </w:r>
    </w:p>
  </w:endnote>
  <w:endnote w:type="continuationSeparator" w:id="0">
    <w:p w14:paraId="2D4B9C0B" w14:textId="77777777" w:rsidR="00837518" w:rsidRDefault="00837518" w:rsidP="006D4D44">
      <w:r>
        <w:continuationSeparator/>
      </w:r>
    </w:p>
  </w:endnote>
  <w:endnote w:type="continuationNotice" w:id="1">
    <w:p w14:paraId="5B6772D6" w14:textId="77777777" w:rsidR="00837518" w:rsidRDefault="00837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4FF7C" w14:textId="77777777" w:rsidR="00837518" w:rsidRDefault="00837518" w:rsidP="006D4D44">
      <w:r>
        <w:separator/>
      </w:r>
    </w:p>
  </w:footnote>
  <w:footnote w:type="continuationSeparator" w:id="0">
    <w:p w14:paraId="30643C58" w14:textId="77777777" w:rsidR="00837518" w:rsidRDefault="00837518" w:rsidP="006D4D44">
      <w:r>
        <w:continuationSeparator/>
      </w:r>
    </w:p>
  </w:footnote>
  <w:footnote w:type="continuationNotice" w:id="1">
    <w:p w14:paraId="0FF4060B" w14:textId="77777777" w:rsidR="00837518" w:rsidRDefault="008375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6E3617F"/>
    <w:multiLevelType w:val="multilevel"/>
    <w:tmpl w:val="30E656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4F1419"/>
    <w:multiLevelType w:val="multilevel"/>
    <w:tmpl w:val="53F66E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9F2323"/>
    <w:multiLevelType w:val="multilevel"/>
    <w:tmpl w:val="76948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A8A4F94"/>
    <w:multiLevelType w:val="multilevel"/>
    <w:tmpl w:val="4CE0C5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36003B"/>
    <w:multiLevelType w:val="multilevel"/>
    <w:tmpl w:val="E6A00D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2A5F03"/>
    <w:multiLevelType w:val="multilevel"/>
    <w:tmpl w:val="A6E07D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2"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C5812"/>
    <w:multiLevelType w:val="multilevel"/>
    <w:tmpl w:val="DC70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C5838"/>
    <w:multiLevelType w:val="multilevel"/>
    <w:tmpl w:val="5ABC57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8"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4"/>
  </w:num>
  <w:num w:numId="2" w16cid:durableId="48959668">
    <w:abstractNumId w:val="8"/>
  </w:num>
  <w:num w:numId="3" w16cid:durableId="1865634184">
    <w:abstractNumId w:val="6"/>
  </w:num>
  <w:num w:numId="4" w16cid:durableId="1817600806">
    <w:abstractNumId w:val="12"/>
  </w:num>
  <w:num w:numId="5" w16cid:durableId="1411125109">
    <w:abstractNumId w:val="4"/>
  </w:num>
  <w:num w:numId="6" w16cid:durableId="1032612986">
    <w:abstractNumId w:val="16"/>
  </w:num>
  <w:num w:numId="7" w16cid:durableId="57559465">
    <w:abstractNumId w:val="18"/>
  </w:num>
  <w:num w:numId="8" w16cid:durableId="1106075539">
    <w:abstractNumId w:val="17"/>
  </w:num>
  <w:num w:numId="9" w16cid:durableId="385764938">
    <w:abstractNumId w:val="0"/>
  </w:num>
  <w:num w:numId="10" w16cid:durableId="1917786695">
    <w:abstractNumId w:val="19"/>
  </w:num>
  <w:num w:numId="11" w16cid:durableId="2083286213">
    <w:abstractNumId w:val="7"/>
  </w:num>
  <w:num w:numId="12" w16cid:durableId="241069624">
    <w:abstractNumId w:val="11"/>
  </w:num>
  <w:num w:numId="13" w16cid:durableId="1204555770">
    <w:abstractNumId w:val="10"/>
  </w:num>
  <w:num w:numId="14" w16cid:durableId="762729359">
    <w:abstractNumId w:val="15"/>
  </w:num>
  <w:num w:numId="15" w16cid:durableId="1839496245">
    <w:abstractNumId w:val="13"/>
  </w:num>
  <w:num w:numId="16" w16cid:durableId="1560434464">
    <w:abstractNumId w:val="3"/>
  </w:num>
  <w:num w:numId="17" w16cid:durableId="1046294272">
    <w:abstractNumId w:val="2"/>
  </w:num>
  <w:num w:numId="18" w16cid:durableId="1298680100">
    <w:abstractNumId w:val="9"/>
  </w:num>
  <w:num w:numId="19" w16cid:durableId="739132329">
    <w:abstractNumId w:val="1"/>
  </w:num>
  <w:num w:numId="20" w16cid:durableId="2012021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C2454"/>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2CB8"/>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66DD6"/>
    <w:rsid w:val="0047390D"/>
    <w:rsid w:val="00495AF2"/>
    <w:rsid w:val="004A3885"/>
    <w:rsid w:val="004A78E6"/>
    <w:rsid w:val="004C735C"/>
    <w:rsid w:val="004D3C24"/>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37518"/>
    <w:rsid w:val="00841C2B"/>
    <w:rsid w:val="00850A3D"/>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21EE2"/>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0362"/>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03B0"/>
    <w:rsid w:val="00E567F8"/>
    <w:rsid w:val="00E71E78"/>
    <w:rsid w:val="00E72C17"/>
    <w:rsid w:val="00E747E2"/>
    <w:rsid w:val="00E767AE"/>
    <w:rsid w:val="00E76D6F"/>
    <w:rsid w:val="00E82DFB"/>
    <w:rsid w:val="00E82F01"/>
    <w:rsid w:val="00E96B1C"/>
    <w:rsid w:val="00EA529F"/>
    <w:rsid w:val="00EB5236"/>
    <w:rsid w:val="00EC7959"/>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E503B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E503B0"/>
  </w:style>
  <w:style w:type="character" w:customStyle="1" w:styleId="eop">
    <w:name w:val="eop"/>
    <w:basedOn w:val="DefaultParagraphFont"/>
    <w:rsid w:val="00E503B0"/>
  </w:style>
  <w:style w:type="character" w:customStyle="1" w:styleId="superscript">
    <w:name w:val="superscript"/>
    <w:basedOn w:val="DefaultParagraphFont"/>
    <w:rsid w:val="00E50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72730">
      <w:bodyDiv w:val="1"/>
      <w:marLeft w:val="0"/>
      <w:marRight w:val="0"/>
      <w:marTop w:val="0"/>
      <w:marBottom w:val="0"/>
      <w:divBdr>
        <w:top w:val="none" w:sz="0" w:space="0" w:color="auto"/>
        <w:left w:val="none" w:sz="0" w:space="0" w:color="auto"/>
        <w:bottom w:val="none" w:sz="0" w:space="0" w:color="auto"/>
        <w:right w:val="none" w:sz="0" w:space="0" w:color="auto"/>
      </w:divBdr>
      <w:divsChild>
        <w:div w:id="1440830359">
          <w:marLeft w:val="0"/>
          <w:marRight w:val="0"/>
          <w:marTop w:val="0"/>
          <w:marBottom w:val="0"/>
          <w:divBdr>
            <w:top w:val="none" w:sz="0" w:space="0" w:color="auto"/>
            <w:left w:val="none" w:sz="0" w:space="0" w:color="auto"/>
            <w:bottom w:val="none" w:sz="0" w:space="0" w:color="auto"/>
            <w:right w:val="none" w:sz="0" w:space="0" w:color="auto"/>
          </w:divBdr>
        </w:div>
        <w:div w:id="1450082064">
          <w:marLeft w:val="0"/>
          <w:marRight w:val="0"/>
          <w:marTop w:val="0"/>
          <w:marBottom w:val="0"/>
          <w:divBdr>
            <w:top w:val="none" w:sz="0" w:space="0" w:color="auto"/>
            <w:left w:val="none" w:sz="0" w:space="0" w:color="auto"/>
            <w:bottom w:val="none" w:sz="0" w:space="0" w:color="auto"/>
            <w:right w:val="none" w:sz="0" w:space="0" w:color="auto"/>
          </w:divBdr>
        </w:div>
        <w:div w:id="55590558">
          <w:marLeft w:val="0"/>
          <w:marRight w:val="0"/>
          <w:marTop w:val="0"/>
          <w:marBottom w:val="0"/>
          <w:divBdr>
            <w:top w:val="none" w:sz="0" w:space="0" w:color="auto"/>
            <w:left w:val="none" w:sz="0" w:space="0" w:color="auto"/>
            <w:bottom w:val="none" w:sz="0" w:space="0" w:color="auto"/>
            <w:right w:val="none" w:sz="0" w:space="0" w:color="auto"/>
          </w:divBdr>
        </w:div>
        <w:div w:id="124934167">
          <w:marLeft w:val="0"/>
          <w:marRight w:val="0"/>
          <w:marTop w:val="0"/>
          <w:marBottom w:val="0"/>
          <w:divBdr>
            <w:top w:val="none" w:sz="0" w:space="0" w:color="auto"/>
            <w:left w:val="none" w:sz="0" w:space="0" w:color="auto"/>
            <w:bottom w:val="none" w:sz="0" w:space="0" w:color="auto"/>
            <w:right w:val="none" w:sz="0" w:space="0" w:color="auto"/>
          </w:divBdr>
        </w:div>
        <w:div w:id="38364074">
          <w:marLeft w:val="0"/>
          <w:marRight w:val="0"/>
          <w:marTop w:val="0"/>
          <w:marBottom w:val="0"/>
          <w:divBdr>
            <w:top w:val="none" w:sz="0" w:space="0" w:color="auto"/>
            <w:left w:val="none" w:sz="0" w:space="0" w:color="auto"/>
            <w:bottom w:val="none" w:sz="0" w:space="0" w:color="auto"/>
            <w:right w:val="none" w:sz="0" w:space="0" w:color="auto"/>
          </w:divBdr>
        </w:div>
        <w:div w:id="570846044">
          <w:marLeft w:val="0"/>
          <w:marRight w:val="0"/>
          <w:marTop w:val="0"/>
          <w:marBottom w:val="0"/>
          <w:divBdr>
            <w:top w:val="none" w:sz="0" w:space="0" w:color="auto"/>
            <w:left w:val="none" w:sz="0" w:space="0" w:color="auto"/>
            <w:bottom w:val="none" w:sz="0" w:space="0" w:color="auto"/>
            <w:right w:val="none" w:sz="0" w:space="0" w:color="auto"/>
          </w:divBdr>
        </w:div>
        <w:div w:id="1287540528">
          <w:marLeft w:val="0"/>
          <w:marRight w:val="0"/>
          <w:marTop w:val="0"/>
          <w:marBottom w:val="0"/>
          <w:divBdr>
            <w:top w:val="none" w:sz="0" w:space="0" w:color="auto"/>
            <w:left w:val="none" w:sz="0" w:space="0" w:color="auto"/>
            <w:bottom w:val="none" w:sz="0" w:space="0" w:color="auto"/>
            <w:right w:val="none" w:sz="0" w:space="0" w:color="auto"/>
          </w:divBdr>
        </w:div>
        <w:div w:id="185216619">
          <w:marLeft w:val="0"/>
          <w:marRight w:val="0"/>
          <w:marTop w:val="0"/>
          <w:marBottom w:val="0"/>
          <w:divBdr>
            <w:top w:val="none" w:sz="0" w:space="0" w:color="auto"/>
            <w:left w:val="none" w:sz="0" w:space="0" w:color="auto"/>
            <w:bottom w:val="none" w:sz="0" w:space="0" w:color="auto"/>
            <w:right w:val="none" w:sz="0" w:space="0" w:color="auto"/>
          </w:divBdr>
        </w:div>
        <w:div w:id="1210603467">
          <w:marLeft w:val="0"/>
          <w:marRight w:val="0"/>
          <w:marTop w:val="0"/>
          <w:marBottom w:val="0"/>
          <w:divBdr>
            <w:top w:val="none" w:sz="0" w:space="0" w:color="auto"/>
            <w:left w:val="none" w:sz="0" w:space="0" w:color="auto"/>
            <w:bottom w:val="none" w:sz="0" w:space="0" w:color="auto"/>
            <w:right w:val="none" w:sz="0" w:space="0" w:color="auto"/>
          </w:divBdr>
        </w:div>
        <w:div w:id="448160606">
          <w:marLeft w:val="0"/>
          <w:marRight w:val="0"/>
          <w:marTop w:val="0"/>
          <w:marBottom w:val="0"/>
          <w:divBdr>
            <w:top w:val="none" w:sz="0" w:space="0" w:color="auto"/>
            <w:left w:val="none" w:sz="0" w:space="0" w:color="auto"/>
            <w:bottom w:val="none" w:sz="0" w:space="0" w:color="auto"/>
            <w:right w:val="none" w:sz="0" w:space="0" w:color="auto"/>
          </w:divBdr>
        </w:div>
        <w:div w:id="651569575">
          <w:marLeft w:val="0"/>
          <w:marRight w:val="0"/>
          <w:marTop w:val="0"/>
          <w:marBottom w:val="0"/>
          <w:divBdr>
            <w:top w:val="none" w:sz="0" w:space="0" w:color="auto"/>
            <w:left w:val="none" w:sz="0" w:space="0" w:color="auto"/>
            <w:bottom w:val="none" w:sz="0" w:space="0" w:color="auto"/>
            <w:right w:val="none" w:sz="0" w:space="0" w:color="auto"/>
          </w:divBdr>
        </w:div>
        <w:div w:id="2100589912">
          <w:marLeft w:val="0"/>
          <w:marRight w:val="0"/>
          <w:marTop w:val="0"/>
          <w:marBottom w:val="0"/>
          <w:divBdr>
            <w:top w:val="none" w:sz="0" w:space="0" w:color="auto"/>
            <w:left w:val="none" w:sz="0" w:space="0" w:color="auto"/>
            <w:bottom w:val="none" w:sz="0" w:space="0" w:color="auto"/>
            <w:right w:val="none" w:sz="0" w:space="0" w:color="auto"/>
          </w:divBdr>
        </w:div>
        <w:div w:id="1297683049">
          <w:marLeft w:val="0"/>
          <w:marRight w:val="0"/>
          <w:marTop w:val="0"/>
          <w:marBottom w:val="0"/>
          <w:divBdr>
            <w:top w:val="none" w:sz="0" w:space="0" w:color="auto"/>
            <w:left w:val="none" w:sz="0" w:space="0" w:color="auto"/>
            <w:bottom w:val="none" w:sz="0" w:space="0" w:color="auto"/>
            <w:right w:val="none" w:sz="0" w:space="0" w:color="auto"/>
          </w:divBdr>
        </w:div>
        <w:div w:id="1281691749">
          <w:marLeft w:val="0"/>
          <w:marRight w:val="0"/>
          <w:marTop w:val="0"/>
          <w:marBottom w:val="0"/>
          <w:divBdr>
            <w:top w:val="none" w:sz="0" w:space="0" w:color="auto"/>
            <w:left w:val="none" w:sz="0" w:space="0" w:color="auto"/>
            <w:bottom w:val="none" w:sz="0" w:space="0" w:color="auto"/>
            <w:right w:val="none" w:sz="0" w:space="0" w:color="auto"/>
          </w:divBdr>
        </w:div>
        <w:div w:id="1777871979">
          <w:marLeft w:val="0"/>
          <w:marRight w:val="0"/>
          <w:marTop w:val="0"/>
          <w:marBottom w:val="0"/>
          <w:divBdr>
            <w:top w:val="none" w:sz="0" w:space="0" w:color="auto"/>
            <w:left w:val="none" w:sz="0" w:space="0" w:color="auto"/>
            <w:bottom w:val="none" w:sz="0" w:space="0" w:color="auto"/>
            <w:right w:val="none" w:sz="0" w:space="0" w:color="auto"/>
          </w:divBdr>
        </w:div>
        <w:div w:id="57672098">
          <w:marLeft w:val="0"/>
          <w:marRight w:val="0"/>
          <w:marTop w:val="0"/>
          <w:marBottom w:val="0"/>
          <w:divBdr>
            <w:top w:val="none" w:sz="0" w:space="0" w:color="auto"/>
            <w:left w:val="none" w:sz="0" w:space="0" w:color="auto"/>
            <w:bottom w:val="none" w:sz="0" w:space="0" w:color="auto"/>
            <w:right w:val="none" w:sz="0" w:space="0" w:color="auto"/>
          </w:divBdr>
        </w:div>
        <w:div w:id="854614563">
          <w:marLeft w:val="0"/>
          <w:marRight w:val="0"/>
          <w:marTop w:val="0"/>
          <w:marBottom w:val="0"/>
          <w:divBdr>
            <w:top w:val="none" w:sz="0" w:space="0" w:color="auto"/>
            <w:left w:val="none" w:sz="0" w:space="0" w:color="auto"/>
            <w:bottom w:val="none" w:sz="0" w:space="0" w:color="auto"/>
            <w:right w:val="none" w:sz="0" w:space="0" w:color="auto"/>
          </w:divBdr>
        </w:div>
        <w:div w:id="1412386182">
          <w:marLeft w:val="0"/>
          <w:marRight w:val="0"/>
          <w:marTop w:val="0"/>
          <w:marBottom w:val="0"/>
          <w:divBdr>
            <w:top w:val="none" w:sz="0" w:space="0" w:color="auto"/>
            <w:left w:val="none" w:sz="0" w:space="0" w:color="auto"/>
            <w:bottom w:val="none" w:sz="0" w:space="0" w:color="auto"/>
            <w:right w:val="none" w:sz="0" w:space="0" w:color="auto"/>
          </w:divBdr>
        </w:div>
        <w:div w:id="1845626716">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d-and-update.company-information.servic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6" ma:contentTypeDescription="Create a new document." ma:contentTypeScope="" ma:versionID="564edd9e858ab1088d88d41d0a090fcc">
  <xsd:schema xmlns:xsd="http://www.w3.org/2001/XMLSchema" xmlns:xs="http://www.w3.org/2001/XMLSchema" xmlns:p="http://schemas.microsoft.com/office/2006/metadata/properties" xmlns:ns2="4b31888f-7d45-49cb-82b9-88bde8b57fef" xmlns:ns3="125cc47d-4b41-45f9-85da-80646e0f4a6f" targetNamespace="http://schemas.microsoft.com/office/2006/metadata/properties" ma:root="true" ma:fieldsID="9b76b5d7cfacbeaf2fc32616d09a697d" ns2:_="" ns3:_="">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b31888f-7d45-49cb-82b9-88bde8b57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D55D7D-3516-4107-B6B9-09630A3FC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4b31888f-7d45-49cb-82b9-88bde8b57f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Carson, Katharine</cp:lastModifiedBy>
  <cp:revision>2</cp:revision>
  <dcterms:created xsi:type="dcterms:W3CDTF">2024-01-16T11:52:00Z</dcterms:created>
  <dcterms:modified xsi:type="dcterms:W3CDTF">2024-01-16T11:52:00Z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0x01010007086E49BFB5664DBD34AFF2A8AB9E39</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