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70CC8A4" w:rsidR="00A57128" w:rsidRPr="00B75461" w:rsidRDefault="00A57128" w:rsidP="00EE71A2">
      <w:pPr>
        <w:pStyle w:val="Heading1"/>
        <w:rPr>
          <w:b w:val="0"/>
          <w:bCs/>
        </w:rPr>
      </w:pPr>
      <w:r w:rsidRPr="007E0083">
        <w:t>Title:</w:t>
      </w:r>
      <w:r w:rsidR="00B75461">
        <w:rPr>
          <w:b w:val="0"/>
          <w:bCs/>
        </w:rPr>
        <w:t xml:space="preserve"> Longitudinal Study of Teachers</w:t>
      </w:r>
      <w:r w:rsidR="00D7690B">
        <w:rPr>
          <w:b w:val="0"/>
          <w:bCs/>
        </w:rPr>
        <w:t xml:space="preserve"> (LSoT)</w:t>
      </w:r>
    </w:p>
    <w:p w14:paraId="2B434E3D" w14:textId="2AA37B6B" w:rsidR="00A57128" w:rsidRPr="007E0083" w:rsidRDefault="00A57128" w:rsidP="00A57128">
      <w:pPr>
        <w:rPr>
          <w:b/>
        </w:rPr>
      </w:pPr>
      <w:r w:rsidRPr="007E0083">
        <w:rPr>
          <w:b/>
        </w:rPr>
        <w:t xml:space="preserve">Project reference: </w:t>
      </w:r>
      <w:r w:rsidR="00DC32D9">
        <w:rPr>
          <w:b/>
        </w:rPr>
        <w:t xml:space="preserve">DFERPPU </w:t>
      </w:r>
      <w:r w:rsidR="00C21798" w:rsidRPr="00DC32D9">
        <w:rPr>
          <w:b/>
        </w:rPr>
        <w:t>20-21/004</w:t>
      </w:r>
    </w:p>
    <w:p w14:paraId="501D40E4" w14:textId="12E39DB5" w:rsidR="00A57128" w:rsidRPr="007E0083" w:rsidRDefault="00A57128" w:rsidP="00A57128">
      <w:pPr>
        <w:rPr>
          <w:b/>
        </w:rPr>
      </w:pPr>
      <w:r w:rsidRPr="007E0083">
        <w:rPr>
          <w:b/>
        </w:rPr>
        <w:t>Deadline for expressions of interest:</w:t>
      </w:r>
      <w:r w:rsidR="00C21798">
        <w:rPr>
          <w:b/>
        </w:rPr>
        <w:t xml:space="preserve"> </w:t>
      </w:r>
      <w:r w:rsidR="00C21798" w:rsidRPr="00DC32D9">
        <w:rPr>
          <w:b/>
        </w:rPr>
        <w:t xml:space="preserve">11.59pm, Monday </w:t>
      </w:r>
      <w:r w:rsidR="004B1FBB" w:rsidRPr="00DC32D9">
        <w:rPr>
          <w:b/>
        </w:rPr>
        <w:t>21</w:t>
      </w:r>
      <w:r w:rsidR="004B1FBB" w:rsidRPr="00DC32D9">
        <w:rPr>
          <w:b/>
          <w:vertAlign w:val="superscript"/>
        </w:rPr>
        <w:t>st</w:t>
      </w:r>
      <w:r w:rsidR="00C21798" w:rsidRPr="00DC32D9">
        <w:rPr>
          <w:b/>
        </w:rPr>
        <w:t xml:space="preserve"> September</w:t>
      </w:r>
      <w:r w:rsidR="00DC32D9" w:rsidRPr="00DC32D9">
        <w:rPr>
          <w:b/>
        </w:rPr>
        <w:t xml:space="preserve"> 2020</w:t>
      </w:r>
    </w:p>
    <w:p w14:paraId="0CFBF484" w14:textId="184FA1CF" w:rsidR="00A57128" w:rsidRPr="001F2CE2" w:rsidRDefault="00A57128" w:rsidP="001F2CE2">
      <w:pPr>
        <w:pStyle w:val="Heading2"/>
      </w:pPr>
      <w:r w:rsidRPr="001F2CE2">
        <w:t>Summary</w:t>
      </w:r>
    </w:p>
    <w:p w14:paraId="237D87FC" w14:textId="6D48E2CB" w:rsidR="00A57128" w:rsidRDefault="00A57128" w:rsidP="00D7690B">
      <w:pPr>
        <w:rPr>
          <w:szCs w:val="22"/>
        </w:rPr>
      </w:pPr>
      <w:r w:rsidRPr="003E05F9">
        <w:rPr>
          <w:szCs w:val="22"/>
        </w:rPr>
        <w:t>Expressions of interest are sought</w:t>
      </w:r>
      <w:r>
        <w:rPr>
          <w:szCs w:val="22"/>
        </w:rPr>
        <w:t xml:space="preserve"> </w:t>
      </w:r>
      <w:r w:rsidR="008630DF">
        <w:rPr>
          <w:szCs w:val="22"/>
        </w:rPr>
        <w:t xml:space="preserve">from a contractor (or consortia with a lead contractor) for </w:t>
      </w:r>
      <w:r w:rsidR="005952C2">
        <w:rPr>
          <w:szCs w:val="22"/>
        </w:rPr>
        <w:t>the implementation of</w:t>
      </w:r>
      <w:r w:rsidR="00D7690B">
        <w:rPr>
          <w:szCs w:val="22"/>
        </w:rPr>
        <w:t xml:space="preserve"> a longitudinal study of teachers. The study will involve, at a minimum, </w:t>
      </w:r>
      <w:r w:rsidR="00437EC0">
        <w:rPr>
          <w:szCs w:val="22"/>
        </w:rPr>
        <w:t>recruiting for and delivering</w:t>
      </w:r>
      <w:r w:rsidR="00D7690B">
        <w:rPr>
          <w:szCs w:val="22"/>
        </w:rPr>
        <w:t xml:space="preserve"> an annual survey to teachers and leaders across schools in England, to collect</w:t>
      </w:r>
      <w:r w:rsidR="005952C2">
        <w:rPr>
          <w:szCs w:val="22"/>
        </w:rPr>
        <w:t xml:space="preserve"> and analyse</w:t>
      </w:r>
      <w:r w:rsidR="00D7690B">
        <w:rPr>
          <w:szCs w:val="22"/>
        </w:rPr>
        <w:t xml:space="preserve"> evidence on a range of subject matter relating to the teaching workforce. The study will serve as the Department’s flagship </w:t>
      </w:r>
      <w:r w:rsidR="005B21EE">
        <w:rPr>
          <w:szCs w:val="22"/>
        </w:rPr>
        <w:t xml:space="preserve">teacher </w:t>
      </w:r>
      <w:r w:rsidR="00D7690B">
        <w:rPr>
          <w:szCs w:val="22"/>
        </w:rPr>
        <w:t xml:space="preserve">workforce research vehicle, providing key support to work underpinning the </w:t>
      </w:r>
      <w:hyperlink r:id="rId14" w:history="1">
        <w:r w:rsidR="000706DC" w:rsidRPr="00437EC0">
          <w:rPr>
            <w:rFonts w:cs="Arial"/>
            <w:color w:val="0563C1"/>
            <w:szCs w:val="22"/>
            <w:u w:val="single"/>
          </w:rPr>
          <w:t>Teacher Recruitment an</w:t>
        </w:r>
        <w:r w:rsidR="000706DC" w:rsidRPr="00437EC0">
          <w:rPr>
            <w:rFonts w:cs="Arial"/>
            <w:color w:val="0563C1"/>
            <w:szCs w:val="22"/>
            <w:u w:val="single"/>
          </w:rPr>
          <w:t>d</w:t>
        </w:r>
        <w:r w:rsidR="000706DC" w:rsidRPr="00437EC0">
          <w:rPr>
            <w:rFonts w:cs="Arial"/>
            <w:color w:val="0563C1"/>
            <w:szCs w:val="22"/>
            <w:u w:val="single"/>
          </w:rPr>
          <w:t xml:space="preserve"> Retention (R&amp;R) Strategy</w:t>
        </w:r>
      </w:hyperlink>
      <w:r w:rsidR="00D7690B">
        <w:rPr>
          <w:szCs w:val="22"/>
        </w:rPr>
        <w:t>.</w:t>
      </w:r>
    </w:p>
    <w:p w14:paraId="69144BB4" w14:textId="5AE0C79D" w:rsidR="00D7690B" w:rsidRPr="00D7690B" w:rsidRDefault="00A52C5C" w:rsidP="00A52C5C">
      <w:pPr>
        <w:rPr>
          <w:szCs w:val="22"/>
        </w:rPr>
      </w:pPr>
      <w:r>
        <w:rPr>
          <w:szCs w:val="22"/>
        </w:rPr>
        <w:t>The first wave will be treated as a pilot and, if deemed successful</w:t>
      </w:r>
      <w:r w:rsidR="00D7690B">
        <w:rPr>
          <w:szCs w:val="22"/>
        </w:rPr>
        <w:t>, we expect the study to run for a minimum of five years</w:t>
      </w:r>
      <w:r w:rsidR="008630DF">
        <w:rPr>
          <w:szCs w:val="22"/>
        </w:rPr>
        <w:t>, subject to annual review</w:t>
      </w:r>
      <w:r w:rsidR="00D7690B">
        <w:rPr>
          <w:szCs w:val="22"/>
        </w:rPr>
        <w:t>.</w:t>
      </w:r>
    </w:p>
    <w:p w14:paraId="0BF9ADD3" w14:textId="1A5D6761" w:rsidR="00A57128" w:rsidRDefault="00A57128" w:rsidP="00A52C5C">
      <w:pPr>
        <w:pStyle w:val="Heading2"/>
      </w:pPr>
      <w:r w:rsidRPr="00340D7F">
        <w:t>Background</w:t>
      </w:r>
    </w:p>
    <w:p w14:paraId="16BB9CC2" w14:textId="47B7FCD8" w:rsidR="004B17C5" w:rsidRDefault="004436FF" w:rsidP="00A52C5C">
      <w:pPr>
        <w:spacing w:before="60" w:after="60" w:line="276" w:lineRule="auto"/>
        <w:rPr>
          <w:rFonts w:cs="Arial"/>
          <w:szCs w:val="22"/>
        </w:rPr>
      </w:pPr>
      <w:r w:rsidRPr="004436FF">
        <w:rPr>
          <w:rFonts w:cs="Arial"/>
          <w:color w:val="0D0D0D"/>
        </w:rPr>
        <w:t xml:space="preserve">Retaining high-quality teachers in the profession is an integral part of maintaining the supply of teachers to ensure an effective education system in England. </w:t>
      </w:r>
      <w:r w:rsidR="004B17C5">
        <w:rPr>
          <w:rFonts w:cs="Arial"/>
          <w:color w:val="0D0D0D"/>
        </w:rPr>
        <w:t>O</w:t>
      </w:r>
      <w:r w:rsidR="00FB0FDB" w:rsidRPr="00FB0FDB">
        <w:rPr>
          <w:szCs w:val="22"/>
        </w:rPr>
        <w:t xml:space="preserve">ne of our top priorities is </w:t>
      </w:r>
      <w:r w:rsidR="004B17C5">
        <w:rPr>
          <w:szCs w:val="22"/>
        </w:rPr>
        <w:t xml:space="preserve">therefore </w:t>
      </w:r>
      <w:r w:rsidR="00FB0FDB" w:rsidRPr="00FB0FDB">
        <w:rPr>
          <w:szCs w:val="22"/>
        </w:rPr>
        <w:t xml:space="preserve">to ensure that we continue to attract and retain the high-quality teachers we need to inspire the next generation. This is why, last year, we launched the Teacher Recruitment and Retention Strategy. This landmark strategy set out a number of priorities for reform and investment, </w:t>
      </w:r>
      <w:r w:rsidR="004B17C5">
        <w:rPr>
          <w:szCs w:val="22"/>
        </w:rPr>
        <w:t xml:space="preserve">which aim to: </w:t>
      </w:r>
      <w:r w:rsidR="004B17C5" w:rsidRPr="004B17C5">
        <w:rPr>
          <w:szCs w:val="22"/>
        </w:rPr>
        <w:t>transform support for early career teachers</w:t>
      </w:r>
      <w:r w:rsidR="004B17C5">
        <w:rPr>
          <w:szCs w:val="22"/>
        </w:rPr>
        <w:t>, d</w:t>
      </w:r>
      <w:r w:rsidR="004B17C5" w:rsidRPr="004B17C5">
        <w:rPr>
          <w:szCs w:val="22"/>
        </w:rPr>
        <w:t>evelop clearer career pathways and put in place steps to support flexible working</w:t>
      </w:r>
      <w:r w:rsidR="004B17C5">
        <w:rPr>
          <w:szCs w:val="22"/>
        </w:rPr>
        <w:t xml:space="preserve">, </w:t>
      </w:r>
      <w:r w:rsidR="004B17C5" w:rsidRPr="004B17C5">
        <w:rPr>
          <w:szCs w:val="22"/>
        </w:rPr>
        <w:t>help school leaders establish more supportive school cultures with a new Ofsted framework designed to reduce teacher workload</w:t>
      </w:r>
      <w:r w:rsidR="004B17C5">
        <w:rPr>
          <w:szCs w:val="22"/>
        </w:rPr>
        <w:t xml:space="preserve">, and </w:t>
      </w:r>
      <w:r w:rsidR="004B17C5" w:rsidRPr="004B17C5">
        <w:rPr>
          <w:szCs w:val="22"/>
        </w:rPr>
        <w:t>make it easier for great people to join the profession</w:t>
      </w:r>
      <w:r w:rsidR="00FB0FDB" w:rsidRPr="00FB0FDB">
        <w:rPr>
          <w:szCs w:val="22"/>
        </w:rPr>
        <w:t>. </w:t>
      </w:r>
    </w:p>
    <w:p w14:paraId="521B550C" w14:textId="020BB8C2" w:rsidR="00FB0FDB" w:rsidRDefault="00FB0FDB" w:rsidP="00A52C5C">
      <w:pPr>
        <w:spacing w:before="60" w:after="60" w:line="276" w:lineRule="auto"/>
        <w:rPr>
          <w:rFonts w:cs="Arial"/>
          <w:szCs w:val="22"/>
        </w:rPr>
      </w:pPr>
      <w:r w:rsidRPr="00437EC0">
        <w:rPr>
          <w:rFonts w:cs="Arial"/>
          <w:szCs w:val="22"/>
        </w:rPr>
        <w:t xml:space="preserve"> </w:t>
      </w:r>
    </w:p>
    <w:p w14:paraId="05E5A821" w14:textId="05FB8650" w:rsidR="00437EC0" w:rsidRPr="00437EC0" w:rsidRDefault="00437EC0" w:rsidP="00437EC0">
      <w:pPr>
        <w:spacing w:before="60" w:after="60" w:line="276" w:lineRule="auto"/>
        <w:rPr>
          <w:rFonts w:cs="Arial"/>
          <w:szCs w:val="22"/>
        </w:rPr>
      </w:pPr>
      <w:r w:rsidRPr="00437EC0">
        <w:rPr>
          <w:rFonts w:cs="Arial"/>
          <w:szCs w:val="22"/>
        </w:rPr>
        <w:t xml:space="preserve">It is vital that </w:t>
      </w:r>
      <w:r w:rsidR="008118DA">
        <w:rPr>
          <w:rFonts w:cs="Arial"/>
          <w:szCs w:val="22"/>
        </w:rPr>
        <w:t xml:space="preserve">the Department has </w:t>
      </w:r>
      <w:r w:rsidRPr="00437EC0">
        <w:rPr>
          <w:rFonts w:cs="Arial"/>
          <w:szCs w:val="22"/>
        </w:rPr>
        <w:t xml:space="preserve">a robust and long-term vehicle through which to collect evidence to support </w:t>
      </w:r>
      <w:r w:rsidR="004B17C5">
        <w:rPr>
          <w:rFonts w:cs="Arial"/>
          <w:szCs w:val="22"/>
        </w:rPr>
        <w:t xml:space="preserve">this </w:t>
      </w:r>
      <w:r w:rsidRPr="00437EC0">
        <w:rPr>
          <w:rFonts w:cs="Arial"/>
          <w:szCs w:val="22"/>
        </w:rPr>
        <w:t>work</w:t>
      </w:r>
      <w:r w:rsidR="005B4468">
        <w:rPr>
          <w:rFonts w:cs="Arial"/>
          <w:szCs w:val="22"/>
        </w:rPr>
        <w:t>, in particular to understand the factors influencing teacher retention and recruitment</w:t>
      </w:r>
      <w:r w:rsidRPr="00437EC0">
        <w:rPr>
          <w:rFonts w:cs="Arial"/>
          <w:szCs w:val="22"/>
        </w:rPr>
        <w:t xml:space="preserve">. </w:t>
      </w:r>
      <w:bookmarkStart w:id="0" w:name="_Hlk37174772"/>
      <w:r w:rsidRPr="00437EC0">
        <w:rPr>
          <w:rFonts w:cs="Arial"/>
          <w:szCs w:val="22"/>
        </w:rPr>
        <w:t>Despite the importance of understanding the teacher labour market, there exists no longitudinal study of teachers in England</w:t>
      </w:r>
      <w:bookmarkEnd w:id="0"/>
      <w:r w:rsidRPr="00437EC0">
        <w:rPr>
          <w:rFonts w:cs="Arial"/>
          <w:szCs w:val="22"/>
        </w:rPr>
        <w:t xml:space="preserve">. The Department intends to commission a strategic, cross-cutting longitudinal study of teachers that will </w:t>
      </w:r>
      <w:r w:rsidR="0061642D">
        <w:rPr>
          <w:rFonts w:cs="Arial"/>
          <w:szCs w:val="22"/>
        </w:rPr>
        <w:t xml:space="preserve">serve as its flagship workforce research vehicle. It </w:t>
      </w:r>
      <w:r w:rsidR="008118DA">
        <w:rPr>
          <w:rFonts w:cs="Arial"/>
          <w:szCs w:val="22"/>
        </w:rPr>
        <w:t xml:space="preserve">will </w:t>
      </w:r>
      <w:r w:rsidRPr="00437EC0">
        <w:rPr>
          <w:rFonts w:cs="Arial"/>
          <w:szCs w:val="22"/>
        </w:rPr>
        <w:t xml:space="preserve">fill key evidence gaps on a long-term basis, provide sustained support to work coming out from the </w:t>
      </w:r>
      <w:r w:rsidRPr="00437EC0">
        <w:rPr>
          <w:rFonts w:cs="Arial"/>
          <w:szCs w:val="22"/>
        </w:rPr>
        <w:lastRenderedPageBreak/>
        <w:t>R&amp;R strategy</w:t>
      </w:r>
      <w:r w:rsidR="004B17C5">
        <w:rPr>
          <w:rFonts w:cs="Arial"/>
          <w:szCs w:val="22"/>
        </w:rPr>
        <w:t>, and inform and support further reforms to improve the supply</w:t>
      </w:r>
      <w:r w:rsidR="005B4468">
        <w:rPr>
          <w:rFonts w:cs="Arial"/>
          <w:szCs w:val="22"/>
        </w:rPr>
        <w:t xml:space="preserve"> and quality</w:t>
      </w:r>
      <w:r w:rsidR="004B17C5">
        <w:rPr>
          <w:rFonts w:cs="Arial"/>
          <w:szCs w:val="22"/>
        </w:rPr>
        <w:t xml:space="preserve"> of our teacher workforce.</w:t>
      </w:r>
    </w:p>
    <w:p w14:paraId="2DA3BB87" w14:textId="5D318AD2" w:rsidR="00A57128" w:rsidRDefault="008C6B5E" w:rsidP="001F2CE2">
      <w:pPr>
        <w:pStyle w:val="Heading2"/>
      </w:pPr>
      <w:r>
        <w:t>Research</w:t>
      </w:r>
      <w:r w:rsidR="00A57128" w:rsidRPr="003E05F9">
        <w:t xml:space="preserve"> aims</w:t>
      </w:r>
    </w:p>
    <w:p w14:paraId="5EC6A970" w14:textId="081936C8" w:rsidR="004C1736" w:rsidRDefault="007370B2" w:rsidP="00A636FD">
      <w:bookmarkStart w:id="1" w:name="_Hlk47450196"/>
      <w:r w:rsidRPr="00997123">
        <w:rPr>
          <w:rFonts w:cs="Arial"/>
          <w:bCs/>
          <w:iCs/>
          <w:szCs w:val="22"/>
        </w:rPr>
        <w:t xml:space="preserve">The aim of the </w:t>
      </w:r>
      <w:r>
        <w:rPr>
          <w:rFonts w:cs="Arial"/>
          <w:bCs/>
          <w:iCs/>
          <w:szCs w:val="22"/>
        </w:rPr>
        <w:t>study</w:t>
      </w:r>
      <w:r w:rsidRPr="00997123">
        <w:rPr>
          <w:rFonts w:cs="Arial"/>
          <w:bCs/>
          <w:iCs/>
          <w:szCs w:val="22"/>
        </w:rPr>
        <w:t xml:space="preserve"> is provide robust, high-quality evidence examining the key drivers of teacher retention</w:t>
      </w:r>
      <w:r w:rsidR="00AD24A5">
        <w:rPr>
          <w:rFonts w:cs="Arial"/>
          <w:bCs/>
          <w:iCs/>
          <w:szCs w:val="22"/>
        </w:rPr>
        <w:t xml:space="preserve"> and retention</w:t>
      </w:r>
      <w:r w:rsidRPr="00997123">
        <w:rPr>
          <w:rFonts w:cs="Arial"/>
          <w:bCs/>
          <w:iCs/>
          <w:szCs w:val="22"/>
        </w:rPr>
        <w:t xml:space="preserve">, through a focus on </w:t>
      </w:r>
      <w:r>
        <w:rPr>
          <w:rFonts w:cs="Arial"/>
          <w:bCs/>
          <w:iCs/>
          <w:szCs w:val="22"/>
        </w:rPr>
        <w:t xml:space="preserve">exploring </w:t>
      </w:r>
      <w:r w:rsidRPr="00997123">
        <w:rPr>
          <w:rFonts w:cs="Arial"/>
          <w:bCs/>
          <w:iCs/>
          <w:szCs w:val="22"/>
        </w:rPr>
        <w:t xml:space="preserve">teacher career journeys. </w:t>
      </w:r>
      <w:r>
        <w:rPr>
          <w:rFonts w:cs="Arial"/>
          <w:bCs/>
          <w:iCs/>
          <w:szCs w:val="22"/>
        </w:rPr>
        <w:t>The study</w:t>
      </w:r>
      <w:r w:rsidRPr="00997123">
        <w:rPr>
          <w:rFonts w:cs="Arial"/>
          <w:bCs/>
          <w:iCs/>
          <w:szCs w:val="22"/>
        </w:rPr>
        <w:t xml:space="preserve"> will collect evidence on the factors underlying teachers’ career decisions over time, from joining through to leaving the profession and beyond</w:t>
      </w:r>
      <w:r>
        <w:rPr>
          <w:rFonts w:cs="Arial"/>
          <w:bCs/>
          <w:iCs/>
          <w:szCs w:val="22"/>
        </w:rPr>
        <w:t>, by collecting a combination of management information and evidence relating to the attitudes and experiences of teachers across different subject matter</w:t>
      </w:r>
      <w:r w:rsidRPr="00997123">
        <w:rPr>
          <w:rFonts w:cs="Arial"/>
          <w:bCs/>
          <w:iCs/>
          <w:szCs w:val="22"/>
        </w:rPr>
        <w:t xml:space="preserve">. </w:t>
      </w:r>
      <w:r w:rsidR="00914F22">
        <w:t xml:space="preserve">In addition, </w:t>
      </w:r>
      <w:r w:rsidR="008118DA">
        <w:t xml:space="preserve">the project will </w:t>
      </w:r>
      <w:r w:rsidR="00914F22" w:rsidRPr="00914F22">
        <w:t xml:space="preserve">effectively monitor change over time across a </w:t>
      </w:r>
      <w:proofErr w:type="gramStart"/>
      <w:r w:rsidR="00914F22" w:rsidRPr="00914F22">
        <w:t>number</w:t>
      </w:r>
      <w:proofErr w:type="gramEnd"/>
      <w:r w:rsidR="00914F22" w:rsidRPr="00914F22">
        <w:t xml:space="preserve"> policy areas simultaneously </w:t>
      </w:r>
      <w:r w:rsidR="008C6B5E">
        <w:t>to</w:t>
      </w:r>
      <w:r w:rsidR="00914F22" w:rsidRPr="00914F22">
        <w:t xml:space="preserve"> provide robust benchmarking data</w:t>
      </w:r>
      <w:r w:rsidR="008C6B5E">
        <w:t>.</w:t>
      </w:r>
      <w:r w:rsidR="004C1736">
        <w:t xml:space="preserve"> This includes (but is not limited to): working conditions (such as workload, pay, flexible working), teacher wellbeing, continuing professional development (CPD), leadership and progression, equality and diversity, early career and newly-qualified </w:t>
      </w:r>
      <w:r w:rsidR="004538DD">
        <w:t xml:space="preserve">teacher </w:t>
      </w:r>
      <w:r w:rsidR="004C1736">
        <w:t xml:space="preserve">experiences, and career pathways after leaving teaching. </w:t>
      </w:r>
      <w:r w:rsidR="0061642D">
        <w:t>The study will also collect evidence to mon</w:t>
      </w:r>
      <w:r w:rsidR="008118DA">
        <w:t>i</w:t>
      </w:r>
      <w:r w:rsidR="0061642D">
        <w:t xml:space="preserve">tor the </w:t>
      </w:r>
      <w:proofErr w:type="gramStart"/>
      <w:r w:rsidR="0061642D">
        <w:t>medium and longer term</w:t>
      </w:r>
      <w:proofErr w:type="gramEnd"/>
      <w:r w:rsidR="0061642D">
        <w:t xml:space="preserve"> impacts of coronavirus (COVID-19) on the teaching workforce.</w:t>
      </w:r>
    </w:p>
    <w:bookmarkEnd w:id="1"/>
    <w:p w14:paraId="6FC1C13D" w14:textId="0179252B" w:rsidR="004C1736" w:rsidRDefault="004C1736" w:rsidP="00A636FD">
      <w:r>
        <w:t xml:space="preserve">The overarching research questions </w:t>
      </w:r>
      <w:r w:rsidR="00C80FA7">
        <w:t>include</w:t>
      </w:r>
      <w:r>
        <w:t>:</w:t>
      </w:r>
    </w:p>
    <w:p w14:paraId="3352D317" w14:textId="3700127A" w:rsidR="004C1736" w:rsidRDefault="004C1736" w:rsidP="004C1736">
      <w:pPr>
        <w:numPr>
          <w:ilvl w:val="0"/>
          <w:numId w:val="19"/>
        </w:numPr>
        <w:spacing w:before="100" w:after="0" w:line="276" w:lineRule="auto"/>
        <w:rPr>
          <w:rFonts w:cs="Arial"/>
          <w:szCs w:val="22"/>
        </w:rPr>
      </w:pPr>
      <w:r w:rsidRPr="004C1736">
        <w:rPr>
          <w:rFonts w:cs="Arial"/>
          <w:szCs w:val="22"/>
        </w:rPr>
        <w:t>What factors influence key decisions among teachers and leaders at different stages in their careers, and to what extent, over time?</w:t>
      </w:r>
    </w:p>
    <w:p w14:paraId="2621471D" w14:textId="77777777" w:rsidR="004C1736" w:rsidRPr="00914F22" w:rsidRDefault="004C1736" w:rsidP="004C1736">
      <w:pPr>
        <w:numPr>
          <w:ilvl w:val="0"/>
          <w:numId w:val="19"/>
        </w:numPr>
        <w:spacing w:before="100" w:after="0" w:line="276" w:lineRule="auto"/>
        <w:rPr>
          <w:rFonts w:cs="Arial"/>
          <w:szCs w:val="22"/>
        </w:rPr>
      </w:pPr>
      <w:r w:rsidRPr="004C1736">
        <w:rPr>
          <w:rFonts w:cs="Arial"/>
          <w:szCs w:val="22"/>
        </w:rPr>
        <w:t xml:space="preserve">To what extent do workforce trends change over time in relation to the attitudes and experiences of teachers and leaders? </w:t>
      </w:r>
    </w:p>
    <w:p w14:paraId="0B78D753" w14:textId="48DDBE5B" w:rsidR="004C1736" w:rsidRPr="004C1736" w:rsidRDefault="004C1736" w:rsidP="004C1736">
      <w:pPr>
        <w:numPr>
          <w:ilvl w:val="0"/>
          <w:numId w:val="19"/>
        </w:numPr>
        <w:spacing w:before="100" w:after="0" w:line="276" w:lineRule="auto"/>
        <w:rPr>
          <w:rFonts w:cs="Arial"/>
          <w:szCs w:val="22"/>
        </w:rPr>
      </w:pPr>
      <w:r w:rsidRPr="004C1736">
        <w:rPr>
          <w:rFonts w:cs="Arial"/>
          <w:szCs w:val="22"/>
        </w:rPr>
        <w:t>How do different trends influence and interact with each other, and what implications does this have</w:t>
      </w:r>
      <w:r w:rsidRPr="00914F22">
        <w:rPr>
          <w:rFonts w:cs="Arial"/>
          <w:szCs w:val="22"/>
        </w:rPr>
        <w:t xml:space="preserve"> for </w:t>
      </w:r>
      <w:r w:rsidRPr="004C1736">
        <w:rPr>
          <w:rFonts w:cs="Arial"/>
          <w:szCs w:val="22"/>
        </w:rPr>
        <w:t>existing and future workforce policy?</w:t>
      </w:r>
    </w:p>
    <w:p w14:paraId="008047DB" w14:textId="2592DCD9" w:rsidR="004C1736" w:rsidRDefault="004C1736" w:rsidP="00A636FD">
      <w:pPr>
        <w:numPr>
          <w:ilvl w:val="0"/>
          <w:numId w:val="19"/>
        </w:numPr>
        <w:spacing w:before="100" w:after="0" w:line="276" w:lineRule="auto"/>
        <w:rPr>
          <w:rFonts w:cs="Arial"/>
          <w:szCs w:val="22"/>
        </w:rPr>
      </w:pPr>
      <w:r w:rsidRPr="004C1736">
        <w:rPr>
          <w:rFonts w:cs="Arial"/>
          <w:szCs w:val="22"/>
        </w:rPr>
        <w:t>What career paths do teacher and leaders take before, during and after leaving the profession, and how do their experiences compare</w:t>
      </w:r>
      <w:r w:rsidR="004538DD">
        <w:rPr>
          <w:rFonts w:cs="Arial"/>
          <w:szCs w:val="22"/>
        </w:rPr>
        <w:t xml:space="preserve"> after leaving</w:t>
      </w:r>
      <w:r w:rsidRPr="004C1736">
        <w:rPr>
          <w:rFonts w:cs="Arial"/>
          <w:szCs w:val="22"/>
        </w:rPr>
        <w:t>?</w:t>
      </w:r>
    </w:p>
    <w:p w14:paraId="0E6B3F4B" w14:textId="2751E8B4" w:rsidR="004A600B" w:rsidRPr="004A600B" w:rsidRDefault="004A600B" w:rsidP="001F2CE2">
      <w:pPr>
        <w:pStyle w:val="Heading2"/>
      </w:pPr>
      <w:r>
        <w:t>Methodology</w:t>
      </w:r>
    </w:p>
    <w:p w14:paraId="3B5F28AF" w14:textId="6F02B6BE" w:rsidR="005360B7" w:rsidRDefault="00432084" w:rsidP="00432084">
      <w:pPr>
        <w:pStyle w:val="ListBullet"/>
        <w:numPr>
          <w:ilvl w:val="0"/>
          <w:numId w:val="0"/>
        </w:numPr>
      </w:pPr>
      <w:bookmarkStart w:id="2" w:name="_Hlk47450316"/>
      <w:r>
        <w:t>The successful bidder will be responsible for designing and implementing the study</w:t>
      </w:r>
      <w:r w:rsidR="00EC04C8">
        <w:t>, and analysing and delivering findings,</w:t>
      </w:r>
      <w:r>
        <w:t xml:space="preserve"> in liaison with the Department. </w:t>
      </w:r>
      <w:r w:rsidR="00873674">
        <w:t>A</w:t>
      </w:r>
      <w:r w:rsidRPr="00432084">
        <w:t>t the Invitation to Tender stage</w:t>
      </w:r>
      <w:r w:rsidR="00873674">
        <w:t xml:space="preserve"> we will</w:t>
      </w:r>
      <w:r w:rsidRPr="00432084">
        <w:t xml:space="preserve"> encourage bidders to suggest appropriate methodologies. However, we </w:t>
      </w:r>
      <w:r w:rsidR="00873674">
        <w:t xml:space="preserve">do </w:t>
      </w:r>
      <w:r w:rsidRPr="00432084">
        <w:t xml:space="preserve">expect the </w:t>
      </w:r>
      <w:r>
        <w:t xml:space="preserve">study </w:t>
      </w:r>
      <w:r w:rsidR="008734CB">
        <w:t xml:space="preserve">to </w:t>
      </w:r>
      <w:r w:rsidR="00873674">
        <w:t xml:space="preserve">be a </w:t>
      </w:r>
      <w:r w:rsidR="008734CB">
        <w:t>representative panel design and to include, at a minimum:</w:t>
      </w:r>
    </w:p>
    <w:p w14:paraId="1DDE8530" w14:textId="77777777" w:rsidR="00873674" w:rsidRDefault="00873674" w:rsidP="00432084">
      <w:pPr>
        <w:pStyle w:val="ListBullet"/>
        <w:numPr>
          <w:ilvl w:val="0"/>
          <w:numId w:val="0"/>
        </w:numPr>
      </w:pPr>
    </w:p>
    <w:p w14:paraId="6E3BA108" w14:textId="3F543F12" w:rsidR="00873674" w:rsidRDefault="0061642D" w:rsidP="00873674">
      <w:pPr>
        <w:pStyle w:val="ListBullet"/>
        <w:numPr>
          <w:ilvl w:val="0"/>
          <w:numId w:val="20"/>
        </w:numPr>
      </w:pPr>
      <w:r>
        <w:t>A large-scale</w:t>
      </w:r>
      <w:r w:rsidR="00873674">
        <w:t xml:space="preserve"> sample </w:t>
      </w:r>
      <w:r w:rsidR="008734CB">
        <w:t xml:space="preserve">representative of the teaching population in </w:t>
      </w:r>
      <w:proofErr w:type="gramStart"/>
      <w:r w:rsidR="008734CB">
        <w:t>England</w:t>
      </w:r>
      <w:r w:rsidR="00C80FA7">
        <w:t xml:space="preserve">  (</w:t>
      </w:r>
      <w:proofErr w:type="gramEnd"/>
      <w:r w:rsidR="00C80FA7">
        <w:t>open to consideration of sample boosts at invitation to tender stage)</w:t>
      </w:r>
      <w:r w:rsidR="008734CB">
        <w:t>.</w:t>
      </w:r>
    </w:p>
    <w:p w14:paraId="256C381A" w14:textId="66946DAD" w:rsidR="00873674" w:rsidRDefault="008734CB" w:rsidP="00873674">
      <w:pPr>
        <w:pStyle w:val="ListBullet"/>
        <w:numPr>
          <w:ilvl w:val="1"/>
          <w:numId w:val="20"/>
        </w:numPr>
      </w:pPr>
      <w:r>
        <w:t>Covering teachers, middle and senior leaders in primary, secondary and special schools</w:t>
      </w:r>
      <w:r w:rsidR="00873674">
        <w:t>.</w:t>
      </w:r>
    </w:p>
    <w:p w14:paraId="7E124E79" w14:textId="50A106C4" w:rsidR="00432084" w:rsidRDefault="00873674" w:rsidP="00873674">
      <w:pPr>
        <w:pStyle w:val="ListBullet"/>
        <w:numPr>
          <w:ilvl w:val="1"/>
          <w:numId w:val="20"/>
        </w:numPr>
      </w:pPr>
      <w:r>
        <w:t>A</w:t>
      </w:r>
      <w:r w:rsidR="008734CB">
        <w:t xml:space="preserve"> minimum target sample size of 15,000 respondents in Wave 1.</w:t>
      </w:r>
    </w:p>
    <w:p w14:paraId="4C8D646B" w14:textId="01F64F09" w:rsidR="0061642D" w:rsidRDefault="0061642D" w:rsidP="0061642D">
      <w:pPr>
        <w:pStyle w:val="ListBullet"/>
        <w:numPr>
          <w:ilvl w:val="1"/>
          <w:numId w:val="20"/>
        </w:numPr>
      </w:pPr>
      <w:r>
        <w:t>Implementation of refreshment methods at each wave from Wave 2</w:t>
      </w:r>
      <w:r w:rsidR="00120ABD">
        <w:t xml:space="preserve"> (should the first wave be deemed successful)</w:t>
      </w:r>
      <w:r>
        <w:t xml:space="preserve"> to maintain sample representativeness.</w:t>
      </w:r>
    </w:p>
    <w:p w14:paraId="66DDBA43" w14:textId="11EACA18" w:rsidR="008734CB" w:rsidRDefault="008734CB" w:rsidP="00432084">
      <w:pPr>
        <w:pStyle w:val="ListBullet"/>
        <w:numPr>
          <w:ilvl w:val="0"/>
          <w:numId w:val="20"/>
        </w:numPr>
      </w:pPr>
      <w:r>
        <w:t xml:space="preserve">A </w:t>
      </w:r>
      <w:r w:rsidR="00873674">
        <w:t xml:space="preserve">comprehensive, well-tested </w:t>
      </w:r>
      <w:r w:rsidR="0061642D">
        <w:t xml:space="preserve">annual </w:t>
      </w:r>
      <w:r w:rsidR="00873674">
        <w:t xml:space="preserve">survey that covers key subject matter relating to the teaching workforce, as well as some management information. </w:t>
      </w:r>
    </w:p>
    <w:p w14:paraId="3173DFE3" w14:textId="0974D82D" w:rsidR="00873674" w:rsidRDefault="00873674" w:rsidP="00873674">
      <w:pPr>
        <w:pStyle w:val="ListBullet"/>
        <w:numPr>
          <w:ilvl w:val="0"/>
          <w:numId w:val="20"/>
        </w:numPr>
      </w:pPr>
      <w:r>
        <w:t>Implementation of effective keep-in-touch mechanisms to reduce attrition, including preferably a website</w:t>
      </w:r>
      <w:r w:rsidR="005952C2">
        <w:t xml:space="preserve"> and/or mobile application</w:t>
      </w:r>
      <w:r>
        <w:t>.</w:t>
      </w:r>
    </w:p>
    <w:p w14:paraId="22DCAD6A" w14:textId="79662295" w:rsidR="00873674" w:rsidRPr="00D75416" w:rsidRDefault="00873674" w:rsidP="00873674">
      <w:pPr>
        <w:pStyle w:val="ListBullet"/>
        <w:numPr>
          <w:ilvl w:val="0"/>
          <w:numId w:val="20"/>
        </w:numPr>
      </w:pPr>
      <w:r>
        <w:lastRenderedPageBreak/>
        <w:t>Consideration of supplementary research alongside the core annual survey, such as qualitative follow-ups</w:t>
      </w:r>
      <w:r w:rsidR="00A03889">
        <w:t xml:space="preserve"> with subgroups of interest</w:t>
      </w:r>
      <w:r>
        <w:t>.</w:t>
      </w:r>
    </w:p>
    <w:bookmarkEnd w:id="2"/>
    <w:p w14:paraId="502BE6FA" w14:textId="18EE22AE" w:rsidR="004A600B" w:rsidRDefault="00C21A2C" w:rsidP="001F2CE2">
      <w:pPr>
        <w:pStyle w:val="Heading2"/>
      </w:pPr>
      <w:r>
        <w:t>Indicative timings for procurement</w:t>
      </w:r>
    </w:p>
    <w:p w14:paraId="16CE10DE" w14:textId="70C6D9FD" w:rsidR="00C21A2C" w:rsidRPr="00C21A2C" w:rsidRDefault="00C21A2C" w:rsidP="00C21A2C">
      <w:pPr>
        <w:numPr>
          <w:ilvl w:val="0"/>
          <w:numId w:val="24"/>
        </w:numPr>
        <w:spacing w:after="240"/>
        <w:contextualSpacing/>
        <w:rPr>
          <w:rFonts w:cs="Arial"/>
          <w:szCs w:val="22"/>
        </w:rPr>
      </w:pPr>
      <w:r w:rsidRPr="00C21A2C">
        <w:rPr>
          <w:szCs w:val="22"/>
        </w:rPr>
        <w:t xml:space="preserve">Deadline for EOIs – 11.59 pm on </w:t>
      </w:r>
      <w:r w:rsidR="003C21DC">
        <w:rPr>
          <w:szCs w:val="22"/>
        </w:rPr>
        <w:t>21</w:t>
      </w:r>
      <w:r w:rsidR="003C21DC" w:rsidRPr="003C21DC">
        <w:rPr>
          <w:szCs w:val="22"/>
          <w:vertAlign w:val="superscript"/>
        </w:rPr>
        <w:t>st</w:t>
      </w:r>
      <w:r>
        <w:rPr>
          <w:szCs w:val="22"/>
        </w:rPr>
        <w:t xml:space="preserve"> September</w:t>
      </w:r>
      <w:r w:rsidR="001F1CC0">
        <w:rPr>
          <w:szCs w:val="22"/>
        </w:rPr>
        <w:t xml:space="preserve"> 2020</w:t>
      </w:r>
    </w:p>
    <w:p w14:paraId="7A69DDDA" w14:textId="69A46F10" w:rsidR="00C21A2C" w:rsidRPr="00C21A2C" w:rsidRDefault="00C21A2C" w:rsidP="00C21A2C">
      <w:pPr>
        <w:numPr>
          <w:ilvl w:val="0"/>
          <w:numId w:val="24"/>
        </w:numPr>
        <w:spacing w:after="240"/>
        <w:contextualSpacing/>
        <w:rPr>
          <w:rFonts w:cs="Arial"/>
          <w:szCs w:val="22"/>
        </w:rPr>
      </w:pPr>
      <w:r w:rsidRPr="00C21A2C">
        <w:rPr>
          <w:rFonts w:cs="Arial"/>
          <w:szCs w:val="22"/>
        </w:rPr>
        <w:t xml:space="preserve">Invitation to </w:t>
      </w:r>
      <w:r w:rsidR="00152745">
        <w:rPr>
          <w:rFonts w:cs="Arial"/>
          <w:szCs w:val="22"/>
        </w:rPr>
        <w:t>T</w:t>
      </w:r>
      <w:r w:rsidRPr="00C21A2C">
        <w:rPr>
          <w:rFonts w:cs="Arial"/>
          <w:szCs w:val="22"/>
        </w:rPr>
        <w:t xml:space="preserve">ender issued – w/c </w:t>
      </w:r>
      <w:r w:rsidR="003C21DC">
        <w:rPr>
          <w:rFonts w:cs="Arial"/>
          <w:szCs w:val="22"/>
        </w:rPr>
        <w:t>28</w:t>
      </w:r>
      <w:r w:rsidR="003C21DC" w:rsidRPr="003C21DC">
        <w:rPr>
          <w:rFonts w:cs="Arial"/>
          <w:szCs w:val="22"/>
          <w:vertAlign w:val="superscript"/>
        </w:rPr>
        <w:t>th</w:t>
      </w:r>
      <w:r>
        <w:rPr>
          <w:rFonts w:cs="Arial"/>
          <w:szCs w:val="22"/>
        </w:rPr>
        <w:t xml:space="preserve"> September</w:t>
      </w:r>
      <w:r w:rsidRPr="00C21A2C">
        <w:rPr>
          <w:rFonts w:cs="Arial"/>
          <w:szCs w:val="22"/>
        </w:rPr>
        <w:t> </w:t>
      </w:r>
      <w:r w:rsidR="001F1CC0">
        <w:rPr>
          <w:rFonts w:cs="Arial"/>
          <w:szCs w:val="22"/>
        </w:rPr>
        <w:t>2020</w:t>
      </w:r>
    </w:p>
    <w:p w14:paraId="4A70DFCB" w14:textId="2DE46068" w:rsidR="00C21A2C" w:rsidRPr="00C21A2C" w:rsidRDefault="00C21A2C" w:rsidP="00C21A2C">
      <w:pPr>
        <w:numPr>
          <w:ilvl w:val="0"/>
          <w:numId w:val="24"/>
        </w:numPr>
        <w:spacing w:after="240"/>
        <w:contextualSpacing/>
        <w:rPr>
          <w:rFonts w:cs="Arial"/>
          <w:szCs w:val="22"/>
        </w:rPr>
      </w:pPr>
      <w:r w:rsidRPr="00C21A2C">
        <w:rPr>
          <w:rFonts w:cs="Arial"/>
          <w:szCs w:val="22"/>
        </w:rPr>
        <w:t xml:space="preserve">Deadline for </w:t>
      </w:r>
      <w:r w:rsidR="00152745">
        <w:rPr>
          <w:rFonts w:cs="Arial"/>
          <w:szCs w:val="22"/>
        </w:rPr>
        <w:t>Invitation to Tender</w:t>
      </w:r>
      <w:r w:rsidRPr="00C21A2C">
        <w:rPr>
          <w:rFonts w:cs="Arial"/>
          <w:szCs w:val="22"/>
        </w:rPr>
        <w:t xml:space="preserve"> submission – w/c </w:t>
      </w:r>
      <w:r w:rsidR="003C21DC">
        <w:rPr>
          <w:rFonts w:cs="Arial"/>
          <w:szCs w:val="22"/>
        </w:rPr>
        <w:t>2</w:t>
      </w:r>
      <w:r w:rsidR="003C21DC" w:rsidRPr="003C21DC">
        <w:rPr>
          <w:rFonts w:cs="Arial"/>
          <w:szCs w:val="22"/>
          <w:vertAlign w:val="superscript"/>
        </w:rPr>
        <w:t>nd</w:t>
      </w:r>
      <w:r>
        <w:rPr>
          <w:rFonts w:cs="Arial"/>
          <w:szCs w:val="22"/>
        </w:rPr>
        <w:t xml:space="preserve"> </w:t>
      </w:r>
      <w:r w:rsidR="003C21DC">
        <w:rPr>
          <w:rFonts w:cs="Arial"/>
          <w:szCs w:val="22"/>
        </w:rPr>
        <w:t>November</w:t>
      </w:r>
      <w:r w:rsidR="001F1CC0">
        <w:rPr>
          <w:rFonts w:cs="Arial"/>
          <w:szCs w:val="22"/>
        </w:rPr>
        <w:t xml:space="preserve"> 2020</w:t>
      </w:r>
    </w:p>
    <w:p w14:paraId="6746424A" w14:textId="54EED751" w:rsidR="00C21A2C" w:rsidRPr="00C21A2C" w:rsidRDefault="00C21A2C" w:rsidP="00C21A2C">
      <w:pPr>
        <w:numPr>
          <w:ilvl w:val="0"/>
          <w:numId w:val="24"/>
        </w:numPr>
        <w:spacing w:after="240"/>
        <w:contextualSpacing/>
        <w:rPr>
          <w:rFonts w:cs="Arial"/>
          <w:szCs w:val="22"/>
        </w:rPr>
      </w:pPr>
      <w:r w:rsidRPr="00C21A2C">
        <w:rPr>
          <w:rFonts w:cs="Arial"/>
          <w:szCs w:val="22"/>
        </w:rPr>
        <w:t xml:space="preserve">Placeholder for bidder interviews </w:t>
      </w:r>
      <w:r w:rsidR="00152745">
        <w:rPr>
          <w:rFonts w:cs="Arial"/>
          <w:szCs w:val="22"/>
        </w:rPr>
        <w:t xml:space="preserve">– w/c </w:t>
      </w:r>
      <w:r w:rsidR="00334EAA">
        <w:rPr>
          <w:rFonts w:cs="Arial"/>
          <w:szCs w:val="22"/>
        </w:rPr>
        <w:t>9</w:t>
      </w:r>
      <w:r w:rsidR="00334EAA" w:rsidRPr="00334EAA">
        <w:rPr>
          <w:rFonts w:cs="Arial"/>
          <w:szCs w:val="22"/>
          <w:vertAlign w:val="superscript"/>
        </w:rPr>
        <w:t>th</w:t>
      </w:r>
      <w:r w:rsidR="00152745">
        <w:rPr>
          <w:rFonts w:cs="Arial"/>
          <w:szCs w:val="22"/>
        </w:rPr>
        <w:t xml:space="preserve"> November</w:t>
      </w:r>
      <w:r w:rsidR="001F1CC0">
        <w:rPr>
          <w:rFonts w:cs="Arial"/>
          <w:szCs w:val="22"/>
        </w:rPr>
        <w:t xml:space="preserve"> 2020</w:t>
      </w:r>
    </w:p>
    <w:p w14:paraId="0D69FF08" w14:textId="07AF534F" w:rsidR="00C21A2C" w:rsidRPr="00C21A2C" w:rsidRDefault="00C21A2C" w:rsidP="00C21A2C">
      <w:pPr>
        <w:numPr>
          <w:ilvl w:val="0"/>
          <w:numId w:val="24"/>
        </w:numPr>
        <w:spacing w:after="240"/>
        <w:contextualSpacing/>
        <w:rPr>
          <w:rFonts w:cs="Arial"/>
          <w:szCs w:val="22"/>
        </w:rPr>
      </w:pPr>
      <w:r w:rsidRPr="00C21A2C">
        <w:rPr>
          <w:rFonts w:cs="Arial"/>
          <w:szCs w:val="22"/>
        </w:rPr>
        <w:t xml:space="preserve">Inception meeting placeholder </w:t>
      </w:r>
      <w:proofErr w:type="gramStart"/>
      <w:r w:rsidRPr="00C21A2C">
        <w:rPr>
          <w:rFonts w:cs="Arial"/>
          <w:szCs w:val="22"/>
        </w:rPr>
        <w:t>–  w</w:t>
      </w:r>
      <w:proofErr w:type="gramEnd"/>
      <w:r w:rsidRPr="00C21A2C">
        <w:rPr>
          <w:rFonts w:cs="Arial"/>
          <w:szCs w:val="22"/>
        </w:rPr>
        <w:t xml:space="preserve">/c </w:t>
      </w:r>
      <w:r w:rsidR="00334EAA">
        <w:rPr>
          <w:rFonts w:cs="Arial"/>
          <w:szCs w:val="22"/>
        </w:rPr>
        <w:t>30</w:t>
      </w:r>
      <w:r w:rsidR="00334EAA" w:rsidRPr="00334EAA">
        <w:rPr>
          <w:rFonts w:cs="Arial"/>
          <w:szCs w:val="22"/>
          <w:vertAlign w:val="superscript"/>
        </w:rPr>
        <w:t>th</w:t>
      </w:r>
      <w:r w:rsidR="00152745">
        <w:rPr>
          <w:rFonts w:cs="Arial"/>
          <w:szCs w:val="22"/>
        </w:rPr>
        <w:t xml:space="preserve"> November</w:t>
      </w:r>
      <w:r w:rsidRPr="00C21A2C">
        <w:rPr>
          <w:rFonts w:cs="Arial"/>
          <w:szCs w:val="22"/>
        </w:rPr>
        <w:t xml:space="preserve"> </w:t>
      </w:r>
      <w:r w:rsidR="001F1CC0">
        <w:rPr>
          <w:rFonts w:cs="Arial"/>
          <w:szCs w:val="22"/>
        </w:rPr>
        <w:t>2020</w:t>
      </w:r>
    </w:p>
    <w:p w14:paraId="6C8558C7" w14:textId="18A964BA" w:rsidR="00C21A2C" w:rsidRDefault="00C21A2C" w:rsidP="00C21A2C">
      <w:pPr>
        <w:pStyle w:val="Heading2"/>
      </w:pPr>
      <w:r>
        <w:t>Indicative timings for the first wave</w:t>
      </w:r>
    </w:p>
    <w:p w14:paraId="7D88F76E" w14:textId="7F8544B4" w:rsidR="00C21A2C" w:rsidRPr="00C21A2C" w:rsidRDefault="00C21A2C" w:rsidP="00C21A2C">
      <w:pPr>
        <w:numPr>
          <w:ilvl w:val="0"/>
          <w:numId w:val="25"/>
        </w:numPr>
        <w:spacing w:after="240"/>
        <w:contextualSpacing/>
        <w:rPr>
          <w:rFonts w:cs="Arial"/>
          <w:szCs w:val="22"/>
        </w:rPr>
      </w:pPr>
      <w:r w:rsidRPr="00C21A2C">
        <w:rPr>
          <w:rFonts w:cs="Arial"/>
          <w:szCs w:val="22"/>
        </w:rPr>
        <w:t>Project design and set up</w:t>
      </w:r>
      <w:r>
        <w:rPr>
          <w:rFonts w:cs="Arial"/>
          <w:szCs w:val="22"/>
        </w:rPr>
        <w:t xml:space="preserve"> (including sample and survey development)</w:t>
      </w:r>
      <w:r w:rsidRPr="00C21A2C">
        <w:rPr>
          <w:rFonts w:cs="Arial"/>
          <w:szCs w:val="22"/>
        </w:rPr>
        <w:t xml:space="preserve"> – Dec 2020 – March </w:t>
      </w:r>
      <w:r w:rsidR="001F1CC0">
        <w:rPr>
          <w:rFonts w:cs="Arial"/>
          <w:szCs w:val="22"/>
        </w:rPr>
        <w:t>20</w:t>
      </w:r>
      <w:r w:rsidRPr="00C21A2C">
        <w:rPr>
          <w:rFonts w:cs="Arial"/>
          <w:szCs w:val="22"/>
        </w:rPr>
        <w:t>21</w:t>
      </w:r>
    </w:p>
    <w:p w14:paraId="0A8931C6" w14:textId="6B3B8517" w:rsidR="00C21A2C" w:rsidRPr="00C21A2C" w:rsidRDefault="00C21A2C" w:rsidP="00C21A2C">
      <w:pPr>
        <w:numPr>
          <w:ilvl w:val="0"/>
          <w:numId w:val="25"/>
        </w:numPr>
        <w:spacing w:after="240"/>
        <w:contextualSpacing/>
        <w:rPr>
          <w:rFonts w:cs="Arial"/>
          <w:szCs w:val="22"/>
        </w:rPr>
      </w:pPr>
      <w:r>
        <w:rPr>
          <w:rFonts w:cs="Arial"/>
          <w:szCs w:val="22"/>
        </w:rPr>
        <w:t>Wave 1 fieldwork – April to June 2021</w:t>
      </w:r>
    </w:p>
    <w:p w14:paraId="15FE8422" w14:textId="1E6854AF" w:rsidR="00C21A2C" w:rsidRDefault="00C21A2C" w:rsidP="00C21A2C">
      <w:pPr>
        <w:numPr>
          <w:ilvl w:val="0"/>
          <w:numId w:val="25"/>
        </w:numPr>
        <w:spacing w:after="240"/>
        <w:contextualSpacing/>
        <w:rPr>
          <w:rFonts w:cs="Arial"/>
          <w:szCs w:val="22"/>
        </w:rPr>
      </w:pPr>
      <w:r>
        <w:rPr>
          <w:rFonts w:cs="Arial"/>
          <w:szCs w:val="22"/>
        </w:rPr>
        <w:t>Analysis and reporting – July to September 2021</w:t>
      </w:r>
    </w:p>
    <w:p w14:paraId="2385892E" w14:textId="50C9669E" w:rsidR="00C21A2C" w:rsidRDefault="00C21A2C" w:rsidP="00C21A2C">
      <w:pPr>
        <w:numPr>
          <w:ilvl w:val="0"/>
          <w:numId w:val="25"/>
        </w:numPr>
        <w:spacing w:after="240"/>
        <w:contextualSpacing/>
        <w:rPr>
          <w:rFonts w:cs="Arial"/>
          <w:szCs w:val="22"/>
        </w:rPr>
      </w:pPr>
      <w:r>
        <w:rPr>
          <w:rFonts w:cs="Arial"/>
          <w:szCs w:val="22"/>
        </w:rPr>
        <w:t>Delivery of finalised outputs – October 2021</w:t>
      </w:r>
    </w:p>
    <w:p w14:paraId="5972953C" w14:textId="1BD416D6" w:rsidR="00334EAA" w:rsidRDefault="00334EAA" w:rsidP="00334EAA">
      <w:pPr>
        <w:spacing w:after="240"/>
        <w:contextualSpacing/>
        <w:rPr>
          <w:rFonts w:cs="Arial"/>
          <w:szCs w:val="22"/>
        </w:rPr>
      </w:pPr>
    </w:p>
    <w:p w14:paraId="327CC2C5" w14:textId="25F90B13" w:rsidR="00334EAA" w:rsidRPr="00334EAA" w:rsidRDefault="00334EAA" w:rsidP="00334EAA">
      <w:pPr>
        <w:rPr>
          <w:rFonts w:cs="Arial"/>
          <w:b/>
          <w:szCs w:val="22"/>
        </w:rPr>
      </w:pPr>
      <w:r w:rsidRPr="001D6222">
        <w:rPr>
          <w:rFonts w:cs="Arial"/>
          <w:b/>
          <w:szCs w:val="22"/>
        </w:rPr>
        <w:t xml:space="preserve">Please note all timings are subject to change as a consequence of the covid-19 pandemic. Main stage fieldwork timings may also change depending on agreed design and approach with the appointed contractor. </w:t>
      </w:r>
    </w:p>
    <w:p w14:paraId="0D2B2C65" w14:textId="41DF3DE1" w:rsidR="004A600B" w:rsidRPr="004A600B" w:rsidRDefault="004A600B" w:rsidP="007E0083">
      <w:pPr>
        <w:pStyle w:val="Heading2"/>
      </w:pPr>
      <w:r w:rsidRPr="004A600B">
        <w:t>Assessment criteria</w:t>
      </w:r>
    </w:p>
    <w:p w14:paraId="5D930485" w14:textId="77777777" w:rsidR="00D85EEC" w:rsidRDefault="00D85EEC" w:rsidP="00D85EEC">
      <w:pPr>
        <w:pStyle w:val="Default"/>
        <w:rPr>
          <w:bCs/>
          <w:sz w:val="22"/>
          <w:szCs w:val="22"/>
        </w:rPr>
      </w:pPr>
      <w:r w:rsidRPr="00C13E31">
        <w:rPr>
          <w:bCs/>
          <w:sz w:val="22"/>
          <w:szCs w:val="22"/>
        </w:rPr>
        <w:t xml:space="preserve">Expressions of interest will be assessed against the following criteria: </w:t>
      </w:r>
    </w:p>
    <w:p w14:paraId="6C215089" w14:textId="77777777" w:rsidR="00D85EEC" w:rsidRPr="00786759" w:rsidRDefault="00D85EEC" w:rsidP="00D85EEC">
      <w:pPr>
        <w:pStyle w:val="Default"/>
        <w:rPr>
          <w:bCs/>
          <w:sz w:val="22"/>
          <w:szCs w:val="22"/>
        </w:rPr>
      </w:pPr>
    </w:p>
    <w:p w14:paraId="551B7907" w14:textId="4D16F6F9" w:rsidR="00D85EEC" w:rsidRPr="00534891" w:rsidRDefault="00D85EEC" w:rsidP="00B82821">
      <w:pPr>
        <w:pStyle w:val="Default"/>
        <w:numPr>
          <w:ilvl w:val="0"/>
          <w:numId w:val="23"/>
        </w:numPr>
        <w:rPr>
          <w:bCs/>
          <w:sz w:val="22"/>
          <w:szCs w:val="22"/>
        </w:rPr>
      </w:pPr>
      <w:r w:rsidRPr="00A26B6F">
        <w:rPr>
          <w:bCs/>
          <w:sz w:val="22"/>
          <w:szCs w:val="22"/>
        </w:rPr>
        <w:t xml:space="preserve">Evidence of experience and technical ability in designing, conducting, </w:t>
      </w:r>
      <w:proofErr w:type="gramStart"/>
      <w:r w:rsidRPr="00A26B6F">
        <w:rPr>
          <w:bCs/>
          <w:sz w:val="22"/>
          <w:szCs w:val="22"/>
        </w:rPr>
        <w:t>analysing</w:t>
      </w:r>
      <w:proofErr w:type="gramEnd"/>
      <w:r w:rsidRPr="00A26B6F">
        <w:rPr>
          <w:bCs/>
          <w:sz w:val="22"/>
          <w:szCs w:val="22"/>
        </w:rPr>
        <w:t xml:space="preserve"> and reporting </w:t>
      </w:r>
      <w:r w:rsidR="00764B94">
        <w:rPr>
          <w:bCs/>
          <w:sz w:val="22"/>
          <w:szCs w:val="22"/>
        </w:rPr>
        <w:t xml:space="preserve">for </w:t>
      </w:r>
      <w:r>
        <w:rPr>
          <w:bCs/>
          <w:sz w:val="22"/>
          <w:szCs w:val="22"/>
        </w:rPr>
        <w:t xml:space="preserve">longitudinal studies </w:t>
      </w:r>
      <w:r w:rsidRPr="00A26B6F">
        <w:rPr>
          <w:bCs/>
          <w:sz w:val="22"/>
          <w:szCs w:val="22"/>
        </w:rPr>
        <w:t>(including</w:t>
      </w:r>
      <w:r w:rsidR="001405F3">
        <w:rPr>
          <w:bCs/>
          <w:sz w:val="22"/>
          <w:szCs w:val="22"/>
        </w:rPr>
        <w:t xml:space="preserve"> sample development,</w:t>
      </w:r>
      <w:r w:rsidRPr="00A26B6F">
        <w:rPr>
          <w:bCs/>
          <w:sz w:val="22"/>
          <w:szCs w:val="22"/>
        </w:rPr>
        <w:t xml:space="preserve"> </w:t>
      </w:r>
      <w:r>
        <w:rPr>
          <w:bCs/>
          <w:sz w:val="22"/>
          <w:szCs w:val="22"/>
        </w:rPr>
        <w:t>large-scale recruitmen</w:t>
      </w:r>
      <w:r w:rsidR="00764B94">
        <w:rPr>
          <w:bCs/>
          <w:sz w:val="22"/>
          <w:szCs w:val="22"/>
        </w:rPr>
        <w:t xml:space="preserve">t and data collection, </w:t>
      </w:r>
      <w:r w:rsidR="001B366C">
        <w:rPr>
          <w:bCs/>
          <w:sz w:val="22"/>
          <w:szCs w:val="22"/>
        </w:rPr>
        <w:t xml:space="preserve">cross-cutting </w:t>
      </w:r>
      <w:r w:rsidR="00764B94">
        <w:rPr>
          <w:bCs/>
          <w:sz w:val="22"/>
          <w:szCs w:val="22"/>
        </w:rPr>
        <w:t xml:space="preserve">survey design, </w:t>
      </w:r>
      <w:r w:rsidR="00764B94" w:rsidRPr="00534891">
        <w:rPr>
          <w:bCs/>
          <w:sz w:val="22"/>
          <w:szCs w:val="22"/>
        </w:rPr>
        <w:t xml:space="preserve">analysis </w:t>
      </w:r>
      <w:r w:rsidR="00285F87" w:rsidRPr="00534891">
        <w:rPr>
          <w:bCs/>
          <w:sz w:val="22"/>
          <w:szCs w:val="22"/>
        </w:rPr>
        <w:t xml:space="preserve">of </w:t>
      </w:r>
      <w:r w:rsidR="00120ABD">
        <w:rPr>
          <w:bCs/>
          <w:sz w:val="22"/>
          <w:szCs w:val="22"/>
        </w:rPr>
        <w:t>large</w:t>
      </w:r>
      <w:r w:rsidR="00285F87" w:rsidRPr="00534891">
        <w:rPr>
          <w:bCs/>
          <w:sz w:val="22"/>
          <w:szCs w:val="22"/>
        </w:rPr>
        <w:t xml:space="preserve"> datas</w:t>
      </w:r>
      <w:r w:rsidR="005952C2">
        <w:rPr>
          <w:bCs/>
          <w:sz w:val="22"/>
          <w:szCs w:val="22"/>
        </w:rPr>
        <w:t>ets</w:t>
      </w:r>
      <w:r w:rsidRPr="00534891">
        <w:rPr>
          <w:bCs/>
          <w:sz w:val="22"/>
          <w:szCs w:val="22"/>
        </w:rPr>
        <w:t>).</w:t>
      </w:r>
      <w:r w:rsidR="00A52C5C">
        <w:rPr>
          <w:bCs/>
          <w:sz w:val="22"/>
          <w:szCs w:val="22"/>
        </w:rPr>
        <w:t xml:space="preserve"> </w:t>
      </w:r>
    </w:p>
    <w:p w14:paraId="19FED2B1" w14:textId="7B9BB410" w:rsidR="00D85EEC" w:rsidRDefault="00D85EEC" w:rsidP="00B82821">
      <w:pPr>
        <w:pStyle w:val="Default"/>
        <w:numPr>
          <w:ilvl w:val="0"/>
          <w:numId w:val="23"/>
        </w:numPr>
        <w:rPr>
          <w:bCs/>
          <w:sz w:val="22"/>
          <w:szCs w:val="22"/>
        </w:rPr>
      </w:pPr>
      <w:r>
        <w:rPr>
          <w:bCs/>
          <w:sz w:val="22"/>
          <w:szCs w:val="22"/>
        </w:rPr>
        <w:t>Evidence of</w:t>
      </w:r>
      <w:r w:rsidRPr="00A26B6F">
        <w:rPr>
          <w:bCs/>
          <w:sz w:val="22"/>
          <w:szCs w:val="22"/>
        </w:rPr>
        <w:t xml:space="preserve"> organisational capacity and project management skills to deliver the project in the specifi</w:t>
      </w:r>
      <w:r>
        <w:rPr>
          <w:bCs/>
          <w:sz w:val="22"/>
          <w:szCs w:val="22"/>
        </w:rPr>
        <w:t>ed timescales.</w:t>
      </w:r>
    </w:p>
    <w:p w14:paraId="5FE59F46" w14:textId="739458E2" w:rsidR="00D85EEC" w:rsidRDefault="00D85EEC" w:rsidP="00B82821">
      <w:pPr>
        <w:pStyle w:val="ListParagraph"/>
        <w:numPr>
          <w:ilvl w:val="0"/>
          <w:numId w:val="23"/>
        </w:numPr>
      </w:pPr>
      <w:r>
        <w:t>Evidence of success in engaging teachers, headteachers and schools in large-scale and long-term research, and achieving high response rates.</w:t>
      </w:r>
    </w:p>
    <w:p w14:paraId="5EBDBCFE" w14:textId="1276CFFC" w:rsidR="00D85EEC" w:rsidRPr="00FD2D2B" w:rsidRDefault="00D85EEC" w:rsidP="00B82821">
      <w:pPr>
        <w:pStyle w:val="ListParagraph"/>
        <w:numPr>
          <w:ilvl w:val="0"/>
          <w:numId w:val="23"/>
        </w:numPr>
      </w:pPr>
      <w:r>
        <w:t>Knowledge of teacher supply, recruitment and retention issues</w:t>
      </w:r>
      <w:r w:rsidR="001B366C">
        <w:t xml:space="preserve"> and understanding of key areas underpinning </w:t>
      </w:r>
      <w:r w:rsidR="00FD2D2B">
        <w:t>the teaching workforce</w:t>
      </w:r>
      <w:r w:rsidR="001B366C">
        <w:t xml:space="preserve"> (e.g. workload, flexible working, pay</w:t>
      </w:r>
      <w:r w:rsidR="00FD2D2B">
        <w:t>, CPD, leadership and progression</w:t>
      </w:r>
      <w:r w:rsidR="001B366C">
        <w:t>).</w:t>
      </w:r>
    </w:p>
    <w:p w14:paraId="300840E7" w14:textId="6C8D07B3" w:rsidR="00D85EEC" w:rsidRDefault="009460AD" w:rsidP="00D85EEC">
      <w:pPr>
        <w:pStyle w:val="Default"/>
        <w:rPr>
          <w:bCs/>
          <w:sz w:val="22"/>
          <w:szCs w:val="22"/>
        </w:rPr>
      </w:pPr>
      <w:r>
        <w:rPr>
          <w:bCs/>
          <w:sz w:val="22"/>
          <w:szCs w:val="22"/>
        </w:rPr>
        <w:t>Evidence against each of these four criteria will be scored using the following scale:</w:t>
      </w:r>
    </w:p>
    <w:p w14:paraId="47AEB595" w14:textId="77777777" w:rsidR="00D85EEC" w:rsidRDefault="00D85EEC" w:rsidP="00D85EEC">
      <w:pPr>
        <w:pStyle w:val="Default"/>
        <w:rPr>
          <w:bCs/>
          <w:sz w:val="22"/>
          <w:szCs w:val="22"/>
        </w:rPr>
      </w:pPr>
    </w:p>
    <w:p w14:paraId="147902E7" w14:textId="77777777" w:rsidR="00D85EEC" w:rsidRDefault="00D85EEC" w:rsidP="00D85EEC">
      <w:pPr>
        <w:pStyle w:val="Default"/>
        <w:numPr>
          <w:ilvl w:val="0"/>
          <w:numId w:val="22"/>
        </w:numPr>
        <w:rPr>
          <w:bCs/>
          <w:sz w:val="22"/>
          <w:szCs w:val="22"/>
        </w:rPr>
      </w:pPr>
      <w:r w:rsidRPr="00C13E31">
        <w:rPr>
          <w:bCs/>
          <w:sz w:val="22"/>
          <w:szCs w:val="22"/>
        </w:rPr>
        <w:t>No evidence/very poor</w:t>
      </w:r>
    </w:p>
    <w:p w14:paraId="01710F5E" w14:textId="77777777" w:rsidR="00D85EEC" w:rsidRDefault="00D85EEC" w:rsidP="00D85EEC">
      <w:pPr>
        <w:pStyle w:val="Default"/>
        <w:numPr>
          <w:ilvl w:val="0"/>
          <w:numId w:val="22"/>
        </w:numPr>
        <w:rPr>
          <w:bCs/>
          <w:sz w:val="22"/>
          <w:szCs w:val="22"/>
        </w:rPr>
      </w:pPr>
      <w:r w:rsidRPr="00C13E31">
        <w:rPr>
          <w:bCs/>
          <w:sz w:val="22"/>
          <w:szCs w:val="22"/>
        </w:rPr>
        <w:t>Poor evidence</w:t>
      </w:r>
    </w:p>
    <w:p w14:paraId="69674C82" w14:textId="77777777" w:rsidR="00D85EEC" w:rsidRDefault="00D85EEC" w:rsidP="00D85EEC">
      <w:pPr>
        <w:pStyle w:val="Default"/>
        <w:numPr>
          <w:ilvl w:val="0"/>
          <w:numId w:val="22"/>
        </w:numPr>
        <w:rPr>
          <w:bCs/>
          <w:sz w:val="22"/>
          <w:szCs w:val="22"/>
        </w:rPr>
      </w:pPr>
      <w:r w:rsidRPr="00C13E31">
        <w:rPr>
          <w:bCs/>
          <w:sz w:val="22"/>
          <w:szCs w:val="22"/>
        </w:rPr>
        <w:t>Some evidence</w:t>
      </w:r>
    </w:p>
    <w:p w14:paraId="3AEEFC62" w14:textId="77777777" w:rsidR="00D85EEC" w:rsidRDefault="00D85EEC" w:rsidP="00D85EEC">
      <w:pPr>
        <w:pStyle w:val="Default"/>
        <w:numPr>
          <w:ilvl w:val="0"/>
          <w:numId w:val="22"/>
        </w:numPr>
        <w:rPr>
          <w:bCs/>
          <w:sz w:val="22"/>
          <w:szCs w:val="22"/>
        </w:rPr>
      </w:pPr>
      <w:r w:rsidRPr="00C13E31">
        <w:rPr>
          <w:bCs/>
          <w:sz w:val="22"/>
          <w:szCs w:val="22"/>
        </w:rPr>
        <w:t>Good evidence</w:t>
      </w:r>
    </w:p>
    <w:p w14:paraId="7D5502C8" w14:textId="77777777" w:rsidR="00D85EEC" w:rsidRPr="00C13E31" w:rsidRDefault="00D85EEC" w:rsidP="00D85EEC">
      <w:pPr>
        <w:pStyle w:val="Default"/>
        <w:numPr>
          <w:ilvl w:val="0"/>
          <w:numId w:val="22"/>
        </w:numPr>
        <w:rPr>
          <w:bCs/>
          <w:sz w:val="22"/>
          <w:szCs w:val="22"/>
        </w:rPr>
      </w:pPr>
      <w:r w:rsidRPr="00C13E31">
        <w:rPr>
          <w:bCs/>
          <w:sz w:val="22"/>
          <w:szCs w:val="22"/>
        </w:rPr>
        <w:t>Excellent evidence</w:t>
      </w:r>
    </w:p>
    <w:p w14:paraId="40F6F47F" w14:textId="5BF750AB" w:rsidR="00915C18" w:rsidRDefault="00915C18" w:rsidP="00915C18"/>
    <w:p w14:paraId="504E1C31" w14:textId="44267645" w:rsidR="00A52C5C" w:rsidRDefault="00A52C5C" w:rsidP="00A52C5C">
      <w:r>
        <w:lastRenderedPageBreak/>
        <w:t xml:space="preserve">Only </w:t>
      </w:r>
      <w:r w:rsidR="001405F3">
        <w:t>expressions of interest</w:t>
      </w:r>
      <w:r>
        <w:t xml:space="preserve"> that score a 2 or higher on each of criteria A, B, C and D will be shortlisted, and only those with the highest scores will be invited to tender. Note that </w:t>
      </w:r>
      <w:r w:rsidR="00EC04C8">
        <w:t>the</w:t>
      </w:r>
      <w:r>
        <w:t xml:space="preserve"> criteria </w:t>
      </w:r>
      <w:r w:rsidR="00F545AA">
        <w:t>will be weighted equally at this stage.</w:t>
      </w:r>
    </w:p>
    <w:p w14:paraId="65B7A230" w14:textId="15B31A2A" w:rsidR="001405F3" w:rsidRDefault="001405F3" w:rsidP="00A52C5C">
      <w:r w:rsidRPr="001405F3">
        <w:t>Collaborative/ consortia expressions of interest are welcome and may be advisable to score highly across the criteria.</w:t>
      </w:r>
    </w:p>
    <w:p w14:paraId="39DE9281" w14:textId="63D75F66" w:rsidR="00A52C5C" w:rsidRDefault="00A52C5C" w:rsidP="00A52C5C">
      <w:r>
        <w:t>Expressions of Interests submitted must be no more than 1200 words overall</w:t>
      </w:r>
      <w:r w:rsidR="001405F3">
        <w:t xml:space="preserve"> – please note anything longer will be disregarded. Website links will not be opened if </w:t>
      </w:r>
      <w:proofErr w:type="gramStart"/>
      <w:r w:rsidR="001405F3">
        <w:t>included</w:t>
      </w:r>
      <w:r w:rsidR="00334EAA">
        <w:t>,</w:t>
      </w:r>
      <w:r w:rsidR="00C21A2C">
        <w:t xml:space="preserve"> and</w:t>
      </w:r>
      <w:proofErr w:type="gramEnd"/>
      <w:r w:rsidR="00C21A2C">
        <w:t xml:space="preserve"> will not contribute to scoring</w:t>
      </w:r>
      <w:r w:rsidR="001405F3">
        <w:t>.</w:t>
      </w:r>
    </w:p>
    <w:p w14:paraId="5873A631" w14:textId="77777777" w:rsidR="009A27D7" w:rsidRPr="00915C18" w:rsidRDefault="009A27D7" w:rsidP="00A52C5C"/>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6A8019F" w:rsidR="00915C18" w:rsidRDefault="00915C18" w:rsidP="00915C18">
            <w:pPr>
              <w:spacing w:before="160"/>
              <w:rPr>
                <w:b/>
                <w:bCs/>
                <w:sz w:val="28"/>
                <w:szCs w:val="20"/>
              </w:rPr>
            </w:pPr>
            <w:r w:rsidRPr="00915C18">
              <w:rPr>
                <w:b/>
                <w:bCs/>
                <w:sz w:val="28"/>
                <w:szCs w:val="20"/>
              </w:rPr>
              <w:t>Closing date for EOIs:</w:t>
            </w:r>
            <w:r w:rsidR="00AC4FE9">
              <w:rPr>
                <w:b/>
                <w:bCs/>
                <w:sz w:val="28"/>
                <w:szCs w:val="20"/>
              </w:rPr>
              <w:t xml:space="preserve"> 11.59pm on </w:t>
            </w:r>
            <w:r w:rsidR="004B1FBB">
              <w:rPr>
                <w:b/>
                <w:bCs/>
                <w:sz w:val="28"/>
                <w:szCs w:val="20"/>
              </w:rPr>
              <w:t>21</w:t>
            </w:r>
            <w:r w:rsidR="004B1FBB" w:rsidRPr="004B1FBB">
              <w:rPr>
                <w:b/>
                <w:bCs/>
                <w:sz w:val="28"/>
                <w:szCs w:val="20"/>
                <w:vertAlign w:val="superscript"/>
              </w:rPr>
              <w:t>st</w:t>
            </w:r>
            <w:r w:rsidR="00AC4FE9">
              <w:rPr>
                <w:b/>
                <w:bCs/>
                <w:sz w:val="28"/>
                <w:szCs w:val="20"/>
              </w:rPr>
              <w:t xml:space="preserve"> September</w:t>
            </w:r>
            <w:r w:rsidR="001F1CC0">
              <w:rPr>
                <w:b/>
                <w:bCs/>
                <w:sz w:val="28"/>
                <w:szCs w:val="20"/>
              </w:rPr>
              <w:t xml:space="preserve"> 2020</w:t>
            </w:r>
          </w:p>
          <w:p w14:paraId="5613510B" w14:textId="595DED6B" w:rsidR="0061642D" w:rsidRDefault="00915C18" w:rsidP="007519C2">
            <w:pPr>
              <w:rPr>
                <w:b/>
                <w:bCs/>
                <w:sz w:val="28"/>
                <w:szCs w:val="20"/>
              </w:rPr>
            </w:pPr>
            <w:r w:rsidRPr="00915C18">
              <w:rPr>
                <w:b/>
                <w:bCs/>
                <w:sz w:val="28"/>
                <w:szCs w:val="20"/>
              </w:rPr>
              <w:t>Send your EOI form to:</w:t>
            </w:r>
            <w:r w:rsidR="0061642D">
              <w:rPr>
                <w:b/>
                <w:bCs/>
                <w:sz w:val="28"/>
                <w:szCs w:val="20"/>
              </w:rPr>
              <w:t xml:space="preserve"> </w:t>
            </w:r>
            <w:r w:rsidR="00AC4FE9">
              <w:rPr>
                <w:b/>
                <w:bCs/>
                <w:sz w:val="28"/>
                <w:szCs w:val="20"/>
              </w:rPr>
              <w:t>Nicola Mackenzie (</w:t>
            </w:r>
            <w:hyperlink r:id="rId15" w:history="1">
              <w:r w:rsidR="00AC4FE9" w:rsidRPr="006B0BA8">
                <w:rPr>
                  <w:rStyle w:val="Hyperlink"/>
                  <w:b/>
                  <w:bCs/>
                  <w:sz w:val="28"/>
                  <w:szCs w:val="20"/>
                </w:rPr>
                <w:t>Jobshare.Mackenzie-Peachey@education.gov.uk</w:t>
              </w:r>
            </w:hyperlink>
            <w:r w:rsidR="00AC4FE9">
              <w:rPr>
                <w:b/>
                <w:bCs/>
                <w:sz w:val="28"/>
                <w:szCs w:val="20"/>
              </w:rPr>
              <w:t>)</w:t>
            </w:r>
            <w:r w:rsidR="0013155F">
              <w:rPr>
                <w:b/>
                <w:bCs/>
                <w:sz w:val="28"/>
                <w:szCs w:val="20"/>
              </w:rPr>
              <w:t xml:space="preserve"> and Alex Barton (</w:t>
            </w:r>
            <w:hyperlink r:id="rId16" w:history="1">
              <w:r w:rsidR="0013155F" w:rsidRPr="00C820CC">
                <w:rPr>
                  <w:rStyle w:val="Hyperlink"/>
                  <w:b/>
                  <w:bCs/>
                  <w:sz w:val="28"/>
                  <w:szCs w:val="20"/>
                </w:rPr>
                <w:t>Alex.barton@education.gov.uk</w:t>
              </w:r>
            </w:hyperlink>
            <w:r w:rsidR="0013155F">
              <w:rPr>
                <w:b/>
                <w:bCs/>
                <w:sz w:val="28"/>
                <w:szCs w:val="20"/>
              </w:rPr>
              <w:t>)</w:t>
            </w:r>
          </w:p>
          <w:p w14:paraId="154A41BE" w14:textId="0369F712" w:rsidR="0013155F" w:rsidRDefault="0013155F" w:rsidP="007519C2">
            <w:pPr>
              <w:rPr>
                <w:b/>
                <w:bCs/>
                <w:sz w:val="28"/>
                <w:szCs w:val="20"/>
              </w:rPr>
            </w:pPr>
          </w:p>
          <w:p w14:paraId="13380ECF" w14:textId="3D7E216E" w:rsidR="0013155F" w:rsidRDefault="0013155F" w:rsidP="007519C2">
            <w:pPr>
              <w:rPr>
                <w:b/>
                <w:bCs/>
                <w:sz w:val="28"/>
                <w:szCs w:val="20"/>
              </w:rPr>
            </w:pPr>
            <w:r>
              <w:rPr>
                <w:b/>
                <w:bCs/>
                <w:sz w:val="28"/>
                <w:szCs w:val="20"/>
              </w:rPr>
              <w:t>Cc’ Mary Roberts (</w:t>
            </w:r>
            <w:hyperlink r:id="rId17" w:history="1">
              <w:r w:rsidRPr="00C820CC">
                <w:rPr>
                  <w:rStyle w:val="Hyperlink"/>
                  <w:b/>
                  <w:bCs/>
                  <w:sz w:val="28"/>
                  <w:szCs w:val="20"/>
                </w:rPr>
                <w:t>Mary.roberts@education.gov.uk</w:t>
              </w:r>
            </w:hyperlink>
            <w:r>
              <w:rPr>
                <w:b/>
                <w:bCs/>
                <w:sz w:val="28"/>
                <w:szCs w:val="20"/>
              </w:rPr>
              <w:t xml:space="preserve">)  </w:t>
            </w:r>
          </w:p>
          <w:p w14:paraId="5178F3E6" w14:textId="2D028E21" w:rsidR="00AC4FE9" w:rsidRDefault="00AC4FE9" w:rsidP="007519C2">
            <w:pPr>
              <w:rPr>
                <w:rFonts w:ascii="Calibri" w:hAnsi="Calibri"/>
              </w:rPr>
            </w:pP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12701062" w:rsidR="00814CCF" w:rsidRDefault="00814CCF" w:rsidP="00814CCF">
      <w:r>
        <w:t>You must submit an expression of interest (EOI) in order to be considered to be invited to tender. To do so, please complete the</w:t>
      </w:r>
      <w:r w:rsidR="00A0541C">
        <w:t xml:space="preserve"> </w:t>
      </w:r>
      <w:r w:rsidR="00BC2ED6">
        <w:t>‘</w:t>
      </w:r>
      <w:r w:rsidR="00A0541C">
        <w:t xml:space="preserve">EOI </w:t>
      </w:r>
      <w:r w:rsidR="00BC2ED6">
        <w:t>form</w:t>
      </w:r>
      <w:r w:rsidR="001F1CC0">
        <w:t xml:space="preserve"> 2019</w:t>
      </w:r>
      <w:r w:rsidR="00BC2ED6">
        <w:t>’ f</w:t>
      </w:r>
      <w:r w:rsidR="00A0541C">
        <w:t xml:space="preserve">orm which can be found under </w:t>
      </w:r>
      <w:r w:rsidR="001F1CC0">
        <w:t>A</w:t>
      </w:r>
      <w:r w:rsidR="00A0541C">
        <w:t>ttachments</w:t>
      </w:r>
      <w:r w:rsidR="003368C5">
        <w:t xml:space="preserve"> in the </w:t>
      </w:r>
      <w:proofErr w:type="spellStart"/>
      <w:r w:rsidR="003368C5">
        <w:t>ContractsFinder</w:t>
      </w:r>
      <w:proofErr w:type="spellEnd"/>
      <w:r w:rsidR="003368C5">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C95EEB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7DFCBC79" w:rsidR="005D3B59" w:rsidRPr="00531385" w:rsidRDefault="00C2496D" w:rsidP="005D3B59">
      <w:r w:rsidRPr="00995398">
        <w:t>©</w:t>
      </w:r>
      <w:r w:rsidR="005D3B59" w:rsidRPr="005D3B59">
        <w:t xml:space="preserve"> </w:t>
      </w:r>
      <w:r w:rsidR="00EE71A2">
        <w:t xml:space="preserve">Crown copyright </w:t>
      </w:r>
      <w:r w:rsidR="009A27D7">
        <w:t>2020</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59540" w14:textId="77777777" w:rsidR="00B6147D" w:rsidRDefault="00B6147D" w:rsidP="002B6D93">
      <w:r>
        <w:separator/>
      </w:r>
    </w:p>
    <w:p w14:paraId="3B6BB66E" w14:textId="77777777" w:rsidR="00B6147D" w:rsidRDefault="00B6147D"/>
  </w:endnote>
  <w:endnote w:type="continuationSeparator" w:id="0">
    <w:p w14:paraId="45B4D8E7" w14:textId="77777777" w:rsidR="00B6147D" w:rsidRDefault="00B6147D" w:rsidP="002B6D93">
      <w:r>
        <w:continuationSeparator/>
      </w:r>
    </w:p>
    <w:p w14:paraId="45F20064" w14:textId="77777777" w:rsidR="00B6147D" w:rsidRDefault="00B61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4C1B5EDF" w:rsidR="00DA0AD5" w:rsidRPr="006E6ADB" w:rsidRDefault="00DA0AD5" w:rsidP="004A3626">
    <w:pPr>
      <w:tabs>
        <w:tab w:val="left" w:pos="7088"/>
      </w:tabs>
      <w:spacing w:before="240"/>
      <w:rPr>
        <w:szCs w:val="20"/>
      </w:rPr>
    </w:pPr>
    <w:r w:rsidRPr="006E6ADB">
      <w:rPr>
        <w:szCs w:val="20"/>
      </w:rPr>
      <w:tab/>
      <w:t xml:space="preserve">Published: </w:t>
    </w:r>
    <w:r w:rsidR="00DC32D9">
      <w:rPr>
        <w:szCs w:val="20"/>
      </w:rPr>
      <w:t>August</w:t>
    </w:r>
    <w:r w:rsidR="00F85AA7">
      <w:rPr>
        <w:szCs w:val="20"/>
      </w:rPr>
      <w:t xml:space="preserve"> </w:t>
    </w:r>
    <w:r>
      <w:rPr>
        <w:szCs w:val="20"/>
      </w:rPr>
      <w:t>20</w:t>
    </w:r>
    <w:r w:rsidR="00DC32D9">
      <w:rPr>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2307B" w14:textId="77777777" w:rsidR="00B6147D" w:rsidRDefault="00B6147D" w:rsidP="002B6D93">
      <w:r>
        <w:separator/>
      </w:r>
    </w:p>
    <w:p w14:paraId="26FAB514" w14:textId="77777777" w:rsidR="00B6147D" w:rsidRDefault="00B6147D"/>
  </w:footnote>
  <w:footnote w:type="continuationSeparator" w:id="0">
    <w:p w14:paraId="043D551E" w14:textId="77777777" w:rsidR="00B6147D" w:rsidRDefault="00B6147D" w:rsidP="002B6D93">
      <w:r>
        <w:continuationSeparator/>
      </w:r>
    </w:p>
    <w:p w14:paraId="3FF71CF7" w14:textId="77777777" w:rsidR="00B6147D" w:rsidRDefault="00B614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B06F3A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2C4206"/>
    <w:multiLevelType w:val="hybridMultilevel"/>
    <w:tmpl w:val="65644AD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39016C"/>
    <w:multiLevelType w:val="hybridMultilevel"/>
    <w:tmpl w:val="89CC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60FDC"/>
    <w:multiLevelType w:val="hybridMultilevel"/>
    <w:tmpl w:val="3E2C9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437EF"/>
    <w:multiLevelType w:val="hybridMultilevel"/>
    <w:tmpl w:val="BCF48872"/>
    <w:lvl w:ilvl="0" w:tplc="08090001">
      <w:start w:val="1"/>
      <w:numFmt w:val="bullet"/>
      <w:lvlText w:val=""/>
      <w:lvlJc w:val="left"/>
      <w:pPr>
        <w:ind w:left="720" w:hanging="360"/>
      </w:pPr>
      <w:rPr>
        <w:rFonts w:ascii="Symbol" w:hAnsi="Symbol" w:hint="default"/>
      </w:rPr>
    </w:lvl>
    <w:lvl w:ilvl="1" w:tplc="27068DC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322B78"/>
    <w:multiLevelType w:val="hybridMultilevel"/>
    <w:tmpl w:val="C84EFF74"/>
    <w:lvl w:ilvl="0" w:tplc="687CB400">
      <w:start w:val="1"/>
      <w:numFmt w:val="bullet"/>
      <w:lvlText w:val=""/>
      <w:lvlJc w:val="left"/>
      <w:pPr>
        <w:ind w:left="1440" w:hanging="360"/>
      </w:pPr>
      <w:rPr>
        <w:rFonts w:ascii="Symbol" w:hAnsi="Symbol" w:hint="default"/>
      </w:rPr>
    </w:lvl>
    <w:lvl w:ilvl="1" w:tplc="88A6CB94">
      <w:start w:val="1"/>
      <w:numFmt w:val="bullet"/>
      <w:lvlText w:val=""/>
      <w:lvlJc w:val="left"/>
      <w:pPr>
        <w:ind w:left="1527" w:hanging="360"/>
      </w:pPr>
      <w:rPr>
        <w:rFonts w:ascii="Symbol" w:hAnsi="Symbol" w:hint="default"/>
      </w:rPr>
    </w:lvl>
    <w:lvl w:ilvl="2" w:tplc="08090003">
      <w:start w:val="1"/>
      <w:numFmt w:val="bullet"/>
      <w:lvlText w:val="o"/>
      <w:lvlJc w:val="left"/>
      <w:pPr>
        <w:ind w:left="2247" w:hanging="360"/>
      </w:pPr>
      <w:rPr>
        <w:rFonts w:ascii="Courier New" w:hAnsi="Courier New" w:cs="Courier New" w:hint="default"/>
      </w:rPr>
    </w:lvl>
    <w:lvl w:ilvl="3" w:tplc="0809000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C2E70DC"/>
    <w:multiLevelType w:val="hybridMultilevel"/>
    <w:tmpl w:val="D5B40C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4"/>
  </w:num>
  <w:num w:numId="5">
    <w:abstractNumId w:val="9"/>
  </w:num>
  <w:num w:numId="6">
    <w:abstractNumId w:val="17"/>
  </w:num>
  <w:num w:numId="7">
    <w:abstractNumId w:val="3"/>
  </w:num>
  <w:num w:numId="8">
    <w:abstractNumId w:val="1"/>
  </w:num>
  <w:num w:numId="9">
    <w:abstractNumId w:val="0"/>
  </w:num>
  <w:num w:numId="10">
    <w:abstractNumId w:val="18"/>
  </w:num>
  <w:num w:numId="11">
    <w:abstractNumId w:val="17"/>
  </w:num>
  <w:num w:numId="12">
    <w:abstractNumId w:val="2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5"/>
  </w:num>
  <w:num w:numId="19">
    <w:abstractNumId w:val="22"/>
  </w:num>
  <w:num w:numId="20">
    <w:abstractNumId w:val="11"/>
  </w:num>
  <w:num w:numId="21">
    <w:abstractNumId w:val="10"/>
  </w:num>
  <w:num w:numId="22">
    <w:abstractNumId w:val="12"/>
  </w:num>
  <w:num w:numId="23">
    <w:abstractNumId w:val="5"/>
  </w:num>
  <w:num w:numId="24">
    <w:abstractNumId w:val="16"/>
  </w:num>
  <w:num w:numId="25">
    <w:abstractNumId w:val="6"/>
  </w:num>
  <w:num w:numId="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06DC"/>
    <w:rsid w:val="000720CD"/>
    <w:rsid w:val="00083A73"/>
    <w:rsid w:val="00094338"/>
    <w:rsid w:val="000A10F4"/>
    <w:rsid w:val="000B3DE0"/>
    <w:rsid w:val="000D1D30"/>
    <w:rsid w:val="000D4433"/>
    <w:rsid w:val="000E3350"/>
    <w:rsid w:val="000F73F3"/>
    <w:rsid w:val="00103E77"/>
    <w:rsid w:val="0010573A"/>
    <w:rsid w:val="0011494F"/>
    <w:rsid w:val="00120ABD"/>
    <w:rsid w:val="00121C6C"/>
    <w:rsid w:val="001264D9"/>
    <w:rsid w:val="001272A9"/>
    <w:rsid w:val="0013155F"/>
    <w:rsid w:val="00133075"/>
    <w:rsid w:val="001405F3"/>
    <w:rsid w:val="00147214"/>
    <w:rsid w:val="00147697"/>
    <w:rsid w:val="00152745"/>
    <w:rsid w:val="001534B2"/>
    <w:rsid w:val="001540AB"/>
    <w:rsid w:val="001612C8"/>
    <w:rsid w:val="001747E2"/>
    <w:rsid w:val="00176EB9"/>
    <w:rsid w:val="0017793A"/>
    <w:rsid w:val="00190C3A"/>
    <w:rsid w:val="00196306"/>
    <w:rsid w:val="001975D1"/>
    <w:rsid w:val="001A3A04"/>
    <w:rsid w:val="001B2AE2"/>
    <w:rsid w:val="001B366C"/>
    <w:rsid w:val="001B4278"/>
    <w:rsid w:val="001B4452"/>
    <w:rsid w:val="001B5C15"/>
    <w:rsid w:val="001B796F"/>
    <w:rsid w:val="001C5A63"/>
    <w:rsid w:val="001C5EB6"/>
    <w:rsid w:val="001C5EF4"/>
    <w:rsid w:val="001D5770"/>
    <w:rsid w:val="001F1B30"/>
    <w:rsid w:val="001F1CC0"/>
    <w:rsid w:val="001F2CE2"/>
    <w:rsid w:val="00203EC9"/>
    <w:rsid w:val="002113CF"/>
    <w:rsid w:val="0022255C"/>
    <w:rsid w:val="0022489D"/>
    <w:rsid w:val="002262F3"/>
    <w:rsid w:val="00230559"/>
    <w:rsid w:val="002332F8"/>
    <w:rsid w:val="00234F75"/>
    <w:rsid w:val="00240F4B"/>
    <w:rsid w:val="0025296F"/>
    <w:rsid w:val="002575C5"/>
    <w:rsid w:val="002639B5"/>
    <w:rsid w:val="0027231C"/>
    <w:rsid w:val="0027252F"/>
    <w:rsid w:val="002839B5"/>
    <w:rsid w:val="00285F87"/>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34EAA"/>
    <w:rsid w:val="003368C5"/>
    <w:rsid w:val="00340D7F"/>
    <w:rsid w:val="00342F8B"/>
    <w:rsid w:val="00361752"/>
    <w:rsid w:val="00374981"/>
    <w:rsid w:val="003810D8"/>
    <w:rsid w:val="003853A4"/>
    <w:rsid w:val="0039725F"/>
    <w:rsid w:val="003A1CC2"/>
    <w:rsid w:val="003C21DC"/>
    <w:rsid w:val="003C60B5"/>
    <w:rsid w:val="003D1EFE"/>
    <w:rsid w:val="003E1329"/>
    <w:rsid w:val="003E3ED2"/>
    <w:rsid w:val="00400E1D"/>
    <w:rsid w:val="00403D1C"/>
    <w:rsid w:val="0041426B"/>
    <w:rsid w:val="004216FF"/>
    <w:rsid w:val="004242C5"/>
    <w:rsid w:val="004265D3"/>
    <w:rsid w:val="00430A04"/>
    <w:rsid w:val="00432084"/>
    <w:rsid w:val="004339FB"/>
    <w:rsid w:val="00437EC0"/>
    <w:rsid w:val="004436FF"/>
    <w:rsid w:val="004509BE"/>
    <w:rsid w:val="004538DD"/>
    <w:rsid w:val="00456407"/>
    <w:rsid w:val="00456560"/>
    <w:rsid w:val="00470223"/>
    <w:rsid w:val="004866AD"/>
    <w:rsid w:val="004A3626"/>
    <w:rsid w:val="004A3E98"/>
    <w:rsid w:val="004A600B"/>
    <w:rsid w:val="004A78A0"/>
    <w:rsid w:val="004B08AC"/>
    <w:rsid w:val="004B17C5"/>
    <w:rsid w:val="004B1FBB"/>
    <w:rsid w:val="004C1736"/>
    <w:rsid w:val="004C5600"/>
    <w:rsid w:val="004D13A3"/>
    <w:rsid w:val="004D73C6"/>
    <w:rsid w:val="004E5405"/>
    <w:rsid w:val="004E6CD9"/>
    <w:rsid w:val="004F20E3"/>
    <w:rsid w:val="004F211A"/>
    <w:rsid w:val="004F3159"/>
    <w:rsid w:val="004F4AEF"/>
    <w:rsid w:val="005247AD"/>
    <w:rsid w:val="00534891"/>
    <w:rsid w:val="005360B7"/>
    <w:rsid w:val="00536E0B"/>
    <w:rsid w:val="005535E5"/>
    <w:rsid w:val="00560451"/>
    <w:rsid w:val="0057250B"/>
    <w:rsid w:val="00574294"/>
    <w:rsid w:val="005749C5"/>
    <w:rsid w:val="0057670A"/>
    <w:rsid w:val="00581D79"/>
    <w:rsid w:val="005905B1"/>
    <w:rsid w:val="005914F1"/>
    <w:rsid w:val="005946C7"/>
    <w:rsid w:val="005952C2"/>
    <w:rsid w:val="005A016F"/>
    <w:rsid w:val="005A07FF"/>
    <w:rsid w:val="005A0891"/>
    <w:rsid w:val="005B21EE"/>
    <w:rsid w:val="005B4468"/>
    <w:rsid w:val="005C0B41"/>
    <w:rsid w:val="005C1770"/>
    <w:rsid w:val="005C2D94"/>
    <w:rsid w:val="005C657D"/>
    <w:rsid w:val="005D3B59"/>
    <w:rsid w:val="005E3024"/>
    <w:rsid w:val="005F107C"/>
    <w:rsid w:val="0060702F"/>
    <w:rsid w:val="006108B3"/>
    <w:rsid w:val="0061642D"/>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18C2"/>
    <w:rsid w:val="006C382D"/>
    <w:rsid w:val="006D1162"/>
    <w:rsid w:val="006E6ADB"/>
    <w:rsid w:val="006E7F39"/>
    <w:rsid w:val="006F1F96"/>
    <w:rsid w:val="00700B01"/>
    <w:rsid w:val="00702EBF"/>
    <w:rsid w:val="00713414"/>
    <w:rsid w:val="00727EC4"/>
    <w:rsid w:val="00730350"/>
    <w:rsid w:val="00733749"/>
    <w:rsid w:val="0073516C"/>
    <w:rsid w:val="007370B2"/>
    <w:rsid w:val="007370BF"/>
    <w:rsid w:val="007403F5"/>
    <w:rsid w:val="007426B3"/>
    <w:rsid w:val="00743353"/>
    <w:rsid w:val="0075096B"/>
    <w:rsid w:val="00751648"/>
    <w:rsid w:val="00754145"/>
    <w:rsid w:val="00760615"/>
    <w:rsid w:val="0076231A"/>
    <w:rsid w:val="00764B94"/>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2E9B"/>
    <w:rsid w:val="007E0083"/>
    <w:rsid w:val="00803236"/>
    <w:rsid w:val="008118DA"/>
    <w:rsid w:val="00814CCF"/>
    <w:rsid w:val="00816E77"/>
    <w:rsid w:val="00831263"/>
    <w:rsid w:val="00831DB7"/>
    <w:rsid w:val="00832EBF"/>
    <w:rsid w:val="008366CB"/>
    <w:rsid w:val="00837F3A"/>
    <w:rsid w:val="008420D7"/>
    <w:rsid w:val="008620F3"/>
    <w:rsid w:val="008630DF"/>
    <w:rsid w:val="00863986"/>
    <w:rsid w:val="00866257"/>
    <w:rsid w:val="008734CB"/>
    <w:rsid w:val="00873674"/>
    <w:rsid w:val="00874F24"/>
    <w:rsid w:val="00876230"/>
    <w:rsid w:val="00877D5B"/>
    <w:rsid w:val="00880441"/>
    <w:rsid w:val="00880B83"/>
    <w:rsid w:val="00886B1E"/>
    <w:rsid w:val="008A460D"/>
    <w:rsid w:val="008A4CD5"/>
    <w:rsid w:val="008A588F"/>
    <w:rsid w:val="008A644A"/>
    <w:rsid w:val="008B05BD"/>
    <w:rsid w:val="008B0C03"/>
    <w:rsid w:val="008B0DD1"/>
    <w:rsid w:val="008B2C97"/>
    <w:rsid w:val="008B427B"/>
    <w:rsid w:val="008B6009"/>
    <w:rsid w:val="008C46DC"/>
    <w:rsid w:val="008C6B5E"/>
    <w:rsid w:val="008D15AA"/>
    <w:rsid w:val="008D6968"/>
    <w:rsid w:val="008E3F07"/>
    <w:rsid w:val="008E5F36"/>
    <w:rsid w:val="008F2757"/>
    <w:rsid w:val="008F2E4F"/>
    <w:rsid w:val="008F7436"/>
    <w:rsid w:val="009055E4"/>
    <w:rsid w:val="00913F1F"/>
    <w:rsid w:val="00914F22"/>
    <w:rsid w:val="00915C18"/>
    <w:rsid w:val="00917E9C"/>
    <w:rsid w:val="00926A3C"/>
    <w:rsid w:val="0093027C"/>
    <w:rsid w:val="0094189B"/>
    <w:rsid w:val="009460AD"/>
    <w:rsid w:val="00951C56"/>
    <w:rsid w:val="0095599F"/>
    <w:rsid w:val="0096424B"/>
    <w:rsid w:val="009701C8"/>
    <w:rsid w:val="00972EFD"/>
    <w:rsid w:val="00986616"/>
    <w:rsid w:val="00995398"/>
    <w:rsid w:val="009A27D7"/>
    <w:rsid w:val="009B32FA"/>
    <w:rsid w:val="009C2C02"/>
    <w:rsid w:val="009C73CF"/>
    <w:rsid w:val="009E00AE"/>
    <w:rsid w:val="009E09D3"/>
    <w:rsid w:val="009E2DD7"/>
    <w:rsid w:val="009E6E74"/>
    <w:rsid w:val="009E7EE1"/>
    <w:rsid w:val="009E7F32"/>
    <w:rsid w:val="00A03889"/>
    <w:rsid w:val="00A0541C"/>
    <w:rsid w:val="00A2360A"/>
    <w:rsid w:val="00A248DB"/>
    <w:rsid w:val="00A30BA1"/>
    <w:rsid w:val="00A37DEE"/>
    <w:rsid w:val="00A433C3"/>
    <w:rsid w:val="00A52C5C"/>
    <w:rsid w:val="00A54BB7"/>
    <w:rsid w:val="00A5643A"/>
    <w:rsid w:val="00A57128"/>
    <w:rsid w:val="00A5723C"/>
    <w:rsid w:val="00A636FD"/>
    <w:rsid w:val="00A707A4"/>
    <w:rsid w:val="00A7274B"/>
    <w:rsid w:val="00A73FB8"/>
    <w:rsid w:val="00A75086"/>
    <w:rsid w:val="00A763CB"/>
    <w:rsid w:val="00A801D1"/>
    <w:rsid w:val="00A81F69"/>
    <w:rsid w:val="00A85EBD"/>
    <w:rsid w:val="00AA3484"/>
    <w:rsid w:val="00AA7E7B"/>
    <w:rsid w:val="00AB6D0F"/>
    <w:rsid w:val="00AB7858"/>
    <w:rsid w:val="00AC4FE9"/>
    <w:rsid w:val="00AC61A6"/>
    <w:rsid w:val="00AD1BE5"/>
    <w:rsid w:val="00AD1DD2"/>
    <w:rsid w:val="00AD2062"/>
    <w:rsid w:val="00AD24A5"/>
    <w:rsid w:val="00AD2F1D"/>
    <w:rsid w:val="00AD7EC8"/>
    <w:rsid w:val="00AE1E46"/>
    <w:rsid w:val="00AE4296"/>
    <w:rsid w:val="00AF0989"/>
    <w:rsid w:val="00AF2191"/>
    <w:rsid w:val="00AF785C"/>
    <w:rsid w:val="00B14561"/>
    <w:rsid w:val="00B336AF"/>
    <w:rsid w:val="00B3498C"/>
    <w:rsid w:val="00B42CF7"/>
    <w:rsid w:val="00B43CAD"/>
    <w:rsid w:val="00B53333"/>
    <w:rsid w:val="00B55A49"/>
    <w:rsid w:val="00B6147D"/>
    <w:rsid w:val="00B64265"/>
    <w:rsid w:val="00B67F76"/>
    <w:rsid w:val="00B70EFF"/>
    <w:rsid w:val="00B75461"/>
    <w:rsid w:val="00B7558C"/>
    <w:rsid w:val="00B818C3"/>
    <w:rsid w:val="00B82821"/>
    <w:rsid w:val="00B9194F"/>
    <w:rsid w:val="00BA003B"/>
    <w:rsid w:val="00BB05E2"/>
    <w:rsid w:val="00BB1A74"/>
    <w:rsid w:val="00BC2ED6"/>
    <w:rsid w:val="00BD1111"/>
    <w:rsid w:val="00BD26B6"/>
    <w:rsid w:val="00BE01C6"/>
    <w:rsid w:val="00BE4DAC"/>
    <w:rsid w:val="00BF13F8"/>
    <w:rsid w:val="00C01CFF"/>
    <w:rsid w:val="00C026F2"/>
    <w:rsid w:val="00C02D89"/>
    <w:rsid w:val="00C15B78"/>
    <w:rsid w:val="00C21798"/>
    <w:rsid w:val="00C21A2C"/>
    <w:rsid w:val="00C2207B"/>
    <w:rsid w:val="00C22BA0"/>
    <w:rsid w:val="00C2496D"/>
    <w:rsid w:val="00C278D7"/>
    <w:rsid w:val="00C46129"/>
    <w:rsid w:val="00C4624B"/>
    <w:rsid w:val="00C529E8"/>
    <w:rsid w:val="00C5454B"/>
    <w:rsid w:val="00C6013F"/>
    <w:rsid w:val="00C71238"/>
    <w:rsid w:val="00C71561"/>
    <w:rsid w:val="00C76325"/>
    <w:rsid w:val="00C80FA7"/>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0ABE"/>
    <w:rsid w:val="00D376DB"/>
    <w:rsid w:val="00D408A5"/>
    <w:rsid w:val="00D40DE9"/>
    <w:rsid w:val="00D41212"/>
    <w:rsid w:val="00D42B45"/>
    <w:rsid w:val="00D57EE0"/>
    <w:rsid w:val="00D64E55"/>
    <w:rsid w:val="00D660A1"/>
    <w:rsid w:val="00D75416"/>
    <w:rsid w:val="00D7690B"/>
    <w:rsid w:val="00D77FF8"/>
    <w:rsid w:val="00D85EEC"/>
    <w:rsid w:val="00D92274"/>
    <w:rsid w:val="00D94339"/>
    <w:rsid w:val="00D9707F"/>
    <w:rsid w:val="00D97DD2"/>
    <w:rsid w:val="00DA0AD5"/>
    <w:rsid w:val="00DA1B01"/>
    <w:rsid w:val="00DA1F8E"/>
    <w:rsid w:val="00DA57A4"/>
    <w:rsid w:val="00DB0D07"/>
    <w:rsid w:val="00DB56EB"/>
    <w:rsid w:val="00DC32D9"/>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6FCE"/>
    <w:rsid w:val="00E87A6A"/>
    <w:rsid w:val="00E9232A"/>
    <w:rsid w:val="00EA4D1B"/>
    <w:rsid w:val="00EB1D11"/>
    <w:rsid w:val="00EC04C8"/>
    <w:rsid w:val="00EC3DC1"/>
    <w:rsid w:val="00ED2F1C"/>
    <w:rsid w:val="00ED3D05"/>
    <w:rsid w:val="00EE64AE"/>
    <w:rsid w:val="00EE71A2"/>
    <w:rsid w:val="00F06445"/>
    <w:rsid w:val="00F07114"/>
    <w:rsid w:val="00F206A7"/>
    <w:rsid w:val="00F3105E"/>
    <w:rsid w:val="00F41591"/>
    <w:rsid w:val="00F41A63"/>
    <w:rsid w:val="00F45BEB"/>
    <w:rsid w:val="00F54523"/>
    <w:rsid w:val="00F545AA"/>
    <w:rsid w:val="00F54B50"/>
    <w:rsid w:val="00F84544"/>
    <w:rsid w:val="00F85AA7"/>
    <w:rsid w:val="00F954FA"/>
    <w:rsid w:val="00F95B1F"/>
    <w:rsid w:val="00F95C2D"/>
    <w:rsid w:val="00FA05B2"/>
    <w:rsid w:val="00FA68A7"/>
    <w:rsid w:val="00FB0FDB"/>
    <w:rsid w:val="00FC0C51"/>
    <w:rsid w:val="00FC2B3C"/>
    <w:rsid w:val="00FD1CD8"/>
    <w:rsid w:val="00FD2D2B"/>
    <w:rsid w:val="00FE1B88"/>
    <w:rsid w:val="00FE7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semiHidden/>
    <w:unhideWhenUsed/>
    <w:rsid w:val="0061642D"/>
    <w:rPr>
      <w:color w:val="605E5C"/>
      <w:shd w:val="clear" w:color="auto" w:fill="E1DFDD"/>
    </w:rPr>
  </w:style>
  <w:style w:type="character" w:customStyle="1" w:styleId="normaltextrun1">
    <w:name w:val="normaltextrun1"/>
    <w:basedOn w:val="DefaultParagraphFont"/>
    <w:rsid w:val="00FB0FDB"/>
  </w:style>
  <w:style w:type="paragraph" w:customStyle="1" w:styleId="paragraph">
    <w:name w:val="paragraph"/>
    <w:basedOn w:val="Normal"/>
    <w:rsid w:val="00FB0FDB"/>
    <w:pPr>
      <w:spacing w:after="0" w:line="240" w:lineRule="auto"/>
    </w:pPr>
    <w:rPr>
      <w:rFonts w:ascii="Times New Roman" w:hAnsi="Times New Roman"/>
      <w:sz w:val="24"/>
    </w:rPr>
  </w:style>
  <w:style w:type="character" w:customStyle="1" w:styleId="eop">
    <w:name w:val="eop"/>
    <w:basedOn w:val="DefaultParagraphFont"/>
    <w:rsid w:val="00FB0FDB"/>
  </w:style>
  <w:style w:type="character" w:customStyle="1" w:styleId="contextualspellingandgrammarerror">
    <w:name w:val="contextualspellingandgrammarerror"/>
    <w:basedOn w:val="DefaultParagraphFont"/>
    <w:rsid w:val="00FB0FDB"/>
  </w:style>
  <w:style w:type="character" w:customStyle="1" w:styleId="advancedproofingissue">
    <w:name w:val="advancedproofingissue"/>
    <w:basedOn w:val="DefaultParagraphFont"/>
    <w:rsid w:val="00FB0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ry.roberts@education.gov.uk" TargetMode="External"/><Relationship Id="rId2" Type="http://schemas.openxmlformats.org/officeDocument/2006/relationships/customXml" Target="../customXml/item2.xml"/><Relationship Id="rId16" Type="http://schemas.openxmlformats.org/officeDocument/2006/relationships/hyperlink" Target="mailto:Alex.barton@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obshare.Mackenzie-Peachey@education.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teacher-recruitment-and-retention-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2CYMDDFJX5CA-4-54699</_dlc_DocId>
    <_dlc_DocIdUrl xmlns="ad312983-9933-4586-87ae-0dd55f2c5b7f">
      <Url>https://educationgovuk.sharepoint.com/sites/sarpi/a/_layouts/15/DocIdRedir.aspx?ID=2CYMDDFJX5CA-4-54699</Url>
      <Description>2CYMDDFJX5CA-4-54699</Description>
    </_dlc_DocIdUrl>
    <TaxCatchAll xmlns="8c566321-f672-4e06-a901-b5e72b4c4357">
      <Value>3</Value>
      <Value>2</Value>
      <Value>1</Value>
    </TaxCatchAll>
    <TaxCatchAllLabel xmlns="8c566321-f672-4e06-a901-b5e72b4c4357"/>
    <h5181134883947a99a38d116ffff0006 xmlns="69aff0e4-7cd5-4607-b571-57bf84d7ea3b">
      <Terms xmlns="http://schemas.microsoft.com/office/infopath/2007/PartnerControls"/>
    </h5181134883947a99a38d116ffff0006>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2d22bae47e1d1a73573580f4efb843ee">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http://schemas.microsoft.com/sharepoint/v3"/>
    <ds:schemaRef ds:uri="65c01043-0666-442f-acb7-2528b588859a"/>
    <ds:schemaRef ds:uri="8c566321-f672-4e06-a901-b5e72b4c4357"/>
    <ds:schemaRef ds:uri="69aff0e4-7cd5-4607-b571-57bf84d7ea3b"/>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BCD875E-A5BA-4280-83DD-906F7124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1299</Words>
  <Characters>7696</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8978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2020-08-21T14:07:00Z</dcterms:created>
  <dcterms:modified xsi:type="dcterms:W3CDTF">2020-08-21T14:07:00Z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