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0C96DE5C" w:rsidR="00F52BE8" w:rsidRDefault="00F52BE8" w:rsidP="000F6B25">
      <w:pPr>
        <w:rPr>
          <w:rFonts w:ascii="Verdana" w:hAnsi="Verdana"/>
          <w:color w:val="2C2C2C"/>
          <w:sz w:val="17"/>
          <w:szCs w:val="17"/>
          <w:lang w:val="en"/>
        </w:rPr>
      </w:pPr>
    </w:p>
    <w:p w14:paraId="68F118E9" w14:textId="6D07573B" w:rsidR="00F52BE8" w:rsidRDefault="00FC655B" w:rsidP="000F6B25">
      <w:pPr>
        <w:rPr>
          <w:rFonts w:ascii="Verdana" w:hAnsi="Verdana"/>
          <w:color w:val="2C2C2C"/>
          <w:sz w:val="17"/>
          <w:szCs w:val="17"/>
          <w:lang w:val="en"/>
        </w:rPr>
      </w:pPr>
      <w:r>
        <w:rPr>
          <w:noProof/>
          <w:lang w:eastAsia="en-GB"/>
        </w:rPr>
        <w:drawing>
          <wp:anchor distT="0" distB="0" distL="114300" distR="114300" simplePos="0" relativeHeight="251658240" behindDoc="0" locked="0" layoutInCell="1" allowOverlap="1" wp14:anchorId="6FAAA5BD" wp14:editId="3A306109">
            <wp:simplePos x="5219700" y="914400"/>
            <wp:positionH relativeFrom="column">
              <wp:align>right</wp:align>
            </wp:positionH>
            <wp:positionV relativeFrom="paragraph">
              <wp:align>top</wp:align>
            </wp:positionV>
            <wp:extent cx="1196340" cy="846455"/>
            <wp:effectExtent l="0" t="0" r="3810" b="0"/>
            <wp:wrapSquare wrapText="bothSides"/>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anchor>
        </w:drawing>
      </w:r>
      <w:r w:rsidR="000F6B25">
        <w:rPr>
          <w:rFonts w:ascii="Verdana" w:hAnsi="Verdana"/>
          <w:color w:val="2C2C2C"/>
          <w:sz w:val="17"/>
          <w:szCs w:val="17"/>
          <w:lang w:val="en"/>
        </w:rPr>
        <w:br w:type="textWrapping" w:clear="all"/>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96F9710" w14:textId="77777777" w:rsidR="000F6B25" w:rsidRPr="00045AFF" w:rsidRDefault="000F6B25" w:rsidP="000F6B25">
      <w:pPr>
        <w:jc w:val="center"/>
        <w:rPr>
          <w:rFonts w:cs="Arial"/>
          <w:b/>
          <w:u w:val="single"/>
        </w:rPr>
      </w:pPr>
    </w:p>
    <w:p w14:paraId="790334E0" w14:textId="5089C6B1" w:rsidR="000F6B25" w:rsidRPr="00045AFF" w:rsidRDefault="000F6B25" w:rsidP="000F6B25">
      <w:pPr>
        <w:jc w:val="center"/>
        <w:rPr>
          <w:rFonts w:cs="Arial"/>
          <w:b/>
          <w:u w:val="single"/>
        </w:rPr>
      </w:pPr>
      <w:r w:rsidRPr="00045AFF">
        <w:rPr>
          <w:rFonts w:cs="Arial"/>
          <w:b/>
          <w:u w:val="single"/>
        </w:rPr>
        <w:t xml:space="preserve">Assessment of robustness of property income forecasts of Network Rail </w:t>
      </w:r>
      <w:r>
        <w:rPr>
          <w:rFonts w:cs="Arial"/>
          <w:b/>
          <w:u w:val="single"/>
        </w:rPr>
        <w:t>for CP7</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0053A6D8" w:rsidR="00F52BE8" w:rsidRPr="009A16E7" w:rsidRDefault="00F52BE8" w:rsidP="00F52BE8">
      <w:pPr>
        <w:spacing w:after="0" w:line="360" w:lineRule="auto"/>
        <w:rPr>
          <w:rFonts w:cs="Arial"/>
          <w:b/>
          <w:u w:val="single"/>
        </w:rPr>
      </w:pPr>
      <w:r w:rsidRPr="00034159">
        <w:rPr>
          <w:rFonts w:cs="Arial"/>
          <w:b/>
          <w:u w:val="single"/>
        </w:rPr>
        <w:t xml:space="preserve">CPV Code: </w:t>
      </w:r>
      <w:r w:rsidR="009A16E7" w:rsidRPr="009A16E7">
        <w:rPr>
          <w:rFonts w:cs="Arial"/>
          <w:b/>
          <w:u w:val="single"/>
        </w:rPr>
        <w:t>66171000</w:t>
      </w:r>
    </w:p>
    <w:p w14:paraId="610DAFD3" w14:textId="017D6419" w:rsidR="00F52BE8" w:rsidRPr="00034159" w:rsidRDefault="00F52BE8" w:rsidP="00F52BE8">
      <w:pPr>
        <w:spacing w:after="0" w:line="360" w:lineRule="auto"/>
        <w:rPr>
          <w:rFonts w:cs="Arial"/>
          <w:b/>
        </w:rPr>
      </w:pPr>
      <w:r>
        <w:rPr>
          <w:rFonts w:cs="Arial"/>
          <w:b/>
          <w:u w:val="single"/>
        </w:rPr>
        <w:t xml:space="preserve">Tender Reference: </w:t>
      </w:r>
      <w:r w:rsidR="00AD102B" w:rsidRPr="00AD102B">
        <w:rPr>
          <w:rFonts w:cs="Arial"/>
          <w:b/>
          <w:u w:val="single"/>
        </w:rPr>
        <w:t>ORR/CT/21-59</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BDCB531" w14:textId="77777777" w:rsidR="000F6B25" w:rsidRPr="00B21F63" w:rsidRDefault="000F6B25" w:rsidP="000F6B25">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w:t>
      </w:r>
      <w:r w:rsidRPr="00045AFF">
        <w:rPr>
          <w:rFonts w:cs="Arial"/>
        </w:rPr>
        <w:t xml:space="preserve">for </w:t>
      </w:r>
      <w:r>
        <w:rPr>
          <w:rFonts w:cs="Arial"/>
        </w:rPr>
        <w:t>the a</w:t>
      </w:r>
      <w:r w:rsidRPr="00045AFF">
        <w:rPr>
          <w:rFonts w:cs="Arial"/>
        </w:rPr>
        <w:t xml:space="preserve">ssessment of </w:t>
      </w:r>
      <w:r>
        <w:rPr>
          <w:rFonts w:cs="Arial"/>
        </w:rPr>
        <w:t xml:space="preserve">the </w:t>
      </w:r>
      <w:r w:rsidRPr="00045AFF">
        <w:rPr>
          <w:rFonts w:cs="Arial"/>
        </w:rPr>
        <w:t xml:space="preserve">robustness of property income forecasts </w:t>
      </w:r>
      <w:r>
        <w:rPr>
          <w:rFonts w:cs="Arial"/>
        </w:rPr>
        <w:t>by</w:t>
      </w:r>
      <w:r w:rsidRPr="00045AFF">
        <w:rPr>
          <w:rFonts w:cs="Arial"/>
        </w:rPr>
        <w:t xml:space="preserve"> Network Rail in </w:t>
      </w:r>
      <w:r>
        <w:rPr>
          <w:rFonts w:cs="Arial"/>
        </w:rPr>
        <w:t>its</w:t>
      </w:r>
      <w:r w:rsidRPr="00045AFF">
        <w:rPr>
          <w:rFonts w:cs="Arial"/>
        </w:rPr>
        <w:t xml:space="preserve"> Strategic Business Plan (SBP) </w:t>
      </w:r>
      <w:r w:rsidRPr="00034159">
        <w:rPr>
          <w:rFonts w:cs="Arial"/>
          <w:color w:val="000000"/>
        </w:rPr>
        <w:t>for</w:t>
      </w:r>
      <w:r>
        <w:rPr>
          <w:rFonts w:cs="Arial"/>
          <w:color w:val="000000"/>
        </w:rPr>
        <w:t xml:space="preserve"> CP7, for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55B4411B"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12337C">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22BFDE0E"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12337C">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1D78E5AE" w14:textId="3657DB15" w:rsidR="000F6B25" w:rsidRPr="00752CEC" w:rsidRDefault="000F6B25" w:rsidP="000F6B25">
            <w:pPr>
              <w:spacing w:before="240"/>
              <w:rPr>
                <w:rFonts w:cs="Arial"/>
                <w:sz w:val="22"/>
                <w:szCs w:val="22"/>
              </w:rPr>
            </w:pPr>
            <w:r w:rsidRPr="00752CEC">
              <w:rPr>
                <w:rFonts w:cs="Arial"/>
                <w:sz w:val="22"/>
                <w:szCs w:val="22"/>
              </w:rPr>
              <w:t>ORR launched its Periodic Review 2023 (PR</w:t>
            </w:r>
            <w:r w:rsidR="00BE30E5" w:rsidRPr="00752CEC">
              <w:rPr>
                <w:rFonts w:cs="Arial"/>
                <w:sz w:val="22"/>
                <w:szCs w:val="22"/>
              </w:rPr>
              <w:t>23</w:t>
            </w:r>
            <w:r w:rsidRPr="00752CEC">
              <w:rPr>
                <w:rFonts w:cs="Arial"/>
                <w:sz w:val="22"/>
                <w:szCs w:val="22"/>
              </w:rPr>
              <w:t xml:space="preserve">) in June 2021, to assess what Network Rail </w:t>
            </w:r>
            <w:r w:rsidR="00774E2B" w:rsidRPr="00752CEC">
              <w:rPr>
                <w:rFonts w:cs="Arial"/>
                <w:sz w:val="22"/>
                <w:szCs w:val="22"/>
              </w:rPr>
              <w:t xml:space="preserve">(NR) </w:t>
            </w:r>
            <w:r w:rsidRPr="00752CEC">
              <w:rPr>
                <w:rFonts w:cs="Arial"/>
                <w:sz w:val="22"/>
                <w:szCs w:val="22"/>
              </w:rPr>
              <w:t xml:space="preserve">must achieve in the period from April 2024 to March 2029 (CP7), the money it needs to do so, and the incentives needed to encourage delivery and outperformance. </w:t>
            </w:r>
            <w:r w:rsidRPr="00752CEC">
              <w:rPr>
                <w:sz w:val="22"/>
                <w:szCs w:val="22"/>
              </w:rPr>
              <w:t xml:space="preserve">It will also need to accommodate the reforms that have taken place in the industry to </w:t>
            </w:r>
            <w:proofErr w:type="gramStart"/>
            <w:r w:rsidRPr="00752CEC">
              <w:rPr>
                <w:sz w:val="22"/>
                <w:szCs w:val="22"/>
              </w:rPr>
              <w:t>date</w:t>
            </w:r>
            <w:proofErr w:type="gramEnd"/>
            <w:r w:rsidRPr="00752CEC">
              <w:rPr>
                <w:sz w:val="22"/>
                <w:szCs w:val="22"/>
              </w:rPr>
              <w:t xml:space="preserve"> and the vision set out by the UK government in the Williams-</w:t>
            </w:r>
            <w:proofErr w:type="spellStart"/>
            <w:r w:rsidRPr="00752CEC">
              <w:rPr>
                <w:sz w:val="22"/>
                <w:szCs w:val="22"/>
              </w:rPr>
              <w:t>Shapps</w:t>
            </w:r>
            <w:proofErr w:type="spellEnd"/>
            <w:r w:rsidRPr="00752CEC">
              <w:rPr>
                <w:sz w:val="22"/>
                <w:szCs w:val="22"/>
              </w:rPr>
              <w:t xml:space="preserve"> Plan for Rail – adapting the approach to PR23 to support the delivery of a more integrated railway that delivers improvements for customers – while retaining the core benefits from a five year funding settlement</w:t>
            </w:r>
            <w:r w:rsidRPr="00752CEC">
              <w:rPr>
                <w:rFonts w:cs="Arial"/>
                <w:sz w:val="22"/>
                <w:szCs w:val="22"/>
              </w:rPr>
              <w:t>.</w:t>
            </w:r>
          </w:p>
          <w:p w14:paraId="6D65658F" w14:textId="0457DB0B" w:rsidR="00774E2B" w:rsidRPr="00752CEC" w:rsidRDefault="000F6B25" w:rsidP="000F6B25">
            <w:pPr>
              <w:rPr>
                <w:rFonts w:cs="Arial"/>
                <w:sz w:val="22"/>
                <w:szCs w:val="22"/>
              </w:rPr>
            </w:pPr>
            <w:r w:rsidRPr="00752CEC">
              <w:rPr>
                <w:rFonts w:cs="Arial"/>
                <w:sz w:val="22"/>
                <w:szCs w:val="22"/>
              </w:rPr>
              <w:t xml:space="preserve">As part of PR23, ORR is required to assess </w:t>
            </w:r>
            <w:r w:rsidR="00774E2B" w:rsidRPr="00752CEC">
              <w:rPr>
                <w:rFonts w:cs="Arial"/>
                <w:sz w:val="22"/>
                <w:szCs w:val="22"/>
              </w:rPr>
              <w:t>NR’s</w:t>
            </w:r>
            <w:r w:rsidRPr="00752CEC">
              <w:rPr>
                <w:rFonts w:cs="Arial"/>
                <w:sz w:val="22"/>
                <w:szCs w:val="22"/>
              </w:rPr>
              <w:t xml:space="preserve"> Other Single </w:t>
            </w:r>
            <w:proofErr w:type="gramStart"/>
            <w:r w:rsidRPr="00752CEC">
              <w:rPr>
                <w:rFonts w:cs="Arial"/>
                <w:sz w:val="22"/>
                <w:szCs w:val="22"/>
              </w:rPr>
              <w:t>Till</w:t>
            </w:r>
            <w:proofErr w:type="gramEnd"/>
            <w:r w:rsidRPr="00752CEC">
              <w:rPr>
                <w:rFonts w:cs="Arial"/>
                <w:sz w:val="22"/>
                <w:szCs w:val="22"/>
              </w:rPr>
              <w:t xml:space="preserve"> Income (OSTI)</w:t>
            </w:r>
            <w:r w:rsidR="00BE30E5" w:rsidRPr="00752CEC">
              <w:rPr>
                <w:rFonts w:cs="Arial"/>
                <w:sz w:val="22"/>
                <w:szCs w:val="22"/>
              </w:rPr>
              <w:t xml:space="preserve">, which is the income it receives from sources other than government grant or track access charges. The focus of this study is the </w:t>
            </w:r>
            <w:r w:rsidR="00F625D5" w:rsidRPr="00752CEC">
              <w:rPr>
                <w:rFonts w:cs="Arial"/>
                <w:sz w:val="22"/>
                <w:szCs w:val="22"/>
              </w:rPr>
              <w:t>income</w:t>
            </w:r>
            <w:r w:rsidR="00BE30E5" w:rsidRPr="00752CEC">
              <w:rPr>
                <w:rFonts w:cs="Arial"/>
                <w:sz w:val="22"/>
                <w:szCs w:val="22"/>
              </w:rPr>
              <w:t xml:space="preserve"> </w:t>
            </w:r>
            <w:r w:rsidR="00774E2B" w:rsidRPr="00752CEC">
              <w:rPr>
                <w:rFonts w:cs="Arial"/>
                <w:sz w:val="22"/>
                <w:szCs w:val="22"/>
              </w:rPr>
              <w:t xml:space="preserve">NR </w:t>
            </w:r>
            <w:r w:rsidR="00BE30E5" w:rsidRPr="00752CEC">
              <w:rPr>
                <w:rFonts w:cs="Arial"/>
                <w:sz w:val="22"/>
                <w:szCs w:val="22"/>
              </w:rPr>
              <w:t xml:space="preserve">receives from the </w:t>
            </w:r>
            <w:r w:rsidR="00F625D5" w:rsidRPr="00752CEC">
              <w:rPr>
                <w:rFonts w:cs="Arial"/>
                <w:sz w:val="22"/>
                <w:szCs w:val="22"/>
              </w:rPr>
              <w:t xml:space="preserve">sale and rental of </w:t>
            </w:r>
            <w:r w:rsidR="00774E2B" w:rsidRPr="00752CEC">
              <w:rPr>
                <w:rFonts w:cs="Arial"/>
                <w:sz w:val="22"/>
                <w:szCs w:val="22"/>
              </w:rPr>
              <w:t>NR’s</w:t>
            </w:r>
            <w:r w:rsidR="00F625D5" w:rsidRPr="00752CEC">
              <w:rPr>
                <w:rFonts w:cs="Arial"/>
                <w:sz w:val="22"/>
                <w:szCs w:val="22"/>
              </w:rPr>
              <w:t xml:space="preserve"> property assets</w:t>
            </w:r>
            <w:r w:rsidR="00BE30E5" w:rsidRPr="00752CEC">
              <w:rPr>
                <w:rFonts w:cs="Arial"/>
                <w:sz w:val="22"/>
                <w:szCs w:val="22"/>
              </w:rPr>
              <w:t xml:space="preserve"> which forms the majority of OSTI in any one year. It is vital that </w:t>
            </w:r>
            <w:r w:rsidR="00774E2B" w:rsidRPr="00752CEC">
              <w:rPr>
                <w:rFonts w:cs="Arial"/>
                <w:sz w:val="22"/>
                <w:szCs w:val="22"/>
              </w:rPr>
              <w:t>NR</w:t>
            </w:r>
            <w:r w:rsidR="00BE30E5" w:rsidRPr="00752CEC">
              <w:rPr>
                <w:rFonts w:cs="Arial"/>
                <w:sz w:val="22"/>
                <w:szCs w:val="22"/>
              </w:rPr>
              <w:t xml:space="preserve"> maximises the income it derives from </w:t>
            </w:r>
            <w:r w:rsidR="00767F78" w:rsidRPr="00752CEC">
              <w:rPr>
                <w:rFonts w:cs="Arial"/>
                <w:sz w:val="22"/>
                <w:szCs w:val="22"/>
              </w:rPr>
              <w:t>its</w:t>
            </w:r>
            <w:r w:rsidR="00BE30E5" w:rsidRPr="00752CEC">
              <w:rPr>
                <w:rFonts w:cs="Arial"/>
                <w:sz w:val="22"/>
                <w:szCs w:val="22"/>
              </w:rPr>
              <w:t xml:space="preserve"> property assets</w:t>
            </w:r>
            <w:r w:rsidR="00774E2B" w:rsidRPr="00752CEC">
              <w:rPr>
                <w:rFonts w:cs="Arial"/>
                <w:sz w:val="22"/>
                <w:szCs w:val="22"/>
              </w:rPr>
              <w:t xml:space="preserve"> as,</w:t>
            </w:r>
            <w:r w:rsidR="00BE30E5" w:rsidRPr="00752CEC">
              <w:rPr>
                <w:rFonts w:cs="Arial"/>
                <w:sz w:val="22"/>
                <w:szCs w:val="22"/>
              </w:rPr>
              <w:t xml:space="preserve"> all things being equal, the </w:t>
            </w:r>
            <w:r w:rsidRPr="00752CEC">
              <w:rPr>
                <w:rFonts w:cs="Arial"/>
                <w:sz w:val="22"/>
                <w:szCs w:val="22"/>
              </w:rPr>
              <w:t>OSTI income</w:t>
            </w:r>
            <w:r w:rsidR="00774E2B" w:rsidRPr="00752CEC">
              <w:rPr>
                <w:rFonts w:cs="Arial"/>
                <w:sz w:val="22"/>
                <w:szCs w:val="22"/>
              </w:rPr>
              <w:t xml:space="preserve"> r</w:t>
            </w:r>
            <w:r w:rsidR="00BE30E5" w:rsidRPr="00752CEC">
              <w:rPr>
                <w:rFonts w:cs="Arial"/>
                <w:sz w:val="22"/>
                <w:szCs w:val="22"/>
              </w:rPr>
              <w:t xml:space="preserve">educes the amount of funding </w:t>
            </w:r>
            <w:r w:rsidR="00774E2B" w:rsidRPr="00752CEC">
              <w:rPr>
                <w:rFonts w:cs="Arial"/>
                <w:sz w:val="22"/>
                <w:szCs w:val="22"/>
              </w:rPr>
              <w:t>it</w:t>
            </w:r>
            <w:r w:rsidR="00BE30E5" w:rsidRPr="00752CEC">
              <w:rPr>
                <w:rFonts w:cs="Arial"/>
                <w:sz w:val="22"/>
                <w:szCs w:val="22"/>
              </w:rPr>
              <w:t xml:space="preserve"> receives from </w:t>
            </w:r>
            <w:r w:rsidR="00774E2B" w:rsidRPr="00752CEC">
              <w:rPr>
                <w:rFonts w:cs="Arial"/>
                <w:sz w:val="22"/>
                <w:szCs w:val="22"/>
              </w:rPr>
              <w:t xml:space="preserve">the taxpayer. </w:t>
            </w:r>
          </w:p>
          <w:p w14:paraId="4EED3C4A" w14:textId="1576886D" w:rsidR="00EA48A7" w:rsidRPr="00752CEC" w:rsidRDefault="00B17703" w:rsidP="00B17703">
            <w:pPr>
              <w:rPr>
                <w:rFonts w:cs="Arial"/>
                <w:sz w:val="22"/>
                <w:szCs w:val="22"/>
              </w:rPr>
            </w:pPr>
            <w:r w:rsidRPr="00752CEC">
              <w:rPr>
                <w:rFonts w:cs="Arial"/>
                <w:sz w:val="22"/>
                <w:szCs w:val="22"/>
              </w:rPr>
              <w:t xml:space="preserve">Property income in 2019-20, largely before the impact of Covid-19, was £779m, of which £254m property rental and £525m property sales. </w:t>
            </w:r>
            <w:r w:rsidR="00E17F7A" w:rsidRPr="00752CEC">
              <w:rPr>
                <w:rFonts w:cs="Arial"/>
                <w:sz w:val="22"/>
                <w:szCs w:val="22"/>
              </w:rPr>
              <w:t>Due to the impact of Covid-19</w:t>
            </w:r>
            <w:r w:rsidR="00EA48A7" w:rsidRPr="00752CEC">
              <w:rPr>
                <w:rFonts w:cs="Arial"/>
                <w:sz w:val="22"/>
                <w:szCs w:val="22"/>
              </w:rPr>
              <w:t xml:space="preserve">, </w:t>
            </w:r>
            <w:r w:rsidR="00E17F7A" w:rsidRPr="00752CEC">
              <w:rPr>
                <w:rFonts w:cs="Arial"/>
                <w:sz w:val="22"/>
                <w:szCs w:val="22"/>
              </w:rPr>
              <w:t>reduced station footfall and rental holidays etc., total income in 2020-21 reduced to £8</w:t>
            </w:r>
            <w:r w:rsidR="00EA48A7" w:rsidRPr="00752CEC">
              <w:rPr>
                <w:rFonts w:cs="Arial"/>
                <w:sz w:val="22"/>
                <w:szCs w:val="22"/>
              </w:rPr>
              <w:t>6m.</w:t>
            </w:r>
            <w:r w:rsidR="003F3349" w:rsidRPr="00752CEC">
              <w:rPr>
                <w:rFonts w:cs="Arial"/>
                <w:sz w:val="22"/>
                <w:szCs w:val="22"/>
              </w:rPr>
              <w:t xml:space="preserve"> The rail industry is </w:t>
            </w:r>
            <w:r w:rsidR="00E17F7A" w:rsidRPr="00752CEC">
              <w:rPr>
                <w:rFonts w:cs="Arial"/>
                <w:sz w:val="22"/>
                <w:szCs w:val="22"/>
              </w:rPr>
              <w:t>beginning</w:t>
            </w:r>
            <w:r w:rsidR="003F3349" w:rsidRPr="00752CEC">
              <w:rPr>
                <w:rFonts w:cs="Arial"/>
                <w:sz w:val="22"/>
                <w:szCs w:val="22"/>
              </w:rPr>
              <w:t xml:space="preserve"> to recover </w:t>
            </w:r>
            <w:r w:rsidR="00E17F7A" w:rsidRPr="00752CEC">
              <w:rPr>
                <w:rFonts w:cs="Arial"/>
                <w:sz w:val="22"/>
                <w:szCs w:val="22"/>
              </w:rPr>
              <w:t>however</w:t>
            </w:r>
            <w:r w:rsidR="003F3349" w:rsidRPr="00752CEC">
              <w:rPr>
                <w:rFonts w:cs="Arial"/>
                <w:sz w:val="22"/>
                <w:szCs w:val="22"/>
              </w:rPr>
              <w:t xml:space="preserve"> there is a high degree of uncertainly around the timing and level</w:t>
            </w:r>
            <w:r w:rsidR="00E17F7A" w:rsidRPr="00752CEC">
              <w:rPr>
                <w:rFonts w:cs="Arial"/>
                <w:sz w:val="22"/>
                <w:szCs w:val="22"/>
              </w:rPr>
              <w:t xml:space="preserve"> of the recovery.</w:t>
            </w:r>
          </w:p>
          <w:p w14:paraId="5BFE9237" w14:textId="6D584F1D" w:rsidR="00B87F5C" w:rsidRPr="00FE211F" w:rsidRDefault="00774E2B">
            <w:pPr>
              <w:rPr>
                <w:rFonts w:cs="Arial"/>
                <w:sz w:val="22"/>
                <w:szCs w:val="22"/>
              </w:rPr>
            </w:pPr>
            <w:r w:rsidRPr="00752CEC">
              <w:rPr>
                <w:rFonts w:cs="Arial"/>
                <w:sz w:val="22"/>
                <w:szCs w:val="22"/>
              </w:rPr>
              <w:t>The ORR requires a consultant to provide a detailed assessment of NR’s</w:t>
            </w:r>
            <w:r w:rsidR="00F625D5" w:rsidRPr="00752CEC">
              <w:rPr>
                <w:rFonts w:cs="Arial"/>
                <w:sz w:val="22"/>
                <w:szCs w:val="22"/>
              </w:rPr>
              <w:t xml:space="preserve"> property income forecast for CP</w:t>
            </w:r>
            <w:r w:rsidRPr="00752CEC">
              <w:rPr>
                <w:rFonts w:cs="Arial"/>
                <w:sz w:val="22"/>
                <w:szCs w:val="22"/>
              </w:rPr>
              <w:t xml:space="preserve">7. </w:t>
            </w:r>
            <w:r w:rsidR="00B87F5C" w:rsidRPr="00752CEC">
              <w:rPr>
                <w:rFonts w:cs="Arial"/>
                <w:sz w:val="22"/>
                <w:szCs w:val="22"/>
              </w:rPr>
              <w:t xml:space="preserve">This work will inform </w:t>
            </w:r>
            <w:proofErr w:type="spellStart"/>
            <w:r w:rsidR="00B87F5C" w:rsidRPr="00752CEC">
              <w:rPr>
                <w:rFonts w:cs="Arial"/>
                <w:sz w:val="22"/>
                <w:szCs w:val="22"/>
              </w:rPr>
              <w:t>ORR’s</w:t>
            </w:r>
            <w:proofErr w:type="spellEnd"/>
            <w:r w:rsidR="00B87F5C" w:rsidRPr="00752CEC">
              <w:rPr>
                <w:rFonts w:cs="Arial"/>
                <w:sz w:val="22"/>
                <w:szCs w:val="22"/>
              </w:rPr>
              <w:t xml:space="preserve"> </w:t>
            </w:r>
            <w:r w:rsidR="00752CEC" w:rsidRPr="00752CEC">
              <w:rPr>
                <w:rFonts w:cs="Arial"/>
                <w:sz w:val="22"/>
                <w:szCs w:val="22"/>
              </w:rPr>
              <w:t>advice</w:t>
            </w:r>
            <w:r w:rsidR="00B87F5C" w:rsidRPr="00752CEC">
              <w:rPr>
                <w:rFonts w:cs="Arial"/>
                <w:sz w:val="22"/>
                <w:szCs w:val="22"/>
              </w:rPr>
              <w:t xml:space="preserve"> to funders ahead of them providing their HLOS (High Level Output Specification) and </w:t>
            </w:r>
            <w:proofErr w:type="spellStart"/>
            <w:r w:rsidR="00B87F5C" w:rsidRPr="00752CEC">
              <w:rPr>
                <w:rFonts w:cs="Arial"/>
                <w:sz w:val="22"/>
                <w:szCs w:val="22"/>
              </w:rPr>
              <w:t>SoFA</w:t>
            </w:r>
            <w:proofErr w:type="spellEnd"/>
            <w:r w:rsidR="00B87F5C" w:rsidRPr="00752CEC">
              <w:rPr>
                <w:rFonts w:cs="Arial"/>
                <w:sz w:val="22"/>
                <w:szCs w:val="22"/>
              </w:rPr>
              <w:t xml:space="preserve"> (Statement of Funds Available) for CP7 in 2022.</w:t>
            </w: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21126AAB" w14:textId="44C062E2" w:rsidR="00E17F7A" w:rsidRPr="00752CEC" w:rsidRDefault="000F6B25" w:rsidP="000F6B25">
            <w:pPr>
              <w:rPr>
                <w:rFonts w:cs="Arial"/>
                <w:sz w:val="22"/>
                <w:szCs w:val="22"/>
              </w:rPr>
            </w:pPr>
            <w:bookmarkStart w:id="0" w:name="_Ref141529256"/>
            <w:bookmarkStart w:id="1" w:name="_Ref141604263"/>
            <w:bookmarkStart w:id="2" w:name="_Ref141692536"/>
            <w:bookmarkStart w:id="3" w:name="_Ref153788248"/>
            <w:r w:rsidRPr="00752CEC">
              <w:rPr>
                <w:rFonts w:cs="Arial"/>
                <w:sz w:val="22"/>
                <w:szCs w:val="22"/>
              </w:rPr>
              <w:t xml:space="preserve">The </w:t>
            </w:r>
            <w:r w:rsidR="00774E2B" w:rsidRPr="00752CEC">
              <w:rPr>
                <w:rFonts w:cs="Arial"/>
                <w:sz w:val="22"/>
                <w:szCs w:val="22"/>
              </w:rPr>
              <w:t xml:space="preserve">consultant </w:t>
            </w:r>
            <w:r w:rsidRPr="00752CEC">
              <w:rPr>
                <w:rFonts w:cs="Arial"/>
                <w:sz w:val="22"/>
                <w:szCs w:val="22"/>
              </w:rPr>
              <w:t xml:space="preserve">should </w:t>
            </w:r>
            <w:bookmarkEnd w:id="0"/>
            <w:r w:rsidRPr="00752CEC">
              <w:rPr>
                <w:rFonts w:cs="Arial"/>
                <w:sz w:val="22"/>
                <w:szCs w:val="22"/>
              </w:rPr>
              <w:t>inform us of their view of the likely property income for NR for CP7</w:t>
            </w:r>
            <w:r w:rsidR="00B17703" w:rsidRPr="00752CEC">
              <w:rPr>
                <w:rFonts w:cs="Arial"/>
                <w:sz w:val="22"/>
                <w:szCs w:val="22"/>
              </w:rPr>
              <w:t>, with an appropriate forecast range for current market uncertainty</w:t>
            </w:r>
            <w:r w:rsidRPr="00752CEC">
              <w:rPr>
                <w:rFonts w:cs="Arial"/>
                <w:sz w:val="22"/>
                <w:szCs w:val="22"/>
              </w:rPr>
              <w:t xml:space="preserve">. </w:t>
            </w:r>
          </w:p>
          <w:p w14:paraId="463F23DA" w14:textId="788E704B" w:rsidR="00E17F7A" w:rsidRPr="00752CEC" w:rsidRDefault="00E17F7A" w:rsidP="000F6B25">
            <w:pPr>
              <w:rPr>
                <w:rFonts w:cs="Arial"/>
                <w:sz w:val="22"/>
                <w:szCs w:val="22"/>
              </w:rPr>
            </w:pPr>
            <w:r w:rsidRPr="00752CEC">
              <w:rPr>
                <w:rFonts w:cs="Arial"/>
                <w:sz w:val="22"/>
                <w:szCs w:val="22"/>
              </w:rPr>
              <w:t>Please note that Network Rail has two funders, the Department for Transport and Transport Scotland and is organized around 5 regions. The consultant will need to reflect any differences of a regional / country basis in the study. For example, Network Rail have made station arch space available to tenants as a source of property rental income in England and Wales but not in Scotland.</w:t>
            </w:r>
          </w:p>
          <w:p w14:paraId="53F3E6D0" w14:textId="4C5E641B" w:rsidR="000F6B25" w:rsidRPr="00752CEC" w:rsidRDefault="000F6B25" w:rsidP="000F6B25">
            <w:pPr>
              <w:rPr>
                <w:rFonts w:cs="Arial"/>
                <w:sz w:val="22"/>
                <w:szCs w:val="22"/>
              </w:rPr>
            </w:pPr>
            <w:r w:rsidRPr="00752CEC">
              <w:rPr>
                <w:rFonts w:cs="Arial"/>
                <w:sz w:val="22"/>
                <w:szCs w:val="22"/>
              </w:rPr>
              <w:t xml:space="preserve">The </w:t>
            </w:r>
            <w:r w:rsidR="00E17F7A" w:rsidRPr="00752CEC">
              <w:rPr>
                <w:rFonts w:cs="Arial"/>
                <w:sz w:val="22"/>
                <w:szCs w:val="22"/>
              </w:rPr>
              <w:t>consultant</w:t>
            </w:r>
            <w:r w:rsidRPr="00752CEC">
              <w:rPr>
                <w:rFonts w:cs="Arial"/>
                <w:sz w:val="22"/>
                <w:szCs w:val="22"/>
              </w:rPr>
              <w:t xml:space="preserve"> should review and assess the </w:t>
            </w:r>
            <w:r w:rsidR="00F625D5" w:rsidRPr="00752CEC">
              <w:rPr>
                <w:rFonts w:cs="Arial"/>
                <w:sz w:val="22"/>
                <w:szCs w:val="22"/>
              </w:rPr>
              <w:t>forecast information</w:t>
            </w:r>
            <w:r w:rsidRPr="00752CEC">
              <w:rPr>
                <w:rFonts w:cs="Arial"/>
                <w:sz w:val="22"/>
                <w:szCs w:val="22"/>
              </w:rPr>
              <w:t xml:space="preserve"> provided by Network Rail. The review will cover both revenue income as well as capital sales and profit projections. The review should</w:t>
            </w:r>
            <w:bookmarkEnd w:id="1"/>
            <w:bookmarkEnd w:id="2"/>
            <w:bookmarkEnd w:id="3"/>
            <w:r w:rsidRPr="00752CEC">
              <w:rPr>
                <w:rFonts w:cs="Arial"/>
                <w:sz w:val="22"/>
                <w:szCs w:val="22"/>
              </w:rPr>
              <w:t xml:space="preserve"> cover the following requirements.</w:t>
            </w:r>
          </w:p>
          <w:p w14:paraId="2C42DE55" w14:textId="6EFCB2B3" w:rsidR="000F6B25" w:rsidRPr="00752CEC" w:rsidRDefault="000F6B25" w:rsidP="000F6B25">
            <w:pPr>
              <w:numPr>
                <w:ilvl w:val="0"/>
                <w:numId w:val="25"/>
              </w:numPr>
              <w:rPr>
                <w:rFonts w:cs="Arial"/>
                <w:sz w:val="22"/>
                <w:szCs w:val="22"/>
              </w:rPr>
            </w:pPr>
            <w:r w:rsidRPr="00752CEC">
              <w:rPr>
                <w:rFonts w:cs="Arial"/>
                <w:sz w:val="22"/>
                <w:szCs w:val="22"/>
              </w:rPr>
              <w:t xml:space="preserve">On a top-down basis, assess the consistency of the forecasts with exogenous market factors </w:t>
            </w:r>
            <w:proofErr w:type="gramStart"/>
            <w:r w:rsidRPr="00752CEC">
              <w:rPr>
                <w:rFonts w:cs="Arial"/>
                <w:sz w:val="22"/>
                <w:szCs w:val="22"/>
              </w:rPr>
              <w:t>e.g.</w:t>
            </w:r>
            <w:proofErr w:type="gramEnd"/>
            <w:r w:rsidRPr="00752CEC">
              <w:rPr>
                <w:rFonts w:cs="Arial"/>
                <w:sz w:val="22"/>
                <w:szCs w:val="22"/>
              </w:rPr>
              <w:t xml:space="preserve"> expected growth in the overall market</w:t>
            </w:r>
            <w:r w:rsidRPr="00752CEC">
              <w:rPr>
                <w:rFonts w:cs="Arial"/>
                <w:bCs/>
                <w:sz w:val="22"/>
                <w:szCs w:val="22"/>
              </w:rPr>
              <w:t>, GDP, expected growth in commercial property rents, change in property prices;</w:t>
            </w:r>
            <w:r w:rsidRPr="00752CEC">
              <w:rPr>
                <w:rFonts w:cs="Arial"/>
                <w:sz w:val="22"/>
                <w:szCs w:val="22"/>
              </w:rPr>
              <w:t xml:space="preserve"> </w:t>
            </w:r>
            <w:r w:rsidRPr="00752CEC">
              <w:rPr>
                <w:rFonts w:cs="Arial"/>
                <w:bCs/>
                <w:sz w:val="22"/>
                <w:szCs w:val="22"/>
              </w:rPr>
              <w:lastRenderedPageBreak/>
              <w:t>availability of suitable sales sites; and rail-specific factors e.g. changes in patterns of service and resulting income.</w:t>
            </w:r>
          </w:p>
          <w:p w14:paraId="6F606447" w14:textId="2537BB6B" w:rsidR="00A95B39" w:rsidRPr="00752CEC" w:rsidRDefault="00A95B39" w:rsidP="000F6B25">
            <w:pPr>
              <w:numPr>
                <w:ilvl w:val="0"/>
                <w:numId w:val="25"/>
              </w:numPr>
              <w:rPr>
                <w:rFonts w:cs="Arial"/>
                <w:sz w:val="22"/>
                <w:szCs w:val="22"/>
              </w:rPr>
            </w:pPr>
            <w:r w:rsidRPr="00752CEC">
              <w:rPr>
                <w:rFonts w:cs="Arial"/>
                <w:bCs/>
                <w:sz w:val="22"/>
                <w:szCs w:val="22"/>
              </w:rPr>
              <w:t xml:space="preserve">Assess the </w:t>
            </w:r>
            <w:r w:rsidR="005069D8" w:rsidRPr="00752CEC">
              <w:rPr>
                <w:rFonts w:cs="Arial"/>
                <w:bCs/>
                <w:sz w:val="22"/>
                <w:szCs w:val="22"/>
              </w:rPr>
              <w:t xml:space="preserve">suitability of the </w:t>
            </w:r>
            <w:r w:rsidRPr="00752CEC">
              <w:rPr>
                <w:rFonts w:cs="Arial"/>
                <w:bCs/>
                <w:sz w:val="22"/>
                <w:szCs w:val="22"/>
              </w:rPr>
              <w:t xml:space="preserve">modelling approach used by Network Rail for forecasting property income in CP7 given the uncertainty </w:t>
            </w:r>
            <w:r w:rsidR="00B17703" w:rsidRPr="00752CEC">
              <w:rPr>
                <w:rFonts w:cs="Arial"/>
                <w:bCs/>
                <w:sz w:val="22"/>
                <w:szCs w:val="22"/>
              </w:rPr>
              <w:t>create</w:t>
            </w:r>
            <w:r w:rsidRPr="00752CEC">
              <w:rPr>
                <w:rFonts w:cs="Arial"/>
                <w:bCs/>
                <w:sz w:val="22"/>
                <w:szCs w:val="22"/>
              </w:rPr>
              <w:t>d by Covid-19</w:t>
            </w:r>
            <w:r w:rsidR="00B17703" w:rsidRPr="00752CEC">
              <w:rPr>
                <w:rFonts w:cs="Arial"/>
                <w:bCs/>
                <w:sz w:val="22"/>
                <w:szCs w:val="22"/>
              </w:rPr>
              <w:t>.</w:t>
            </w:r>
          </w:p>
          <w:p w14:paraId="2242A409" w14:textId="666CD702" w:rsidR="00A95B39" w:rsidRPr="00752CEC" w:rsidRDefault="00A95B39" w:rsidP="000F6B25">
            <w:pPr>
              <w:numPr>
                <w:ilvl w:val="0"/>
                <w:numId w:val="25"/>
              </w:numPr>
              <w:rPr>
                <w:rFonts w:cs="Arial"/>
                <w:sz w:val="22"/>
                <w:szCs w:val="22"/>
              </w:rPr>
            </w:pPr>
            <w:r w:rsidRPr="00752CEC">
              <w:rPr>
                <w:rFonts w:cs="Arial"/>
                <w:sz w:val="22"/>
                <w:szCs w:val="22"/>
              </w:rPr>
              <w:t xml:space="preserve">Assess the changes to the contractual model Network Rail </w:t>
            </w:r>
            <w:r w:rsidR="00B17703" w:rsidRPr="00752CEC">
              <w:rPr>
                <w:rFonts w:cs="Arial"/>
                <w:sz w:val="22"/>
                <w:szCs w:val="22"/>
              </w:rPr>
              <w:t xml:space="preserve">has </w:t>
            </w:r>
            <w:r w:rsidRPr="00752CEC">
              <w:rPr>
                <w:rFonts w:cs="Arial"/>
                <w:sz w:val="22"/>
                <w:szCs w:val="22"/>
              </w:rPr>
              <w:t xml:space="preserve">adopted with its tenants due to Covid-19, and the appropriateness of continuing with this approach or returning to its </w:t>
            </w:r>
            <w:r w:rsidR="00B17703" w:rsidRPr="00752CEC">
              <w:rPr>
                <w:rFonts w:cs="Arial"/>
                <w:sz w:val="22"/>
                <w:szCs w:val="22"/>
              </w:rPr>
              <w:t>prior</w:t>
            </w:r>
            <w:r w:rsidRPr="00752CEC">
              <w:rPr>
                <w:rFonts w:cs="Arial"/>
                <w:sz w:val="22"/>
                <w:szCs w:val="22"/>
              </w:rPr>
              <w:t xml:space="preserve"> model.</w:t>
            </w:r>
          </w:p>
          <w:p w14:paraId="7CF954B9" w14:textId="1951140B" w:rsidR="000F6B25" w:rsidRPr="00752CEC" w:rsidRDefault="000F6B25" w:rsidP="000F6B25">
            <w:pPr>
              <w:numPr>
                <w:ilvl w:val="0"/>
                <w:numId w:val="25"/>
              </w:numPr>
              <w:rPr>
                <w:rFonts w:cs="Arial"/>
                <w:sz w:val="22"/>
                <w:szCs w:val="22"/>
              </w:rPr>
            </w:pPr>
            <w:r w:rsidRPr="00752CEC">
              <w:rPr>
                <w:rFonts w:cs="Arial"/>
                <w:sz w:val="22"/>
                <w:szCs w:val="22"/>
              </w:rPr>
              <w:t xml:space="preserve">Identify and assess the appropriateness of the method by which Network Rail decides between retaining property for long-term rental income and monetising the asset through releasing property for sale </w:t>
            </w:r>
            <w:proofErr w:type="gramStart"/>
            <w:r w:rsidRPr="00752CEC">
              <w:rPr>
                <w:rFonts w:cs="Arial"/>
                <w:sz w:val="22"/>
                <w:szCs w:val="22"/>
              </w:rPr>
              <w:t>e.g.</w:t>
            </w:r>
            <w:proofErr w:type="gramEnd"/>
            <w:r w:rsidRPr="00752CEC">
              <w:rPr>
                <w:rFonts w:cs="Arial"/>
                <w:sz w:val="22"/>
                <w:szCs w:val="22"/>
              </w:rPr>
              <w:t xml:space="preserve"> does the plan maximise the whole life income of assets in the portfolio. </w:t>
            </w:r>
            <w:r w:rsidR="00DC219A" w:rsidRPr="00752CEC">
              <w:rPr>
                <w:rFonts w:cs="Arial"/>
                <w:sz w:val="22"/>
                <w:szCs w:val="22"/>
              </w:rPr>
              <w:t xml:space="preserve">This should include consideration of the cost implications of the conversion of retail space to generate revenue. </w:t>
            </w:r>
            <w:r w:rsidRPr="00752CEC">
              <w:rPr>
                <w:rFonts w:cs="Arial"/>
                <w:sz w:val="22"/>
                <w:szCs w:val="22"/>
              </w:rPr>
              <w:t xml:space="preserve">In addition, assess the extent to which this strategy is applied in the </w:t>
            </w:r>
            <w:r w:rsidR="00D26F8E" w:rsidRPr="00752CEC">
              <w:rPr>
                <w:rFonts w:cs="Arial"/>
                <w:sz w:val="22"/>
                <w:szCs w:val="22"/>
              </w:rPr>
              <w:t>CP7 forecast</w:t>
            </w:r>
            <w:r w:rsidRPr="00752CEC">
              <w:rPr>
                <w:rFonts w:cs="Arial"/>
                <w:sz w:val="22"/>
                <w:szCs w:val="22"/>
              </w:rPr>
              <w:t xml:space="preserve"> in relation to the current portfolio.</w:t>
            </w:r>
          </w:p>
          <w:p w14:paraId="6386727E" w14:textId="3501679F" w:rsidR="000F6B25" w:rsidRPr="00752CEC" w:rsidRDefault="000F6B25" w:rsidP="000F6B25">
            <w:pPr>
              <w:numPr>
                <w:ilvl w:val="0"/>
                <w:numId w:val="25"/>
              </w:numPr>
              <w:rPr>
                <w:rFonts w:cs="Arial"/>
                <w:sz w:val="22"/>
                <w:szCs w:val="22"/>
              </w:rPr>
            </w:pPr>
            <w:r w:rsidRPr="00752CEC">
              <w:rPr>
                <w:rFonts w:cs="Arial"/>
                <w:sz w:val="22"/>
                <w:szCs w:val="22"/>
              </w:rPr>
              <w:t xml:space="preserve">Explain how Network Rail’s property strategy, including how it manages commercial risks and uncertainties, compares to the rest of the property market, in particular compared to standard industry benchmarks </w:t>
            </w:r>
            <w:proofErr w:type="gramStart"/>
            <w:r w:rsidRPr="00752CEC">
              <w:rPr>
                <w:rFonts w:cs="Arial"/>
                <w:sz w:val="22"/>
                <w:szCs w:val="22"/>
              </w:rPr>
              <w:t>e.g.</w:t>
            </w:r>
            <w:proofErr w:type="gramEnd"/>
            <w:r w:rsidRPr="00752CEC">
              <w:rPr>
                <w:rFonts w:cs="Arial"/>
                <w:sz w:val="22"/>
                <w:szCs w:val="22"/>
              </w:rPr>
              <w:t xml:space="preserve"> ground rent to turnover ratio in a station retail offering. This should include reference to the structure of contracts. A further example would be to compare Network Rail retail to various benchmarks of retail at UK airports and service stations. The explanation should consider the extent to which retailers’ enjoyment of a ‘captive market’ in some Network Rail properties is reflected in rent levels.</w:t>
            </w:r>
            <w:r w:rsidR="008B7F36" w:rsidRPr="00752CEC">
              <w:rPr>
                <w:rFonts w:cs="Arial"/>
                <w:sz w:val="22"/>
                <w:szCs w:val="22"/>
              </w:rPr>
              <w:t xml:space="preserve"> Assess NR’s current and proposed investment appraisal hurdle rates in comparison to similar investors in comparable assets.</w:t>
            </w:r>
          </w:p>
          <w:p w14:paraId="37E33978" w14:textId="77777777" w:rsidR="000F6B25" w:rsidRPr="00752CEC" w:rsidRDefault="000F6B25" w:rsidP="000F6B25">
            <w:pPr>
              <w:numPr>
                <w:ilvl w:val="0"/>
                <w:numId w:val="25"/>
              </w:numPr>
              <w:rPr>
                <w:rFonts w:cs="Arial"/>
                <w:sz w:val="22"/>
                <w:szCs w:val="22"/>
              </w:rPr>
            </w:pPr>
            <w:r w:rsidRPr="00752CEC">
              <w:rPr>
                <w:rFonts w:cs="Arial"/>
                <w:sz w:val="22"/>
                <w:szCs w:val="22"/>
              </w:rPr>
              <w:t xml:space="preserve">Assess the rationale for transactions where assets are provided in lieu of cash. </w:t>
            </w:r>
          </w:p>
          <w:p w14:paraId="23208770" w14:textId="11F11994" w:rsidR="000F6B25" w:rsidRPr="00752CEC" w:rsidRDefault="000F6B25" w:rsidP="000F6B25">
            <w:pPr>
              <w:numPr>
                <w:ilvl w:val="0"/>
                <w:numId w:val="25"/>
              </w:numPr>
              <w:rPr>
                <w:rFonts w:cs="Arial"/>
                <w:sz w:val="22"/>
                <w:szCs w:val="22"/>
              </w:rPr>
            </w:pPr>
            <w:r w:rsidRPr="00752CEC">
              <w:rPr>
                <w:rFonts w:cs="Arial"/>
                <w:sz w:val="22"/>
                <w:szCs w:val="22"/>
              </w:rPr>
              <w:t>Assess the extent to which Network Rail has worked in collaboration with the train operating companies (TOCs) to maximise whole life income from property.</w:t>
            </w:r>
          </w:p>
          <w:p w14:paraId="66C42D7F" w14:textId="4893A446" w:rsidR="00F52BE8" w:rsidRPr="00752CEC" w:rsidRDefault="000F6B25" w:rsidP="000F6B25">
            <w:pPr>
              <w:numPr>
                <w:ilvl w:val="0"/>
                <w:numId w:val="25"/>
              </w:numPr>
              <w:rPr>
                <w:rFonts w:cs="Arial"/>
                <w:sz w:val="22"/>
                <w:szCs w:val="22"/>
              </w:rPr>
            </w:pPr>
            <w:r w:rsidRPr="00752CEC">
              <w:rPr>
                <w:rFonts w:cs="Arial"/>
                <w:sz w:val="22"/>
                <w:szCs w:val="22"/>
              </w:rPr>
              <w:t xml:space="preserve">Take due account, where appropriate, of the relevant professional and accounting standards, including, where applicable, the guidelines contained in the RICS red book. </w:t>
            </w:r>
          </w:p>
        </w:tc>
      </w:tr>
      <w:tr w:rsidR="00F52BE8" w:rsidRPr="0036077E" w14:paraId="16B6CA3B" w14:textId="77777777" w:rsidTr="00335497">
        <w:trPr>
          <w:trHeight w:val="566"/>
        </w:trPr>
        <w:tc>
          <w:tcPr>
            <w:tcW w:w="8528"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 xml:space="preserve">2.3 Project </w:t>
            </w:r>
            <w:proofErr w:type="gramStart"/>
            <w:r w:rsidRPr="0036077E">
              <w:rPr>
                <w:rFonts w:cs="Arial"/>
                <w:b/>
                <w:sz w:val="28"/>
                <w:szCs w:val="28"/>
              </w:rPr>
              <w:t>Outputs</w:t>
            </w:r>
            <w:r>
              <w:rPr>
                <w:rFonts w:cs="Arial"/>
                <w:b/>
                <w:sz w:val="28"/>
                <w:szCs w:val="28"/>
              </w:rPr>
              <w:t>,</w:t>
            </w:r>
            <w:r w:rsidRPr="0036077E">
              <w:rPr>
                <w:rFonts w:cs="Arial"/>
                <w:b/>
                <w:sz w:val="28"/>
                <w:szCs w:val="28"/>
              </w:rPr>
              <w:t xml:space="preserve">  Deliverables</w:t>
            </w:r>
            <w:proofErr w:type="gramEnd"/>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060B3DF" w14:textId="3B2F38AD" w:rsidR="000F6B25" w:rsidRPr="00752CEC" w:rsidRDefault="000F6B25" w:rsidP="000F6B25">
            <w:pPr>
              <w:autoSpaceDE w:val="0"/>
              <w:autoSpaceDN w:val="0"/>
              <w:adjustRightInd w:val="0"/>
              <w:spacing w:before="240" w:after="0"/>
              <w:rPr>
                <w:rFonts w:cs="Arial"/>
                <w:sz w:val="22"/>
                <w:szCs w:val="22"/>
              </w:rPr>
            </w:pPr>
            <w:r w:rsidRPr="00752CEC">
              <w:rPr>
                <w:rFonts w:cs="Arial"/>
                <w:sz w:val="22"/>
                <w:szCs w:val="22"/>
              </w:rPr>
              <w:t>ORR requires the following deliverables:</w:t>
            </w:r>
          </w:p>
          <w:p w14:paraId="06FC642C" w14:textId="77777777" w:rsidR="000F6B25" w:rsidRPr="00752CEC" w:rsidRDefault="000F6B25" w:rsidP="000F6B25">
            <w:pPr>
              <w:autoSpaceDE w:val="0"/>
              <w:autoSpaceDN w:val="0"/>
              <w:adjustRightInd w:val="0"/>
              <w:spacing w:before="240" w:after="0"/>
              <w:rPr>
                <w:rFonts w:cs="Arial"/>
                <w:sz w:val="22"/>
                <w:szCs w:val="22"/>
              </w:rPr>
            </w:pPr>
          </w:p>
          <w:p w14:paraId="29DC3F59" w14:textId="4174F77D" w:rsidR="000F6B25" w:rsidRPr="00752CEC" w:rsidRDefault="000F6B25" w:rsidP="00752CEC">
            <w:pPr>
              <w:autoSpaceDE w:val="0"/>
              <w:autoSpaceDN w:val="0"/>
              <w:adjustRightInd w:val="0"/>
              <w:spacing w:after="120"/>
              <w:rPr>
                <w:rFonts w:cs="Arial"/>
                <w:sz w:val="22"/>
                <w:szCs w:val="22"/>
              </w:rPr>
            </w:pPr>
            <w:r w:rsidRPr="00752CEC">
              <w:rPr>
                <w:rFonts w:cs="Arial"/>
                <w:sz w:val="22"/>
                <w:szCs w:val="22"/>
              </w:rPr>
              <w:t xml:space="preserve">A draft report by </w:t>
            </w:r>
            <w:r w:rsidR="005069D8" w:rsidRPr="00752CEC">
              <w:rPr>
                <w:rFonts w:cs="Arial"/>
                <w:sz w:val="22"/>
                <w:szCs w:val="22"/>
              </w:rPr>
              <w:t xml:space="preserve">28 </w:t>
            </w:r>
            <w:r w:rsidR="00752CEC" w:rsidRPr="00752CEC">
              <w:rPr>
                <w:rFonts w:cs="Arial"/>
                <w:sz w:val="22"/>
                <w:szCs w:val="22"/>
              </w:rPr>
              <w:t>F</w:t>
            </w:r>
            <w:r w:rsidR="005069D8" w:rsidRPr="00752CEC">
              <w:rPr>
                <w:rFonts w:cs="Arial"/>
                <w:sz w:val="22"/>
                <w:szCs w:val="22"/>
              </w:rPr>
              <w:t>ebruary 2022</w:t>
            </w:r>
            <w:r w:rsidRPr="00752CEC">
              <w:rPr>
                <w:rFonts w:cs="Arial"/>
                <w:sz w:val="22"/>
                <w:szCs w:val="22"/>
              </w:rPr>
              <w:t>.</w:t>
            </w:r>
          </w:p>
          <w:p w14:paraId="0176FF18" w14:textId="71E1018D" w:rsidR="000F6B25" w:rsidRPr="00752CEC" w:rsidRDefault="000F6B25" w:rsidP="00752CEC">
            <w:pPr>
              <w:autoSpaceDE w:val="0"/>
              <w:autoSpaceDN w:val="0"/>
              <w:adjustRightInd w:val="0"/>
              <w:spacing w:after="0"/>
              <w:rPr>
                <w:rFonts w:cs="Arial"/>
                <w:sz w:val="22"/>
                <w:szCs w:val="22"/>
              </w:rPr>
            </w:pPr>
            <w:r w:rsidRPr="00752CEC">
              <w:rPr>
                <w:rFonts w:cs="Arial"/>
                <w:sz w:val="22"/>
                <w:szCs w:val="22"/>
              </w:rPr>
              <w:t xml:space="preserve">A final report by </w:t>
            </w:r>
            <w:r w:rsidR="0012337C">
              <w:rPr>
                <w:rFonts w:cs="Arial"/>
                <w:sz w:val="22"/>
                <w:szCs w:val="22"/>
              </w:rPr>
              <w:t>29</w:t>
            </w:r>
            <w:r w:rsidR="005069D8" w:rsidRPr="00752CEC">
              <w:rPr>
                <w:rFonts w:cs="Arial"/>
                <w:sz w:val="22"/>
                <w:szCs w:val="22"/>
              </w:rPr>
              <w:t xml:space="preserve"> March 2022</w:t>
            </w:r>
            <w:r w:rsidRPr="00752CEC">
              <w:rPr>
                <w:rFonts w:cs="Arial"/>
                <w:sz w:val="22"/>
                <w:szCs w:val="22"/>
              </w:rPr>
              <w:t>.</w:t>
            </w:r>
          </w:p>
          <w:p w14:paraId="4D24F351" w14:textId="77777777" w:rsidR="000F6B25" w:rsidRPr="00752CEC" w:rsidRDefault="000F6B25" w:rsidP="000F6B25">
            <w:pPr>
              <w:autoSpaceDE w:val="0"/>
              <w:autoSpaceDN w:val="0"/>
              <w:adjustRightInd w:val="0"/>
              <w:spacing w:after="0"/>
              <w:ind w:left="720"/>
              <w:rPr>
                <w:rFonts w:cs="Arial"/>
                <w:sz w:val="22"/>
                <w:szCs w:val="22"/>
              </w:rPr>
            </w:pPr>
          </w:p>
          <w:p w14:paraId="1D973BBA" w14:textId="77777777" w:rsidR="000F6B25" w:rsidRPr="00752CEC" w:rsidRDefault="000F6B25" w:rsidP="000F6B25">
            <w:pPr>
              <w:pStyle w:val="ListNumber"/>
              <w:numPr>
                <w:ilvl w:val="0"/>
                <w:numId w:val="0"/>
              </w:numPr>
              <w:tabs>
                <w:tab w:val="clear" w:pos="720"/>
              </w:tabs>
              <w:rPr>
                <w:sz w:val="22"/>
                <w:szCs w:val="22"/>
              </w:rPr>
            </w:pPr>
            <w:r w:rsidRPr="00752CEC">
              <w:rPr>
                <w:sz w:val="22"/>
                <w:szCs w:val="22"/>
              </w:rPr>
              <w:t xml:space="preserve">The consultant should assume that the final advice report and the detailed report would need to be published (in a redacted form) and a corresponding standard of presentation is necessary. </w:t>
            </w:r>
          </w:p>
          <w:p w14:paraId="4DDB1095" w14:textId="77777777" w:rsidR="000F6B25" w:rsidRPr="00752CEC" w:rsidRDefault="000F6B25" w:rsidP="000F6B25">
            <w:pPr>
              <w:pStyle w:val="ListNumber"/>
              <w:numPr>
                <w:ilvl w:val="0"/>
                <w:numId w:val="0"/>
              </w:numPr>
              <w:tabs>
                <w:tab w:val="clear" w:pos="720"/>
              </w:tabs>
              <w:rPr>
                <w:sz w:val="22"/>
                <w:szCs w:val="22"/>
              </w:rPr>
            </w:pPr>
            <w:r w:rsidRPr="00752CEC">
              <w:rPr>
                <w:sz w:val="22"/>
                <w:szCs w:val="22"/>
              </w:rPr>
              <w:lastRenderedPageBreak/>
              <w:t>Supporting spreadsheets and analysis should be supplied to ORR at the draft and final reporting stages.</w:t>
            </w:r>
          </w:p>
          <w:p w14:paraId="7B9C4315" w14:textId="1FFD6D46" w:rsidR="000F6B25" w:rsidRPr="00752CEC" w:rsidRDefault="000F6B25" w:rsidP="000F6B25">
            <w:pPr>
              <w:pStyle w:val="ListNumber"/>
              <w:numPr>
                <w:ilvl w:val="0"/>
                <w:numId w:val="0"/>
              </w:numPr>
              <w:rPr>
                <w:sz w:val="22"/>
                <w:szCs w:val="22"/>
              </w:rPr>
            </w:pPr>
            <w:r w:rsidRPr="00752CEC">
              <w:rPr>
                <w:sz w:val="22"/>
                <w:szCs w:val="22"/>
              </w:rPr>
              <w:t>By undertaking this work, the consultant will have a duty of care to ORR. This means that you must take a wholly independent and impartial view on the matters set out in the statement of requirement</w:t>
            </w:r>
            <w:r w:rsidR="00752CEC">
              <w:rPr>
                <w:sz w:val="22"/>
                <w:szCs w:val="22"/>
              </w:rPr>
              <w:t xml:space="preserve">. </w:t>
            </w:r>
            <w:r w:rsidRPr="00752CEC">
              <w:rPr>
                <w:sz w:val="22"/>
                <w:szCs w:val="22"/>
              </w:rPr>
              <w:t>You will also be required to provide a statement in any final report making it clear that you have acted as an independent consultant, and that the views set out in that report are your own and do not represent the views of any other party.</w:t>
            </w:r>
          </w:p>
          <w:p w14:paraId="3B57043B" w14:textId="77777777" w:rsidR="000F6B25" w:rsidRPr="00752CEC" w:rsidRDefault="000F6B25" w:rsidP="000F6B25">
            <w:pPr>
              <w:pStyle w:val="ListNumber"/>
              <w:numPr>
                <w:ilvl w:val="0"/>
                <w:numId w:val="0"/>
              </w:numPr>
              <w:rPr>
                <w:sz w:val="22"/>
                <w:szCs w:val="22"/>
              </w:rPr>
            </w:pPr>
            <w:r w:rsidRPr="00752CEC">
              <w:rPr>
                <w:sz w:val="22"/>
                <w:szCs w:val="22"/>
              </w:rPr>
              <w:t>The submission needs to explain clearly if there are any conflict of interests and how the consultant intends to mitigate those.</w:t>
            </w:r>
          </w:p>
          <w:p w14:paraId="413A5EE2" w14:textId="77777777" w:rsidR="00F52BE8" w:rsidRPr="0036077E" w:rsidRDefault="00F52BE8" w:rsidP="00335497">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6B3BF12B" w14:textId="77777777" w:rsidR="000F6B25" w:rsidRPr="00752CEC" w:rsidRDefault="000F6B25" w:rsidP="000F6B25">
            <w:pPr>
              <w:autoSpaceDE w:val="0"/>
              <w:autoSpaceDN w:val="0"/>
              <w:adjustRightInd w:val="0"/>
              <w:rPr>
                <w:rFonts w:cs="Arial"/>
                <w:color w:val="000000"/>
                <w:sz w:val="22"/>
                <w:szCs w:val="22"/>
                <w:lang w:eastAsia="en-GB"/>
              </w:rPr>
            </w:pPr>
            <w:r w:rsidRPr="00752CEC">
              <w:rPr>
                <w:rFonts w:cs="Arial"/>
                <w:color w:val="000000"/>
                <w:sz w:val="22"/>
                <w:szCs w:val="22"/>
                <w:lang w:eastAsia="en-GB"/>
              </w:rPr>
              <w:t>The provisional project timetable is as follows:</w:t>
            </w:r>
          </w:p>
          <w:p w14:paraId="759FF89A" w14:textId="5379D539" w:rsidR="000F6B25" w:rsidRPr="00752CEC" w:rsidRDefault="00752CEC" w:rsidP="000F6B25">
            <w:pPr>
              <w:numPr>
                <w:ilvl w:val="0"/>
                <w:numId w:val="12"/>
              </w:numPr>
              <w:autoSpaceDE w:val="0"/>
              <w:autoSpaceDN w:val="0"/>
              <w:adjustRightInd w:val="0"/>
              <w:spacing w:after="0"/>
              <w:rPr>
                <w:rFonts w:cs="Arial"/>
                <w:color w:val="000000"/>
                <w:sz w:val="22"/>
                <w:szCs w:val="22"/>
                <w:lang w:eastAsia="en-GB"/>
              </w:rPr>
            </w:pPr>
            <w:r w:rsidRPr="00752CEC">
              <w:rPr>
                <w:rFonts w:cs="Arial"/>
                <w:color w:val="000000"/>
                <w:sz w:val="22"/>
                <w:szCs w:val="22"/>
                <w:lang w:eastAsia="en-GB"/>
              </w:rPr>
              <w:t>Start-up</w:t>
            </w:r>
            <w:r w:rsidR="000F6B25" w:rsidRPr="00752CEC">
              <w:rPr>
                <w:rFonts w:cs="Arial"/>
                <w:color w:val="000000"/>
                <w:sz w:val="22"/>
                <w:szCs w:val="22"/>
                <w:lang w:eastAsia="en-GB"/>
              </w:rPr>
              <w:t xml:space="preserve"> meeting and commencement </w:t>
            </w:r>
            <w:r w:rsidR="00037698" w:rsidRPr="00752CEC">
              <w:rPr>
                <w:rFonts w:cs="Arial"/>
                <w:color w:val="000000"/>
                <w:sz w:val="22"/>
                <w:szCs w:val="22"/>
                <w:lang w:eastAsia="en-GB"/>
              </w:rPr>
              <w:t>05</w:t>
            </w:r>
            <w:r w:rsidR="005069D8" w:rsidRPr="00752CEC">
              <w:rPr>
                <w:rFonts w:cs="Arial"/>
                <w:color w:val="000000"/>
                <w:sz w:val="22"/>
                <w:szCs w:val="22"/>
                <w:lang w:eastAsia="en-GB"/>
              </w:rPr>
              <w:t xml:space="preserve"> January 2022</w:t>
            </w:r>
          </w:p>
          <w:p w14:paraId="15112110" w14:textId="4EDA9EA4" w:rsidR="000F6B25" w:rsidRPr="00752CEC" w:rsidRDefault="000F6B25" w:rsidP="000F6B25">
            <w:pPr>
              <w:numPr>
                <w:ilvl w:val="0"/>
                <w:numId w:val="12"/>
              </w:numPr>
              <w:autoSpaceDE w:val="0"/>
              <w:autoSpaceDN w:val="0"/>
              <w:adjustRightInd w:val="0"/>
              <w:spacing w:after="0"/>
              <w:rPr>
                <w:rFonts w:cs="Arial"/>
                <w:color w:val="000000"/>
                <w:sz w:val="22"/>
                <w:szCs w:val="22"/>
                <w:lang w:eastAsia="en-GB"/>
              </w:rPr>
            </w:pPr>
            <w:r w:rsidRPr="00752CEC">
              <w:rPr>
                <w:rFonts w:cs="Arial"/>
                <w:color w:val="000000"/>
                <w:sz w:val="22"/>
                <w:szCs w:val="22"/>
                <w:lang w:eastAsia="en-GB"/>
              </w:rPr>
              <w:t xml:space="preserve">Presentation of interim findings on </w:t>
            </w:r>
            <w:r w:rsidR="005069D8" w:rsidRPr="00752CEC">
              <w:rPr>
                <w:rFonts w:cs="Arial"/>
                <w:color w:val="000000"/>
                <w:sz w:val="22"/>
                <w:szCs w:val="22"/>
                <w:lang w:eastAsia="en-GB"/>
              </w:rPr>
              <w:t>28 February 2022</w:t>
            </w:r>
            <w:r w:rsidRPr="00752CEC">
              <w:rPr>
                <w:rFonts w:cs="Arial"/>
                <w:color w:val="000000"/>
                <w:sz w:val="22"/>
                <w:szCs w:val="22"/>
                <w:lang w:eastAsia="en-GB"/>
              </w:rPr>
              <w:t xml:space="preserve"> (or as agreed).</w:t>
            </w:r>
          </w:p>
          <w:p w14:paraId="4D2E12B1" w14:textId="3AC4A3CC" w:rsidR="000F6B25" w:rsidRPr="00752CEC" w:rsidRDefault="000F6B25" w:rsidP="000F6B25">
            <w:pPr>
              <w:numPr>
                <w:ilvl w:val="0"/>
                <w:numId w:val="12"/>
              </w:numPr>
              <w:autoSpaceDE w:val="0"/>
              <w:autoSpaceDN w:val="0"/>
              <w:adjustRightInd w:val="0"/>
              <w:spacing w:after="0"/>
              <w:rPr>
                <w:rFonts w:cs="Arial"/>
                <w:color w:val="000000"/>
                <w:sz w:val="22"/>
                <w:szCs w:val="22"/>
                <w:lang w:eastAsia="en-GB"/>
              </w:rPr>
            </w:pPr>
            <w:r w:rsidRPr="00752CEC">
              <w:rPr>
                <w:rFonts w:cs="Arial"/>
                <w:color w:val="000000"/>
                <w:sz w:val="22"/>
                <w:szCs w:val="22"/>
                <w:lang w:eastAsia="en-GB"/>
              </w:rPr>
              <w:t xml:space="preserve">Draft report by </w:t>
            </w:r>
            <w:r w:rsidR="005069D8" w:rsidRPr="00752CEC">
              <w:rPr>
                <w:rFonts w:cs="Arial"/>
                <w:color w:val="000000"/>
                <w:sz w:val="22"/>
                <w:szCs w:val="22"/>
                <w:lang w:eastAsia="en-GB"/>
              </w:rPr>
              <w:t>28 February 2022</w:t>
            </w:r>
            <w:r w:rsidRPr="00752CEC">
              <w:rPr>
                <w:rFonts w:cs="Arial"/>
                <w:color w:val="000000"/>
                <w:sz w:val="22"/>
                <w:szCs w:val="22"/>
                <w:lang w:eastAsia="en-GB"/>
              </w:rPr>
              <w:t>.</w:t>
            </w:r>
          </w:p>
          <w:p w14:paraId="7B8FECC2" w14:textId="688B4E85" w:rsidR="000F6B25" w:rsidRPr="00752CEC" w:rsidRDefault="000F6B25" w:rsidP="000F6B25">
            <w:pPr>
              <w:numPr>
                <w:ilvl w:val="0"/>
                <w:numId w:val="12"/>
              </w:numPr>
              <w:autoSpaceDE w:val="0"/>
              <w:autoSpaceDN w:val="0"/>
              <w:adjustRightInd w:val="0"/>
              <w:spacing w:after="0"/>
              <w:rPr>
                <w:rFonts w:cs="Arial"/>
                <w:color w:val="000000"/>
                <w:sz w:val="22"/>
                <w:szCs w:val="22"/>
                <w:lang w:eastAsia="en-GB"/>
              </w:rPr>
            </w:pPr>
            <w:r w:rsidRPr="00752CEC">
              <w:rPr>
                <w:rFonts w:cs="Arial"/>
                <w:color w:val="000000"/>
                <w:sz w:val="22"/>
                <w:szCs w:val="22"/>
                <w:lang w:eastAsia="en-GB"/>
              </w:rPr>
              <w:t xml:space="preserve">Final report by </w:t>
            </w:r>
            <w:r w:rsidR="0012337C">
              <w:rPr>
                <w:rFonts w:cs="Arial"/>
                <w:color w:val="000000"/>
                <w:sz w:val="22"/>
                <w:szCs w:val="22"/>
                <w:lang w:eastAsia="en-GB"/>
              </w:rPr>
              <w:t>29</w:t>
            </w:r>
            <w:r w:rsidR="005069D8" w:rsidRPr="00752CEC">
              <w:rPr>
                <w:rFonts w:cs="Arial"/>
                <w:color w:val="000000"/>
                <w:sz w:val="22"/>
                <w:szCs w:val="22"/>
                <w:lang w:eastAsia="en-GB"/>
              </w:rPr>
              <w:t xml:space="preserve"> March 2022</w:t>
            </w:r>
            <w:r w:rsidRPr="00752CEC">
              <w:rPr>
                <w:rFonts w:cs="Arial"/>
                <w:color w:val="000000"/>
                <w:sz w:val="22"/>
                <w:szCs w:val="22"/>
                <w:lang w:eastAsia="en-GB"/>
              </w:rPr>
              <w:t>.</w:t>
            </w:r>
          </w:p>
          <w:p w14:paraId="2DB5FA9F" w14:textId="77777777" w:rsidR="00F52BE8" w:rsidRDefault="00F52BE8" w:rsidP="00335497">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6924EF7C" w14:textId="77777777" w:rsidR="000F6B25" w:rsidRDefault="000F6B25" w:rsidP="000F6B25">
            <w:pPr>
              <w:spacing w:before="240"/>
              <w:rPr>
                <w:rFonts w:cs="Arial"/>
                <w:color w:val="000000"/>
                <w:sz w:val="22"/>
                <w:szCs w:val="22"/>
              </w:rPr>
            </w:pPr>
            <w:r w:rsidRPr="0036077E">
              <w:rPr>
                <w:sz w:val="22"/>
                <w:szCs w:val="22"/>
              </w:rPr>
              <w:t>The maximum budget for this piece of work is £</w:t>
            </w:r>
            <w:r>
              <w:rPr>
                <w:sz w:val="22"/>
                <w:szCs w:val="22"/>
              </w:rPr>
              <w:t>75,000</w:t>
            </w:r>
            <w:r w:rsidRPr="0036077E">
              <w:rPr>
                <w:sz w:val="22"/>
                <w:szCs w:val="22"/>
              </w:rPr>
              <w:t xml:space="preserve"> (inc. of expenses, exc. of VAT), </w:t>
            </w:r>
            <w:r w:rsidRPr="0036077E">
              <w:rPr>
                <w:rFonts w:cs="Arial"/>
                <w:color w:val="000000"/>
                <w:sz w:val="22"/>
                <w:szCs w:val="22"/>
              </w:rPr>
              <w:t xml:space="preserve">however ORR expects bids to be </w:t>
            </w:r>
            <w:r w:rsidRPr="00037698">
              <w:rPr>
                <w:rFonts w:cs="Arial"/>
                <w:bCs/>
                <w:color w:val="000000"/>
                <w:sz w:val="22"/>
                <w:szCs w:val="22"/>
              </w:rPr>
              <w:t>significantly</w:t>
            </w:r>
            <w:r w:rsidRPr="0036077E">
              <w:rPr>
                <w:rFonts w:cs="Arial"/>
                <w:color w:val="000000"/>
                <w:sz w:val="22"/>
                <w:szCs w:val="22"/>
              </w:rPr>
              <w:t xml:space="preserve"> below this threshold.</w:t>
            </w:r>
          </w:p>
          <w:p w14:paraId="49044602" w14:textId="77777777" w:rsidR="000F6B25" w:rsidRPr="00C4714D" w:rsidRDefault="000F6B25" w:rsidP="000F6B25">
            <w:pPr>
              <w:rPr>
                <w:rFonts w:cs="Arial"/>
                <w:b/>
                <w:sz w:val="22"/>
                <w:szCs w:val="22"/>
              </w:rPr>
            </w:pPr>
            <w:r w:rsidRPr="00C4714D">
              <w:rPr>
                <w:rFonts w:cs="Arial"/>
                <w:b/>
                <w:sz w:val="22"/>
                <w:szCs w:val="22"/>
              </w:rPr>
              <w:t xml:space="preserve">Payment </w:t>
            </w:r>
            <w:r>
              <w:rPr>
                <w:rFonts w:cs="Arial"/>
                <w:b/>
                <w:sz w:val="22"/>
                <w:szCs w:val="22"/>
              </w:rPr>
              <w:t>Schedule</w:t>
            </w:r>
          </w:p>
          <w:p w14:paraId="2620ED6F" w14:textId="43FE8C06" w:rsidR="00F52BE8" w:rsidRPr="00816394" w:rsidRDefault="000F6B25" w:rsidP="000F6B25">
            <w:pPr>
              <w:rPr>
                <w:b/>
                <w:color w:val="FF0000"/>
              </w:rPr>
            </w:pPr>
            <w:r>
              <w:rPr>
                <w:rFonts w:cs="Arial"/>
                <w:sz w:val="22"/>
                <w:szCs w:val="22"/>
              </w:rPr>
              <w:t>Payment of the total fee will be on the delivery and acceptance by ORR of all required outputs and/or deliverables</w:t>
            </w:r>
            <w:proofErr w:type="gramStart"/>
            <w:r>
              <w:rPr>
                <w:rFonts w:cs="Arial"/>
                <w:sz w:val="22"/>
                <w:szCs w:val="22"/>
              </w:rPr>
              <w:t>.</w:t>
            </w:r>
            <w:r w:rsidRPr="00816394">
              <w:rPr>
                <w:b/>
                <w:color w:val="FF0000"/>
              </w:rPr>
              <w:t xml:space="preserve"> </w:t>
            </w:r>
            <w:r w:rsidR="00F52BE8" w:rsidRPr="00816394">
              <w:rPr>
                <w:b/>
                <w:color w:val="FF0000"/>
              </w:rPr>
              <w:t xml:space="preserve"> </w:t>
            </w:r>
            <w:proofErr w:type="gramEnd"/>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Pr>
                <w:sz w:val="22"/>
                <w:szCs w:val="22"/>
              </w:rPr>
              <w:t>as a result of</w:t>
            </w:r>
            <w:proofErr w:type="gramEnd"/>
            <w:r>
              <w:rPr>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lastRenderedPageBreak/>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w:t>
            </w:r>
            <w:proofErr w:type="gramStart"/>
            <w:r w:rsidRPr="0036077E">
              <w:rPr>
                <w:sz w:val="22"/>
                <w:szCs w:val="22"/>
              </w:rPr>
              <w:t xml:space="preserve">.  </w:t>
            </w:r>
            <w:proofErr w:type="gramEnd"/>
            <w:r w:rsidRPr="0036077E">
              <w:rPr>
                <w:sz w:val="22"/>
                <w:szCs w:val="22"/>
              </w:rPr>
              <w:t xml:space="preserve">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74F2859" w14:textId="77777777" w:rsidR="00F52BE8" w:rsidRPr="00B414C8" w:rsidRDefault="00F52BE8" w:rsidP="00335497">
            <w:pPr>
              <w:pStyle w:val="ListNumber"/>
              <w:numPr>
                <w:ilvl w:val="0"/>
                <w:numId w:val="0"/>
              </w:numPr>
              <w:spacing w:before="0" w:after="0"/>
              <w:rPr>
                <w:color w:val="FF0000"/>
                <w:sz w:val="22"/>
                <w:szCs w:val="22"/>
              </w:rPr>
            </w:pP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 xml:space="preserve">That the Contractor assumes unconditional responsibility for the overall work and its </w:t>
            </w:r>
            <w:proofErr w:type="gramStart"/>
            <w:r w:rsidRPr="00907369">
              <w:rPr>
                <w:sz w:val="22"/>
                <w:szCs w:val="22"/>
              </w:rPr>
              <w:t>quality;</w:t>
            </w:r>
            <w:proofErr w:type="gramEnd"/>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w:t>
            </w:r>
            <w:proofErr w:type="gramStart"/>
            <w:r w:rsidRPr="00907369">
              <w:rPr>
                <w:sz w:val="22"/>
                <w:szCs w:val="22"/>
              </w:rPr>
              <w:t xml:space="preserve">.  </w:t>
            </w:r>
            <w:proofErr w:type="gramEnd"/>
            <w:r w:rsidRPr="00907369">
              <w:rPr>
                <w:sz w:val="22"/>
                <w:szCs w:val="22"/>
              </w:rPr>
              <w:t>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sidR="00D74997">
              <w:rPr>
                <w:rFonts w:cs="Arial"/>
                <w:sz w:val="22"/>
                <w:szCs w:val="22"/>
              </w:rPr>
              <w:t>tering into</w:t>
            </w:r>
            <w:proofErr w:type="gramEnd"/>
            <w:r w:rsidR="00D74997">
              <w:rPr>
                <w:rFonts w:cs="Arial"/>
                <w:sz w:val="22"/>
                <w:szCs w:val="22"/>
              </w:rPr>
              <w:t xml:space="preserve">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532A2FE8"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660E1F95" w14:textId="28B674ED" w:rsidR="000F6B25" w:rsidRPr="0036077E" w:rsidRDefault="000F6B25" w:rsidP="000F6B25">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 xml:space="preserve">ny methodologies bidders will work </w:t>
            </w:r>
            <w:proofErr w:type="gramStart"/>
            <w:r w:rsidRPr="0036077E">
              <w:rPr>
                <w:sz w:val="22"/>
                <w:szCs w:val="22"/>
              </w:rPr>
              <w:t>to;</w:t>
            </w:r>
            <w:proofErr w:type="gramEnd"/>
          </w:p>
          <w:p w14:paraId="46DE820D" w14:textId="77777777" w:rsidR="000F6B25" w:rsidRPr="0036077E" w:rsidRDefault="000F6B25" w:rsidP="000F6B25">
            <w:pPr>
              <w:autoSpaceDE w:val="0"/>
              <w:autoSpaceDN w:val="0"/>
              <w:adjustRightInd w:val="0"/>
              <w:spacing w:after="0"/>
              <w:rPr>
                <w:rFonts w:cs="Arial"/>
                <w:color w:val="000000"/>
                <w:sz w:val="22"/>
                <w:szCs w:val="22"/>
                <w:lang w:eastAsia="en-GB"/>
              </w:rPr>
            </w:pPr>
          </w:p>
          <w:p w14:paraId="61300E47" w14:textId="77777777" w:rsidR="000F6B25" w:rsidRPr="0036077E" w:rsidRDefault="000F6B25" w:rsidP="000F6B25">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0BA0A6AB" w14:textId="77777777" w:rsidR="000F6B25" w:rsidRPr="0036077E" w:rsidRDefault="000F6B25" w:rsidP="000F6B25">
            <w:pPr>
              <w:autoSpaceDE w:val="0"/>
              <w:autoSpaceDN w:val="0"/>
              <w:adjustRightInd w:val="0"/>
              <w:spacing w:after="0"/>
              <w:rPr>
                <w:rFonts w:cs="Arial"/>
                <w:color w:val="000000"/>
                <w:sz w:val="22"/>
                <w:szCs w:val="22"/>
                <w:lang w:eastAsia="en-GB"/>
              </w:rPr>
            </w:pPr>
          </w:p>
          <w:p w14:paraId="2D269EAD" w14:textId="77777777" w:rsidR="000F6B25" w:rsidRPr="0036077E" w:rsidRDefault="000F6B25" w:rsidP="000F6B25">
            <w:pPr>
              <w:numPr>
                <w:ilvl w:val="0"/>
                <w:numId w:val="6"/>
              </w:numPr>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3DA2214C" w14:textId="77777777" w:rsidR="000F6B25" w:rsidRPr="0036077E" w:rsidRDefault="000F6B25" w:rsidP="000F6B25">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0FE44145" w14:textId="77777777" w:rsidR="000F6B25" w:rsidRPr="0036077E" w:rsidRDefault="000F6B25" w:rsidP="000F6B25">
            <w:pPr>
              <w:pStyle w:val="ListNumber"/>
              <w:numPr>
                <w:ilvl w:val="0"/>
                <w:numId w:val="6"/>
              </w:numPr>
              <w:rPr>
                <w:sz w:val="22"/>
                <w:szCs w:val="22"/>
              </w:rPr>
            </w:pPr>
            <w:r w:rsidRPr="0036077E">
              <w:rPr>
                <w:sz w:val="22"/>
                <w:szCs w:val="22"/>
              </w:rPr>
              <w:t xml:space="preserve">What support bidders will require from </w:t>
            </w:r>
            <w:proofErr w:type="gramStart"/>
            <w:r w:rsidRPr="0036077E">
              <w:rPr>
                <w:sz w:val="22"/>
                <w:szCs w:val="22"/>
              </w:rPr>
              <w:t>ORR;</w:t>
            </w:r>
            <w:proofErr w:type="gramEnd"/>
            <w:r w:rsidRPr="0036077E">
              <w:rPr>
                <w:sz w:val="22"/>
                <w:szCs w:val="22"/>
              </w:rPr>
              <w:t xml:space="preserve"> </w:t>
            </w:r>
          </w:p>
          <w:p w14:paraId="458354EF" w14:textId="6E76FE7E" w:rsidR="00F52BE8" w:rsidRPr="0036077E" w:rsidRDefault="00F52BE8" w:rsidP="000F6B25">
            <w:pPr>
              <w:autoSpaceDE w:val="0"/>
              <w:autoSpaceDN w:val="0"/>
              <w:adjustRightInd w:val="0"/>
              <w:spacing w:after="0"/>
              <w:rPr>
                <w:sz w:val="22"/>
                <w:szCs w:val="22"/>
              </w:rPr>
            </w:pPr>
            <w:r w:rsidRPr="0036077E">
              <w:rPr>
                <w:sz w:val="22"/>
                <w:szCs w:val="22"/>
              </w:rPr>
              <w:t xml:space="preserve">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51379588" w14:textId="77777777" w:rsidR="000F6B25" w:rsidRPr="0036077E" w:rsidRDefault="000F6B25" w:rsidP="000F6B25">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5C70732C" w14:textId="77777777" w:rsidR="000F6B25" w:rsidRPr="0036077E" w:rsidRDefault="000F6B25" w:rsidP="000F6B25">
            <w:pPr>
              <w:autoSpaceDE w:val="0"/>
              <w:autoSpaceDN w:val="0"/>
              <w:adjustRightInd w:val="0"/>
              <w:spacing w:after="0"/>
              <w:rPr>
                <w:rFonts w:cs="Arial"/>
                <w:color w:val="000000"/>
                <w:sz w:val="22"/>
                <w:szCs w:val="22"/>
                <w:lang w:eastAsia="en-GB"/>
              </w:rPr>
            </w:pPr>
          </w:p>
          <w:p w14:paraId="60FF46FC" w14:textId="77777777" w:rsidR="000F6B25" w:rsidRDefault="000F6B25" w:rsidP="000F6B25">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3C530FE2" w14:textId="77777777" w:rsidR="000F6B25" w:rsidRPr="00C4714D" w:rsidRDefault="000F6B25" w:rsidP="000F6B25">
            <w:pPr>
              <w:autoSpaceDE w:val="0"/>
              <w:autoSpaceDN w:val="0"/>
              <w:adjustRightInd w:val="0"/>
              <w:spacing w:after="0"/>
              <w:rPr>
                <w:rFonts w:cs="Arial"/>
                <w:color w:val="000000"/>
                <w:sz w:val="22"/>
                <w:szCs w:val="22"/>
                <w:lang w:eastAsia="en-GB"/>
              </w:rPr>
            </w:pPr>
          </w:p>
          <w:p w14:paraId="59951EE0" w14:textId="77777777" w:rsidR="000F6B25" w:rsidRPr="0036077E" w:rsidRDefault="000F6B25" w:rsidP="000F6B25">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r w:rsidRPr="00C4714D">
              <w:rPr>
                <w:rFonts w:cs="Arial"/>
                <w:b/>
                <w:sz w:val="22"/>
                <w:szCs w:val="22"/>
              </w:rPr>
              <w:t>and</w:t>
            </w:r>
            <w:r w:rsidRPr="0036077E">
              <w:rPr>
                <w:rFonts w:cs="Arial"/>
                <w:sz w:val="22"/>
                <w:szCs w:val="22"/>
              </w:rPr>
              <w:t xml:space="preserve"> Details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that are not compliant may be disqualified from the process</w:t>
            </w:r>
            <w:proofErr w:type="gramStart"/>
            <w:r w:rsidRPr="0036077E">
              <w:rPr>
                <w:rFonts w:ascii="Arial" w:hAnsi="Arial" w:cs="Arial"/>
                <w:sz w:val="22"/>
                <w:szCs w:val="22"/>
              </w:rPr>
              <w:t xml:space="preserve">.  </w:t>
            </w:r>
            <w:proofErr w:type="gramEnd"/>
            <w:r w:rsidRPr="0036077E">
              <w:rPr>
                <w:rFonts w:ascii="Arial" w:hAnsi="Arial" w:cs="Arial"/>
                <w:sz w:val="22"/>
                <w:szCs w:val="22"/>
              </w:rPr>
              <w:t xml:space="preserve">We reserve the right to clarify any issues regarding a Bidder’s compliance. It will be at ORR's sole discretion whether to include the relevant Bidder’s response in the next stage of the process. </w:t>
            </w:r>
          </w:p>
          <w:p w14:paraId="6A4C98A8" w14:textId="39A1EF3A" w:rsidR="00F52BE8" w:rsidRPr="000F6B25" w:rsidRDefault="00F52BE8" w:rsidP="000F6B25">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521E731C" w14:textId="77777777" w:rsidR="000F6B25" w:rsidRPr="0036077E" w:rsidRDefault="000F6B25" w:rsidP="000F6B25">
            <w:pPr>
              <w:pStyle w:val="ListNumber"/>
              <w:numPr>
                <w:ilvl w:val="0"/>
                <w:numId w:val="0"/>
              </w:numPr>
              <w:rPr>
                <w:rFonts w:cs="Arial"/>
                <w:szCs w:val="24"/>
              </w:rPr>
            </w:pPr>
            <w:r w:rsidRPr="0036077E">
              <w:rPr>
                <w:rFonts w:cs="Arial"/>
                <w:b/>
                <w:szCs w:val="24"/>
              </w:rPr>
              <w:t>Methodology (</w:t>
            </w:r>
            <w:r>
              <w:rPr>
                <w:rFonts w:cs="Arial"/>
                <w:b/>
                <w:szCs w:val="24"/>
              </w:rPr>
              <w:t>30</w:t>
            </w:r>
            <w:r w:rsidRPr="0036077E">
              <w:rPr>
                <w:rFonts w:cs="Arial"/>
                <w:b/>
                <w:szCs w:val="24"/>
              </w:rPr>
              <w:t>%)</w:t>
            </w:r>
          </w:p>
          <w:p w14:paraId="7532D807" w14:textId="77777777" w:rsidR="000F6B25" w:rsidRPr="0036077E" w:rsidRDefault="000F6B25" w:rsidP="000F6B25">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 it</w:t>
            </w:r>
            <w:proofErr w:type="gramEnd"/>
            <w:r w:rsidRPr="0036077E">
              <w:rPr>
                <w:sz w:val="22"/>
                <w:szCs w:val="22"/>
              </w:rPr>
              <w:t xml:space="preserve"> must:</w:t>
            </w:r>
          </w:p>
          <w:p w14:paraId="3A968319" w14:textId="77777777" w:rsidR="000F6B25" w:rsidRPr="0036077E" w:rsidRDefault="000F6B25" w:rsidP="000F6B25">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 xml:space="preserve">Explain the methodology and delivery mechanisms to ensure that the requirements of this specification are met in terms of </w:t>
            </w:r>
            <w:proofErr w:type="gramStart"/>
            <w:r w:rsidRPr="0036077E">
              <w:rPr>
                <w:rFonts w:cs="Arial"/>
                <w:sz w:val="22"/>
                <w:szCs w:val="22"/>
              </w:rPr>
              <w:t>quality;</w:t>
            </w:r>
            <w:proofErr w:type="gramEnd"/>
          </w:p>
          <w:p w14:paraId="3B3027FB" w14:textId="77777777" w:rsidR="000F6B25" w:rsidRPr="0036077E" w:rsidRDefault="000F6B25" w:rsidP="000F6B25">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417A901D" w14:textId="77777777" w:rsidR="000F6B25" w:rsidRPr="001E30CD" w:rsidRDefault="000F6B25" w:rsidP="000F6B25">
            <w:pPr>
              <w:pStyle w:val="ListNumber"/>
              <w:numPr>
                <w:ilvl w:val="0"/>
                <w:numId w:val="13"/>
              </w:numPr>
              <w:tabs>
                <w:tab w:val="clear" w:pos="720"/>
                <w:tab w:val="clear" w:pos="1080"/>
                <w:tab w:val="num" w:pos="0"/>
                <w:tab w:val="left" w:pos="426"/>
              </w:tabs>
              <w:ind w:hanging="1080"/>
              <w:rPr>
                <w:rFonts w:cs="Arial"/>
                <w:sz w:val="22"/>
                <w:szCs w:val="22"/>
              </w:rPr>
            </w:pPr>
            <w:r w:rsidRPr="001E30CD">
              <w:rPr>
                <w:rFonts w:cs="Arial"/>
                <w:sz w:val="22"/>
                <w:szCs w:val="22"/>
              </w:rPr>
              <w:t xml:space="preserve">Explain how your organisation will engage with Network Rail and any other external </w:t>
            </w:r>
            <w:proofErr w:type="gramStart"/>
            <w:r w:rsidRPr="001E30CD">
              <w:rPr>
                <w:rFonts w:cs="Arial"/>
                <w:sz w:val="22"/>
                <w:szCs w:val="22"/>
              </w:rPr>
              <w:t>stakeholders;</w:t>
            </w:r>
            <w:proofErr w:type="gramEnd"/>
          </w:p>
          <w:p w14:paraId="15F790C3" w14:textId="77777777" w:rsidR="000F6B25" w:rsidRPr="001E30CD" w:rsidRDefault="000F6B25" w:rsidP="000F6B25">
            <w:pPr>
              <w:pStyle w:val="ListNumber"/>
              <w:numPr>
                <w:ilvl w:val="0"/>
                <w:numId w:val="13"/>
              </w:numPr>
              <w:tabs>
                <w:tab w:val="clear" w:pos="720"/>
                <w:tab w:val="clear" w:pos="1080"/>
                <w:tab w:val="num" w:pos="0"/>
                <w:tab w:val="left" w:pos="426"/>
              </w:tabs>
              <w:ind w:left="360"/>
              <w:rPr>
                <w:rFonts w:cs="Arial"/>
                <w:sz w:val="22"/>
                <w:szCs w:val="22"/>
              </w:rPr>
            </w:pPr>
            <w:r w:rsidRPr="001E30CD">
              <w:rPr>
                <w:rFonts w:cs="Arial"/>
                <w:sz w:val="22"/>
                <w:szCs w:val="22"/>
              </w:rPr>
              <w:t xml:space="preserve">Outline how the proposed approach utilises </w:t>
            </w:r>
            <w:r w:rsidRPr="001E30CD">
              <w:rPr>
                <w:rFonts w:cs="Arial"/>
                <w:b/>
                <w:sz w:val="22"/>
                <w:szCs w:val="22"/>
              </w:rPr>
              <w:t>innovative</w:t>
            </w:r>
            <w:r w:rsidRPr="001E30CD">
              <w:rPr>
                <w:rFonts w:cs="Arial"/>
                <w:sz w:val="22"/>
                <w:szCs w:val="22"/>
              </w:rPr>
              <w:t xml:space="preserve"> consultation methodologies to develop a diverse and comprehensive evidence-base</w:t>
            </w:r>
          </w:p>
          <w:p w14:paraId="557955B7" w14:textId="77777777" w:rsidR="000F6B25" w:rsidRPr="0036077E" w:rsidRDefault="000F6B25" w:rsidP="000F6B25">
            <w:pPr>
              <w:pStyle w:val="ListNumber"/>
              <w:numPr>
                <w:ilvl w:val="0"/>
                <w:numId w:val="0"/>
              </w:numPr>
              <w:tabs>
                <w:tab w:val="clear" w:pos="720"/>
                <w:tab w:val="left" w:pos="426"/>
              </w:tabs>
              <w:rPr>
                <w:rFonts w:cs="Arial"/>
                <w:sz w:val="22"/>
                <w:szCs w:val="22"/>
              </w:rPr>
            </w:pPr>
          </w:p>
          <w:p w14:paraId="2ADA3542" w14:textId="77777777" w:rsidR="000F6B25" w:rsidRPr="0036077E" w:rsidRDefault="000F6B25" w:rsidP="000F6B25">
            <w:pPr>
              <w:pStyle w:val="ListNumber"/>
              <w:numPr>
                <w:ilvl w:val="0"/>
                <w:numId w:val="0"/>
              </w:numPr>
              <w:rPr>
                <w:rFonts w:cs="Arial"/>
                <w:b/>
                <w:bCs/>
                <w:szCs w:val="24"/>
                <w:lang w:eastAsia="en-GB"/>
              </w:rPr>
            </w:pPr>
            <w:r>
              <w:rPr>
                <w:rFonts w:cs="Arial"/>
                <w:b/>
                <w:bCs/>
                <w:szCs w:val="24"/>
                <w:lang w:eastAsia="en-GB"/>
              </w:rPr>
              <w:t>Delivery (20</w:t>
            </w:r>
            <w:r w:rsidRPr="0036077E">
              <w:rPr>
                <w:rFonts w:cs="Arial"/>
                <w:b/>
                <w:bCs/>
                <w:szCs w:val="24"/>
                <w:lang w:eastAsia="en-GB"/>
              </w:rPr>
              <w:t>%)</w:t>
            </w:r>
          </w:p>
          <w:p w14:paraId="1039EE69" w14:textId="77777777" w:rsidR="000F6B25" w:rsidRPr="0036077E" w:rsidRDefault="000F6B25" w:rsidP="000F6B25">
            <w:pPr>
              <w:pStyle w:val="ListNumber"/>
              <w:numPr>
                <w:ilvl w:val="0"/>
                <w:numId w:val="0"/>
              </w:numPr>
              <w:rPr>
                <w:sz w:val="22"/>
                <w:szCs w:val="22"/>
              </w:rPr>
            </w:pPr>
            <w:r w:rsidRPr="0036077E">
              <w:rPr>
                <w:sz w:val="22"/>
                <w:szCs w:val="22"/>
              </w:rPr>
              <w:t>The proposal should set out how and when the project requirement will be delivered</w:t>
            </w:r>
            <w:proofErr w:type="gramStart"/>
            <w:r w:rsidRPr="0036077E">
              <w:rPr>
                <w:sz w:val="22"/>
                <w:szCs w:val="22"/>
              </w:rPr>
              <w:t>.  In particular, it</w:t>
            </w:r>
            <w:proofErr w:type="gramEnd"/>
            <w:r w:rsidRPr="0036077E">
              <w:rPr>
                <w:sz w:val="22"/>
                <w:szCs w:val="22"/>
              </w:rPr>
              <w:t xml:space="preserve"> must:</w:t>
            </w:r>
          </w:p>
          <w:p w14:paraId="197BE5EC" w14:textId="77777777" w:rsidR="000F6B25" w:rsidRPr="0036077E" w:rsidRDefault="000F6B25" w:rsidP="000F6B25">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w:t>
            </w:r>
            <w:proofErr w:type="gramStart"/>
            <w:r w:rsidRPr="0036077E">
              <w:rPr>
                <w:rFonts w:cs="Arial"/>
                <w:sz w:val="22"/>
                <w:szCs w:val="22"/>
              </w:rPr>
              <w:t>stage;</w:t>
            </w:r>
            <w:proofErr w:type="gramEnd"/>
            <w:r w:rsidRPr="0036077E">
              <w:rPr>
                <w:rFonts w:cs="Arial"/>
                <w:sz w:val="22"/>
                <w:szCs w:val="22"/>
              </w:rPr>
              <w:t xml:space="preserve"> </w:t>
            </w:r>
          </w:p>
          <w:p w14:paraId="413055EB" w14:textId="77777777" w:rsidR="000F6B25" w:rsidRPr="0036077E" w:rsidRDefault="000F6B25" w:rsidP="000F6B25">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w:t>
            </w:r>
            <w:proofErr w:type="gramStart"/>
            <w:r w:rsidRPr="0036077E">
              <w:rPr>
                <w:rFonts w:cs="Arial"/>
                <w:sz w:val="22"/>
                <w:szCs w:val="22"/>
              </w:rPr>
              <w:t>delivery;</w:t>
            </w:r>
            <w:proofErr w:type="gramEnd"/>
            <w:r w:rsidRPr="0036077E">
              <w:rPr>
                <w:rFonts w:cs="Arial"/>
                <w:sz w:val="22"/>
                <w:szCs w:val="22"/>
              </w:rPr>
              <w:t xml:space="preserve"> </w:t>
            </w:r>
          </w:p>
          <w:p w14:paraId="765CE146" w14:textId="77777777" w:rsidR="000F6B25" w:rsidRPr="001E30CD" w:rsidRDefault="000F6B25" w:rsidP="000F6B25">
            <w:pPr>
              <w:pStyle w:val="ListNumber"/>
              <w:numPr>
                <w:ilvl w:val="0"/>
                <w:numId w:val="0"/>
              </w:numPr>
              <w:rPr>
                <w:rFonts w:cs="Arial"/>
                <w:sz w:val="22"/>
                <w:szCs w:val="22"/>
              </w:rPr>
            </w:pPr>
            <w:r w:rsidRPr="001E30CD">
              <w:rPr>
                <w:rFonts w:cs="Arial"/>
                <w:sz w:val="22"/>
                <w:szCs w:val="22"/>
              </w:rPr>
              <w:t>c) Explain the resources that will be allocated to delivering the required outcomes/output, and what other resources can be called upon if required.</w:t>
            </w:r>
          </w:p>
          <w:p w14:paraId="643B3084" w14:textId="77777777" w:rsidR="000F6B25" w:rsidRPr="0036077E" w:rsidRDefault="000F6B25" w:rsidP="000F6B25">
            <w:pPr>
              <w:pStyle w:val="ListNumber"/>
              <w:numPr>
                <w:ilvl w:val="0"/>
                <w:numId w:val="0"/>
              </w:numPr>
              <w:rPr>
                <w:rFonts w:cs="Arial"/>
                <w:sz w:val="22"/>
                <w:szCs w:val="22"/>
              </w:rPr>
            </w:pPr>
          </w:p>
          <w:p w14:paraId="4DC11BFB" w14:textId="77777777" w:rsidR="000F6B25" w:rsidRPr="0036077E" w:rsidRDefault="000F6B25" w:rsidP="000F6B25">
            <w:pPr>
              <w:pStyle w:val="ListNumber"/>
              <w:numPr>
                <w:ilvl w:val="0"/>
                <w:numId w:val="0"/>
              </w:numPr>
              <w:tabs>
                <w:tab w:val="clear" w:pos="720"/>
                <w:tab w:val="left" w:pos="426"/>
              </w:tabs>
              <w:rPr>
                <w:rFonts w:cs="Arial"/>
                <w:b/>
                <w:szCs w:val="24"/>
              </w:rPr>
            </w:pPr>
            <w:r w:rsidRPr="0036077E">
              <w:rPr>
                <w:rFonts w:cs="Arial"/>
                <w:b/>
                <w:szCs w:val="24"/>
              </w:rPr>
              <w:t>Experience (</w:t>
            </w:r>
            <w:r>
              <w:rPr>
                <w:rFonts w:cs="Arial"/>
                <w:b/>
                <w:szCs w:val="24"/>
              </w:rPr>
              <w:t>30</w:t>
            </w:r>
            <w:r w:rsidRPr="0036077E">
              <w:rPr>
                <w:rFonts w:cs="Arial"/>
                <w:b/>
                <w:szCs w:val="24"/>
              </w:rPr>
              <w:t>%)</w:t>
            </w:r>
          </w:p>
          <w:p w14:paraId="045B58D5" w14:textId="77777777" w:rsidR="000F6B25" w:rsidRPr="0036077E" w:rsidRDefault="000F6B25" w:rsidP="000F6B25">
            <w:pPr>
              <w:pStyle w:val="ListNumber"/>
              <w:numPr>
                <w:ilvl w:val="0"/>
                <w:numId w:val="0"/>
              </w:numPr>
              <w:rPr>
                <w:rFonts w:cs="Arial"/>
                <w:sz w:val="22"/>
                <w:szCs w:val="22"/>
              </w:rPr>
            </w:pPr>
            <w:r w:rsidRPr="0036077E">
              <w:rPr>
                <w:sz w:val="22"/>
                <w:szCs w:val="22"/>
              </w:rPr>
              <w:t>The proposal should set out any experience relevant to the project requirement</w:t>
            </w:r>
            <w:proofErr w:type="gramStart"/>
            <w:r w:rsidRPr="0036077E">
              <w:rPr>
                <w:sz w:val="22"/>
                <w:szCs w:val="22"/>
              </w:rPr>
              <w:t>.  In particular, it</w:t>
            </w:r>
            <w:proofErr w:type="gramEnd"/>
            <w:r w:rsidRPr="0036077E">
              <w:rPr>
                <w:sz w:val="22"/>
                <w:szCs w:val="22"/>
              </w:rPr>
              <w:t xml:space="preserve"> must:</w:t>
            </w:r>
          </w:p>
          <w:p w14:paraId="3F6BA564" w14:textId="77777777" w:rsidR="000F6B25" w:rsidRPr="0036077E" w:rsidRDefault="000F6B25" w:rsidP="000F6B25">
            <w:pPr>
              <w:pStyle w:val="ListNumber"/>
              <w:numPr>
                <w:ilvl w:val="0"/>
                <w:numId w:val="0"/>
              </w:numPr>
              <w:rPr>
                <w:rFonts w:cs="Arial"/>
                <w:sz w:val="22"/>
                <w:szCs w:val="22"/>
              </w:rPr>
            </w:pPr>
            <w:r w:rsidRPr="0036077E">
              <w:rPr>
                <w:rFonts w:cs="Arial"/>
                <w:sz w:val="22"/>
                <w:szCs w:val="22"/>
              </w:rPr>
              <w:lastRenderedPageBreak/>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1FB4C825" w14:textId="77777777" w:rsidR="000F6B25" w:rsidRPr="0036077E" w:rsidRDefault="000F6B25" w:rsidP="000F6B25">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756EEC9C" w14:textId="77777777" w:rsidR="000F6B25" w:rsidRPr="0036077E" w:rsidRDefault="000F6B25" w:rsidP="000F6B25">
            <w:pPr>
              <w:pStyle w:val="ListNumber"/>
              <w:numPr>
                <w:ilvl w:val="0"/>
                <w:numId w:val="0"/>
              </w:numPr>
              <w:tabs>
                <w:tab w:val="clear" w:pos="720"/>
                <w:tab w:val="left" w:pos="426"/>
              </w:tabs>
              <w:rPr>
                <w:rFonts w:cs="Arial"/>
                <w:sz w:val="22"/>
                <w:szCs w:val="22"/>
              </w:rPr>
            </w:pPr>
          </w:p>
          <w:p w14:paraId="3B780D37" w14:textId="77777777" w:rsidR="000F6B25" w:rsidRPr="0036077E" w:rsidRDefault="000F6B25" w:rsidP="000F6B25">
            <w:pPr>
              <w:pStyle w:val="ListNumber"/>
              <w:numPr>
                <w:ilvl w:val="0"/>
                <w:numId w:val="0"/>
              </w:numPr>
              <w:rPr>
                <w:rFonts w:cs="Arial"/>
                <w:szCs w:val="24"/>
              </w:rPr>
            </w:pPr>
            <w:r w:rsidRPr="0036077E">
              <w:rPr>
                <w:rFonts w:cs="Arial"/>
                <w:b/>
                <w:szCs w:val="24"/>
              </w:rPr>
              <w:t>Cost / Value for money (</w:t>
            </w:r>
            <w:r>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that will apply for the lifetime of this project</w:t>
            </w:r>
            <w:proofErr w:type="gramStart"/>
            <w:r w:rsidRPr="0036077E">
              <w:rPr>
                <w:sz w:val="22"/>
                <w:szCs w:val="22"/>
              </w:rPr>
              <w:t xml:space="preserve">.  </w:t>
            </w:r>
            <w:proofErr w:type="gramEnd"/>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lastRenderedPageBreak/>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76E02BBD" w:rsidR="00F52BE8" w:rsidRPr="00751938" w:rsidRDefault="00641C43" w:rsidP="00335497">
            <w:pPr>
              <w:pStyle w:val="ListNumber"/>
              <w:numPr>
                <w:ilvl w:val="0"/>
                <w:numId w:val="0"/>
              </w:numPr>
              <w:spacing w:before="0" w:after="0"/>
              <w:rPr>
                <w:rFonts w:cs="Arial"/>
              </w:rPr>
            </w:pPr>
            <w:r>
              <w:rPr>
                <w:rFonts w:cs="Arial"/>
              </w:rPr>
              <w:t>15/11/21</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564214C7" w:rsidR="00F52BE8" w:rsidRPr="00751938" w:rsidRDefault="00641C43" w:rsidP="00335497">
            <w:pPr>
              <w:pStyle w:val="ListNumber"/>
              <w:numPr>
                <w:ilvl w:val="0"/>
                <w:numId w:val="0"/>
              </w:numPr>
              <w:spacing w:before="0" w:after="0"/>
              <w:rPr>
                <w:rFonts w:cs="Arial"/>
              </w:rPr>
            </w:pPr>
            <w:r>
              <w:rPr>
                <w:rFonts w:cs="Arial"/>
              </w:rPr>
              <w:t>22/11/21</w:t>
            </w:r>
            <w:r w:rsidR="00037698">
              <w:rPr>
                <w:rFonts w:cs="Arial"/>
              </w:rPr>
              <w:t xml:space="preserve"> 12:00pm</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6A2BE958" w:rsidR="00F52BE8" w:rsidRPr="00751938" w:rsidRDefault="00641C43" w:rsidP="00335497">
            <w:pPr>
              <w:pStyle w:val="ListNumber"/>
              <w:numPr>
                <w:ilvl w:val="0"/>
                <w:numId w:val="0"/>
              </w:numPr>
              <w:spacing w:before="0" w:after="0"/>
              <w:rPr>
                <w:rFonts w:cs="Arial"/>
              </w:rPr>
            </w:pPr>
            <w:r>
              <w:rPr>
                <w:rFonts w:cs="Arial"/>
              </w:rPr>
              <w:t>01/12/21</w:t>
            </w:r>
            <w:r w:rsidR="00037698">
              <w:rPr>
                <w:rFonts w:cs="Arial"/>
              </w:rPr>
              <w:t xml:space="preserve"> 12:00pm </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2623153E" w:rsidR="00F52BE8" w:rsidRPr="00751938" w:rsidRDefault="00641C43" w:rsidP="00335497">
            <w:pPr>
              <w:pStyle w:val="ListNumber"/>
              <w:numPr>
                <w:ilvl w:val="0"/>
                <w:numId w:val="0"/>
              </w:numPr>
              <w:spacing w:before="0" w:after="0"/>
              <w:rPr>
                <w:rFonts w:cs="Arial"/>
              </w:rPr>
            </w:pPr>
            <w:r>
              <w:rPr>
                <w:rFonts w:cs="Arial"/>
              </w:rPr>
              <w:t>06/12/21</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31A3D685" w:rsidR="00F52BE8" w:rsidRPr="00751938" w:rsidRDefault="00641C43" w:rsidP="00335497">
            <w:pPr>
              <w:pStyle w:val="ListNumber"/>
              <w:numPr>
                <w:ilvl w:val="0"/>
                <w:numId w:val="0"/>
              </w:numPr>
              <w:spacing w:before="0" w:after="0"/>
              <w:rPr>
                <w:rFonts w:cs="Arial"/>
              </w:rPr>
            </w:pPr>
            <w:r>
              <w:rPr>
                <w:rFonts w:cs="Arial"/>
              </w:rPr>
              <w:t>w/c 13/12/21</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4215E86C" w:rsidR="00F52BE8" w:rsidRPr="00751938" w:rsidRDefault="00641C43" w:rsidP="00335497">
            <w:pPr>
              <w:pStyle w:val="ListNumber"/>
              <w:numPr>
                <w:ilvl w:val="0"/>
                <w:numId w:val="0"/>
              </w:numPr>
              <w:spacing w:before="0" w:after="0"/>
              <w:rPr>
                <w:rFonts w:cs="Arial"/>
              </w:rPr>
            </w:pPr>
            <w:r>
              <w:rPr>
                <w:rFonts w:cs="Arial"/>
              </w:rPr>
              <w:t>04/01/22</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5D824E99" w:rsidR="00F52BE8" w:rsidRPr="00751938" w:rsidRDefault="00641C43" w:rsidP="00335497">
            <w:pPr>
              <w:pStyle w:val="ListNumber"/>
              <w:numPr>
                <w:ilvl w:val="0"/>
                <w:numId w:val="0"/>
              </w:numPr>
              <w:spacing w:before="0" w:after="0"/>
              <w:rPr>
                <w:rFonts w:cs="Arial"/>
              </w:rPr>
            </w:pPr>
            <w:r>
              <w:rPr>
                <w:rFonts w:cs="Arial"/>
              </w:rPr>
              <w:t>05/01/22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w:t>
      </w:r>
      <w:proofErr w:type="gramStart"/>
      <w:r>
        <w:rPr>
          <w:u w:val="single"/>
        </w:rPr>
        <w:t xml:space="preserve">.  </w:t>
      </w:r>
      <w:proofErr w:type="gramEnd"/>
      <w:r>
        <w:rPr>
          <w:u w:val="single"/>
        </w:rPr>
        <w:t>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The ORR is a central Government department and as such complies with the Government’s transparency agenda</w:t>
      </w:r>
      <w:proofErr w:type="gramStart"/>
      <w:r>
        <w:t xml:space="preserve">.  </w:t>
      </w:r>
      <w:proofErr w:type="gramEnd"/>
      <w:r>
        <w:t>As a result, there is a presumption that contract documentation will be made available to the public via electronic means</w:t>
      </w:r>
      <w:proofErr w:type="gramStart"/>
      <w:r>
        <w:t xml:space="preserve">.  </w:t>
      </w:r>
      <w:proofErr w:type="gramEnd"/>
      <w:r>
        <w:t xml:space="preserve">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w:t>
      </w:r>
      <w:proofErr w:type="gramStart"/>
      <w:r>
        <w:t xml:space="preserve">.  </w:t>
      </w:r>
      <w:proofErr w:type="gramEnd"/>
      <w:r>
        <w:t>All information submitted to a public authority may need to be disclosed by the public authority in response to a request under the Act</w:t>
      </w:r>
      <w:proofErr w:type="gramStart"/>
      <w:r>
        <w:t xml:space="preserve">.  </w:t>
      </w:r>
      <w:proofErr w:type="gramEnd"/>
      <w:r>
        <w:t xml:space="preserve">ORR may also decide to include certain information in the publication scheme which it maintains under the Act. If a bidder considers </w:t>
      </w:r>
      <w:r>
        <w:lastRenderedPageBreak/>
        <w:t xml:space="preserve">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w:t>
      </w:r>
      <w:proofErr w:type="gramStart"/>
      <w:r>
        <w:t xml:space="preserve">.  </w:t>
      </w:r>
      <w:proofErr w:type="gramEnd"/>
      <w:r>
        <w:t>Bidders should also note that the receipt of any material marked “confidential” or equivalent by the public authority should not be taken to mean that the public authority accepts any duty of confidence by virtue of that marking</w:t>
      </w:r>
      <w:proofErr w:type="gramStart"/>
      <w:r>
        <w:t xml:space="preserve">.  </w:t>
      </w:r>
      <w:proofErr w:type="gramEnd"/>
      <w:r>
        <w:t xml:space="preserve">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9A16E7"/>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9A1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9A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9A1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9A1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9A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B606E"/>
    <w:multiLevelType w:val="multilevel"/>
    <w:tmpl w:val="B51474DE"/>
    <w:lvl w:ilvl="0">
      <w:start w:val="1"/>
      <w:numFmt w:val="lowerLetter"/>
      <w:lvlText w:val="%1."/>
      <w:lvlJc w:val="left"/>
      <w:pPr>
        <w:tabs>
          <w:tab w:val="num" w:pos="-3168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80E40"/>
    <w:multiLevelType w:val="multilevel"/>
    <w:tmpl w:val="EE62DA0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6"/>
  </w:num>
  <w:num w:numId="4">
    <w:abstractNumId w:val="18"/>
  </w:num>
  <w:num w:numId="5">
    <w:abstractNumId w:val="11"/>
  </w:num>
  <w:num w:numId="6">
    <w:abstractNumId w:val="0"/>
  </w:num>
  <w:num w:numId="7">
    <w:abstractNumId w:val="15"/>
  </w:num>
  <w:num w:numId="8">
    <w:abstractNumId w:val="4"/>
  </w:num>
  <w:num w:numId="9">
    <w:abstractNumId w:val="7"/>
  </w:num>
  <w:num w:numId="10">
    <w:abstractNumId w:val="14"/>
  </w:num>
  <w:num w:numId="11">
    <w:abstractNumId w:val="23"/>
  </w:num>
  <w:num w:numId="12">
    <w:abstractNumId w:val="5"/>
  </w:num>
  <w:num w:numId="13">
    <w:abstractNumId w:val="2"/>
  </w:num>
  <w:num w:numId="14">
    <w:abstractNumId w:val="13"/>
  </w:num>
  <w:num w:numId="15">
    <w:abstractNumId w:val="24"/>
  </w:num>
  <w:num w:numId="16">
    <w:abstractNumId w:val="1"/>
  </w:num>
  <w:num w:numId="17">
    <w:abstractNumId w:val="21"/>
  </w:num>
  <w:num w:numId="18">
    <w:abstractNumId w:val="10"/>
  </w:num>
  <w:num w:numId="19">
    <w:abstractNumId w:val="8"/>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0"/>
  </w:num>
  <w:num w:numId="24">
    <w:abstractNumId w:val="25"/>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7698"/>
    <w:rsid w:val="000A3EB5"/>
    <w:rsid w:val="000F6B25"/>
    <w:rsid w:val="0012337C"/>
    <w:rsid w:val="001845B5"/>
    <w:rsid w:val="001A5D12"/>
    <w:rsid w:val="001F3F1F"/>
    <w:rsid w:val="00243C6B"/>
    <w:rsid w:val="00296648"/>
    <w:rsid w:val="00362F01"/>
    <w:rsid w:val="003A2348"/>
    <w:rsid w:val="003B3ECA"/>
    <w:rsid w:val="003E7F52"/>
    <w:rsid w:val="003F3349"/>
    <w:rsid w:val="004701E1"/>
    <w:rsid w:val="00484F74"/>
    <w:rsid w:val="005069D8"/>
    <w:rsid w:val="00591ADB"/>
    <w:rsid w:val="00641C43"/>
    <w:rsid w:val="00642340"/>
    <w:rsid w:val="0065726B"/>
    <w:rsid w:val="006A16CB"/>
    <w:rsid w:val="006F406A"/>
    <w:rsid w:val="00751938"/>
    <w:rsid w:val="00752CEC"/>
    <w:rsid w:val="00767F78"/>
    <w:rsid w:val="00774E2B"/>
    <w:rsid w:val="00847992"/>
    <w:rsid w:val="00882C9B"/>
    <w:rsid w:val="008B7F36"/>
    <w:rsid w:val="00907369"/>
    <w:rsid w:val="00907461"/>
    <w:rsid w:val="009878A7"/>
    <w:rsid w:val="009A16E7"/>
    <w:rsid w:val="00A95B39"/>
    <w:rsid w:val="00A974F7"/>
    <w:rsid w:val="00AD102B"/>
    <w:rsid w:val="00B17703"/>
    <w:rsid w:val="00B87F5C"/>
    <w:rsid w:val="00BC1899"/>
    <w:rsid w:val="00BE30E5"/>
    <w:rsid w:val="00C25098"/>
    <w:rsid w:val="00C36354"/>
    <w:rsid w:val="00D22CBB"/>
    <w:rsid w:val="00D26F8E"/>
    <w:rsid w:val="00D74997"/>
    <w:rsid w:val="00DC219A"/>
    <w:rsid w:val="00DE4154"/>
    <w:rsid w:val="00DE6991"/>
    <w:rsid w:val="00E067BF"/>
    <w:rsid w:val="00E1428F"/>
    <w:rsid w:val="00E16231"/>
    <w:rsid w:val="00E17F7A"/>
    <w:rsid w:val="00E21D3C"/>
    <w:rsid w:val="00EA48A7"/>
    <w:rsid w:val="00EC75FB"/>
    <w:rsid w:val="00F26B55"/>
    <w:rsid w:val="00F52BE8"/>
    <w:rsid w:val="00F55D3A"/>
    <w:rsid w:val="00F625D5"/>
    <w:rsid w:val="00FC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paragraph" w:styleId="Heading3">
    <w:name w:val="heading 3"/>
    <w:basedOn w:val="Normal"/>
    <w:next w:val="Normal"/>
    <w:link w:val="Heading3Char"/>
    <w:uiPriority w:val="9"/>
    <w:semiHidden/>
    <w:unhideWhenUsed/>
    <w:qFormat/>
    <w:rsid w:val="000F6B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0F6B25"/>
    <w:rPr>
      <w:rFonts w:asciiTheme="majorHAnsi" w:eastAsiaTheme="majorEastAsia" w:hAnsiTheme="majorHAnsi" w:cstheme="majorBidi"/>
      <w:color w:val="1F4D78" w:themeColor="accent1" w:themeShade="7F"/>
      <w:sz w:val="24"/>
      <w:szCs w:val="24"/>
      <w:lang w:val="en-GB"/>
    </w:rPr>
  </w:style>
  <w:style w:type="paragraph" w:customStyle="1" w:styleId="ListNumber4BodyText">
    <w:name w:val="List Number 4 (Body Text)"/>
    <w:basedOn w:val="ListNumber3"/>
    <w:rsid w:val="000F6B25"/>
    <w:pPr>
      <w:numPr>
        <w:ilvl w:val="3"/>
        <w:numId w:val="26"/>
      </w:numPr>
      <w:spacing w:line="360" w:lineRule="exact"/>
      <w:ind w:firstLine="0"/>
    </w:pPr>
    <w:rPr>
      <w:bCs w:val="0"/>
    </w:rPr>
  </w:style>
  <w:style w:type="character" w:styleId="CommentReference">
    <w:name w:val="annotation reference"/>
    <w:basedOn w:val="DefaultParagraphFont"/>
    <w:uiPriority w:val="99"/>
    <w:semiHidden/>
    <w:unhideWhenUsed/>
    <w:rsid w:val="00B87F5C"/>
    <w:rPr>
      <w:sz w:val="16"/>
      <w:szCs w:val="16"/>
    </w:rPr>
  </w:style>
  <w:style w:type="paragraph" w:styleId="CommentText">
    <w:name w:val="annotation text"/>
    <w:basedOn w:val="Normal"/>
    <w:link w:val="CommentTextChar"/>
    <w:uiPriority w:val="99"/>
    <w:semiHidden/>
    <w:unhideWhenUsed/>
    <w:rsid w:val="00B87F5C"/>
    <w:rPr>
      <w:sz w:val="20"/>
    </w:rPr>
  </w:style>
  <w:style w:type="character" w:customStyle="1" w:styleId="CommentTextChar">
    <w:name w:val="Comment Text Char"/>
    <w:basedOn w:val="DefaultParagraphFont"/>
    <w:link w:val="CommentText"/>
    <w:uiPriority w:val="99"/>
    <w:semiHidden/>
    <w:rsid w:val="00B87F5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87F5C"/>
    <w:rPr>
      <w:b/>
      <w:bCs/>
    </w:rPr>
  </w:style>
  <w:style w:type="character" w:customStyle="1" w:styleId="CommentSubjectChar">
    <w:name w:val="Comment Subject Char"/>
    <w:basedOn w:val="CommentTextChar"/>
    <w:link w:val="CommentSubject"/>
    <w:uiPriority w:val="99"/>
    <w:semiHidden/>
    <w:rsid w:val="00B87F5C"/>
    <w:rPr>
      <w:rFonts w:ascii="Arial" w:eastAsia="Times New Roman" w:hAnsi="Arial" w:cs="Times New Roman"/>
      <w:b/>
      <w:bCs/>
      <w:sz w:val="20"/>
      <w:szCs w:val="20"/>
      <w:lang w:val="en-GB"/>
    </w:rPr>
  </w:style>
  <w:style w:type="paragraph" w:styleId="Revision">
    <w:name w:val="Revision"/>
    <w:hidden/>
    <w:uiPriority w:val="99"/>
    <w:semiHidden/>
    <w:rsid w:val="00767F78"/>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2021-11-09T12:45:00Z</dcterms:created>
  <dcterms:modified xsi:type="dcterms:W3CDTF">2021-11-11T14:02:00Z</dcterms:modified>
</cp:coreProperties>
</file>