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9E45" w14:textId="7D9C596F" w:rsidR="002B4A14" w:rsidRDefault="002B4A14" w:rsidP="002B4A14">
      <w:pPr>
        <w:numPr>
          <w:ilvl w:val="1"/>
          <w:numId w:val="0"/>
        </w:numPr>
        <w:tabs>
          <w:tab w:val="num" w:pos="907"/>
        </w:tabs>
        <w:spacing w:before="240" w:after="60" w:line="276" w:lineRule="auto"/>
        <w:ind w:left="907" w:hanging="907"/>
        <w:jc w:val="both"/>
        <w:outlineLvl w:val="1"/>
        <w:rPr>
          <w:rFonts w:ascii="Arial" w:eastAsia="Times New Roman" w:hAnsi="Arial" w:cs="Arial"/>
          <w:b/>
          <w:bCs/>
          <w:iCs/>
          <w:szCs w:val="24"/>
        </w:rPr>
      </w:pPr>
      <w:r>
        <w:rPr>
          <w:rFonts w:ascii="Arial" w:eastAsia="Times New Roman" w:hAnsi="Arial" w:cs="Arial"/>
          <w:b/>
          <w:bCs/>
          <w:iCs/>
          <w:szCs w:val="24"/>
        </w:rPr>
        <w:t xml:space="preserve">Annex B: </w:t>
      </w:r>
      <w:r w:rsidRPr="002B4A14">
        <w:rPr>
          <w:rFonts w:ascii="Arial" w:eastAsia="Times New Roman" w:hAnsi="Arial" w:cs="Arial"/>
          <w:b/>
          <w:bCs/>
          <w:iCs/>
          <w:szCs w:val="24"/>
        </w:rPr>
        <w:t xml:space="preserve">Cost </w:t>
      </w:r>
      <w:r w:rsidRPr="002B4A14">
        <w:rPr>
          <w:rFonts w:ascii="Arial" w:eastAsia="Times New Roman" w:hAnsi="Arial" w:cs="Arial"/>
          <w:b/>
          <w:bCs/>
          <w:iCs/>
          <w:szCs w:val="28"/>
        </w:rPr>
        <w:t>Value</w:t>
      </w:r>
      <w:r w:rsidRPr="002B4A14">
        <w:rPr>
          <w:rFonts w:ascii="Arial" w:eastAsia="Times New Roman" w:hAnsi="Arial" w:cs="Arial"/>
          <w:b/>
          <w:bCs/>
          <w:iCs/>
          <w:szCs w:val="24"/>
        </w:rPr>
        <w:t xml:space="preserve"> for Money</w:t>
      </w:r>
    </w:p>
    <w:p w14:paraId="0B1BD0DD" w14:textId="77777777" w:rsidR="002B4A14" w:rsidRPr="002B4A14" w:rsidRDefault="002B4A14" w:rsidP="002B4A14">
      <w:pPr>
        <w:spacing w:before="240" w:after="60" w:line="276" w:lineRule="auto"/>
        <w:jc w:val="both"/>
        <w:outlineLvl w:val="1"/>
        <w:rPr>
          <w:rFonts w:ascii="Arial" w:eastAsia="Times New Roman" w:hAnsi="Arial" w:cs="Arial"/>
          <w:bCs/>
          <w:iCs/>
          <w:szCs w:val="28"/>
        </w:rPr>
      </w:pPr>
      <w:r w:rsidRPr="002B4A14">
        <w:rPr>
          <w:rFonts w:ascii="Arial" w:eastAsia="Times New Roman" w:hAnsi="Arial" w:cs="Arial"/>
          <w:bCs/>
          <w:iCs/>
          <w:szCs w:val="28"/>
        </w:rP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4528734C" w14:textId="77777777" w:rsidR="002B4A14" w:rsidRPr="002B4A14" w:rsidRDefault="002B4A14" w:rsidP="002B4A14">
      <w:pPr>
        <w:numPr>
          <w:ilvl w:val="2"/>
          <w:numId w:val="1"/>
        </w:numPr>
        <w:spacing w:before="240" w:after="60" w:line="276" w:lineRule="auto"/>
        <w:jc w:val="both"/>
        <w:outlineLvl w:val="1"/>
        <w:rPr>
          <w:rFonts w:ascii="Arial" w:eastAsia="Times New Roman" w:hAnsi="Arial" w:cs="Arial"/>
          <w:bCs/>
          <w:iCs/>
          <w:szCs w:val="28"/>
        </w:rPr>
      </w:pPr>
      <w:r w:rsidRPr="002B4A14">
        <w:rPr>
          <w:rFonts w:ascii="Arial" w:eastAsia="Times New Roman" w:hAnsi="Arial" w:cs="Arial"/>
          <w:bCs/>
          <w:iCs/>
          <w:szCs w:val="28"/>
        </w:rP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2B4A14" w:rsidRPr="002B4A14" w14:paraId="1708DA24" w14:textId="77777777" w:rsidTr="00BA2BAE">
        <w:tc>
          <w:tcPr>
            <w:tcW w:w="2547" w:type="dxa"/>
            <w:shd w:val="clear" w:color="auto" w:fill="4F81BD"/>
            <w:vAlign w:val="center"/>
          </w:tcPr>
          <w:p w14:paraId="3BDBF4C0" w14:textId="77777777" w:rsidR="002B4A14" w:rsidRPr="002B4A14" w:rsidRDefault="002B4A14" w:rsidP="002B4A14">
            <w:pPr>
              <w:spacing w:after="120" w:line="240" w:lineRule="auto"/>
              <w:jc w:val="center"/>
              <w:rPr>
                <w:rFonts w:ascii="Arial" w:eastAsia="Times New Roman" w:hAnsi="Arial" w:cs="Times New Roman"/>
                <w:b/>
                <w:bCs/>
                <w:color w:val="FFFFFF"/>
                <w:szCs w:val="20"/>
              </w:rPr>
            </w:pPr>
            <w:r w:rsidRPr="002B4A14">
              <w:rPr>
                <w:rFonts w:ascii="Arial" w:eastAsia="Times New Roman" w:hAnsi="Arial" w:cs="Times New Roman"/>
                <w:b/>
                <w:bCs/>
                <w:color w:val="FFFFFF"/>
                <w:szCs w:val="20"/>
              </w:rPr>
              <w:t>Cost Category</w:t>
            </w:r>
          </w:p>
        </w:tc>
        <w:tc>
          <w:tcPr>
            <w:tcW w:w="6469" w:type="dxa"/>
            <w:shd w:val="clear" w:color="auto" w:fill="4F81BD"/>
            <w:vAlign w:val="center"/>
          </w:tcPr>
          <w:p w14:paraId="00494C82" w14:textId="77777777" w:rsidR="002B4A14" w:rsidRPr="002B4A14" w:rsidRDefault="002B4A14" w:rsidP="002B4A14">
            <w:pPr>
              <w:spacing w:after="120" w:line="240" w:lineRule="auto"/>
              <w:jc w:val="center"/>
              <w:rPr>
                <w:rFonts w:ascii="Arial" w:eastAsia="Times New Roman" w:hAnsi="Arial" w:cs="Times New Roman"/>
                <w:b/>
                <w:bCs/>
                <w:color w:val="FFFFFF"/>
                <w:szCs w:val="20"/>
              </w:rPr>
            </w:pPr>
            <w:r w:rsidRPr="002B4A14">
              <w:rPr>
                <w:rFonts w:ascii="Arial" w:eastAsia="Times New Roman" w:hAnsi="Arial" w:cs="Times New Roman"/>
                <w:b/>
                <w:bCs/>
                <w:color w:val="FFFFFF"/>
                <w:szCs w:val="20"/>
              </w:rPr>
              <w:t>Amount (£)</w:t>
            </w:r>
          </w:p>
        </w:tc>
      </w:tr>
      <w:tr w:rsidR="002B4A14" w:rsidRPr="002B4A14" w14:paraId="53A18A1B" w14:textId="77777777" w:rsidTr="00BA2BAE">
        <w:tc>
          <w:tcPr>
            <w:tcW w:w="2547" w:type="dxa"/>
          </w:tcPr>
          <w:p w14:paraId="49A5526C" w14:textId="77777777" w:rsidR="002B4A14" w:rsidRPr="002B4A14" w:rsidRDefault="002B4A14" w:rsidP="002B4A14">
            <w:pPr>
              <w:spacing w:after="120" w:line="240" w:lineRule="auto"/>
              <w:rPr>
                <w:rFonts w:ascii="Arial" w:eastAsia="Times New Roman" w:hAnsi="Arial" w:cs="Times New Roman"/>
                <w:b/>
                <w:bCs/>
                <w:szCs w:val="20"/>
              </w:rPr>
            </w:pPr>
            <w:r w:rsidRPr="002B4A14">
              <w:rPr>
                <w:rFonts w:ascii="Arial" w:eastAsia="Times New Roman" w:hAnsi="Arial" w:cs="Times New Roman"/>
                <w:b/>
                <w:bCs/>
                <w:szCs w:val="20"/>
              </w:rPr>
              <w:t>Staff Costs</w:t>
            </w:r>
          </w:p>
        </w:tc>
        <w:tc>
          <w:tcPr>
            <w:tcW w:w="6469" w:type="dxa"/>
          </w:tcPr>
          <w:p w14:paraId="6657DC0B" w14:textId="77777777" w:rsidR="002B4A14" w:rsidRPr="002B4A14" w:rsidRDefault="002B4A14" w:rsidP="002B4A14">
            <w:pPr>
              <w:spacing w:after="120" w:line="240" w:lineRule="auto"/>
              <w:rPr>
                <w:rFonts w:ascii="Arial" w:eastAsia="Times New Roman" w:hAnsi="Arial" w:cs="Times New Roman"/>
                <w:szCs w:val="20"/>
              </w:rPr>
            </w:pPr>
          </w:p>
        </w:tc>
      </w:tr>
      <w:tr w:rsidR="002B4A14" w:rsidRPr="002B4A14" w14:paraId="326418C6" w14:textId="77777777" w:rsidTr="00BA2BAE">
        <w:tc>
          <w:tcPr>
            <w:tcW w:w="2547" w:type="dxa"/>
          </w:tcPr>
          <w:p w14:paraId="773C0E2A" w14:textId="77777777" w:rsidR="002B4A14" w:rsidRPr="002B4A14" w:rsidRDefault="002B4A14" w:rsidP="002B4A14">
            <w:pPr>
              <w:spacing w:after="120" w:line="240" w:lineRule="auto"/>
              <w:rPr>
                <w:rFonts w:ascii="Arial" w:eastAsia="Times New Roman" w:hAnsi="Arial" w:cs="Times New Roman"/>
                <w:b/>
                <w:bCs/>
                <w:szCs w:val="20"/>
              </w:rPr>
            </w:pPr>
            <w:r w:rsidRPr="002B4A14">
              <w:rPr>
                <w:rFonts w:ascii="Arial" w:eastAsia="Times New Roman" w:hAnsi="Arial" w:cs="Times New Roman"/>
                <w:b/>
                <w:bCs/>
                <w:szCs w:val="20"/>
              </w:rPr>
              <w:t>Preliminaries</w:t>
            </w:r>
          </w:p>
        </w:tc>
        <w:tc>
          <w:tcPr>
            <w:tcW w:w="6469" w:type="dxa"/>
          </w:tcPr>
          <w:p w14:paraId="55F851B9" w14:textId="77777777" w:rsidR="002B4A14" w:rsidRPr="002B4A14" w:rsidRDefault="002B4A14" w:rsidP="002B4A14">
            <w:pPr>
              <w:spacing w:after="120" w:line="240" w:lineRule="auto"/>
              <w:rPr>
                <w:rFonts w:ascii="Arial" w:eastAsia="Times New Roman" w:hAnsi="Arial" w:cs="Times New Roman"/>
                <w:szCs w:val="20"/>
              </w:rPr>
            </w:pPr>
          </w:p>
        </w:tc>
      </w:tr>
      <w:tr w:rsidR="002B4A14" w:rsidRPr="002B4A14" w14:paraId="4C6DFEBF" w14:textId="77777777" w:rsidTr="00BA2BAE">
        <w:tc>
          <w:tcPr>
            <w:tcW w:w="2547" w:type="dxa"/>
          </w:tcPr>
          <w:p w14:paraId="4517335B" w14:textId="77777777" w:rsidR="002B4A14" w:rsidRPr="002B4A14" w:rsidRDefault="002B4A14" w:rsidP="002B4A14">
            <w:pPr>
              <w:spacing w:after="120" w:line="240" w:lineRule="auto"/>
              <w:rPr>
                <w:rFonts w:ascii="Arial" w:eastAsia="Times New Roman" w:hAnsi="Arial" w:cs="Times New Roman"/>
                <w:b/>
                <w:bCs/>
                <w:szCs w:val="20"/>
              </w:rPr>
            </w:pPr>
            <w:r w:rsidRPr="002B4A14">
              <w:rPr>
                <w:rFonts w:ascii="Arial" w:eastAsia="Times New Roman" w:hAnsi="Arial" w:cs="Times New Roman"/>
                <w:b/>
                <w:bCs/>
                <w:szCs w:val="20"/>
              </w:rPr>
              <w:t>TOTAL FIXED PRICE</w:t>
            </w:r>
          </w:p>
        </w:tc>
        <w:tc>
          <w:tcPr>
            <w:tcW w:w="6469" w:type="dxa"/>
          </w:tcPr>
          <w:p w14:paraId="2619F237" w14:textId="77777777" w:rsidR="002B4A14" w:rsidRPr="002B4A14" w:rsidRDefault="002B4A14" w:rsidP="002B4A14">
            <w:pPr>
              <w:spacing w:after="120" w:line="240" w:lineRule="auto"/>
              <w:rPr>
                <w:rFonts w:ascii="Arial" w:eastAsia="Times New Roman" w:hAnsi="Arial" w:cs="Times New Roman"/>
                <w:szCs w:val="20"/>
              </w:rPr>
            </w:pPr>
          </w:p>
        </w:tc>
      </w:tr>
    </w:tbl>
    <w:p w14:paraId="32D2CC44" w14:textId="77777777" w:rsidR="002B4A14" w:rsidRPr="002B4A14" w:rsidRDefault="002B4A14" w:rsidP="002B4A14">
      <w:pPr>
        <w:spacing w:after="120" w:line="240" w:lineRule="auto"/>
        <w:rPr>
          <w:rFonts w:ascii="Arial" w:eastAsia="Times New Roman" w:hAnsi="Arial" w:cs="Times New Roman"/>
          <w:b/>
          <w:szCs w:val="20"/>
        </w:rPr>
      </w:pPr>
    </w:p>
    <w:p w14:paraId="5BF30F3D" w14:textId="77777777" w:rsidR="002B4A14" w:rsidRPr="002B4A14" w:rsidRDefault="002B4A14" w:rsidP="002B4A14">
      <w:pPr>
        <w:numPr>
          <w:ilvl w:val="2"/>
          <w:numId w:val="1"/>
        </w:numPr>
        <w:spacing w:before="240" w:after="60" w:line="276" w:lineRule="auto"/>
        <w:jc w:val="both"/>
        <w:outlineLvl w:val="1"/>
        <w:rPr>
          <w:rFonts w:ascii="Arial" w:eastAsia="Times New Roman" w:hAnsi="Arial" w:cs="Arial"/>
          <w:bCs/>
          <w:iCs/>
          <w:szCs w:val="28"/>
        </w:rPr>
      </w:pPr>
      <w:r w:rsidRPr="002B4A14">
        <w:rPr>
          <w:rFonts w:ascii="Arial" w:eastAsia="Times New Roman" w:hAnsi="Arial" w:cs="Arial"/>
          <w:bCs/>
          <w:iCs/>
          <w:szCs w:val="28"/>
        </w:rPr>
        <w:t>For clarity, all tender price submissions will be judged on their total price and the individual price elements will not be used to determine the successful proposal. The above breakdown, along with the narrative, allows the Council to better understand how the overall fee is made up by each of the identified activities.</w:t>
      </w:r>
    </w:p>
    <w:p w14:paraId="169C7C64" w14:textId="77777777" w:rsidR="002B4A14" w:rsidRPr="002B4A14" w:rsidRDefault="002B4A14" w:rsidP="002B4A14">
      <w:pPr>
        <w:numPr>
          <w:ilvl w:val="2"/>
          <w:numId w:val="1"/>
        </w:numPr>
        <w:spacing w:before="240" w:after="60" w:line="276" w:lineRule="auto"/>
        <w:jc w:val="both"/>
        <w:outlineLvl w:val="1"/>
        <w:rPr>
          <w:rFonts w:ascii="Arial" w:eastAsia="Times New Roman" w:hAnsi="Arial" w:cs="Arial"/>
          <w:bCs/>
          <w:iCs/>
          <w:szCs w:val="28"/>
        </w:rPr>
      </w:pPr>
      <w:r w:rsidRPr="002B4A14">
        <w:rPr>
          <w:rFonts w:ascii="Arial" w:eastAsia="Times New Roman" w:hAnsi="Arial" w:cs="Arial"/>
          <w:bCs/>
          <w:iCs/>
          <w:szCs w:val="28"/>
        </w:rPr>
        <w:t>In their response to this section, tenderers should set out any assumptions that they have made in arriving at their fixed price. Specifically excluded items should also be identified.</w:t>
      </w:r>
    </w:p>
    <w:p w14:paraId="16621A6C" w14:textId="77777777" w:rsidR="006B53F2" w:rsidRDefault="006B53F2"/>
    <w:sectPr w:rsidR="006B53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E917" w14:textId="77777777" w:rsidR="002B4A14" w:rsidRDefault="002B4A14" w:rsidP="002B4A14">
      <w:pPr>
        <w:spacing w:after="0" w:line="240" w:lineRule="auto"/>
      </w:pPr>
      <w:r>
        <w:separator/>
      </w:r>
    </w:p>
  </w:endnote>
  <w:endnote w:type="continuationSeparator" w:id="0">
    <w:p w14:paraId="690F94C2" w14:textId="77777777" w:rsidR="002B4A14" w:rsidRDefault="002B4A14" w:rsidP="002B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5D79" w14:textId="77777777" w:rsidR="002B4A14" w:rsidRDefault="002B4A14" w:rsidP="002B4A14">
      <w:pPr>
        <w:spacing w:after="0" w:line="240" w:lineRule="auto"/>
      </w:pPr>
      <w:r>
        <w:separator/>
      </w:r>
    </w:p>
  </w:footnote>
  <w:footnote w:type="continuationSeparator" w:id="0">
    <w:p w14:paraId="6D40FE1B" w14:textId="77777777" w:rsidR="002B4A14" w:rsidRDefault="002B4A14" w:rsidP="002B4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38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14"/>
    <w:rsid w:val="002B4A14"/>
    <w:rsid w:val="006B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7AB5E"/>
  <w15:chartTrackingRefBased/>
  <w15:docId w15:val="{4D619CA0-E884-466A-B030-8C571891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2B4A14"/>
    <w:pPr>
      <w:numPr>
        <w:ilvl w:val="1"/>
        <w:numId w:val="1"/>
      </w:numPr>
      <w:spacing w:before="240" w:after="60" w:line="276" w:lineRule="auto"/>
      <w:jc w:val="both"/>
      <w:outlineLvl w:val="1"/>
    </w:pPr>
    <w:rPr>
      <w:rFonts w:ascii="Arial" w:eastAsia="Times New Roman"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4A14"/>
    <w:rPr>
      <w:rFonts w:ascii="Arial" w:eastAsia="Times New Roman" w:hAnsi="Arial"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Grossett</dc:creator>
  <cp:keywords/>
  <dc:description/>
  <cp:lastModifiedBy>Keith Grossett</cp:lastModifiedBy>
  <cp:revision>1</cp:revision>
  <dcterms:created xsi:type="dcterms:W3CDTF">2023-03-27T11:03:00Z</dcterms:created>
  <dcterms:modified xsi:type="dcterms:W3CDTF">2023-03-27T11:05:00Z</dcterms:modified>
</cp:coreProperties>
</file>