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7" w:rsidRPr="00A24900" w:rsidRDefault="00C51FB7" w:rsidP="006037E8">
      <w:pPr>
        <w:pStyle w:val="DHTitle"/>
      </w:pPr>
      <w:bookmarkStart w:id="0" w:name="_Toc235933281"/>
    </w:p>
    <w:p w:rsidR="00D02614" w:rsidRDefault="00D02614" w:rsidP="00520F80">
      <w:pPr>
        <w:pStyle w:val="DHTitle"/>
      </w:pPr>
    </w:p>
    <w:p w:rsidR="00D02614" w:rsidRDefault="00D02614" w:rsidP="00520F80">
      <w:pPr>
        <w:pStyle w:val="DHTitle"/>
      </w:pPr>
    </w:p>
    <w:p w:rsidR="00D02614" w:rsidRDefault="00D02614" w:rsidP="00520F80">
      <w:pPr>
        <w:pStyle w:val="DHTitle"/>
      </w:pPr>
    </w:p>
    <w:p w:rsidR="008A4796" w:rsidRPr="00A24900" w:rsidRDefault="007E65CC" w:rsidP="00C47BBC">
      <w:pPr>
        <w:pStyle w:val="DHTitle"/>
        <w:jc w:val="center"/>
      </w:pPr>
      <w:r w:rsidRPr="00A24900">
        <w:t>I</w:t>
      </w:r>
      <w:bookmarkStart w:id="1" w:name="_Ref305418228"/>
      <w:bookmarkEnd w:id="1"/>
      <w:r w:rsidRPr="00A24900">
        <w:t>NVITATION TO TENDER</w:t>
      </w:r>
      <w:bookmarkEnd w:id="0"/>
      <w:r w:rsidR="00DE618B" w:rsidRPr="00A24900">
        <w:t xml:space="preserve"> FOR THE PROVISION OF</w:t>
      </w:r>
      <w:r w:rsidR="008A4796" w:rsidRPr="00A24900">
        <w:t>:</w:t>
      </w:r>
    </w:p>
    <w:p w:rsidR="00DE618B" w:rsidRPr="00A24900" w:rsidRDefault="008E6186" w:rsidP="00C47BBC">
      <w:pPr>
        <w:pStyle w:val="DHTitle"/>
        <w:jc w:val="center"/>
      </w:pPr>
      <w:r>
        <w:t>Market Shaping Review</w:t>
      </w:r>
    </w:p>
    <w:p w:rsidR="006E609F" w:rsidRPr="00A24900" w:rsidRDefault="006E609F" w:rsidP="00C47BBC">
      <w:pPr>
        <w:pStyle w:val="DHTitle"/>
        <w:jc w:val="center"/>
      </w:pPr>
    </w:p>
    <w:p w:rsidR="00FE0B38" w:rsidRPr="00C47BBC" w:rsidRDefault="00926CEC" w:rsidP="00C47BBC">
      <w:pPr>
        <w:pStyle w:val="SubT"/>
        <w:jc w:val="center"/>
      </w:pPr>
      <w:r w:rsidRPr="006E55D5">
        <w:t>Deadline</w:t>
      </w:r>
      <w:r w:rsidRPr="00C47BBC">
        <w:t xml:space="preserve">: </w:t>
      </w:r>
      <w:r w:rsidR="004677B8" w:rsidRPr="00C47BBC">
        <w:t>Monday 14</w:t>
      </w:r>
      <w:r w:rsidR="004677B8" w:rsidRPr="00C47BBC">
        <w:rPr>
          <w:vertAlign w:val="superscript"/>
        </w:rPr>
        <w:t>th</w:t>
      </w:r>
      <w:r w:rsidR="004677B8" w:rsidRPr="00C47BBC">
        <w:t xml:space="preserve"> December 2015 – 2:00pm</w:t>
      </w:r>
    </w:p>
    <w:p w:rsidR="008A4796" w:rsidRPr="006E55D5" w:rsidRDefault="008A4796" w:rsidP="00C47BBC">
      <w:pPr>
        <w:pStyle w:val="SubT"/>
        <w:jc w:val="center"/>
      </w:pPr>
      <w:r w:rsidRPr="00C47BBC">
        <w:t>ITT Referenc</w:t>
      </w:r>
      <w:r w:rsidR="00C8092F">
        <w:t>e: 60095</w:t>
      </w:r>
    </w:p>
    <w:p w:rsidR="006E609F" w:rsidRPr="006E55D5" w:rsidRDefault="006E609F" w:rsidP="00C47BBC">
      <w:pPr>
        <w:pStyle w:val="SubT"/>
        <w:jc w:val="center"/>
      </w:pPr>
    </w:p>
    <w:p w:rsidR="00015085" w:rsidRPr="006E55D5" w:rsidRDefault="006E609F" w:rsidP="00C47BBC">
      <w:pPr>
        <w:pStyle w:val="SubT"/>
        <w:jc w:val="center"/>
      </w:pPr>
      <w:r w:rsidRPr="006E55D5">
        <w:rPr>
          <w:b/>
          <w:bCs/>
        </w:rPr>
        <w:t xml:space="preserve">PART </w:t>
      </w:r>
      <w:proofErr w:type="gramStart"/>
      <w:r w:rsidRPr="006E55D5">
        <w:rPr>
          <w:b/>
          <w:bCs/>
        </w:rPr>
        <w:t>A</w:t>
      </w:r>
      <w:proofErr w:type="gramEnd"/>
      <w:r w:rsidRPr="006E55D5">
        <w:t xml:space="preserve"> </w:t>
      </w:r>
      <w:r w:rsidR="009879E8" w:rsidRPr="006E55D5">
        <w:t>– Instructions</w:t>
      </w:r>
    </w:p>
    <w:p w:rsidR="00015085" w:rsidRPr="00A24900" w:rsidRDefault="00015085" w:rsidP="00C47BBC">
      <w:pPr>
        <w:pStyle w:val="SubT"/>
        <w:jc w:val="center"/>
      </w:pPr>
    </w:p>
    <w:p w:rsidR="00015085" w:rsidRPr="00A24900" w:rsidRDefault="00015085" w:rsidP="006E55D5">
      <w:pPr>
        <w:pStyle w:val="SubT"/>
        <w:sectPr w:rsidR="00015085" w:rsidRPr="00A24900" w:rsidSect="0001734D">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docGrid w:linePitch="326"/>
        </w:sectPr>
      </w:pPr>
    </w:p>
    <w:p w:rsidR="0016777C" w:rsidRPr="00A24900" w:rsidRDefault="00CA747E" w:rsidP="0036438C">
      <w:pPr>
        <w:pStyle w:val="Introduction"/>
      </w:pPr>
      <w:bookmarkStart w:id="2" w:name="_Ref358883593"/>
      <w:r w:rsidRPr="00A24900">
        <w:lastRenderedPageBreak/>
        <w:t>Invitation to Tender</w:t>
      </w:r>
      <w:bookmarkEnd w:id="2"/>
    </w:p>
    <w:p w:rsidR="00DE618B" w:rsidRPr="004A173F" w:rsidRDefault="00441043" w:rsidP="003E7E65">
      <w:pPr>
        <w:pStyle w:val="LeftSide"/>
        <w:rPr>
          <w:b/>
          <w:bCs/>
        </w:rPr>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BC6417">
        <w:t xml:space="preserve"> for </w:t>
      </w:r>
      <w:r w:rsidR="00030D00">
        <w:t>Market Shaping Review</w:t>
      </w:r>
      <w:r w:rsidR="003E7E65" w:rsidRPr="00A24900">
        <w:t xml:space="preserve">.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DE618B" w:rsidRPr="00A24900">
        <w:t>.</w:t>
      </w:r>
      <w:r w:rsidR="005A60DC">
        <w:t xml:space="preserve"> </w:t>
      </w:r>
    </w:p>
    <w:p w:rsidR="00DE618B" w:rsidRPr="00A24900" w:rsidRDefault="00DE618B" w:rsidP="003E7E65">
      <w:pPr>
        <w:pStyle w:val="LeftSide"/>
      </w:pPr>
      <w:r w:rsidRPr="00A24900">
        <w:t>This Invitation to Tender document consists of:</w:t>
      </w:r>
    </w:p>
    <w:p w:rsidR="00801937" w:rsidRPr="006E55D5" w:rsidRDefault="00801937" w:rsidP="006E55D5">
      <w:pPr>
        <w:pStyle w:val="LeftSide"/>
        <w:rPr>
          <w:b/>
          <w:bCs/>
        </w:rPr>
      </w:pPr>
      <w:r w:rsidRPr="006E55D5">
        <w:rPr>
          <w:b/>
          <w:bCs/>
        </w:rPr>
        <w:t>Part A</w:t>
      </w:r>
    </w:p>
    <w:p w:rsidR="00DE618B" w:rsidRPr="00A24900"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240F30">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240F30">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240F30">
        <w:t>Section Three:</w:t>
      </w:r>
      <w:r w:rsidRPr="00A24900">
        <w:fldChar w:fldCharType="end"/>
      </w:r>
      <w:r w:rsidR="00695658" w:rsidRPr="00A24900">
        <w:tab/>
      </w:r>
      <w:r w:rsidR="00801937" w:rsidRPr="00A24900">
        <w:tab/>
        <w:t>Evaluation Methodology and Criteria</w:t>
      </w:r>
      <w:r w:rsidR="00D02614">
        <w:t>.</w:t>
      </w:r>
    </w:p>
    <w:p w:rsidR="00801937" w:rsidRPr="006E55D5" w:rsidRDefault="00801937" w:rsidP="006E55D5">
      <w:pPr>
        <w:pStyle w:val="LeftSide"/>
        <w:rPr>
          <w:b/>
          <w:bCs/>
        </w:rPr>
      </w:pPr>
      <w:r w:rsidRPr="006E55D5">
        <w:rPr>
          <w:b/>
          <w:bCs/>
        </w:rPr>
        <w:t>Part B</w:t>
      </w:r>
    </w:p>
    <w:p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rsidR="00695658" w:rsidRPr="00A24900" w:rsidRDefault="00695658" w:rsidP="00EE48E4">
      <w:pPr>
        <w:pStyle w:val="LeftSide"/>
      </w:pPr>
    </w:p>
    <w:p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rsidR="00CA7B5B" w:rsidRPr="00FF62F9" w:rsidRDefault="009311E6" w:rsidP="001E14F1">
      <w:pPr>
        <w:pStyle w:val="LeftSide"/>
        <w:rPr>
          <w:bCs/>
        </w:rPr>
      </w:pPr>
      <w:r w:rsidRPr="00FF62F9">
        <w:rPr>
          <w:bCs/>
        </w:rPr>
        <w:t xml:space="preserve">If there is an intention to tender, then the potential Tenderer should </w:t>
      </w:r>
      <w:r w:rsidR="00012A74" w:rsidRPr="00FF62F9">
        <w:rPr>
          <w:bCs/>
        </w:rPr>
        <w:t>acknowledge</w:t>
      </w:r>
      <w:r w:rsidR="00DB6819" w:rsidRPr="00FF62F9">
        <w:rPr>
          <w:bCs/>
        </w:rPr>
        <w:t xml:space="preserve"> their </w:t>
      </w:r>
      <w:r w:rsidR="00012A74" w:rsidRPr="00FF62F9">
        <w:rPr>
          <w:bCs/>
        </w:rPr>
        <w:t xml:space="preserve">interest, </w:t>
      </w:r>
      <w:r w:rsidRPr="00FF62F9">
        <w:rPr>
          <w:bCs/>
        </w:rPr>
        <w:t>as quickly as possible</w:t>
      </w:r>
      <w:r w:rsidR="00012A74" w:rsidRPr="00FF62F9">
        <w:rPr>
          <w:bCs/>
        </w:rPr>
        <w:t>,</w:t>
      </w:r>
      <w:r w:rsidRPr="00FF62F9">
        <w:rPr>
          <w:bCs/>
        </w:rPr>
        <w:t xml:space="preserve"> by sending a message through BMS (online messages).  This is the sole responsibility of the Tenderer and ensures that future updates etc. can be provided in an effective and timely manner.  Failure to acknowledge </w:t>
      </w:r>
      <w:r w:rsidR="00DB6819" w:rsidRPr="00FF62F9">
        <w:rPr>
          <w:bCs/>
        </w:rPr>
        <w:t>your intention</w:t>
      </w:r>
      <w:r w:rsidRPr="00FF62F9">
        <w:rPr>
          <w:bCs/>
        </w:rPr>
        <w:t xml:space="preserve"> in this manner may lead to delays in receiving additional information and clarification updates.</w:t>
      </w:r>
    </w:p>
    <w:p w:rsidR="00DE618B" w:rsidRPr="00A24900" w:rsidRDefault="00291F1C" w:rsidP="000759C3">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A24900">
        <w:t xml:space="preserve">the deadline </w:t>
      </w:r>
      <w:r w:rsidR="00B512AB" w:rsidRPr="00A24900">
        <w:t>for questions</w:t>
      </w:r>
      <w:r w:rsidR="00E53ACA" w:rsidRPr="00A24900">
        <w:t xml:space="preserve"> </w:t>
      </w:r>
      <w:r w:rsidR="004677B8" w:rsidRPr="00EF48A2">
        <w:rPr>
          <w:b/>
        </w:rPr>
        <w:t>Friday 4</w:t>
      </w:r>
      <w:r w:rsidR="004677B8" w:rsidRPr="00EF48A2">
        <w:rPr>
          <w:b/>
          <w:vertAlign w:val="superscript"/>
        </w:rPr>
        <w:t>th</w:t>
      </w:r>
      <w:r w:rsidR="004677B8" w:rsidRPr="00EF48A2">
        <w:rPr>
          <w:b/>
        </w:rPr>
        <w:t xml:space="preserve"> December 2015 – 1:00pm</w:t>
      </w:r>
      <w:r w:rsidR="002D7F0F" w:rsidRPr="00BC64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rsidR="00A140C6" w:rsidRDefault="00BB3710" w:rsidP="00E53ACA">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n the deadline for re</w:t>
      </w:r>
      <w:r w:rsidR="006B568B" w:rsidRPr="00A24900">
        <w:t>ceipt</w:t>
      </w:r>
      <w:r w:rsidR="00B512AB" w:rsidRPr="00A24900">
        <w:t xml:space="preserve"> of </w:t>
      </w:r>
      <w:r w:rsidR="00B512AB" w:rsidRPr="00BC6417">
        <w:t xml:space="preserve">tenders </w:t>
      </w:r>
      <w:r w:rsidR="004677B8" w:rsidRPr="00EF48A2">
        <w:rPr>
          <w:b/>
          <w:bCs/>
        </w:rPr>
        <w:t>Monday 14</w:t>
      </w:r>
      <w:r w:rsidR="004677B8" w:rsidRPr="00EF48A2">
        <w:rPr>
          <w:b/>
          <w:bCs/>
          <w:vertAlign w:val="superscript"/>
        </w:rPr>
        <w:t>th</w:t>
      </w:r>
      <w:r w:rsidR="004677B8" w:rsidRPr="00EF48A2">
        <w:rPr>
          <w:b/>
          <w:bCs/>
        </w:rPr>
        <w:t xml:space="preserve"> December 2015 – 2:00pm</w:t>
      </w:r>
      <w:r w:rsidR="00FF62F9">
        <w:rPr>
          <w:bCs/>
        </w:rPr>
        <w:t xml:space="preserve"> </w:t>
      </w:r>
      <w:r w:rsidR="002D7F0F" w:rsidRPr="00BC6417">
        <w:t>a</w:t>
      </w:r>
      <w:r w:rsidR="00CA7B5B" w:rsidRPr="00BC6417">
        <w:t xml:space="preserve">nd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rsidR="0024759B" w:rsidRDefault="0024759B" w:rsidP="00E53ACA">
      <w:pPr>
        <w:pStyle w:val="LeftSide"/>
      </w:pPr>
      <w:bookmarkStart w:id="3" w:name="_GoBack"/>
      <w:bookmarkEnd w:id="3"/>
    </w:p>
    <w:p w:rsidR="0024759B" w:rsidRPr="004A173F" w:rsidRDefault="0024759B" w:rsidP="0024759B">
      <w:pPr>
        <w:widowControl w:val="0"/>
        <w:rPr>
          <w:b/>
          <w:bCs/>
          <w:sz w:val="22"/>
          <w:szCs w:val="22"/>
        </w:rPr>
      </w:pPr>
      <w:r w:rsidRPr="004A173F">
        <w:rPr>
          <w:b/>
          <w:bCs/>
          <w:sz w:val="22"/>
          <w:szCs w:val="22"/>
        </w:rPr>
        <w:t>IMPORTANT NOTE</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4759B" w:rsidRPr="004A173F" w:rsidTr="00C62E71">
        <w:trPr>
          <w:trHeight w:val="126"/>
        </w:trPr>
        <w:tc>
          <w:tcPr>
            <w:tcW w:w="8505" w:type="dxa"/>
            <w:shd w:val="clear" w:color="auto" w:fill="auto"/>
          </w:tcPr>
          <w:p w:rsidR="0024759B" w:rsidRPr="00C62E71" w:rsidRDefault="0024759B" w:rsidP="00C62E71">
            <w:pPr>
              <w:widowControl w:val="0"/>
              <w:rPr>
                <w:sz w:val="22"/>
                <w:szCs w:val="22"/>
              </w:rPr>
            </w:pPr>
          </w:p>
          <w:p w:rsidR="0024759B" w:rsidRPr="00C62E71" w:rsidRDefault="0024759B" w:rsidP="00C62E71">
            <w:pPr>
              <w:widowControl w:val="0"/>
              <w:rPr>
                <w:b/>
                <w:sz w:val="22"/>
                <w:szCs w:val="22"/>
              </w:rPr>
            </w:pPr>
            <w:r w:rsidRPr="00C62E71">
              <w:rPr>
                <w:b/>
                <w:bCs/>
                <w:sz w:val="22"/>
                <w:szCs w:val="22"/>
              </w:rPr>
              <w:t xml:space="preserve">Quotations may only be uploaded via the Sourcing Home Page, </w:t>
            </w:r>
            <w:r w:rsidRPr="00C62E71">
              <w:rPr>
                <w:b/>
                <w:sz w:val="22"/>
                <w:szCs w:val="22"/>
              </w:rPr>
              <w:t>using the</w:t>
            </w:r>
            <w:r w:rsidRPr="00C62E71">
              <w:rPr>
                <w:b/>
                <w:bCs/>
                <w:sz w:val="22"/>
                <w:szCs w:val="22"/>
              </w:rPr>
              <w:t xml:space="preserve"> ‘Actions’ </w:t>
            </w:r>
            <w:r w:rsidRPr="00C62E71">
              <w:rPr>
                <w:b/>
                <w:sz w:val="22"/>
                <w:szCs w:val="22"/>
              </w:rPr>
              <w:t>window and selecting the</w:t>
            </w:r>
            <w:r w:rsidRPr="00C62E71">
              <w:rPr>
                <w:b/>
                <w:bCs/>
                <w:sz w:val="22"/>
                <w:szCs w:val="22"/>
              </w:rPr>
              <w:t xml:space="preserve"> ‘Create Quote’ </w:t>
            </w:r>
            <w:r w:rsidRPr="00C62E71">
              <w:rPr>
                <w:b/>
                <w:sz w:val="22"/>
                <w:szCs w:val="22"/>
              </w:rPr>
              <w:t>option.</w:t>
            </w:r>
          </w:p>
          <w:p w:rsidR="00DF2091" w:rsidRPr="00C62E71" w:rsidRDefault="00DF2091" w:rsidP="00C62E71">
            <w:pPr>
              <w:widowControl w:val="0"/>
              <w:rPr>
                <w:b/>
                <w:sz w:val="22"/>
                <w:szCs w:val="22"/>
              </w:rPr>
            </w:pPr>
          </w:p>
          <w:p w:rsidR="0024759B" w:rsidRPr="00C62E71" w:rsidRDefault="0024759B" w:rsidP="00C62E71">
            <w:pPr>
              <w:widowControl w:val="0"/>
              <w:rPr>
                <w:sz w:val="22"/>
                <w:szCs w:val="22"/>
              </w:rPr>
            </w:pPr>
            <w:r w:rsidRPr="00C62E71">
              <w:rPr>
                <w:b/>
                <w:sz w:val="22"/>
                <w:szCs w:val="22"/>
              </w:rPr>
              <w:t xml:space="preserve">If you upload your quotation by any other method for example by using the ‘New Message/ Documents’ tab, </w:t>
            </w:r>
            <w:r w:rsidRPr="00C62E71">
              <w:rPr>
                <w:b/>
                <w:bCs/>
                <w:sz w:val="22"/>
                <w:szCs w:val="22"/>
              </w:rPr>
              <w:t xml:space="preserve">the quotation will not be correctly linked to the ITT </w:t>
            </w:r>
            <w:r w:rsidRPr="00C62E71">
              <w:rPr>
                <w:b/>
                <w:sz w:val="22"/>
                <w:szCs w:val="22"/>
              </w:rPr>
              <w:t xml:space="preserve">and </w:t>
            </w:r>
            <w:r w:rsidRPr="00C62E71">
              <w:rPr>
                <w:b/>
                <w:bCs/>
                <w:sz w:val="22"/>
                <w:szCs w:val="22"/>
              </w:rPr>
              <w:t>your submission will be rejected</w:t>
            </w:r>
            <w:r w:rsidRPr="00C62E71">
              <w:rPr>
                <w:sz w:val="22"/>
                <w:szCs w:val="22"/>
              </w:rPr>
              <w:t>.</w:t>
            </w:r>
          </w:p>
          <w:p w:rsidR="0024759B" w:rsidRPr="004A173F" w:rsidRDefault="0024759B" w:rsidP="00C62E71">
            <w:pPr>
              <w:keepNext/>
              <w:widowControl w:val="0"/>
            </w:pPr>
          </w:p>
        </w:tc>
      </w:tr>
    </w:tbl>
    <w:p w:rsidR="008E00DE" w:rsidRPr="00A24900" w:rsidRDefault="00DF2091" w:rsidP="00695658">
      <w:pPr>
        <w:pStyle w:val="StyleSectionXBottomSinglesolidlineAuto05ptLinewi1"/>
      </w:pPr>
      <w:bookmarkStart w:id="4" w:name="_Ref266274003"/>
      <w:r>
        <w:lastRenderedPageBreak/>
        <w:t>I</w:t>
      </w:r>
      <w:r w:rsidR="002B0FBF" w:rsidRPr="00A24900">
        <w:t xml:space="preserve">nstructions to </w:t>
      </w:r>
      <w:bookmarkEnd w:id="4"/>
      <w:r w:rsidR="001B3B43" w:rsidRPr="00A24900">
        <w:t>Tenderers</w:t>
      </w:r>
    </w:p>
    <w:p w:rsidR="002B0FBF" w:rsidRPr="00E77CD6" w:rsidRDefault="002B0FBF" w:rsidP="00DF2091">
      <w:pPr>
        <w:pStyle w:val="ONEH1"/>
      </w:pPr>
      <w:r w:rsidRPr="00E77CD6">
        <w:t>T</w:t>
      </w:r>
      <w:r w:rsidR="00795A45" w:rsidRPr="00E77CD6">
        <w:t>ender documents</w:t>
      </w:r>
    </w:p>
    <w:p w:rsidR="00DE618B" w:rsidRPr="00A24900" w:rsidRDefault="00DE618B" w:rsidP="001E14F1">
      <w:pPr>
        <w:pStyle w:val="ONEH2"/>
      </w:pP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rsidR="00A32E4E" w:rsidRPr="00A24900" w:rsidRDefault="00A32E4E" w:rsidP="001E14F1">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rsidR="00A32E4E" w:rsidRPr="00A24900" w:rsidRDefault="001B3B43" w:rsidP="001E14F1">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rsidR="00A32E4E" w:rsidRPr="00A24900" w:rsidRDefault="001B3B43" w:rsidP="001E14F1">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rsidR="00DE618B" w:rsidRPr="00A24900" w:rsidRDefault="00CB3078" w:rsidP="001E14F1">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rsidR="002F5AC9" w:rsidRPr="00A24900" w:rsidRDefault="00DE618B" w:rsidP="001E14F1">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rsidR="002E3600" w:rsidRPr="00A24900" w:rsidRDefault="009F5AFE" w:rsidP="001E14F1">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rsidR="008A4796" w:rsidRPr="00A24900" w:rsidRDefault="008A4796" w:rsidP="00695658">
      <w:pPr>
        <w:pStyle w:val="Indented"/>
      </w:pPr>
    </w:p>
    <w:p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rsidR="00DE618B" w:rsidRPr="00A24900" w:rsidRDefault="00D02D9A" w:rsidP="001E14F1">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rsidR="002F5AC9" w:rsidRPr="00A24900" w:rsidRDefault="00DE618B" w:rsidP="001E14F1">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rsidR="00516F72" w:rsidRPr="00A24900" w:rsidRDefault="00D02D9A" w:rsidP="001E14F1">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rsidR="0036438C" w:rsidRPr="00A24900" w:rsidRDefault="0036438C" w:rsidP="00695658">
      <w:pPr>
        <w:pStyle w:val="Indented"/>
      </w:pPr>
    </w:p>
    <w:p w:rsidR="00DE618B" w:rsidRPr="00E77CD6" w:rsidRDefault="00795A45" w:rsidP="00DF2091">
      <w:pPr>
        <w:pStyle w:val="ONEH1"/>
      </w:pPr>
      <w:r w:rsidRPr="00E77CD6">
        <w:t>Timetable</w:t>
      </w:r>
    </w:p>
    <w:p w:rsidR="00DE618B" w:rsidRDefault="00DE618B" w:rsidP="001E14F1">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240F30" w:rsidRPr="004A173F">
        <w:t>Table </w:t>
      </w:r>
      <w:r w:rsidR="00240F30" w:rsidRPr="009724F4">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rsidR="00E562A5" w:rsidRDefault="00E562A5" w:rsidP="006037E8">
      <w:pPr>
        <w:pStyle w:val="ONEH2"/>
      </w:pPr>
      <w:r w:rsidRPr="009A10D6">
        <w:t xml:space="preserve">The Authority has set aside dates for accommodating potential </w:t>
      </w:r>
      <w:r w:rsidR="005C3FDD">
        <w:t>Tenderer C</w:t>
      </w:r>
      <w:r w:rsidRPr="009A10D6">
        <w:t xml:space="preserve">larification </w:t>
      </w:r>
      <w:r w:rsidR="005C3FDD">
        <w:t>M</w:t>
      </w:r>
      <w:r w:rsidRPr="009A10D6">
        <w:t>eetings</w:t>
      </w:r>
      <w:r w:rsidR="005C3FDD">
        <w:t xml:space="preserve"> (see</w:t>
      </w:r>
      <w:r w:rsidR="0098417D">
        <w:t xml:space="preserve"> Section Three:</w:t>
      </w:r>
      <w:r w:rsidR="005C3FDD">
        <w:t xml:space="preserve"> </w:t>
      </w:r>
      <w:r w:rsidR="008676C6">
        <w:fldChar w:fldCharType="begin"/>
      </w:r>
      <w:r w:rsidR="008676C6">
        <w:instrText xml:space="preserve"> REF _Ref358883600 \h </w:instrText>
      </w:r>
      <w:r w:rsidR="008676C6">
        <w:fldChar w:fldCharType="separate"/>
      </w:r>
      <w:r w:rsidR="00240F30" w:rsidRPr="00925860">
        <w:t>Tenderer Clarification Meeting</w:t>
      </w:r>
      <w:r w:rsidR="008676C6">
        <w:fldChar w:fldCharType="end"/>
      </w:r>
      <w:r w:rsidR="008676C6">
        <w:t xml:space="preserve"> </w:t>
      </w:r>
      <w:r w:rsidR="005C3FDD">
        <w:t>for details)</w:t>
      </w:r>
      <w:r w:rsidR="002726A4">
        <w:t>.</w:t>
      </w:r>
    </w:p>
    <w:p w:rsidR="004407A1" w:rsidRPr="00A24900" w:rsidRDefault="004407A1" w:rsidP="00695658">
      <w:pPr>
        <w:pStyle w:val="Indented"/>
      </w:pPr>
    </w:p>
    <w:p w:rsidR="00C77FCF" w:rsidRPr="004A173F" w:rsidRDefault="004407A1" w:rsidP="00DF2091">
      <w:pPr>
        <w:pStyle w:val="CaptionBold"/>
      </w:pPr>
      <w:bookmarkStart w:id="5" w:name="_Ref305668329"/>
      <w:r w:rsidRPr="004A173F">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240F30">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trPr>
          <w:cantSplit/>
          <w:trHeight w:val="177"/>
          <w:tblHeader/>
        </w:trPr>
        <w:tc>
          <w:tcPr>
            <w:tcW w:w="4678" w:type="dxa"/>
            <w:shd w:val="clear" w:color="auto" w:fill="E6E6E6"/>
          </w:tcPr>
          <w:p w:rsidR="00C77FCF" w:rsidRPr="00A24900" w:rsidRDefault="00C77FCF" w:rsidP="00D518F9">
            <w:pPr>
              <w:pStyle w:val="TableHead"/>
            </w:pPr>
            <w:r w:rsidRPr="00A24900">
              <w:t>Key Actions</w:t>
            </w:r>
          </w:p>
        </w:tc>
        <w:tc>
          <w:tcPr>
            <w:tcW w:w="3119" w:type="dxa"/>
            <w:shd w:val="clear" w:color="auto" w:fill="E6E6E6"/>
          </w:tcPr>
          <w:p w:rsidR="00C77FCF" w:rsidRPr="00A24900" w:rsidRDefault="00C77FCF" w:rsidP="00D518F9">
            <w:pPr>
              <w:pStyle w:val="TableHead"/>
            </w:pPr>
            <w:r w:rsidRPr="00A24900">
              <w:t>Dates</w:t>
            </w:r>
          </w:p>
        </w:tc>
      </w:tr>
      <w:tr w:rsidR="00C77FCF" w:rsidRPr="00A24900">
        <w:trPr>
          <w:cantSplit/>
          <w:trHeight w:val="510"/>
        </w:trPr>
        <w:tc>
          <w:tcPr>
            <w:tcW w:w="4678" w:type="dxa"/>
            <w:vAlign w:val="center"/>
          </w:tcPr>
          <w:p w:rsidR="00C77FCF" w:rsidRPr="00A24900" w:rsidRDefault="00C77FCF" w:rsidP="00D6068D">
            <w:pPr>
              <w:pStyle w:val="Table"/>
            </w:pPr>
            <w:r w:rsidRPr="00A24900">
              <w:t>Invitation to Tender document issued</w:t>
            </w:r>
          </w:p>
        </w:tc>
        <w:tc>
          <w:tcPr>
            <w:tcW w:w="3119" w:type="dxa"/>
            <w:vAlign w:val="center"/>
          </w:tcPr>
          <w:p w:rsidR="00C77FCF" w:rsidRPr="00FF62F9" w:rsidRDefault="004677B8" w:rsidP="00D6068D">
            <w:pPr>
              <w:pStyle w:val="Table"/>
            </w:pPr>
            <w:r w:rsidRPr="00FF62F9">
              <w:t>Monday 30</w:t>
            </w:r>
            <w:r w:rsidRPr="00FF62F9">
              <w:rPr>
                <w:vertAlign w:val="superscript"/>
              </w:rPr>
              <w:t>th</w:t>
            </w:r>
            <w:r w:rsidRPr="00FF62F9">
              <w:t xml:space="preserve"> December </w:t>
            </w:r>
          </w:p>
        </w:tc>
      </w:tr>
      <w:tr w:rsidR="004B6454" w:rsidRPr="00A24900">
        <w:trPr>
          <w:cantSplit/>
          <w:trHeight w:val="510"/>
        </w:trPr>
        <w:tc>
          <w:tcPr>
            <w:tcW w:w="4678" w:type="dxa"/>
            <w:vAlign w:val="center"/>
          </w:tcPr>
          <w:p w:rsidR="004B6454" w:rsidRPr="00FF62F9" w:rsidRDefault="004B6454" w:rsidP="004B6454">
            <w:pPr>
              <w:pStyle w:val="Table"/>
            </w:pPr>
            <w:r w:rsidRPr="00FF62F9">
              <w:lastRenderedPageBreak/>
              <w:t>End of clarification question period</w:t>
            </w:r>
          </w:p>
        </w:tc>
        <w:tc>
          <w:tcPr>
            <w:tcW w:w="3119" w:type="dxa"/>
            <w:vAlign w:val="center"/>
          </w:tcPr>
          <w:p w:rsidR="004B6454" w:rsidRPr="00FF62F9" w:rsidRDefault="004677B8" w:rsidP="004B6454">
            <w:pPr>
              <w:pStyle w:val="Table"/>
            </w:pPr>
            <w:r w:rsidRPr="00FF62F9">
              <w:t>Friday 4</w:t>
            </w:r>
            <w:r w:rsidRPr="00FF62F9">
              <w:rPr>
                <w:vertAlign w:val="superscript"/>
              </w:rPr>
              <w:t>th</w:t>
            </w:r>
            <w:r w:rsidRPr="00FF62F9">
              <w:t xml:space="preserve"> December – 1:00pm</w:t>
            </w:r>
          </w:p>
        </w:tc>
      </w:tr>
      <w:tr w:rsidR="004B6454" w:rsidRPr="00A24900">
        <w:trPr>
          <w:cantSplit/>
          <w:trHeight w:val="510"/>
        </w:trPr>
        <w:tc>
          <w:tcPr>
            <w:tcW w:w="4678" w:type="dxa"/>
            <w:vAlign w:val="center"/>
          </w:tcPr>
          <w:p w:rsidR="004B6454" w:rsidRPr="00FF62F9" w:rsidRDefault="004B6454" w:rsidP="00D6068D">
            <w:pPr>
              <w:pStyle w:val="Table"/>
            </w:pPr>
            <w:r w:rsidRPr="00FF62F9">
              <w:t>Tender return date and time</w:t>
            </w:r>
            <w:r w:rsidRPr="00FF62F9" w:rsidDel="00EB4876">
              <w:t xml:space="preserve"> </w:t>
            </w:r>
          </w:p>
        </w:tc>
        <w:tc>
          <w:tcPr>
            <w:tcW w:w="3119" w:type="dxa"/>
            <w:vAlign w:val="center"/>
          </w:tcPr>
          <w:p w:rsidR="004B6454" w:rsidRPr="00FF62F9" w:rsidRDefault="004677B8" w:rsidP="004677B8">
            <w:pPr>
              <w:pStyle w:val="Table"/>
            </w:pPr>
            <w:r w:rsidRPr="00FF62F9">
              <w:t>Monday 14</w:t>
            </w:r>
            <w:r w:rsidRPr="00FF62F9">
              <w:rPr>
                <w:vertAlign w:val="superscript"/>
              </w:rPr>
              <w:t>th</w:t>
            </w:r>
            <w:r w:rsidRPr="00FF62F9">
              <w:t xml:space="preserve"> December  - 2:00pm</w:t>
            </w:r>
          </w:p>
        </w:tc>
      </w:tr>
      <w:tr w:rsidR="00E562A5" w:rsidRPr="00A24900">
        <w:trPr>
          <w:cantSplit/>
          <w:trHeight w:val="510"/>
        </w:trPr>
        <w:tc>
          <w:tcPr>
            <w:tcW w:w="4678" w:type="dxa"/>
            <w:vAlign w:val="center"/>
          </w:tcPr>
          <w:p w:rsidR="00E562A5" w:rsidRPr="00FF62F9" w:rsidRDefault="00E562A5" w:rsidP="00FF62F9">
            <w:pPr>
              <w:pStyle w:val="Table"/>
            </w:pPr>
            <w:r w:rsidRPr="00FF62F9">
              <w:t>Tenderer Clarification Meetings</w:t>
            </w:r>
          </w:p>
        </w:tc>
        <w:tc>
          <w:tcPr>
            <w:tcW w:w="3119" w:type="dxa"/>
            <w:vAlign w:val="center"/>
          </w:tcPr>
          <w:p w:rsidR="00E562A5" w:rsidRPr="00FF62F9" w:rsidRDefault="004677B8" w:rsidP="008D2965">
            <w:pPr>
              <w:pStyle w:val="Table"/>
            </w:pPr>
            <w:r w:rsidRPr="00FF62F9">
              <w:t>Friday 18</w:t>
            </w:r>
            <w:r w:rsidRPr="00FF62F9">
              <w:rPr>
                <w:vertAlign w:val="superscript"/>
              </w:rPr>
              <w:t>th</w:t>
            </w:r>
            <w:r w:rsidRPr="00FF62F9">
              <w:t xml:space="preserve"> / Monday 21</w:t>
            </w:r>
            <w:r w:rsidRPr="00FF62F9">
              <w:rPr>
                <w:vertAlign w:val="superscript"/>
              </w:rPr>
              <w:t>st</w:t>
            </w:r>
            <w:r w:rsidRPr="00FF62F9">
              <w:t xml:space="preserve"> December </w:t>
            </w:r>
          </w:p>
        </w:tc>
      </w:tr>
      <w:tr w:rsidR="00E562A5" w:rsidRPr="00A24900">
        <w:trPr>
          <w:cantSplit/>
          <w:trHeight w:val="510"/>
        </w:trPr>
        <w:tc>
          <w:tcPr>
            <w:tcW w:w="4678" w:type="dxa"/>
            <w:vAlign w:val="center"/>
          </w:tcPr>
          <w:p w:rsidR="00E562A5" w:rsidRPr="00A24900" w:rsidRDefault="00E562A5" w:rsidP="008D5283">
            <w:pPr>
              <w:pStyle w:val="Table"/>
            </w:pPr>
            <w:r w:rsidRPr="00A24900">
              <w:t>Notification to unsuccessful and preferred Tenderers</w:t>
            </w:r>
          </w:p>
        </w:tc>
        <w:tc>
          <w:tcPr>
            <w:tcW w:w="3119" w:type="dxa"/>
            <w:vAlign w:val="center"/>
          </w:tcPr>
          <w:p w:rsidR="00E562A5" w:rsidRPr="00FF62F9" w:rsidRDefault="004677B8" w:rsidP="008D5283">
            <w:pPr>
              <w:pStyle w:val="Table"/>
            </w:pPr>
            <w:r w:rsidRPr="00FF62F9">
              <w:t>Tuesday 29</w:t>
            </w:r>
            <w:r w:rsidRPr="00FF62F9">
              <w:rPr>
                <w:vertAlign w:val="superscript"/>
              </w:rPr>
              <w:t>th</w:t>
            </w:r>
            <w:r w:rsidRPr="00FF62F9">
              <w:t xml:space="preserve"> / Wedne</w:t>
            </w:r>
            <w:r w:rsidR="00FF62F9">
              <w:t>s</w:t>
            </w:r>
            <w:r w:rsidRPr="00FF62F9">
              <w:t>day 30</w:t>
            </w:r>
            <w:r w:rsidRPr="00FF62F9">
              <w:rPr>
                <w:vertAlign w:val="superscript"/>
              </w:rPr>
              <w:t>th</w:t>
            </w:r>
            <w:r w:rsidRPr="00FF62F9">
              <w:t xml:space="preserve"> December </w:t>
            </w:r>
          </w:p>
        </w:tc>
      </w:tr>
      <w:tr w:rsidR="00E562A5" w:rsidRPr="00A24900">
        <w:trPr>
          <w:cantSplit/>
          <w:trHeight w:val="510"/>
        </w:trPr>
        <w:tc>
          <w:tcPr>
            <w:tcW w:w="4678" w:type="dxa"/>
            <w:vAlign w:val="center"/>
          </w:tcPr>
          <w:p w:rsidR="00E562A5" w:rsidRPr="00A24900" w:rsidRDefault="00E562A5" w:rsidP="008D5283">
            <w:pPr>
              <w:pStyle w:val="Table"/>
            </w:pPr>
            <w:r w:rsidRPr="00A24900">
              <w:t>Contract work starts</w:t>
            </w:r>
          </w:p>
        </w:tc>
        <w:tc>
          <w:tcPr>
            <w:tcW w:w="3119" w:type="dxa"/>
            <w:vAlign w:val="center"/>
          </w:tcPr>
          <w:p w:rsidR="00E562A5" w:rsidRPr="00FF62F9" w:rsidRDefault="004677B8" w:rsidP="008D5283">
            <w:pPr>
              <w:pStyle w:val="Table"/>
            </w:pPr>
            <w:r w:rsidRPr="00FF62F9">
              <w:t xml:space="preserve">To be confirmed </w:t>
            </w:r>
          </w:p>
        </w:tc>
      </w:tr>
    </w:tbl>
    <w:p w:rsidR="00C77FCF" w:rsidRPr="001E14F1" w:rsidRDefault="00C77FCF" w:rsidP="004A173F">
      <w:pPr>
        <w:pStyle w:val="Indented"/>
        <w:rPr>
          <w:highlight w:val="yellow"/>
        </w:rPr>
      </w:pPr>
    </w:p>
    <w:p w:rsidR="00DE618B" w:rsidRPr="00A24900" w:rsidRDefault="00DE618B" w:rsidP="00695658">
      <w:pPr>
        <w:pStyle w:val="Indented"/>
      </w:pPr>
    </w:p>
    <w:p w:rsidR="00DE618B" w:rsidRPr="00E77CD6" w:rsidRDefault="00DE618B" w:rsidP="00DF2091">
      <w:pPr>
        <w:pStyle w:val="ONEH1"/>
      </w:pPr>
      <w:r w:rsidRPr="00E77CD6">
        <w:t>F</w:t>
      </w:r>
      <w:r w:rsidR="00795A45" w:rsidRPr="00E77CD6">
        <w:t>orm of Tender</w:t>
      </w:r>
    </w:p>
    <w:p w:rsidR="00DE618B" w:rsidRPr="00A24900" w:rsidRDefault="002E49BB" w:rsidP="001E14F1">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rsidR="00D775B7" w:rsidRPr="00A24900" w:rsidRDefault="00D775B7" w:rsidP="001E14F1">
      <w:pPr>
        <w:pStyle w:val="ONEH2"/>
      </w:pPr>
      <w:r w:rsidRPr="00A24900">
        <w:t xml:space="preserve">The contractual form will be a combination of the following </w:t>
      </w:r>
    </w:p>
    <w:p w:rsidR="00D775B7" w:rsidRPr="00A24900" w:rsidRDefault="00EE2E7D" w:rsidP="00D91D89">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rsidR="002022D7" w:rsidRPr="00A24900" w:rsidRDefault="009A10D6" w:rsidP="00D91D89">
      <w:pPr>
        <w:pStyle w:val="StyleBulletedBlue"/>
      </w:pPr>
      <w:r w:rsidRPr="00A24900">
        <w:t xml:space="preserve">Part B: all the </w:t>
      </w:r>
      <w:r w:rsidR="00E248D6" w:rsidRPr="00A24900">
        <w:t xml:space="preserve">applicable </w:t>
      </w:r>
      <w:r w:rsidRPr="00A24900">
        <w:t>Schedules and Appendices</w:t>
      </w:r>
      <w:r w:rsidR="00134784" w:rsidRPr="00A24900">
        <w:t>.</w:t>
      </w:r>
    </w:p>
    <w:p w:rsidR="00317A93" w:rsidRPr="00A24900" w:rsidRDefault="00317A93" w:rsidP="00695658">
      <w:pPr>
        <w:pStyle w:val="Indented"/>
      </w:pPr>
    </w:p>
    <w:p w:rsidR="00DE618B" w:rsidRPr="00E77CD6" w:rsidRDefault="009F5AFE" w:rsidP="00DF2091">
      <w:pPr>
        <w:pStyle w:val="ONEH1"/>
      </w:pPr>
      <w:r w:rsidRPr="00E77CD6">
        <w:t>Tender</w:t>
      </w:r>
      <w:r w:rsidR="009C2EA4" w:rsidRPr="00E77CD6">
        <w:t xml:space="preserve"> </w:t>
      </w:r>
      <w:r w:rsidR="00795A45" w:rsidRPr="00E77CD6">
        <w:t>Information</w:t>
      </w:r>
    </w:p>
    <w:p w:rsidR="00DE618B" w:rsidRPr="00A24900" w:rsidRDefault="00442455" w:rsidP="001E14F1">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rsidR="001D5F92" w:rsidRPr="00A24900" w:rsidRDefault="00DE618B" w:rsidP="001E14F1">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rsidR="00B43C82" w:rsidRPr="00A24900" w:rsidRDefault="00B43C82" w:rsidP="00695658">
      <w:pPr>
        <w:pStyle w:val="Indented"/>
      </w:pPr>
    </w:p>
    <w:p w:rsidR="00DE618B" w:rsidRPr="00E77CD6" w:rsidRDefault="00DE618B" w:rsidP="00DF2091">
      <w:pPr>
        <w:pStyle w:val="ONEH1"/>
      </w:pPr>
      <w:r w:rsidRPr="00E77CD6">
        <w:t>F</w:t>
      </w:r>
      <w:r w:rsidR="00795A45" w:rsidRPr="00E77CD6">
        <w:t xml:space="preserve">reedom of Information Act </w:t>
      </w:r>
      <w:r w:rsidRPr="00E77CD6">
        <w:t>2000</w:t>
      </w:r>
    </w:p>
    <w:p w:rsidR="00DE618B" w:rsidRPr="00A24900" w:rsidRDefault="001D5F92" w:rsidP="001E14F1">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rsidR="00DC356C" w:rsidRPr="00A24900" w:rsidRDefault="001514FC" w:rsidP="001E14F1">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rsidR="00500825" w:rsidRPr="00A24900" w:rsidRDefault="00DC356C" w:rsidP="001E14F1">
      <w:pPr>
        <w:pStyle w:val="ONEH2"/>
      </w:pPr>
      <w:r w:rsidRPr="00A24900">
        <w:t>In respect of any information submitted by a Tenderer that it considers to be commercially sensitive</w:t>
      </w:r>
      <w:r w:rsidR="0072277C">
        <w:t>,</w:t>
      </w:r>
      <w:r w:rsidRPr="00A24900">
        <w:t xml:space="preserve"> the Tenderer should:</w:t>
      </w:r>
    </w:p>
    <w:p w:rsidR="00DC356C" w:rsidRPr="00A24900" w:rsidRDefault="002726A4" w:rsidP="0055446D">
      <w:pPr>
        <w:pStyle w:val="ONEH3"/>
      </w:pPr>
      <w:r>
        <w:t>c</w:t>
      </w:r>
      <w:r w:rsidRPr="00A24900">
        <w:t xml:space="preserve">learly </w:t>
      </w:r>
      <w:r w:rsidR="00DC356C" w:rsidRPr="00A24900">
        <w:t>identify such information as commercially sensitive;</w:t>
      </w:r>
    </w:p>
    <w:p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rsidR="00500825" w:rsidRPr="00A24900" w:rsidRDefault="00500825" w:rsidP="001E14F1">
      <w:pPr>
        <w:pStyle w:val="ONEH2"/>
      </w:pPr>
      <w:r w:rsidRPr="00A24900">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rsidR="00DC356C" w:rsidRPr="00A24900" w:rsidRDefault="00500825" w:rsidP="001E14F1">
      <w:pPr>
        <w:pStyle w:val="ONEH2"/>
      </w:pPr>
      <w:bookmarkStart w:id="7" w:name="_Ref149547621"/>
      <w:r w:rsidRPr="00A24900">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 xml:space="preserve">such </w:t>
      </w:r>
      <w:r w:rsidRPr="00A24900">
        <w:lastRenderedPageBreak/>
        <w:t>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rsidR="00DE618B" w:rsidRPr="00A24900" w:rsidRDefault="00500825" w:rsidP="001E14F1">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rsidR="00B43C82" w:rsidRPr="00A24900" w:rsidRDefault="00B43C82" w:rsidP="00695658">
      <w:pPr>
        <w:pStyle w:val="Indented"/>
      </w:pPr>
    </w:p>
    <w:p w:rsidR="00DE618B" w:rsidRPr="00E77CD6" w:rsidRDefault="00F03979" w:rsidP="00DF2091">
      <w:pPr>
        <w:pStyle w:val="ONEH1"/>
      </w:pPr>
      <w:bookmarkStart w:id="8" w:name="_Ref257279343"/>
      <w:r w:rsidRPr="00E77CD6">
        <w:t>S</w:t>
      </w:r>
      <w:r w:rsidR="00795A45" w:rsidRPr="00E77CD6">
        <w:t>ubmission of Tenders</w:t>
      </w:r>
      <w:bookmarkEnd w:id="8"/>
    </w:p>
    <w:p w:rsidR="002726A4" w:rsidRDefault="00134784" w:rsidP="001E14F1">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rsidR="001514FC" w:rsidRPr="00A24900" w:rsidRDefault="001C1A35" w:rsidP="001E14F1">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 xml:space="preserve">is submitted after the deadline for the receipt of tenders has passed. </w:t>
      </w:r>
      <w:r w:rsidR="00B43C82" w:rsidRPr="00A24900">
        <w:t xml:space="preserve"> </w:t>
      </w:r>
      <w:r w:rsidR="000C1549" w:rsidRPr="00A24900">
        <w:t>Any such tenders will not be considered whatever the reason the Tenderer puts forward.</w:t>
      </w:r>
    </w:p>
    <w:p w:rsidR="001514FC" w:rsidRPr="00A24900" w:rsidRDefault="00134784" w:rsidP="001E14F1">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rsidR="00B46034" w:rsidRDefault="001B3B43" w:rsidP="001E14F1">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rsidR="00A32E4E" w:rsidRPr="00A24900" w:rsidRDefault="000C1549" w:rsidP="001E14F1">
      <w:pPr>
        <w:pStyle w:val="ONEH2"/>
      </w:pPr>
      <w:r w:rsidRPr="004A173F">
        <w:rPr>
          <w:b/>
        </w:rPr>
        <w:t xml:space="preserve">Tenderers shall note that any contract awarded under this procurement shall be on the </w:t>
      </w:r>
      <w:r w:rsidR="00887231" w:rsidRPr="004A173F">
        <w:rPr>
          <w:b/>
        </w:rPr>
        <w:t>Authority</w:t>
      </w:r>
      <w:r w:rsidRPr="004A173F">
        <w:rPr>
          <w:b/>
        </w:rPr>
        <w:t>'s terms and conditions of contract</w:t>
      </w:r>
      <w:r w:rsidRPr="00A24900">
        <w:t>.</w:t>
      </w:r>
    </w:p>
    <w:p w:rsidR="00393DB4" w:rsidRPr="00A24900" w:rsidRDefault="00DE618B" w:rsidP="001E14F1">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rsidR="00B43C82" w:rsidRPr="00A24900" w:rsidRDefault="00B43C82" w:rsidP="00695658">
      <w:pPr>
        <w:pStyle w:val="Indented"/>
      </w:pPr>
    </w:p>
    <w:p w:rsidR="00DE618B" w:rsidRPr="00E77CD6" w:rsidRDefault="00DE618B" w:rsidP="00DF2091">
      <w:pPr>
        <w:pStyle w:val="ONEH1"/>
      </w:pPr>
      <w:r w:rsidRPr="00E77CD6">
        <w:t>M</w:t>
      </w:r>
      <w:r w:rsidR="00795A45" w:rsidRPr="00E77CD6">
        <w:t>odification and Withdrawal of Tenders</w:t>
      </w:r>
    </w:p>
    <w:p w:rsidR="00DE618B" w:rsidRPr="00A24900" w:rsidRDefault="00DE618B" w:rsidP="001E14F1">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rsidR="00DE618B" w:rsidRPr="00A24900" w:rsidRDefault="00DE618B" w:rsidP="001E14F1">
      <w:pPr>
        <w:pStyle w:val="ONEH2"/>
      </w:pPr>
      <w:r w:rsidRPr="00A24900">
        <w:t>No tender may be modified after the deadline for receipt</w:t>
      </w:r>
      <w:r w:rsidR="00887231" w:rsidRPr="00A24900">
        <w:t xml:space="preserve"> of tenders.</w:t>
      </w:r>
    </w:p>
    <w:p w:rsidR="00887231" w:rsidRPr="00A24900" w:rsidRDefault="00DE618B" w:rsidP="001E14F1">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rsidR="00887231" w:rsidRPr="00A24900" w:rsidRDefault="00887231" w:rsidP="001E14F1">
      <w:pPr>
        <w:pStyle w:val="ONEH2"/>
      </w:pPr>
      <w:r w:rsidRPr="00A24900">
        <w:t>The Tenderer may withdraw a tender after the deadline for receipt of tenders, providing such intention is notified to the Authority using BMS or in writing when BMS cannot be used.</w:t>
      </w:r>
    </w:p>
    <w:p w:rsidR="00134784" w:rsidRPr="00A24900" w:rsidRDefault="00134784" w:rsidP="00695658">
      <w:pPr>
        <w:pStyle w:val="Indented"/>
      </w:pPr>
    </w:p>
    <w:p w:rsidR="00F94566" w:rsidRPr="00E77CD6" w:rsidRDefault="00F94566" w:rsidP="00DF2091">
      <w:pPr>
        <w:pStyle w:val="ONEH1"/>
      </w:pPr>
      <w:r w:rsidRPr="00E77CD6">
        <w:t>T</w:t>
      </w:r>
      <w:r w:rsidR="00795A45" w:rsidRPr="00E77CD6">
        <w:t>ender Qualifications</w:t>
      </w:r>
    </w:p>
    <w:p w:rsidR="009D5FD9" w:rsidRPr="00A24900" w:rsidRDefault="00F94566" w:rsidP="001E14F1">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rsidR="003621AC" w:rsidRPr="00A24900" w:rsidRDefault="00F94566" w:rsidP="001E14F1">
      <w:pPr>
        <w:pStyle w:val="ONEH2"/>
      </w:pPr>
      <w:r w:rsidRPr="00A24900">
        <w:lastRenderedPageBreak/>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r w:rsidR="00FF62F9">
        <w:rPr>
          <w:b/>
          <w:bCs/>
        </w:rPr>
        <w:t>.</w:t>
      </w:r>
    </w:p>
    <w:p w:rsidR="00134784" w:rsidRPr="00A24900" w:rsidRDefault="00134784" w:rsidP="00695658">
      <w:pPr>
        <w:pStyle w:val="Indented"/>
      </w:pPr>
    </w:p>
    <w:p w:rsidR="00DE618B" w:rsidRPr="00E77CD6" w:rsidRDefault="00DE618B" w:rsidP="00DF2091">
      <w:pPr>
        <w:pStyle w:val="ONEH1"/>
      </w:pPr>
      <w:r w:rsidRPr="00E77CD6">
        <w:t>P</w:t>
      </w:r>
      <w:r w:rsidR="00795A45" w:rsidRPr="00E77CD6">
        <w:t>rice</w:t>
      </w:r>
    </w:p>
    <w:p w:rsidR="008960C8" w:rsidRDefault="008960C8" w:rsidP="001E14F1">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rsidR="00A402D4" w:rsidRPr="00A24900" w:rsidRDefault="00A402D4" w:rsidP="001E14F1">
      <w:pPr>
        <w:pStyle w:val="ONEH2"/>
      </w:pPr>
      <w:r w:rsidRPr="00A24900">
        <w:t xml:space="preserve">All prices must be quoted in pounds sterling with the price firm for the duration of the Contract and not be subject to any variation unless provided for in the Conditions of Contract.  </w:t>
      </w:r>
    </w:p>
    <w:p w:rsidR="00A402D4" w:rsidRPr="00A24900" w:rsidRDefault="00A402D4" w:rsidP="001E14F1">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rsidR="00DE618B" w:rsidRPr="00A24900" w:rsidRDefault="00DE618B" w:rsidP="001E14F1">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A24900">
        <w:t>total price for the whole requirement this is the figure that should be entered</w:t>
      </w:r>
      <w:r w:rsidR="00BC513D" w:rsidRPr="00A24900">
        <w:t xml:space="preserve"> on the system. </w:t>
      </w:r>
    </w:p>
    <w:p w:rsidR="00134784" w:rsidRPr="00A24900" w:rsidRDefault="00134784" w:rsidP="00695658">
      <w:pPr>
        <w:pStyle w:val="Indented"/>
      </w:pPr>
    </w:p>
    <w:p w:rsidR="005B47E6" w:rsidRDefault="005B47E6" w:rsidP="005B47E6">
      <w:pPr>
        <w:pStyle w:val="ONEH1"/>
      </w:pPr>
      <w:r>
        <w:t>Small Medium Enterprises</w:t>
      </w:r>
    </w:p>
    <w:p w:rsidR="005B47E6" w:rsidRDefault="005B47E6" w:rsidP="005B47E6">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3"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rsidR="005B47E6" w:rsidRDefault="005B47E6" w:rsidP="005B47E6">
      <w:pPr>
        <w:pStyle w:val="ONEH2"/>
      </w:pPr>
      <w:r>
        <w:t>The Authority, when appropriate, will ask for proposals as part of this ITT on how Tenderers are intending to support the SME initiative.</w:t>
      </w:r>
    </w:p>
    <w:p w:rsidR="005B47E6" w:rsidRDefault="005B47E6" w:rsidP="005B47E6">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rsidR="005B47E6" w:rsidRDefault="005B47E6" w:rsidP="005B47E6">
      <w:pPr>
        <w:pStyle w:val="ONEH2"/>
      </w:pPr>
      <w:r>
        <w:t>S</w:t>
      </w:r>
      <w:r w:rsidRPr="007E7B9C">
        <w:t xml:space="preserve">uppliers to the </w:t>
      </w:r>
      <w:r>
        <w:t>Authority</w:t>
      </w:r>
      <w:r w:rsidRPr="007E7B9C">
        <w:t xml:space="preserve"> are encouraged to make their own commitment </w:t>
      </w:r>
      <w:r>
        <w:t>on prompt payment by registering</w:t>
      </w:r>
      <w:r w:rsidRPr="007E7B9C">
        <w:t xml:space="preserve"> with the Prompt Payment Code at:</w:t>
      </w:r>
    </w:p>
    <w:p w:rsidR="005B47E6" w:rsidRDefault="005B47E6" w:rsidP="004A173F">
      <w:pPr>
        <w:pStyle w:val="ONEH2"/>
        <w:numPr>
          <w:ilvl w:val="0"/>
          <w:numId w:val="0"/>
        </w:numPr>
        <w:tabs>
          <w:tab w:val="left" w:pos="851"/>
        </w:tabs>
        <w:ind w:left="-567"/>
      </w:pPr>
      <w:r>
        <w:tab/>
      </w:r>
      <w:hyperlink r:id="rId14" w:history="1">
        <w:r w:rsidRPr="007E7B9C">
          <w:rPr>
            <w:rStyle w:val="Hyperlink"/>
          </w:rPr>
          <w:t>http://www.promptpaymentcode.org.uk</w:t>
        </w:r>
      </w:hyperlink>
      <w:r w:rsidRPr="007E7B9C">
        <w:t>.</w:t>
      </w:r>
    </w:p>
    <w:p w:rsidR="005B47E6" w:rsidRPr="007E7B9C" w:rsidRDefault="005B47E6" w:rsidP="005B47E6">
      <w:pPr>
        <w:pStyle w:val="Indented"/>
      </w:pPr>
    </w:p>
    <w:p w:rsidR="005B47E6" w:rsidRPr="007E7B9C" w:rsidRDefault="005B47E6" w:rsidP="005B47E6">
      <w:pPr>
        <w:pStyle w:val="ONEH1"/>
      </w:pPr>
      <w:r w:rsidRPr="007E7B9C">
        <w:t>Transparency</w:t>
      </w:r>
    </w:p>
    <w:p w:rsidR="005B47E6" w:rsidRPr="007E7B9C" w:rsidRDefault="005B47E6" w:rsidP="005B47E6">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15" w:history="1">
        <w:r w:rsidRPr="007E7B9C">
          <w:rPr>
            <w:rStyle w:val="Hyperlink"/>
          </w:rPr>
          <w:t>Contracts Finder</w:t>
        </w:r>
      </w:hyperlink>
      <w:r>
        <w:t>.</w:t>
      </w:r>
      <w:r w:rsidRPr="007E7B9C">
        <w:t xml:space="preserve"> </w:t>
      </w:r>
    </w:p>
    <w:p w:rsidR="005B47E6" w:rsidRDefault="005B47E6" w:rsidP="005B47E6">
      <w:pPr>
        <w:pStyle w:val="ONEH2"/>
      </w:pPr>
      <w:r>
        <w:t>The Tenderer gives permission for the Authority to publish the awarded Contract in its entirety, including from time to time any agreed changes to the Contract (i.e. Variation Orders), to the general public.</w:t>
      </w:r>
    </w:p>
    <w:p w:rsidR="005A4059" w:rsidRPr="004A173F" w:rsidRDefault="005B47E6" w:rsidP="004A173F">
      <w:pPr>
        <w:pStyle w:val="ONEH2"/>
      </w:pPr>
      <w:r>
        <w:t>The Authority shall be responsible for determining in its absolute discretion whether any of the content of the Contract is exempt from disclosure</w:t>
      </w:r>
      <w:r w:rsidR="000D0382">
        <w:t>,</w:t>
      </w:r>
      <w:r>
        <w:t xml:space="preserve"> in accordance with the provisions of the FOIA or the EIR</w:t>
      </w:r>
      <w:r w:rsidR="000D0382">
        <w:t>; also</w:t>
      </w:r>
      <w:r>
        <w:t xml:space="preserve"> taking into account the Data Protection Act.  If the tender is submitted as a PDF the awarded supplier will be requested to provide the tender in an editable format (such as Microsoft Word) in order to allow the Authority to redact any information deemed sensitive or confidential.  </w:t>
      </w:r>
    </w:p>
    <w:p w:rsidR="005A4059" w:rsidRPr="00A24900" w:rsidRDefault="005A4059" w:rsidP="004A173F">
      <w:pPr>
        <w:pStyle w:val="Indented"/>
      </w:pPr>
    </w:p>
    <w:p w:rsidR="005B47E6" w:rsidRPr="00E77CD6" w:rsidRDefault="005B47E6" w:rsidP="005B47E6">
      <w:pPr>
        <w:pStyle w:val="ONEH1"/>
      </w:pPr>
      <w:r w:rsidRPr="00E77CD6">
        <w:lastRenderedPageBreak/>
        <w:t>Language</w:t>
      </w:r>
    </w:p>
    <w:p w:rsidR="005B47E6" w:rsidRPr="00A24900" w:rsidRDefault="005B47E6" w:rsidP="005B47E6">
      <w:pPr>
        <w:pStyle w:val="ONEH2"/>
      </w:pPr>
      <w:r>
        <w:t>A</w:t>
      </w:r>
      <w:r w:rsidRPr="00A24900">
        <w:t>ll documents and all correspondence relating to the tender must be written in English.</w:t>
      </w:r>
    </w:p>
    <w:p w:rsidR="005B47E6" w:rsidRPr="00A24900" w:rsidRDefault="005B47E6" w:rsidP="005B47E6">
      <w:pPr>
        <w:pStyle w:val="Indented"/>
      </w:pPr>
    </w:p>
    <w:p w:rsidR="00EF0817" w:rsidRPr="00A24900" w:rsidRDefault="00EF0817" w:rsidP="00695658">
      <w:pPr>
        <w:pStyle w:val="Indented"/>
      </w:pPr>
    </w:p>
    <w:p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rsidR="00DE618B" w:rsidRPr="00A24900" w:rsidRDefault="00DE618B" w:rsidP="000759C3">
      <w:pPr>
        <w:pStyle w:val="LeftSide"/>
      </w:pPr>
    </w:p>
    <w:p w:rsidR="003434E2" w:rsidRPr="00A24900" w:rsidRDefault="003434E2" w:rsidP="000759C3">
      <w:pPr>
        <w:pStyle w:val="LeftSide"/>
      </w:pPr>
    </w:p>
    <w:p w:rsidR="00DE618B" w:rsidRPr="00A24900" w:rsidRDefault="00984149" w:rsidP="000759C3">
      <w:pPr>
        <w:pStyle w:val="LeftSide"/>
        <w:jc w:val="center"/>
        <w:rPr>
          <w:b/>
          <w:bCs/>
        </w:rPr>
      </w:pPr>
      <w:r w:rsidRPr="00A24900">
        <w:rPr>
          <w:b/>
          <w:bCs/>
        </w:rPr>
        <w:t>THIS PAGE HAS BEEN LEFT INTENTIONALLY BLANK</w:t>
      </w:r>
    </w:p>
    <w:p w:rsidR="003434E2" w:rsidRDefault="004677B8" w:rsidP="009724F4">
      <w:pPr>
        <w:pStyle w:val="LeftSide"/>
        <w:jc w:val="center"/>
      </w:pPr>
      <w:r>
        <w:t xml:space="preserve">Department of Health Terms and </w:t>
      </w:r>
      <w:r w:rsidR="00C11E91">
        <w:t>Conditions of Contract</w:t>
      </w:r>
      <w:r w:rsidR="00C92B47" w:rsidRPr="00A24900">
        <w:t xml:space="preserve"> are downloadable from BMS</w:t>
      </w:r>
    </w:p>
    <w:p w:rsidR="00E066F8" w:rsidRPr="00A24900" w:rsidRDefault="00E066F8" w:rsidP="00E066F8">
      <w:pPr>
        <w:pStyle w:val="LeftSide"/>
      </w:pPr>
      <w:bookmarkStart w:id="12" w:name="_Toc519998894"/>
    </w:p>
    <w:p w:rsidR="00E066F8" w:rsidRPr="00A24900" w:rsidRDefault="00E066F8" w:rsidP="00E066F8">
      <w:pPr>
        <w:pStyle w:val="LeftSide"/>
      </w:pPr>
    </w:p>
    <w:p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rsidR="00EA0471" w:rsidRPr="00E77CD6" w:rsidRDefault="00EA0471" w:rsidP="005E6657">
      <w:pPr>
        <w:pStyle w:val="SIXH1"/>
      </w:pPr>
      <w:r w:rsidRPr="00E77CD6">
        <w:t>Overview</w:t>
      </w:r>
      <w:bookmarkStart w:id="14" w:name="_DV_C597"/>
    </w:p>
    <w:p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rsidR="001416DF" w:rsidRDefault="00C11E91" w:rsidP="00DF2091">
      <w:pPr>
        <w:pStyle w:val="SIXH2"/>
      </w:pPr>
      <w:r>
        <w:t>The Authority shall award a contract based on the tender that is the most economically advantageous</w:t>
      </w:r>
      <w:r w:rsidR="001416DF">
        <w:t>.</w:t>
      </w:r>
    </w:p>
    <w:p w:rsidR="00EA0471" w:rsidRPr="00A24900" w:rsidRDefault="00EA0471" w:rsidP="00695658">
      <w:pPr>
        <w:pStyle w:val="Indented"/>
      </w:pPr>
    </w:p>
    <w:p w:rsidR="00EA0471" w:rsidRPr="00E77CD6" w:rsidRDefault="00EA0471" w:rsidP="005E665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rsidR="00613EB0" w:rsidRDefault="00613EB0" w:rsidP="00DF2091">
      <w:pPr>
        <w:pStyle w:val="SIXH2"/>
      </w:pPr>
      <w:r>
        <w:t>The diagram below summaries the process that will be used to select an appropriate Tenderer and award the contract for this procurement.</w:t>
      </w:r>
    </w:p>
    <w:p w:rsidR="00613EB0" w:rsidRDefault="00613EB0" w:rsidP="004A173F">
      <w:pPr>
        <w:pStyle w:val="Indented"/>
      </w:pPr>
    </w:p>
    <w:p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rsidR="00613EB0" w:rsidRDefault="004A173F" w:rsidP="004A173F">
      <w:pPr>
        <w:pStyle w:val="Indented"/>
        <w:jc w:val="center"/>
      </w:pPr>
      <w:r>
        <w:object w:dxaOrig="11413" w:dyaOrig="1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3pt;height:471.4pt" o:ole="">
            <v:imagedata r:id="rId16" o:title=""/>
          </v:shape>
          <o:OLEObject Type="Embed" ProgID="Visio.Drawing.11" ShapeID="_x0000_i1025" DrawAspect="Content" ObjectID="_1510408378" r:id="rId17"/>
        </w:object>
      </w:r>
    </w:p>
    <w:p w:rsidR="00613EB0" w:rsidRDefault="00613EB0" w:rsidP="004A173F">
      <w:pPr>
        <w:pStyle w:val="Indented"/>
      </w:pPr>
    </w:p>
    <w:p w:rsidR="00D9550D" w:rsidRDefault="00062664" w:rsidP="00DF2091">
      <w:pPr>
        <w:pStyle w:val="SIXH2"/>
      </w:pPr>
      <w:r>
        <w:lastRenderedPageBreak/>
        <w:t>The Tender Panel will consist of</w:t>
      </w:r>
      <w:r w:rsidR="00D9550D">
        <w:t>:</w:t>
      </w:r>
    </w:p>
    <w:p w:rsidR="00062664" w:rsidRPr="004A173F" w:rsidRDefault="00D9550D" w:rsidP="004A173F">
      <w:pPr>
        <w:pStyle w:val="Indented"/>
        <w:numPr>
          <w:ilvl w:val="3"/>
          <w:numId w:val="2"/>
        </w:numPr>
        <w:tabs>
          <w:tab w:val="clear" w:pos="2171"/>
          <w:tab w:val="num" w:pos="1560"/>
        </w:tabs>
        <w:ind w:left="1560" w:hanging="426"/>
        <w:rPr>
          <w:iCs/>
        </w:rPr>
      </w:pPr>
      <w:r w:rsidRPr="004A173F">
        <w:rPr>
          <w:i/>
          <w:iCs/>
        </w:rPr>
        <w:t>Technical Evaluation</w:t>
      </w:r>
      <w:r w:rsidRPr="004A173F">
        <w:rPr>
          <w:iCs/>
        </w:rPr>
        <w:t xml:space="preserve">: suitably experienced members from </w:t>
      </w:r>
      <w:r w:rsidR="00030D00">
        <w:rPr>
          <w:iCs/>
        </w:rPr>
        <w:t>Social Care, Local Government and Care Partnerships</w:t>
      </w:r>
      <w:r w:rsidR="00062664" w:rsidRPr="004A173F">
        <w:rPr>
          <w:iCs/>
        </w:rPr>
        <w:t xml:space="preserve"> </w:t>
      </w:r>
      <w:r w:rsidR="00EE4702">
        <w:rPr>
          <w:iCs/>
        </w:rPr>
        <w:t xml:space="preserve">Directorate at DH, the Association of Directors of Adult Social Services, the Local Government Association </w:t>
      </w:r>
      <w:r w:rsidR="00062664" w:rsidRPr="004A173F">
        <w:rPr>
          <w:iCs/>
        </w:rPr>
        <w:t xml:space="preserve">and </w:t>
      </w:r>
      <w:r w:rsidRPr="004A173F">
        <w:rPr>
          <w:iCs/>
        </w:rPr>
        <w:t xml:space="preserve">a moderator from </w:t>
      </w:r>
      <w:r w:rsidR="00055029" w:rsidRPr="004A173F">
        <w:rPr>
          <w:iCs/>
        </w:rPr>
        <w:t xml:space="preserve">the </w:t>
      </w:r>
      <w:r w:rsidR="004D42B7">
        <w:rPr>
          <w:iCs/>
        </w:rPr>
        <w:t xml:space="preserve">Commercial Division </w:t>
      </w:r>
      <w:r w:rsidRPr="004A173F">
        <w:rPr>
          <w:iCs/>
        </w:rPr>
        <w:t>; and</w:t>
      </w:r>
    </w:p>
    <w:p w:rsidR="00D9550D" w:rsidRPr="00D9550D" w:rsidRDefault="00D9550D" w:rsidP="004A173F">
      <w:pPr>
        <w:pStyle w:val="Indented"/>
        <w:numPr>
          <w:ilvl w:val="3"/>
          <w:numId w:val="2"/>
        </w:numPr>
        <w:tabs>
          <w:tab w:val="clear" w:pos="2171"/>
          <w:tab w:val="num" w:pos="1560"/>
        </w:tabs>
        <w:ind w:left="1560" w:hanging="426"/>
      </w:pPr>
      <w:r w:rsidRPr="00095DA4">
        <w:rPr>
          <w:i/>
          <w:iCs/>
        </w:rPr>
        <w:t>Price Evaluation:</w:t>
      </w:r>
      <w:r>
        <w:t xml:space="preserve"> </w:t>
      </w:r>
      <w:r w:rsidR="004D42B7">
        <w:t>Commercial Division</w:t>
      </w:r>
      <w:r w:rsidR="00FF62F9">
        <w:t xml:space="preserve"> </w:t>
      </w:r>
      <w:r>
        <w:t>only.</w:t>
      </w:r>
    </w:p>
    <w:p w:rsidR="0076692D" w:rsidRDefault="0076692D" w:rsidP="004A173F">
      <w:pPr>
        <w:pStyle w:val="Indented"/>
      </w:pPr>
    </w:p>
    <w:p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rsidR="00F276E0" w:rsidRPr="00F276E0" w:rsidRDefault="00F276E0" w:rsidP="004A173F">
      <w:pPr>
        <w:pStyle w:val="Indented"/>
      </w:pPr>
    </w:p>
    <w:p w:rsidR="00F276E0" w:rsidRDefault="00F276E0" w:rsidP="005E6657">
      <w:pPr>
        <w:pStyle w:val="SIXH1"/>
      </w:pPr>
      <w:r>
        <w:t>Administrative Compliance</w:t>
      </w:r>
    </w:p>
    <w:p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rsidR="00F276E0" w:rsidRDefault="00F276E0" w:rsidP="004A173F">
      <w:pPr>
        <w:pStyle w:val="Indented"/>
      </w:pPr>
    </w:p>
    <w:p w:rsidR="00F276E0" w:rsidRDefault="00F276E0" w:rsidP="005E6657">
      <w:pPr>
        <w:pStyle w:val="SIXH1"/>
      </w:pPr>
      <w:r>
        <w:t>Technical Evaluation</w:t>
      </w:r>
    </w:p>
    <w:p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sidRPr="00C62E71">
        <w:rPr>
          <w:szCs w:val="22"/>
          <w:highlight w:val="lightGray"/>
        </w:rPr>
        <w:fldChar w:fldCharType="begin"/>
      </w:r>
      <w:r w:rsidR="00DF2091">
        <w:rPr>
          <w:szCs w:val="22"/>
        </w:rPr>
        <w:instrText xml:space="preserve"> REF _Ref342917017 \h </w:instrText>
      </w:r>
      <w:r w:rsidR="00DF2091" w:rsidRPr="00C62E71">
        <w:rPr>
          <w:szCs w:val="22"/>
          <w:highlight w:val="lightGray"/>
        </w:rPr>
      </w:r>
      <w:r w:rsidR="00DF2091" w:rsidRPr="00C62E71">
        <w:rPr>
          <w:szCs w:val="22"/>
          <w:highlight w:val="lightGray"/>
        </w:rPr>
        <w:fldChar w:fldCharType="separate"/>
      </w:r>
      <w:r w:rsidR="00240F30" w:rsidRPr="00DF2091">
        <w:t xml:space="preserve">Table </w:t>
      </w:r>
      <w:r w:rsidR="00240F30">
        <w:rPr>
          <w:noProof/>
        </w:rPr>
        <w:t>3</w:t>
      </w:r>
      <w:r w:rsidR="00DF2091" w:rsidRPr="00C62E71">
        <w:rPr>
          <w:szCs w:val="22"/>
          <w:highlight w:val="lightGray"/>
        </w:rPr>
        <w:fldChar w:fldCharType="end"/>
      </w:r>
      <w:r w:rsidR="008E3138">
        <w:t xml:space="preserve">.   </w:t>
      </w:r>
    </w:p>
    <w:p w:rsidR="008E3138" w:rsidRDefault="008E3138" w:rsidP="00DF2091">
      <w:pPr>
        <w:pStyle w:val="SIXH2"/>
      </w:pPr>
      <w:r>
        <w:t>Each evaluation area is weighted to show the relative importance</w:t>
      </w:r>
      <w:r w:rsidR="0076692D">
        <w:t xml:space="preserve"> </w:t>
      </w:r>
      <w:r>
        <w:t>/</w:t>
      </w:r>
      <w:r w:rsidR="0076692D">
        <w:t xml:space="preserve"> </w:t>
      </w:r>
      <w:r>
        <w:t xml:space="preserve">significance of the criteria 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240F30" w:rsidRPr="00240F30">
        <w:rPr>
          <w:szCs w:val="22"/>
        </w:rPr>
        <w:t xml:space="preserve">Table </w:t>
      </w:r>
      <w:r w:rsidR="00240F30" w:rsidRPr="009724F4">
        <w:rPr>
          <w:szCs w:val="22"/>
        </w:rPr>
        <w:t>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rsidR="00064670" w:rsidRPr="004A173F" w:rsidRDefault="008E3138" w:rsidP="009724F4">
      <w:pPr>
        <w:pStyle w:val="Indented"/>
      </w:pPr>
      <w:r w:rsidRPr="004A173F">
        <w:t>[</w:t>
      </w:r>
      <w:r w:rsidR="00064670">
        <w:t xml:space="preserve">The scored responses are generally assessed out of a maximum </w:t>
      </w:r>
      <w:r w:rsidR="00064670" w:rsidRPr="00FF62F9">
        <w:t>of four (4).</w:t>
      </w:r>
      <w:r w:rsidR="00064670">
        <w:t xml:space="preserve">  The Evaluation Panel will not be allowed to give partial scores (for example 3.5); however, once all scores are aggregated the technical scores will be rounded to two decimal places prior to consolidating with the price evaluation.</w:t>
      </w:r>
    </w:p>
    <w:p w:rsidR="00062664" w:rsidRPr="00A24900" w:rsidRDefault="00062664" w:rsidP="004A173F">
      <w:pPr>
        <w:pStyle w:val="SIXH2"/>
      </w:pPr>
      <w:r>
        <w:t xml:space="preserve">The Authority has decided to set a minimum quality threshold for this procurement, therefore, those Tenderers that achieve a score equivalent to </w:t>
      </w:r>
      <w:r w:rsidRPr="00FF62F9">
        <w:t>47.5%</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rsidR="00062664" w:rsidRDefault="00062664" w:rsidP="00F276E0">
      <w:pPr>
        <w:pStyle w:val="Indented"/>
      </w:pPr>
    </w:p>
    <w:p w:rsidR="00DF2091" w:rsidRDefault="00DF2091" w:rsidP="00F276E0">
      <w:pPr>
        <w:pStyle w:val="Indented"/>
        <w:sectPr w:rsidR="00DF2091" w:rsidSect="00064670">
          <w:headerReference w:type="first" r:id="rId18"/>
          <w:footerReference w:type="first" r:id="rId19"/>
          <w:pgSz w:w="11906" w:h="16838" w:code="9"/>
          <w:pgMar w:top="1418" w:right="1134" w:bottom="1134" w:left="1134" w:header="720" w:footer="720" w:gutter="0"/>
          <w:cols w:space="720"/>
          <w:formProt w:val="0"/>
        </w:sectPr>
      </w:pPr>
    </w:p>
    <w:p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240F30">
        <w:rPr>
          <w:noProof/>
        </w:rPr>
        <w:t>2</w:t>
      </w:r>
      <w:r w:rsidRPr="00DF2091">
        <w:fldChar w:fldCharType="end"/>
      </w:r>
      <w:bookmarkEnd w:id="19"/>
      <w:r w:rsidR="008E3138" w:rsidRPr="00DF2091">
        <w:t xml:space="preserve">: </w:t>
      </w:r>
      <w:r w:rsidR="008E3138" w:rsidRPr="004A173F">
        <w:rPr>
          <w:b w:val="0"/>
          <w:bCs w:val="0"/>
        </w:rPr>
        <w:t>Technical Evaluation Criteria Matrix</w:t>
      </w:r>
    </w:p>
    <w:p w:rsidR="008E3138" w:rsidRPr="00DF2091" w:rsidRDefault="008E3138" w:rsidP="00DF2091">
      <w:pPr>
        <w:pStyle w:val="Indented"/>
      </w:pPr>
    </w:p>
    <w:tbl>
      <w:tblPr>
        <w:tblW w:w="13293"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623"/>
        <w:gridCol w:w="4962"/>
        <w:gridCol w:w="1086"/>
      </w:tblGrid>
      <w:tr w:rsidR="00F276E0" w:rsidRPr="00A24900" w:rsidTr="00C62E71">
        <w:trPr>
          <w:cantSplit/>
          <w:trHeight w:val="70"/>
          <w:tblHeader/>
        </w:trPr>
        <w:tc>
          <w:tcPr>
            <w:tcW w:w="3622" w:type="dxa"/>
            <w:shd w:val="clear" w:color="auto" w:fill="FF99CC"/>
            <w:vAlign w:val="center"/>
          </w:tcPr>
          <w:p w:rsidR="00F276E0" w:rsidRPr="00A24900" w:rsidRDefault="00F276E0" w:rsidP="00C62E71">
            <w:pPr>
              <w:pStyle w:val="TableHead"/>
              <w:keepNext/>
            </w:pPr>
            <w:r>
              <w:t>Evaluation Area</w:t>
            </w:r>
          </w:p>
        </w:tc>
        <w:tc>
          <w:tcPr>
            <w:tcW w:w="3623" w:type="dxa"/>
            <w:shd w:val="clear" w:color="auto" w:fill="FF99CC"/>
            <w:vAlign w:val="center"/>
          </w:tcPr>
          <w:p w:rsidR="00F276E0" w:rsidRPr="004468C0" w:rsidRDefault="00F276E0" w:rsidP="00C62E71">
            <w:pPr>
              <w:pStyle w:val="TableHead"/>
              <w:keepNext/>
            </w:pPr>
            <w:r w:rsidRPr="004468C0">
              <w:t>Evaluation intention</w:t>
            </w:r>
          </w:p>
        </w:tc>
        <w:tc>
          <w:tcPr>
            <w:tcW w:w="4962" w:type="dxa"/>
            <w:shd w:val="clear" w:color="auto" w:fill="FF99CC"/>
            <w:vAlign w:val="center"/>
          </w:tcPr>
          <w:p w:rsidR="00F276E0" w:rsidRPr="004468C0" w:rsidRDefault="00F276E0" w:rsidP="00C62E71">
            <w:pPr>
              <w:pStyle w:val="TableHead"/>
              <w:keepNext/>
            </w:pPr>
            <w:r w:rsidRPr="004468C0">
              <w:t>Evaluation criteria</w:t>
            </w:r>
          </w:p>
        </w:tc>
        <w:tc>
          <w:tcPr>
            <w:tcW w:w="1086" w:type="dxa"/>
            <w:shd w:val="clear" w:color="auto" w:fill="FF99CC"/>
            <w:vAlign w:val="center"/>
          </w:tcPr>
          <w:p w:rsidR="00F276E0" w:rsidRPr="00A24900" w:rsidRDefault="00F276E0" w:rsidP="00C62E71">
            <w:pPr>
              <w:pStyle w:val="TableHead"/>
              <w:keepNext/>
              <w:jc w:val="center"/>
            </w:pPr>
            <w:r>
              <w:t>Weight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Overview</w:t>
            </w:r>
            <w:r>
              <w:br/>
            </w:r>
            <w:r w:rsidRPr="004D5866">
              <w:t>Tenderers must provide a concise summary highlighting the key aspects of the proposal.</w:t>
            </w:r>
          </w:p>
        </w:tc>
        <w:tc>
          <w:tcPr>
            <w:tcW w:w="3623" w:type="dxa"/>
            <w:shd w:val="clear" w:color="auto" w:fill="auto"/>
            <w:vAlign w:val="center"/>
          </w:tcPr>
          <w:p w:rsidR="00F276E0" w:rsidRPr="004468C0" w:rsidRDefault="00F276E0" w:rsidP="00A81FBF">
            <w:pPr>
              <w:pStyle w:val="Table"/>
            </w:pPr>
            <w:r>
              <w:t>Th</w:t>
            </w:r>
            <w:r w:rsidRPr="004D5866">
              <w:t xml:space="preserve">is response is not evaluated and </w:t>
            </w:r>
            <w:r>
              <w:t>is</w:t>
            </w:r>
            <w:r w:rsidRPr="004D5866">
              <w:t xml:space="preserve"> used to contextualise the Tenderer’s response.</w:t>
            </w:r>
          </w:p>
        </w:tc>
        <w:tc>
          <w:tcPr>
            <w:tcW w:w="4962" w:type="dxa"/>
            <w:shd w:val="clear" w:color="auto" w:fill="auto"/>
            <w:vAlign w:val="center"/>
          </w:tcPr>
          <w:p w:rsidR="00F276E0" w:rsidRPr="004468C0" w:rsidRDefault="00F276E0" w:rsidP="00A81FBF">
            <w:pPr>
              <w:pStyle w:val="Table"/>
            </w:pPr>
            <w:r w:rsidRPr="004468C0">
              <w:t>N/a</w:t>
            </w:r>
          </w:p>
        </w:tc>
        <w:tc>
          <w:tcPr>
            <w:tcW w:w="1086" w:type="dxa"/>
            <w:shd w:val="clear" w:color="auto" w:fill="auto"/>
            <w:vAlign w:val="center"/>
          </w:tcPr>
          <w:p w:rsidR="00F276E0" w:rsidRPr="004468C0" w:rsidRDefault="00F276E0" w:rsidP="00C62E71">
            <w:pPr>
              <w:pStyle w:val="Table"/>
              <w:jc w:val="center"/>
            </w:pPr>
            <w:r w:rsidRPr="004468C0">
              <w:t>N/a</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Leadership</w:t>
            </w:r>
            <w:r w:rsidRPr="00C62E71">
              <w:rPr>
                <w:b/>
                <w:bCs w:val="0"/>
              </w:rPr>
              <w:br/>
            </w:r>
            <w:r>
              <w:t>Provide details of the qualifications and experience of the individual whose responsibility will be to ensure that the requirement is delivered.</w:t>
            </w:r>
          </w:p>
        </w:tc>
        <w:tc>
          <w:tcPr>
            <w:tcW w:w="3623" w:type="dxa"/>
            <w:shd w:val="clear" w:color="auto" w:fill="auto"/>
            <w:vAlign w:val="center"/>
          </w:tcPr>
          <w:p w:rsidR="00F276E0" w:rsidRPr="004468C0" w:rsidRDefault="00F276E0" w:rsidP="00A81FBF">
            <w:pPr>
              <w:pStyle w:val="Table"/>
            </w:pPr>
            <w:r w:rsidRPr="00CB053B">
              <w:t>Seeks to establish that the Tenderer has the appropriate leadership, expertise and credibility in the field and the skills, qualifications and experience to lead the scope of service delivery requirements</w:t>
            </w:r>
          </w:p>
        </w:tc>
        <w:tc>
          <w:tcPr>
            <w:tcW w:w="4962" w:type="dxa"/>
            <w:shd w:val="clear" w:color="auto" w:fill="auto"/>
            <w:vAlign w:val="center"/>
          </w:tcPr>
          <w:p w:rsidR="00F276E0" w:rsidRDefault="00F276E0" w:rsidP="00A81FBF">
            <w:pPr>
              <w:pStyle w:val="Table"/>
            </w:pPr>
            <w:r w:rsidRPr="00CB053B">
              <w:t>Tenderer leadership arrangements are sufficient and suitable to ensure successful delivery</w:t>
            </w:r>
            <w:r w:rsidR="006E2ED2">
              <w:t>. In particular, the tenderer can demonstrate:</w:t>
            </w:r>
          </w:p>
          <w:p w:rsidR="006E2ED2" w:rsidRDefault="006E2ED2" w:rsidP="009724F4">
            <w:pPr>
              <w:pStyle w:val="Table"/>
              <w:numPr>
                <w:ilvl w:val="0"/>
                <w:numId w:val="58"/>
              </w:numPr>
            </w:pPr>
            <w:r>
              <w:t>Knowledge of adult social care markets and the legislative context in which it operates</w:t>
            </w:r>
            <w:r w:rsidR="00E55A82">
              <w:t xml:space="preserve">. In particular, local authorities’ market shaping </w:t>
            </w:r>
            <w:r w:rsidR="00044C0F">
              <w:t xml:space="preserve">and commissioning </w:t>
            </w:r>
            <w:r w:rsidR="00E55A82">
              <w:t>duties</w:t>
            </w:r>
            <w:r>
              <w:t>;</w:t>
            </w:r>
          </w:p>
          <w:p w:rsidR="00E55A82" w:rsidRDefault="00E55A82" w:rsidP="009724F4">
            <w:pPr>
              <w:pStyle w:val="Table"/>
              <w:numPr>
                <w:ilvl w:val="0"/>
                <w:numId w:val="58"/>
              </w:numPr>
            </w:pPr>
            <w:r>
              <w:t xml:space="preserve">Knowledge of existing guidance </w:t>
            </w:r>
            <w:r w:rsidR="00044C0F">
              <w:t xml:space="preserve">and best practice </w:t>
            </w:r>
            <w:r>
              <w:t>in this area.</w:t>
            </w:r>
          </w:p>
          <w:p w:rsidR="00E55A82" w:rsidRDefault="00E55A82" w:rsidP="009724F4">
            <w:pPr>
              <w:pStyle w:val="Table"/>
              <w:numPr>
                <w:ilvl w:val="0"/>
                <w:numId w:val="58"/>
              </w:numPr>
            </w:pPr>
            <w:r>
              <w:t>Delivering practical support tools and guidance for local authorities and care providers;</w:t>
            </w:r>
          </w:p>
          <w:p w:rsidR="006E2ED2" w:rsidRDefault="006E2ED2" w:rsidP="009724F4">
            <w:pPr>
              <w:pStyle w:val="Table"/>
              <w:numPr>
                <w:ilvl w:val="0"/>
                <w:numId w:val="58"/>
              </w:numPr>
            </w:pPr>
            <w:r>
              <w:t>Knowledge of the operating environment for local authorities and care providers.</w:t>
            </w:r>
          </w:p>
          <w:p w:rsidR="006E2ED2" w:rsidRDefault="006E2ED2" w:rsidP="009724F4">
            <w:pPr>
              <w:pStyle w:val="Table"/>
              <w:numPr>
                <w:ilvl w:val="0"/>
                <w:numId w:val="58"/>
              </w:numPr>
            </w:pPr>
            <w:r>
              <w:t>Credibility and confidence in their services within the sector; and</w:t>
            </w:r>
          </w:p>
          <w:p w:rsidR="00E55A82" w:rsidRPr="004468C0" w:rsidRDefault="006E2ED2" w:rsidP="009724F4">
            <w:pPr>
              <w:pStyle w:val="Table"/>
              <w:numPr>
                <w:ilvl w:val="0"/>
                <w:numId w:val="58"/>
              </w:numPr>
            </w:pPr>
            <w:r>
              <w:t>A proven track record of delivering similar scale products within relatively tight timescales.</w:t>
            </w:r>
          </w:p>
        </w:tc>
        <w:tc>
          <w:tcPr>
            <w:tcW w:w="1086" w:type="dxa"/>
            <w:shd w:val="clear" w:color="auto" w:fill="auto"/>
            <w:vAlign w:val="center"/>
          </w:tcPr>
          <w:p w:rsidR="00F276E0" w:rsidRPr="004468C0" w:rsidRDefault="00E55A82" w:rsidP="00C62E71">
            <w:pPr>
              <w:pStyle w:val="Table"/>
              <w:jc w:val="center"/>
            </w:pPr>
            <w:r>
              <w:t>20</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Method statement</w:t>
            </w:r>
            <w:r>
              <w:br/>
            </w:r>
            <w:r w:rsidRPr="004D5866">
              <w:t>Describe (with specific reference to the elements of the requirements and the outcomes expected) how it is intended to deliver the requirements of the specification.</w:t>
            </w:r>
          </w:p>
        </w:tc>
        <w:tc>
          <w:tcPr>
            <w:tcW w:w="3623" w:type="dxa"/>
            <w:shd w:val="clear" w:color="auto" w:fill="auto"/>
            <w:vAlign w:val="center"/>
          </w:tcPr>
          <w:p w:rsidR="00F276E0" w:rsidRPr="0012747E" w:rsidRDefault="00F276E0" w:rsidP="00A81FBF">
            <w:pPr>
              <w:pStyle w:val="Table"/>
            </w:pPr>
            <w:r w:rsidRPr="0012747E">
              <w:t xml:space="preserve">Seeks to establish that the Tenderer has understood the requirements and has a credible plan for delivering successful </w:t>
            </w:r>
            <w:r>
              <w:t>outcomes</w:t>
            </w:r>
          </w:p>
        </w:tc>
        <w:tc>
          <w:tcPr>
            <w:tcW w:w="4962" w:type="dxa"/>
            <w:shd w:val="clear" w:color="auto" w:fill="auto"/>
            <w:vAlign w:val="center"/>
          </w:tcPr>
          <w:p w:rsidR="00240F30" w:rsidRDefault="00F276E0" w:rsidP="00240F30">
            <w:pPr>
              <w:pStyle w:val="Table"/>
            </w:pPr>
            <w:r w:rsidRPr="00CB053B">
              <w:t>The Tenderer</w:t>
            </w:r>
            <w:r>
              <w:t>’s response shows that it</w:t>
            </w:r>
            <w:r w:rsidRPr="00CB053B">
              <w:t>:</w:t>
            </w:r>
            <w:r>
              <w:br/>
            </w:r>
            <w:r w:rsidRPr="00CB053B">
              <w:t>- Has a credible solution</w:t>
            </w:r>
            <w:r w:rsidRPr="00CB053B">
              <w:br/>
              <w:t>- Has a defined and achievable timeline</w:t>
            </w:r>
            <w:r w:rsidRPr="00CB053B">
              <w:br/>
              <w:t>- Has identified and proposes suitable management of the delivery risks</w:t>
            </w:r>
            <w:r w:rsidRPr="00CB053B">
              <w:br/>
              <w:t>- Has a quality assurance regime that monitors, measures and assures quality outcomes</w:t>
            </w:r>
          </w:p>
          <w:p w:rsidR="00240F30" w:rsidRPr="0012747E" w:rsidRDefault="00240F30" w:rsidP="00240F30">
            <w:pPr>
              <w:pStyle w:val="Table"/>
            </w:pPr>
            <w:r>
              <w:t xml:space="preserve">- Has a credible plan to engage key sector stakeholders in delivering the solution </w:t>
            </w:r>
          </w:p>
        </w:tc>
        <w:tc>
          <w:tcPr>
            <w:tcW w:w="1086" w:type="dxa"/>
            <w:shd w:val="clear" w:color="auto" w:fill="auto"/>
            <w:vAlign w:val="center"/>
          </w:tcPr>
          <w:p w:rsidR="00F276E0" w:rsidRPr="004468C0" w:rsidRDefault="00CA05F0" w:rsidP="00C62E71">
            <w:pPr>
              <w:pStyle w:val="Table"/>
              <w:jc w:val="center"/>
            </w:pPr>
            <w:r>
              <w:t>35</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lastRenderedPageBreak/>
              <w:t>Resource Plan</w:t>
            </w:r>
            <w:r>
              <w:br/>
              <w:t>Provide a complete resource plan for the delivery of the Specification including details of the team involved, what these individuals will be doing and why these individuals are suitable for this requirement.</w:t>
            </w:r>
          </w:p>
        </w:tc>
        <w:tc>
          <w:tcPr>
            <w:tcW w:w="3623" w:type="dxa"/>
            <w:shd w:val="clear" w:color="auto" w:fill="auto"/>
            <w:vAlign w:val="center"/>
          </w:tcPr>
          <w:p w:rsidR="00F276E0" w:rsidRPr="00CB053B" w:rsidRDefault="00F276E0" w:rsidP="00A81FBF">
            <w:pPr>
              <w:pStyle w:val="Table"/>
            </w:pPr>
            <w:r w:rsidRPr="00CB053B">
              <w:t>Seeks to establish that the Tenderer has the level and quality of resources to deliver scope of service delivery requirements</w:t>
            </w:r>
          </w:p>
        </w:tc>
        <w:tc>
          <w:tcPr>
            <w:tcW w:w="4962" w:type="dxa"/>
            <w:shd w:val="clear" w:color="auto" w:fill="auto"/>
            <w:vAlign w:val="center"/>
          </w:tcPr>
          <w:p w:rsidR="00F276E0" w:rsidRPr="00CB053B" w:rsidRDefault="00F276E0" w:rsidP="00E55A82">
            <w:pPr>
              <w:pStyle w:val="Table"/>
            </w:pPr>
            <w:r w:rsidRPr="00CB053B">
              <w:t>The Tenderer</w:t>
            </w:r>
            <w:r>
              <w:t>’s response shows that it</w:t>
            </w:r>
            <w:r w:rsidRPr="00CB053B">
              <w:br/>
              <w:t>- Has provided sufficient resource to deliver the Method Statement proposals</w:t>
            </w:r>
            <w:r w:rsidRPr="00CB053B">
              <w:br/>
              <w:t>- Has identified appropriate management of these resources</w:t>
            </w:r>
            <w:r w:rsidRPr="00CB053B">
              <w:br/>
              <w:t>- Has assigned suitably qualified and experienced resource for service delivery</w:t>
            </w:r>
            <w:r w:rsidR="00240F30">
              <w:t>, in particular, with knowledge of the adult social care sector as described above</w:t>
            </w:r>
            <w:r w:rsidRPr="00CB053B">
              <w:br/>
              <w:t xml:space="preserve">- </w:t>
            </w:r>
            <w:r>
              <w:t>Has</w:t>
            </w:r>
            <w:r w:rsidRPr="00CB053B">
              <w:t xml:space="preserve"> </w:t>
            </w:r>
            <w:r>
              <w:t xml:space="preserve">a </w:t>
            </w:r>
            <w:r w:rsidRPr="00CB053B">
              <w:t xml:space="preserve">resource plan </w:t>
            </w:r>
            <w:r>
              <w:t xml:space="preserve">that </w:t>
            </w:r>
            <w:r w:rsidRPr="00CB053B">
              <w:t>integrates with the method statement(s)</w:t>
            </w:r>
          </w:p>
        </w:tc>
        <w:tc>
          <w:tcPr>
            <w:tcW w:w="1086" w:type="dxa"/>
            <w:shd w:val="clear" w:color="auto" w:fill="auto"/>
            <w:vAlign w:val="center"/>
          </w:tcPr>
          <w:p w:rsidR="00F276E0" w:rsidRPr="004468C0" w:rsidRDefault="00E55A82" w:rsidP="00E55A82">
            <w:pPr>
              <w:pStyle w:val="Table"/>
              <w:jc w:val="center"/>
            </w:pPr>
            <w:r>
              <w:t>20</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Exit Strategy &amp; Skills Transfer</w:t>
            </w:r>
            <w:r>
              <w:br/>
              <w:t>Describe the processes and deliverables of the exit phase of the service and how skills will be retained within the Authority.</w:t>
            </w:r>
          </w:p>
        </w:tc>
        <w:tc>
          <w:tcPr>
            <w:tcW w:w="3623" w:type="dxa"/>
            <w:shd w:val="clear" w:color="auto" w:fill="auto"/>
            <w:vAlign w:val="center"/>
          </w:tcPr>
          <w:p w:rsidR="00F276E0" w:rsidRDefault="00F276E0" w:rsidP="00A81FBF">
            <w:pPr>
              <w:pStyle w:val="Table"/>
            </w:pPr>
            <w:r>
              <w:t>Seeks to ensure that the Tenderer will transfer knowledge back into the Authority and exit the contract in such a way as to facilitate re-procurement and/or project termination</w:t>
            </w:r>
          </w:p>
        </w:tc>
        <w:tc>
          <w:tcPr>
            <w:tcW w:w="4962" w:type="dxa"/>
            <w:shd w:val="clear" w:color="auto" w:fill="auto"/>
            <w:vAlign w:val="center"/>
          </w:tcPr>
          <w:p w:rsidR="00F276E0" w:rsidRDefault="00F276E0" w:rsidP="00A81FBF">
            <w:pPr>
              <w:pStyle w:val="Table"/>
            </w:pPr>
            <w:r>
              <w:t>The Tenderer knowledge transfer arrangements and exit strategy is credible and can achieve the required outputs</w:t>
            </w:r>
          </w:p>
        </w:tc>
        <w:tc>
          <w:tcPr>
            <w:tcW w:w="1086" w:type="dxa"/>
            <w:shd w:val="clear" w:color="auto" w:fill="auto"/>
            <w:vAlign w:val="center"/>
          </w:tcPr>
          <w:p w:rsidR="00F276E0" w:rsidRPr="004468C0" w:rsidRDefault="00CA05F0" w:rsidP="00C62E71">
            <w:pPr>
              <w:pStyle w:val="Table"/>
              <w:jc w:val="center"/>
            </w:pPr>
            <w:r>
              <w:t>5</w:t>
            </w:r>
            <w:r w:rsidR="00F276E0">
              <w:t>%</w:t>
            </w:r>
          </w:p>
        </w:tc>
      </w:tr>
    </w:tbl>
    <w:p w:rsidR="00F276E0" w:rsidRDefault="00F276E0" w:rsidP="00F276E0">
      <w:pPr>
        <w:pStyle w:val="Indented"/>
      </w:pPr>
    </w:p>
    <w:p w:rsidR="00F276E0" w:rsidRDefault="00F276E0" w:rsidP="00F276E0">
      <w:pPr>
        <w:pStyle w:val="Indented"/>
        <w:sectPr w:rsidR="00F276E0" w:rsidSect="00CB053B">
          <w:pgSz w:w="16838" w:h="11906" w:orient="landscape" w:code="9"/>
          <w:pgMar w:top="1134" w:right="1418" w:bottom="1134" w:left="1134" w:header="720" w:footer="720" w:gutter="0"/>
          <w:cols w:space="720"/>
          <w:formProt w:val="0"/>
        </w:sectPr>
      </w:pPr>
    </w:p>
    <w:p w:rsidR="00F276E0" w:rsidRDefault="00F276E0" w:rsidP="004A173F">
      <w:pPr>
        <w:pStyle w:val="SIXH2"/>
      </w:pPr>
      <w:r>
        <w:lastRenderedPageBreak/>
        <w:t>Tenders will be scored using the following scoring model:</w:t>
      </w:r>
    </w:p>
    <w:p w:rsidR="008E3138" w:rsidRPr="004A173F" w:rsidRDefault="008E3138" w:rsidP="00DF2091">
      <w:pPr>
        <w:pStyle w:val="Indented"/>
      </w:pPr>
    </w:p>
    <w:p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240F30">
        <w:rPr>
          <w:noProof/>
        </w:rPr>
        <w:t>3</w:t>
      </w:r>
      <w:r w:rsidRPr="00DF2091">
        <w:fldChar w:fldCharType="end"/>
      </w:r>
      <w:bookmarkEnd w:id="20"/>
      <w:r w:rsidR="008E3138" w:rsidRPr="00DF2091">
        <w:t xml:space="preserve"> : </w:t>
      </w:r>
      <w:r w:rsidR="008E3138" w:rsidRPr="004A173F">
        <w:rPr>
          <w:b w:val="0"/>
          <w:bCs w:val="0"/>
        </w:rPr>
        <w:t>Scoring Scheme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162"/>
        <w:gridCol w:w="4939"/>
      </w:tblGrid>
      <w:tr w:rsidR="00F276E0" w:rsidRPr="00A24900" w:rsidTr="00C62E71">
        <w:trPr>
          <w:cantSplit/>
          <w:trHeight w:val="70"/>
          <w:tblHeader/>
        </w:trPr>
        <w:tc>
          <w:tcPr>
            <w:tcW w:w="1570" w:type="dxa"/>
            <w:shd w:val="clear" w:color="auto" w:fill="FF99CC"/>
            <w:vAlign w:val="center"/>
          </w:tcPr>
          <w:p w:rsidR="00F276E0" w:rsidRPr="00A24900" w:rsidRDefault="00F276E0" w:rsidP="00C62E71">
            <w:pPr>
              <w:pStyle w:val="TableHead"/>
              <w:keepNext/>
            </w:pPr>
            <w:r>
              <w:t>Grade label</w:t>
            </w:r>
          </w:p>
        </w:tc>
        <w:tc>
          <w:tcPr>
            <w:tcW w:w="1162" w:type="dxa"/>
            <w:shd w:val="clear" w:color="auto" w:fill="FF99CC"/>
            <w:vAlign w:val="center"/>
          </w:tcPr>
          <w:p w:rsidR="00F276E0" w:rsidRPr="00A24900" w:rsidRDefault="00F276E0" w:rsidP="00C62E71">
            <w:pPr>
              <w:pStyle w:val="TableHead"/>
              <w:keepNext/>
            </w:pPr>
            <w:r w:rsidRPr="00A24900">
              <w:t>Grade</w:t>
            </w:r>
          </w:p>
        </w:tc>
        <w:tc>
          <w:tcPr>
            <w:tcW w:w="4939" w:type="dxa"/>
            <w:shd w:val="clear" w:color="auto" w:fill="FF99CC"/>
            <w:vAlign w:val="center"/>
          </w:tcPr>
          <w:p w:rsidR="00F276E0" w:rsidRPr="00A24900" w:rsidRDefault="00F276E0" w:rsidP="00C62E71">
            <w:pPr>
              <w:pStyle w:val="TableHead"/>
              <w:keepNext/>
            </w:pPr>
            <w:r w:rsidRPr="00A24900">
              <w:t>Definition of grade</w:t>
            </w:r>
          </w:p>
        </w:tc>
      </w:tr>
      <w:tr w:rsidR="00F276E0" w:rsidRPr="00A24900" w:rsidTr="00C62E71">
        <w:trPr>
          <w:cantSplit/>
          <w:trHeight w:val="860"/>
        </w:trPr>
        <w:tc>
          <w:tcPr>
            <w:tcW w:w="1570" w:type="dxa"/>
            <w:shd w:val="clear" w:color="auto" w:fill="auto"/>
            <w:vAlign w:val="center"/>
          </w:tcPr>
          <w:p w:rsidR="00F276E0" w:rsidRPr="00A24900" w:rsidRDefault="00F276E0" w:rsidP="00C62E71">
            <w:pPr>
              <w:pStyle w:val="Table"/>
              <w:keepNext/>
            </w:pPr>
            <w:r w:rsidRPr="00A24900">
              <w:t>Unacceptable</w:t>
            </w:r>
          </w:p>
        </w:tc>
        <w:tc>
          <w:tcPr>
            <w:tcW w:w="1162" w:type="dxa"/>
            <w:shd w:val="clear" w:color="auto" w:fill="auto"/>
            <w:vAlign w:val="center"/>
          </w:tcPr>
          <w:p w:rsidR="00F276E0" w:rsidRPr="00A24900" w:rsidRDefault="00F276E0" w:rsidP="00C62E71">
            <w:pPr>
              <w:pStyle w:val="Table"/>
              <w:keepNext/>
              <w:jc w:val="center"/>
            </w:pPr>
            <w:r w:rsidRPr="00A24900">
              <w:t>0</w:t>
            </w:r>
          </w:p>
        </w:tc>
        <w:tc>
          <w:tcPr>
            <w:tcW w:w="4939" w:type="dxa"/>
            <w:shd w:val="clear" w:color="auto" w:fill="auto"/>
            <w:vAlign w:val="center"/>
          </w:tcPr>
          <w:p w:rsidR="00F276E0" w:rsidRPr="00A24900" w:rsidRDefault="00F276E0" w:rsidP="00C62E71">
            <w:pPr>
              <w:pStyle w:val="Table"/>
              <w:keepNext/>
            </w:pPr>
            <w:r w:rsidRPr="00A24900">
              <w:t>The response has been omitted, or the Tenderer proposal evidences inadequate (or insufficient) delivery of the requirement</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Weak</w:t>
            </w:r>
          </w:p>
        </w:tc>
        <w:tc>
          <w:tcPr>
            <w:tcW w:w="1162" w:type="dxa"/>
            <w:shd w:val="clear" w:color="auto" w:fill="auto"/>
            <w:vAlign w:val="center"/>
          </w:tcPr>
          <w:p w:rsidR="00F276E0" w:rsidRPr="00A24900" w:rsidRDefault="00F276E0" w:rsidP="00C62E71">
            <w:pPr>
              <w:pStyle w:val="Table"/>
              <w:keepNext/>
              <w:jc w:val="center"/>
            </w:pPr>
            <w:r w:rsidRPr="00A24900">
              <w:t>1</w:t>
            </w:r>
          </w:p>
        </w:tc>
        <w:tc>
          <w:tcPr>
            <w:tcW w:w="4939" w:type="dxa"/>
            <w:shd w:val="clear" w:color="auto" w:fill="auto"/>
            <w:vAlign w:val="center"/>
          </w:tcPr>
          <w:p w:rsidR="00F276E0" w:rsidRPr="00A24900" w:rsidRDefault="00F276E0" w:rsidP="00C62E71">
            <w:pPr>
              <w:pStyle w:val="Table"/>
              <w:keepNext/>
            </w:pPr>
            <w:r w:rsidRPr="00A24900">
              <w:t>The Tenderer proposal has merit, although there is weakness (or inconsistency) as to the full satisfaction of the delivery requirement</w:t>
            </w:r>
          </w:p>
        </w:tc>
      </w:tr>
      <w:tr w:rsidR="00F276E0" w:rsidRPr="00A24900" w:rsidTr="00C62E71">
        <w:trPr>
          <w:cantSplit/>
          <w:trHeight w:val="860"/>
        </w:trPr>
        <w:tc>
          <w:tcPr>
            <w:tcW w:w="1570" w:type="dxa"/>
            <w:shd w:val="clear" w:color="auto" w:fill="auto"/>
            <w:vAlign w:val="center"/>
          </w:tcPr>
          <w:p w:rsidR="00F276E0" w:rsidRPr="00A24900" w:rsidRDefault="00F276E0" w:rsidP="00C62E71">
            <w:pPr>
              <w:pStyle w:val="Table"/>
              <w:keepNext/>
            </w:pPr>
            <w:r w:rsidRPr="00A24900">
              <w:t>Satisfactory</w:t>
            </w:r>
          </w:p>
        </w:tc>
        <w:tc>
          <w:tcPr>
            <w:tcW w:w="1162" w:type="dxa"/>
            <w:shd w:val="clear" w:color="auto" w:fill="auto"/>
            <w:vAlign w:val="center"/>
          </w:tcPr>
          <w:p w:rsidR="00F276E0" w:rsidRPr="00A24900" w:rsidRDefault="00F276E0" w:rsidP="00C62E71">
            <w:pPr>
              <w:pStyle w:val="Table"/>
              <w:keepNext/>
              <w:jc w:val="center"/>
            </w:pPr>
            <w:r w:rsidRPr="00A24900">
              <w:t>2</w:t>
            </w:r>
          </w:p>
        </w:tc>
        <w:tc>
          <w:tcPr>
            <w:tcW w:w="4939" w:type="dxa"/>
            <w:shd w:val="clear" w:color="auto" w:fill="auto"/>
            <w:vAlign w:val="center"/>
          </w:tcPr>
          <w:p w:rsidR="00F276E0" w:rsidRPr="00A24900" w:rsidRDefault="00F276E0" w:rsidP="00C62E71">
            <w:pPr>
              <w:pStyle w:val="Table"/>
              <w:keepNext/>
            </w:pPr>
            <w:r w:rsidRPr="00A24900">
              <w:t>The Tenderer proposal has a suitable level of detail to assure that a satisfactory delivery of the service requirement is likely.</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Good</w:t>
            </w:r>
          </w:p>
        </w:tc>
        <w:tc>
          <w:tcPr>
            <w:tcW w:w="1162" w:type="dxa"/>
            <w:shd w:val="clear" w:color="auto" w:fill="auto"/>
            <w:vAlign w:val="center"/>
          </w:tcPr>
          <w:p w:rsidR="00F276E0" w:rsidRPr="00A24900" w:rsidRDefault="00F276E0" w:rsidP="00C62E71">
            <w:pPr>
              <w:pStyle w:val="Table"/>
              <w:keepNext/>
              <w:jc w:val="center"/>
            </w:pPr>
            <w:r w:rsidRPr="00A24900">
              <w:t>3</w:t>
            </w:r>
          </w:p>
        </w:tc>
        <w:tc>
          <w:tcPr>
            <w:tcW w:w="4939" w:type="dxa"/>
            <w:shd w:val="clear" w:color="auto" w:fill="auto"/>
            <w:vAlign w:val="center"/>
          </w:tcPr>
          <w:p w:rsidR="00F276E0" w:rsidRPr="00A24900" w:rsidRDefault="00F276E0" w:rsidP="00C62E71">
            <w:pPr>
              <w:pStyle w:val="Table"/>
              <w:keepNext/>
            </w:pPr>
            <w:r w:rsidRPr="00A24900">
              <w:t xml:space="preserve">The Tenderer proposal has evidenced a level of understanding that assures there will be desirable value-add within the solution </w:t>
            </w:r>
            <w:r w:rsidRPr="00C62E71">
              <w:rPr>
                <w:b/>
                <w:bCs w:val="0"/>
              </w:rPr>
              <w:t>or</w:t>
            </w:r>
            <w:r w:rsidRPr="00A24900">
              <w:t xml:space="preserve"> superior and desirable (time or quality) delivery outcomes.</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Excellent</w:t>
            </w:r>
          </w:p>
        </w:tc>
        <w:tc>
          <w:tcPr>
            <w:tcW w:w="1162" w:type="dxa"/>
            <w:shd w:val="clear" w:color="auto" w:fill="auto"/>
            <w:vAlign w:val="center"/>
          </w:tcPr>
          <w:p w:rsidR="00F276E0" w:rsidRPr="00A24900" w:rsidRDefault="00F276E0" w:rsidP="00C62E71">
            <w:pPr>
              <w:pStyle w:val="Table"/>
              <w:keepNext/>
              <w:jc w:val="center"/>
            </w:pPr>
            <w:r w:rsidRPr="00A24900">
              <w:t>4</w:t>
            </w:r>
          </w:p>
        </w:tc>
        <w:tc>
          <w:tcPr>
            <w:tcW w:w="4939" w:type="dxa"/>
            <w:shd w:val="clear" w:color="auto" w:fill="auto"/>
            <w:vAlign w:val="center"/>
          </w:tcPr>
          <w:p w:rsidR="00F276E0" w:rsidRPr="00A24900" w:rsidRDefault="00F276E0" w:rsidP="00C62E71">
            <w:pPr>
              <w:pStyle w:val="Table"/>
              <w:keepNext/>
            </w:pPr>
            <w:r w:rsidRPr="00A24900">
              <w:t xml:space="preserve">The Tenderer proposal evidences significant levels of understanding </w:t>
            </w:r>
            <w:r w:rsidRPr="00C62E71">
              <w:rPr>
                <w:b/>
                <w:bCs w:val="0"/>
              </w:rPr>
              <w:t>and</w:t>
            </w:r>
            <w:r w:rsidRPr="00A24900">
              <w:t xml:space="preserve"> offers an </w:t>
            </w:r>
            <w:r w:rsidRPr="00C62E71">
              <w:rPr>
                <w:b/>
                <w:bCs w:val="0"/>
              </w:rPr>
              <w:t>innovative</w:t>
            </w:r>
            <w:r w:rsidRPr="00A24900">
              <w:t xml:space="preserve"> solution that includes desirable value-add to the Authority.</w:t>
            </w:r>
          </w:p>
        </w:tc>
      </w:tr>
      <w:bookmarkEnd w:id="15"/>
    </w:tbl>
    <w:p w:rsidR="00562D99" w:rsidRDefault="00562D99" w:rsidP="00695658">
      <w:pPr>
        <w:pStyle w:val="Indented"/>
      </w:pPr>
    </w:p>
    <w:p w:rsidR="00B162EC" w:rsidRPr="00E77CD6" w:rsidRDefault="00B162EC" w:rsidP="005E6657">
      <w:pPr>
        <w:pStyle w:val="SIXH1"/>
      </w:pPr>
      <w:r w:rsidRPr="00E77CD6">
        <w:t>Price Evaluation</w:t>
      </w:r>
    </w:p>
    <w:p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rsidR="00C93204" w:rsidRDefault="00C93204" w:rsidP="00DF2091">
      <w:pPr>
        <w:pStyle w:val="SIXH2"/>
      </w:pPr>
      <w:r w:rsidRPr="007E7B9C">
        <w:t>EP</w:t>
      </w:r>
      <w:r>
        <w:t xml:space="preserve"> </w:t>
      </w:r>
      <w:r w:rsidRPr="007E7B9C">
        <w:t xml:space="preserve">is calculated as follows: </w:t>
      </w:r>
    </w:p>
    <w:p w:rsidR="00804C80" w:rsidRDefault="00804C80" w:rsidP="004A173F">
      <w:pPr>
        <w:pStyle w:val="StyleBulletedBlue"/>
      </w:pPr>
      <w:r>
        <w:t>Fixed</w:t>
      </w:r>
      <w:r w:rsidR="0076692D">
        <w:t xml:space="preserve"> </w:t>
      </w:r>
      <w:r>
        <w:t>/</w:t>
      </w:r>
      <w:r w:rsidR="0076692D">
        <w:t xml:space="preserve"> </w:t>
      </w:r>
      <w:r>
        <w:t>Firm cost</w:t>
      </w:r>
    </w:p>
    <w:p w:rsidR="00C93204" w:rsidRDefault="00C93204" w:rsidP="00C93204">
      <w:pPr>
        <w:pStyle w:val="Indented"/>
      </w:pPr>
    </w:p>
    <w:p w:rsidR="00C93204" w:rsidRDefault="00C93204" w:rsidP="004A173F">
      <w:pPr>
        <w:pStyle w:val="SIXH2"/>
      </w:pPr>
      <w:r>
        <w:t>Once the EP is calculated, the following steps are taken:</w:t>
      </w:r>
    </w:p>
    <w:p w:rsidR="00C93204" w:rsidRDefault="00C93204" w:rsidP="00C93204">
      <w:pPr>
        <w:pStyle w:val="StyleBulletedBlue"/>
        <w:numPr>
          <w:ilvl w:val="0"/>
          <w:numId w:val="51"/>
        </w:numPr>
        <w:tabs>
          <w:tab w:val="clear" w:pos="2277"/>
          <w:tab w:val="num" w:pos="1701"/>
        </w:tabs>
        <w:ind w:left="1701" w:hanging="567"/>
      </w:pPr>
      <w:r>
        <w:t xml:space="preserve">The average </w:t>
      </w:r>
      <w:r w:rsidRPr="004A173F">
        <w:t>(i.e. the mean) EP across the Tenderers</w:t>
      </w:r>
      <w:r>
        <w:t xml:space="preserve"> ;</w:t>
      </w:r>
    </w:p>
    <w:p w:rsidR="00C93204" w:rsidRDefault="00C93204" w:rsidP="00C93204">
      <w:pPr>
        <w:pStyle w:val="StyleBulletedBlue"/>
        <w:numPr>
          <w:ilvl w:val="0"/>
          <w:numId w:val="51"/>
        </w:numPr>
        <w:tabs>
          <w:tab w:val="clear" w:pos="2277"/>
          <w:tab w:val="num" w:pos="1701"/>
        </w:tabs>
        <w:ind w:left="1701" w:hanging="567"/>
      </w:pPr>
      <w:r>
        <w:t xml:space="preserve">The percentage difference between the Tenderer </w:t>
      </w:r>
      <w:r w:rsidRPr="002E4A91">
        <w:t xml:space="preserve">EP </w:t>
      </w:r>
      <w:r>
        <w:t xml:space="preserve">and the </w:t>
      </w:r>
      <w:r w:rsidR="00920464">
        <w:t>average</w:t>
      </w:r>
      <w:r>
        <w:t xml:space="preserve"> </w:t>
      </w:r>
      <w:r w:rsidRPr="002E4A91">
        <w:t>EP</w:t>
      </w:r>
      <w:r>
        <w:t xml:space="preserve"> is calculated;</w:t>
      </w:r>
    </w:p>
    <w:p w:rsidR="00C93204" w:rsidRDefault="00C93204" w:rsidP="00C93204">
      <w:pPr>
        <w:pStyle w:val="StyleBulletedBlue"/>
        <w:numPr>
          <w:ilvl w:val="0"/>
          <w:numId w:val="51"/>
        </w:numPr>
        <w:tabs>
          <w:tab w:val="clear" w:pos="2277"/>
          <w:tab w:val="num" w:pos="1701"/>
        </w:tabs>
        <w:ind w:left="1701" w:hanging="567"/>
      </w:pPr>
      <w:r>
        <w:t xml:space="preserve">The </w:t>
      </w:r>
      <w:r w:rsidR="002F462F">
        <w:t>average</w:t>
      </w:r>
      <w:r>
        <w:t xml:space="preserve"> </w:t>
      </w:r>
      <w:r w:rsidRPr="002E4A91">
        <w:t>EP</w:t>
      </w:r>
      <w:r>
        <w:t xml:space="preserve"> is assigned an equivalent value of 50-points as a starting point for each Tenderer;</w:t>
      </w:r>
    </w:p>
    <w:p w:rsidR="00C93204" w:rsidRDefault="00C93204" w:rsidP="00C93204">
      <w:pPr>
        <w:pStyle w:val="StyleBulletedBlue"/>
        <w:numPr>
          <w:ilvl w:val="0"/>
          <w:numId w:val="51"/>
        </w:numPr>
        <w:tabs>
          <w:tab w:val="clear" w:pos="2277"/>
          <w:tab w:val="num" w:pos="1701"/>
        </w:tabs>
        <w:ind w:left="1701" w:hanging="567"/>
      </w:pPr>
      <w:r>
        <w:t xml:space="preserve">One point is deducted for each percentage point that a Tenderer’s </w:t>
      </w:r>
      <w:r w:rsidRPr="002E4A91">
        <w:t>EP</w:t>
      </w:r>
      <w:r>
        <w:t xml:space="preserve"> is above the average </w:t>
      </w:r>
      <w:r w:rsidRPr="002E4A91">
        <w:t>EP</w:t>
      </w:r>
      <w:r>
        <w:t>; or</w:t>
      </w:r>
    </w:p>
    <w:p w:rsidR="00C93204" w:rsidRDefault="00C93204" w:rsidP="00C93204">
      <w:pPr>
        <w:pStyle w:val="StyleBulletedBlue"/>
        <w:numPr>
          <w:ilvl w:val="0"/>
          <w:numId w:val="51"/>
        </w:numPr>
        <w:tabs>
          <w:tab w:val="clear" w:pos="2277"/>
          <w:tab w:val="num" w:pos="1701"/>
        </w:tabs>
        <w:ind w:left="1701" w:hanging="567"/>
      </w:pPr>
      <w:r>
        <w:t xml:space="preserve">One point is added for each percentage point that a Tenderer’s </w:t>
      </w:r>
      <w:r w:rsidRPr="002E4A91">
        <w:t>EP</w:t>
      </w:r>
      <w:r>
        <w:t xml:space="preserve"> is below the average </w:t>
      </w:r>
      <w:r w:rsidRPr="002E4A91">
        <w:t>EP</w:t>
      </w:r>
      <w:r>
        <w:t>.</w:t>
      </w:r>
    </w:p>
    <w:p w:rsidR="00C93204" w:rsidRDefault="00C93204" w:rsidP="00C93204">
      <w:pPr>
        <w:pStyle w:val="Indented"/>
      </w:pPr>
    </w:p>
    <w:p w:rsidR="00C93204" w:rsidRDefault="00C93204" w:rsidP="00DF2091">
      <w:pPr>
        <w:pStyle w:val="SIXH2"/>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rsidR="00AE2165" w:rsidRPr="00DF2091" w:rsidRDefault="00C93204" w:rsidP="00DF2091">
      <w:pPr>
        <w:pStyle w:val="SIXH2"/>
      </w:pPr>
      <w:r w:rsidRPr="00DF2091">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240F30" w:rsidRPr="00DF2091">
        <w:t xml:space="preserve">Table </w:t>
      </w:r>
      <w:r w:rsidR="00240F30">
        <w:t>4</w:t>
      </w:r>
      <w:r w:rsidR="00DF2091" w:rsidRPr="00DF2091">
        <w:fldChar w:fldCharType="end"/>
      </w:r>
      <w:r w:rsidR="00DF2091">
        <w:t xml:space="preserve"> </w:t>
      </w:r>
      <w:r w:rsidR="00607B4D" w:rsidRPr="00DF2091">
        <w:t>for details)</w:t>
      </w:r>
      <w:r w:rsidRPr="00DF2091">
        <w:t>.</w:t>
      </w:r>
    </w:p>
    <w:p w:rsidR="00C13A27" w:rsidRDefault="00C13A27" w:rsidP="004A173F">
      <w:pPr>
        <w:pStyle w:val="Indented"/>
      </w:pPr>
    </w:p>
    <w:p w:rsidR="00C13A27" w:rsidRPr="00925860" w:rsidRDefault="00C13A27" w:rsidP="005E6657">
      <w:pPr>
        <w:pStyle w:val="SIXH1"/>
      </w:pPr>
      <w:bookmarkStart w:id="21" w:name="_Ref358883600"/>
      <w:bookmarkStart w:id="22" w:name="Section3_clause6"/>
      <w:r w:rsidRPr="00925860">
        <w:lastRenderedPageBreak/>
        <w:t>Tenderer Clarification Meeting</w:t>
      </w:r>
      <w:bookmarkEnd w:id="21"/>
    </w:p>
    <w:bookmarkEnd w:id="22"/>
    <w:p w:rsidR="00C13A27" w:rsidRDefault="00C13A27" w:rsidP="004A173F">
      <w:pPr>
        <w:pStyle w:val="SIXH2"/>
      </w:pPr>
      <w:r w:rsidRPr="00925860">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two (2) </w:t>
      </w:r>
      <w:r w:rsidR="00FF62F9" w:rsidRPr="00925860">
        <w:t>days’ notice</w:t>
      </w:r>
      <w:r w:rsidRPr="00925860">
        <w:t xml:space="preserve"> if a meeting is to be required.  </w:t>
      </w:r>
      <w:r w:rsidR="00323704">
        <w:t>If</w:t>
      </w:r>
      <w:r>
        <w:t xml:space="preserve"> the Authority decides to hold a clarification meeting the number of Tenderers to be invited will be determined by the Authority in its sole discretion, however, the minimum number of Tenderers to be invited to a clarification meeting shall be two (2).</w:t>
      </w:r>
      <w:r w:rsidRPr="00925860">
        <w:t xml:space="preserve">  </w:t>
      </w:r>
    </w:p>
    <w:p w:rsidR="00C13A27" w:rsidRPr="00925860" w:rsidRDefault="00C13A27" w:rsidP="004A173F">
      <w:pPr>
        <w:pStyle w:val="SIXH2"/>
      </w:pPr>
      <w:r w:rsidRPr="00925860">
        <w:t>Tenderers will be invited to give a presentation on the proposals and must ensure that key personnel attend.  Those key personnel directly involved in performing the contract will be expected to be involved.</w:t>
      </w:r>
    </w:p>
    <w:p w:rsidR="00C13A27" w:rsidRPr="00925860" w:rsidRDefault="00C13A27" w:rsidP="004A173F">
      <w:pPr>
        <w:pStyle w:val="SIXH2"/>
      </w:pPr>
      <w:r w:rsidRPr="00925860">
        <w:t>The purpose of the meeting is to gain a grea</w:t>
      </w:r>
      <w:r w:rsidR="008C11BB">
        <w:t>ter understanding of a proposal</w:t>
      </w:r>
      <w:r w:rsidRPr="00925860">
        <w:t xml:space="preserve"> and will generally take the form of a short presentation (by the Tenderer) followed by a question and answer session.</w:t>
      </w:r>
      <w:r w:rsidR="008C11BB">
        <w:t xml:space="preserve"> </w:t>
      </w:r>
    </w:p>
    <w:p w:rsidR="00C13A27" w:rsidRPr="00925860" w:rsidRDefault="00C13A27" w:rsidP="004A173F">
      <w:pPr>
        <w:pStyle w:val="SIXH2"/>
      </w:pPr>
      <w:r w:rsidRPr="00925860">
        <w:t xml:space="preserve">Tenderers can either accept or decline a request for such a meeting.  However, it is in the interests of the Tenderer to attend and provide additional confidence in its proposals to the Authority.  </w:t>
      </w:r>
    </w:p>
    <w:p w:rsidR="00C13A27" w:rsidRPr="00925860" w:rsidRDefault="00C13A27" w:rsidP="004A173F">
      <w:pPr>
        <w:pStyle w:val="SIXH2"/>
      </w:pPr>
      <w:r w:rsidRPr="00925860">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rsidR="00C13A27" w:rsidRPr="00925860" w:rsidRDefault="00C13A27" w:rsidP="004A173F">
      <w:pPr>
        <w:pStyle w:val="SIXH2"/>
      </w:pPr>
      <w:r w:rsidRPr="00925860">
        <w:t>The Authority has set aside the following dates for accommodating potential Tenderer Clarification Meetings:</w:t>
      </w:r>
    </w:p>
    <w:p w:rsidR="00C93204" w:rsidRPr="00FF62F9" w:rsidRDefault="004D42B7" w:rsidP="00FF62F9">
      <w:pPr>
        <w:pStyle w:val="Indented"/>
        <w:numPr>
          <w:ilvl w:val="0"/>
          <w:numId w:val="59"/>
        </w:numPr>
        <w:rPr>
          <w:b/>
        </w:rPr>
      </w:pPr>
      <w:r w:rsidRPr="00FF62F9">
        <w:rPr>
          <w:b/>
        </w:rPr>
        <w:t>Friday 18</w:t>
      </w:r>
      <w:r w:rsidRPr="00FF62F9">
        <w:rPr>
          <w:b/>
          <w:vertAlign w:val="superscript"/>
        </w:rPr>
        <w:t>th</w:t>
      </w:r>
      <w:r w:rsidR="00FF62F9" w:rsidRPr="00FF62F9">
        <w:rPr>
          <w:b/>
        </w:rPr>
        <w:t xml:space="preserve"> December </w:t>
      </w:r>
      <w:r w:rsidRPr="00FF62F9">
        <w:rPr>
          <w:b/>
        </w:rPr>
        <w:t>and Monday 21</w:t>
      </w:r>
      <w:r w:rsidRPr="00FF62F9">
        <w:rPr>
          <w:b/>
          <w:vertAlign w:val="superscript"/>
        </w:rPr>
        <w:t>st</w:t>
      </w:r>
      <w:r w:rsidRPr="00FF62F9">
        <w:rPr>
          <w:b/>
        </w:rPr>
        <w:t xml:space="preserve"> December 2015</w:t>
      </w:r>
    </w:p>
    <w:p w:rsidR="00F748EC" w:rsidRDefault="00F748EC" w:rsidP="005E6657">
      <w:pPr>
        <w:pStyle w:val="SIXH1"/>
      </w:pPr>
      <w:r>
        <w:t>Consolidated View</w:t>
      </w:r>
    </w:p>
    <w:p w:rsidR="00516803" w:rsidRDefault="0076692D" w:rsidP="004A173F">
      <w:pPr>
        <w:pStyle w:val="SIXH2"/>
      </w:pPr>
      <w:r>
        <w:t>As previously stated, t</w:t>
      </w:r>
      <w:r w:rsidR="00516803">
        <w:t>enders will be evaluated by both technical criteria and price.  To ensure the relative importance of both categories are reflected correctly in the overall score, a weighting system has been applied to each part.</w:t>
      </w:r>
    </w:p>
    <w:p w:rsidR="00DF2091" w:rsidRDefault="00FF62F9" w:rsidP="004A173F">
      <w:pPr>
        <w:pStyle w:val="SIXH2"/>
      </w:pPr>
      <w:r>
        <w:t xml:space="preserve">The technical evaluation </w:t>
      </w:r>
      <w:r w:rsidRPr="00FF62F9">
        <w:t xml:space="preserve">forms </w:t>
      </w:r>
      <w:r w:rsidR="00747049" w:rsidRPr="00FF62F9">
        <w:t>80</w:t>
      </w:r>
      <w:r w:rsidR="00516803" w:rsidRPr="00FF62F9">
        <w:t>%,</w:t>
      </w:r>
      <w:r w:rsidR="00516803">
        <w:t xml:space="preserve"> whilst the </w:t>
      </w:r>
      <w:r w:rsidR="00607B4D">
        <w:t>p</w:t>
      </w:r>
      <w:r w:rsidR="00516803">
        <w:t xml:space="preserve">rice </w:t>
      </w:r>
      <w:r w:rsidR="00607B4D">
        <w:t>e</w:t>
      </w:r>
      <w:r>
        <w:t xml:space="preserve">valuation forms </w:t>
      </w:r>
      <w:r w:rsidR="00747049" w:rsidRPr="00FF62F9">
        <w:t>20</w:t>
      </w:r>
      <w:r w:rsidR="00516803" w:rsidRPr="00FF62F9">
        <w:t>%</w:t>
      </w:r>
      <w:r w:rsidR="00516803">
        <w:t xml:space="preserve"> of the final score.  </w:t>
      </w:r>
    </w:p>
    <w:p w:rsidR="00AE2165" w:rsidRDefault="00516803" w:rsidP="004A173F">
      <w:pPr>
        <w:pStyle w:val="SIXH2"/>
      </w:pPr>
      <w:r>
        <w:t xml:space="preserve">For example, an overall technical score of </w:t>
      </w:r>
      <w:r w:rsidR="00A97AEA">
        <w:t>6</w:t>
      </w:r>
      <w:r>
        <w:t xml:space="preserve">0% </w:t>
      </w:r>
      <w:r w:rsidR="002C08FF">
        <w:t xml:space="preserve">of the available maximum </w:t>
      </w:r>
      <w:r>
        <w:t xml:space="preserve">and a price score of 50 </w:t>
      </w:r>
      <w:r w:rsidR="002C08FF">
        <w:t xml:space="preserve">(equating to the mean </w:t>
      </w:r>
      <w:r w:rsidR="00A97AEA">
        <w:t>Evaluation Price</w:t>
      </w:r>
      <w:r w:rsidR="002C08FF">
        <w:t xml:space="preserve">) </w:t>
      </w:r>
      <w:r w:rsidR="00AE2165">
        <w:t>would equate to the following:</w:t>
      </w:r>
    </w:p>
    <w:p w:rsidR="00DF2091" w:rsidRPr="00D4581F" w:rsidRDefault="00DF2091" w:rsidP="004A173F">
      <w:pPr>
        <w:pStyle w:val="Indented"/>
      </w:pPr>
    </w:p>
    <w:p w:rsidR="00AE2165" w:rsidRPr="00DF2091" w:rsidRDefault="00D4581F" w:rsidP="004A173F">
      <w:pPr>
        <w:pStyle w:val="CaptionBold"/>
        <w:keepNext/>
      </w:pPr>
      <w:bookmarkStart w:id="23" w:name="_Ref342916790"/>
      <w:bookmarkStart w:id="24" w:name="_Hlk342911880"/>
      <w:r w:rsidRPr="00DF2091">
        <w:t xml:space="preserve">Table </w:t>
      </w:r>
      <w:r w:rsidRPr="00DF2091">
        <w:fldChar w:fldCharType="begin"/>
      </w:r>
      <w:r w:rsidRPr="004A173F">
        <w:instrText xml:space="preserve"> SEQ Table \* ARABIC </w:instrText>
      </w:r>
      <w:r w:rsidRPr="00DF2091">
        <w:fldChar w:fldCharType="separate"/>
      </w:r>
      <w:r w:rsidR="00240F30">
        <w:rPr>
          <w:noProof/>
        </w:rPr>
        <w:t>4</w:t>
      </w:r>
      <w:r w:rsidRPr="00DF2091">
        <w:fldChar w:fldCharType="end"/>
      </w:r>
      <w:bookmarkEnd w:id="23"/>
      <w:bookmarkEnd w:id="24"/>
      <w:r w:rsidR="005213F3" w:rsidRPr="00DF2091">
        <w:t xml:space="preserve">: </w:t>
      </w:r>
      <w:r w:rsidR="008F571E" w:rsidRPr="004A173F">
        <w:rPr>
          <w:b w:val="0"/>
          <w:bCs w:val="0"/>
        </w:rPr>
        <w:t>Consolidat</w:t>
      </w:r>
      <w:r w:rsidR="002C08FF">
        <w:rPr>
          <w:b w:val="0"/>
          <w:bCs w:val="0"/>
        </w:rPr>
        <w:t>ion</w:t>
      </w:r>
      <w:r w:rsidR="008F571E" w:rsidRPr="004A173F">
        <w:rPr>
          <w:b w:val="0"/>
          <w:bCs w:val="0"/>
        </w:rPr>
        <w:t xml:space="preserve"> Calculation</w:t>
      </w: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3"/>
        <w:gridCol w:w="2844"/>
      </w:tblGrid>
      <w:tr w:rsidR="004976FD" w:rsidRPr="00A24900" w:rsidTr="00C62E71">
        <w:trPr>
          <w:cantSplit/>
          <w:trHeight w:val="70"/>
          <w:tblHeader/>
          <w:jc w:val="center"/>
        </w:trPr>
        <w:tc>
          <w:tcPr>
            <w:tcW w:w="3783" w:type="dxa"/>
            <w:shd w:val="clear" w:color="auto" w:fill="FF99CC"/>
            <w:vAlign w:val="center"/>
          </w:tcPr>
          <w:p w:rsidR="004976FD" w:rsidRPr="00A24900" w:rsidRDefault="004976FD" w:rsidP="00C62E71">
            <w:pPr>
              <w:pStyle w:val="TableHead"/>
              <w:keepNext/>
            </w:pPr>
            <w:r>
              <w:t>Evaluation Area</w:t>
            </w:r>
          </w:p>
        </w:tc>
        <w:tc>
          <w:tcPr>
            <w:tcW w:w="2844" w:type="dxa"/>
            <w:shd w:val="clear" w:color="auto" w:fill="FF99CC"/>
            <w:vAlign w:val="center"/>
          </w:tcPr>
          <w:p w:rsidR="004976FD" w:rsidRPr="00A24900" w:rsidRDefault="004976FD" w:rsidP="00C62E71">
            <w:pPr>
              <w:pStyle w:val="TableHead"/>
              <w:keepNext/>
            </w:pPr>
            <w:r>
              <w:t>Calculation</w:t>
            </w:r>
          </w:p>
        </w:tc>
      </w:tr>
      <w:tr w:rsidR="002C08FF" w:rsidTr="00C62E71">
        <w:trPr>
          <w:jc w:val="center"/>
        </w:trPr>
        <w:tc>
          <w:tcPr>
            <w:tcW w:w="3783" w:type="dxa"/>
            <w:shd w:val="clear" w:color="auto" w:fill="auto"/>
            <w:vAlign w:val="center"/>
          </w:tcPr>
          <w:p w:rsidR="002C08FF" w:rsidRDefault="002C08FF" w:rsidP="004A173F">
            <w:pPr>
              <w:pStyle w:val="Table"/>
            </w:pPr>
            <w:r w:rsidRPr="004A173F">
              <w:t>Technical</w:t>
            </w:r>
            <w:r>
              <w:t xml:space="preserve"> score</w:t>
            </w:r>
          </w:p>
          <w:p w:rsidR="002C08FF" w:rsidRPr="004A173F" w:rsidRDefault="002C08FF" w:rsidP="004A173F">
            <w:pPr>
              <w:pStyle w:val="Table"/>
            </w:pPr>
            <w:r>
              <w:t>(As percentage of maximum)</w:t>
            </w:r>
          </w:p>
        </w:tc>
        <w:tc>
          <w:tcPr>
            <w:tcW w:w="2844" w:type="dxa"/>
            <w:shd w:val="clear" w:color="auto" w:fill="auto"/>
            <w:vAlign w:val="center"/>
          </w:tcPr>
          <w:p w:rsidR="002C08FF" w:rsidRPr="00C62E71" w:rsidRDefault="00A97AEA" w:rsidP="00EE4702">
            <w:pPr>
              <w:pStyle w:val="Table"/>
              <w:jc w:val="right"/>
              <w:rPr>
                <w:sz w:val="28"/>
              </w:rPr>
            </w:pPr>
            <w:r w:rsidRPr="00C62E71">
              <w:rPr>
                <w:sz w:val="28"/>
              </w:rPr>
              <w:t>6</w:t>
            </w:r>
            <w:r w:rsidR="002C08FF" w:rsidRPr="00C62E71">
              <w:rPr>
                <w:sz w:val="28"/>
              </w:rPr>
              <w:t xml:space="preserve">0 x </w:t>
            </w:r>
            <w:r w:rsidR="00EE4702">
              <w:rPr>
                <w:sz w:val="28"/>
              </w:rPr>
              <w:t>80</w:t>
            </w:r>
            <w:r w:rsidRPr="00C62E71">
              <w:rPr>
                <w:sz w:val="28"/>
              </w:rPr>
              <w:t>%</w:t>
            </w:r>
            <w:r w:rsidR="002C08FF" w:rsidRPr="00C62E71">
              <w:rPr>
                <w:sz w:val="28"/>
              </w:rPr>
              <w:t xml:space="preserve"> = </w:t>
            </w:r>
            <w:r w:rsidR="00EE4702" w:rsidRPr="00C62E71">
              <w:rPr>
                <w:sz w:val="28"/>
              </w:rPr>
              <w:t>4</w:t>
            </w:r>
            <w:r w:rsidR="00EE4702">
              <w:rPr>
                <w:sz w:val="28"/>
              </w:rPr>
              <w:t>8</w:t>
            </w:r>
          </w:p>
        </w:tc>
      </w:tr>
      <w:tr w:rsidR="002C08FF" w:rsidTr="00C62E71">
        <w:trPr>
          <w:jc w:val="center"/>
        </w:trPr>
        <w:tc>
          <w:tcPr>
            <w:tcW w:w="3783" w:type="dxa"/>
            <w:tcBorders>
              <w:bottom w:val="single" w:sz="4" w:space="0" w:color="auto"/>
            </w:tcBorders>
            <w:shd w:val="clear" w:color="auto" w:fill="auto"/>
            <w:vAlign w:val="center"/>
          </w:tcPr>
          <w:p w:rsidR="002C08FF" w:rsidRDefault="002C08FF" w:rsidP="004A173F">
            <w:pPr>
              <w:pStyle w:val="Table"/>
            </w:pPr>
            <w:r w:rsidRPr="004A173F">
              <w:t>Price</w:t>
            </w:r>
            <w:r w:rsidR="00A97AEA">
              <w:t xml:space="preserve"> score</w:t>
            </w:r>
          </w:p>
          <w:p w:rsidR="002C08FF" w:rsidRPr="004A173F" w:rsidRDefault="002C08FF" w:rsidP="004A173F">
            <w:pPr>
              <w:pStyle w:val="Table"/>
            </w:pPr>
            <w:r>
              <w:t xml:space="preserve">(As </w:t>
            </w:r>
            <w:r w:rsidR="005E6657">
              <w:t xml:space="preserve">percentage </w:t>
            </w:r>
            <w:r>
              <w:t>difference from mean)</w:t>
            </w:r>
          </w:p>
        </w:tc>
        <w:tc>
          <w:tcPr>
            <w:tcW w:w="2844" w:type="dxa"/>
            <w:tcBorders>
              <w:bottom w:val="single" w:sz="4" w:space="0" w:color="auto"/>
            </w:tcBorders>
            <w:shd w:val="clear" w:color="auto" w:fill="auto"/>
            <w:vAlign w:val="center"/>
          </w:tcPr>
          <w:p w:rsidR="002C08FF" w:rsidRPr="00C62E71" w:rsidRDefault="002C08FF" w:rsidP="00EE4702">
            <w:pPr>
              <w:pStyle w:val="Table"/>
              <w:jc w:val="right"/>
              <w:rPr>
                <w:sz w:val="28"/>
              </w:rPr>
            </w:pPr>
            <w:r w:rsidRPr="00C62E71">
              <w:rPr>
                <w:sz w:val="28"/>
              </w:rPr>
              <w:t xml:space="preserve">50 x </w:t>
            </w:r>
            <w:r w:rsidR="00EE4702">
              <w:rPr>
                <w:sz w:val="28"/>
              </w:rPr>
              <w:t>20</w:t>
            </w:r>
            <w:r w:rsidR="00A97AEA" w:rsidRPr="00C62E71">
              <w:rPr>
                <w:sz w:val="28"/>
              </w:rPr>
              <w:t>%</w:t>
            </w:r>
            <w:r w:rsidRPr="00C62E71">
              <w:rPr>
                <w:sz w:val="28"/>
              </w:rPr>
              <w:t xml:space="preserve"> = </w:t>
            </w:r>
            <w:r w:rsidR="00EE4702" w:rsidRPr="00C62E71">
              <w:rPr>
                <w:sz w:val="28"/>
              </w:rPr>
              <w:t>1</w:t>
            </w:r>
            <w:r w:rsidR="00EE4702">
              <w:rPr>
                <w:sz w:val="28"/>
              </w:rPr>
              <w:t>0</w:t>
            </w:r>
          </w:p>
        </w:tc>
      </w:tr>
      <w:tr w:rsidR="002C08FF" w:rsidTr="00C62E71">
        <w:trPr>
          <w:jc w:val="center"/>
        </w:trPr>
        <w:tc>
          <w:tcPr>
            <w:tcW w:w="3783" w:type="dxa"/>
            <w:tcBorders>
              <w:right w:val="single" w:sz="4" w:space="0" w:color="auto"/>
            </w:tcBorders>
            <w:shd w:val="clear" w:color="auto" w:fill="auto"/>
            <w:vAlign w:val="center"/>
          </w:tcPr>
          <w:p w:rsidR="002C08FF" w:rsidRPr="00C62E71" w:rsidRDefault="0001734D" w:rsidP="004A173F">
            <w:pPr>
              <w:pStyle w:val="Table"/>
              <w:rPr>
                <w:sz w:val="22"/>
                <w:szCs w:val="22"/>
              </w:rPr>
            </w:pPr>
            <w:r w:rsidRPr="00C62E71">
              <w:rPr>
                <w:b/>
                <w:sz w:val="22"/>
                <w:szCs w:val="22"/>
              </w:rPr>
              <w:t xml:space="preserve">Consolidated </w:t>
            </w:r>
            <w:r w:rsidR="002C08FF" w:rsidRPr="00C62E71">
              <w:rPr>
                <w:b/>
                <w:sz w:val="22"/>
                <w:szCs w:val="22"/>
              </w:rPr>
              <w:t>Score</w:t>
            </w:r>
          </w:p>
        </w:tc>
        <w:tc>
          <w:tcPr>
            <w:tcW w:w="2844" w:type="dxa"/>
            <w:tcBorders>
              <w:left w:val="single" w:sz="4" w:space="0" w:color="auto"/>
            </w:tcBorders>
            <w:shd w:val="clear" w:color="auto" w:fill="auto"/>
          </w:tcPr>
          <w:p w:rsidR="002C08FF" w:rsidRPr="00C62E71" w:rsidRDefault="00A97AEA" w:rsidP="00EE4702">
            <w:pPr>
              <w:pStyle w:val="Table"/>
              <w:jc w:val="right"/>
              <w:rPr>
                <w:sz w:val="28"/>
              </w:rPr>
            </w:pPr>
            <w:r w:rsidRPr="00C62E71">
              <w:rPr>
                <w:sz w:val="28"/>
              </w:rPr>
              <w:t xml:space="preserve">= </w:t>
            </w:r>
            <w:r w:rsidR="00EE4702" w:rsidRPr="00C62E71">
              <w:rPr>
                <w:sz w:val="28"/>
              </w:rPr>
              <w:t>5</w:t>
            </w:r>
            <w:r w:rsidR="00EE4702">
              <w:rPr>
                <w:sz w:val="28"/>
              </w:rPr>
              <w:t>8</w:t>
            </w:r>
          </w:p>
        </w:tc>
      </w:tr>
    </w:tbl>
    <w:p w:rsidR="00AE2165" w:rsidRDefault="00AE2165" w:rsidP="00D4581F">
      <w:pPr>
        <w:pStyle w:val="Indented"/>
      </w:pPr>
    </w:p>
    <w:bookmarkEnd w:id="12"/>
    <w:p w:rsidR="009D0005" w:rsidRPr="00E77CD6" w:rsidRDefault="009D0005" w:rsidP="005E6657">
      <w:pPr>
        <w:pStyle w:val="SIXH1"/>
      </w:pPr>
      <w:r w:rsidRPr="00E77CD6">
        <w:t>Contract Award</w:t>
      </w:r>
    </w:p>
    <w:p w:rsidR="00062664" w:rsidRDefault="00062664" w:rsidP="004A173F">
      <w:pPr>
        <w:pStyle w:val="SIXH2"/>
      </w:pPr>
      <w:r w:rsidRPr="00A24900">
        <w:t xml:space="preserve">The Contract Award decision is based solely </w:t>
      </w:r>
      <w:r>
        <w:t>up</w:t>
      </w:r>
      <w:r w:rsidRPr="00A24900">
        <w:t>on the Tenderer</w:t>
      </w:r>
      <w:r>
        <w:t>’s</w:t>
      </w:r>
      <w:r w:rsidRPr="00A24900">
        <w:t xml:space="preserve"> proposal and price offering.</w:t>
      </w:r>
    </w:p>
    <w:p w:rsidR="003A69CC" w:rsidRDefault="009D0005" w:rsidP="00DF2091">
      <w:pPr>
        <w:pStyle w:val="SIXH2"/>
      </w:pPr>
      <w:r w:rsidRPr="00A24900">
        <w:lastRenderedPageBreak/>
        <w:t xml:space="preserve">The Contract will be awarded based on the offer that is the most economically advantageous to the Authority.  This is defined as the </w:t>
      </w:r>
      <w:r w:rsidR="003A69CC">
        <w:t xml:space="preserve">highest </w:t>
      </w:r>
      <w:r w:rsidR="005E6657">
        <w:t>consolidated</w:t>
      </w:r>
      <w:r w:rsidR="003A69CC">
        <w:t xml:space="preserve"> score </w:t>
      </w:r>
      <w:r w:rsidRPr="00A24900">
        <w:t xml:space="preserve">as detailed above.  </w:t>
      </w:r>
    </w:p>
    <w:p w:rsidR="00AA18AB" w:rsidRPr="00A24900" w:rsidRDefault="00AA18AB" w:rsidP="00AA18AB">
      <w:pPr>
        <w:pStyle w:val="Indented"/>
        <w:rPr>
          <w:highlight w:val="yellow"/>
        </w:rPr>
      </w:pPr>
    </w:p>
    <w:sectPr w:rsidR="00AA18AB" w:rsidRPr="00A24900" w:rsidSect="004468C0">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B8" w:rsidRDefault="004677B8">
      <w:r>
        <w:separator/>
      </w:r>
    </w:p>
    <w:p w:rsidR="004677B8" w:rsidRDefault="004677B8"/>
  </w:endnote>
  <w:endnote w:type="continuationSeparator" w:id="0">
    <w:p w:rsidR="004677B8" w:rsidRDefault="004677B8">
      <w:r>
        <w:continuationSeparator/>
      </w:r>
    </w:p>
    <w:p w:rsidR="004677B8" w:rsidRDefault="00467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Default="004677B8">
    <w:pPr>
      <w:framePr w:wrap="around" w:vAnchor="text" w:hAnchor="margin" w:xAlign="right" w:y="1"/>
    </w:pPr>
    <w:r>
      <w:fldChar w:fldCharType="begin"/>
    </w:r>
    <w:r>
      <w:instrText xml:space="preserve">PAGE  </w:instrText>
    </w:r>
    <w:r>
      <w:fldChar w:fldCharType="separate"/>
    </w:r>
    <w:r>
      <w:rPr>
        <w:noProof/>
      </w:rPr>
      <w:t>14</w:t>
    </w:r>
    <w:r>
      <w:fldChar w:fldCharType="end"/>
    </w:r>
  </w:p>
  <w:p w:rsidR="004677B8" w:rsidRDefault="004677B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F9" w:rsidRPr="00FF62F9" w:rsidRDefault="00FF62F9" w:rsidP="00FF62F9">
    <w:pPr>
      <w:pStyle w:val="Footer"/>
      <w:tabs>
        <w:tab w:val="clear" w:pos="8306"/>
        <w:tab w:val="right" w:pos="9072"/>
      </w:tabs>
      <w:rPr>
        <w:rFonts w:ascii="Arial Narrow" w:hAnsi="Arial Narrow"/>
        <w:noProof/>
        <w:color w:val="808080"/>
        <w:sz w:val="18"/>
        <w:szCs w:val="18"/>
      </w:rPr>
    </w:pPr>
    <w:r w:rsidRPr="00FF62F9">
      <w:rPr>
        <w:rFonts w:ascii="Arial Narrow" w:hAnsi="Arial Narrow"/>
        <w:noProof/>
        <w:color w:val="808080"/>
        <w:sz w:val="18"/>
        <w:szCs w:val="18"/>
      </w:rPr>
      <w:t>M</w:t>
    </w:r>
    <w:r>
      <w:rPr>
        <w:rFonts w:ascii="Arial Narrow" w:hAnsi="Arial Narrow"/>
        <w:noProof/>
        <w:color w:val="808080"/>
        <w:sz w:val="18"/>
        <w:szCs w:val="18"/>
      </w:rPr>
      <w:t>arket Shaping Review ITT Part A</w:t>
    </w:r>
  </w:p>
  <w:p w:rsidR="004677B8" w:rsidRPr="0055446D" w:rsidRDefault="004677B8" w:rsidP="0055446D">
    <w:pPr>
      <w:pStyle w:val="Footer"/>
      <w:tabs>
        <w:tab w:val="clear" w:pos="8306"/>
        <w:tab w:val="right" w:pos="9072"/>
      </w:tabs>
      <w:rPr>
        <w:rFonts w:ascii="Arial Narrow" w:hAnsi="Arial Narrow"/>
        <w:color w:val="808080"/>
        <w:sz w:val="18"/>
        <w:szCs w:val="18"/>
      </w:rPr>
    </w:pPr>
    <w:r w:rsidRPr="0055446D">
      <w:rPr>
        <w:rFonts w:ascii="Arial Narrow" w:hAnsi="Arial Narrow"/>
        <w:color w:val="808080"/>
        <w:sz w:val="18"/>
        <w:szCs w:val="18"/>
      </w:rPr>
      <w:tab/>
    </w:r>
    <w:r w:rsidRPr="0055446D">
      <w:rPr>
        <w:rFonts w:ascii="Arial Narrow" w:hAnsi="Arial Narrow"/>
        <w:color w:val="808080"/>
        <w:sz w:val="18"/>
        <w:szCs w:val="18"/>
      </w:rPr>
      <w:tab/>
      <w:t xml:space="preserve">Page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PAGE </w:instrText>
    </w:r>
    <w:r w:rsidRPr="0055446D">
      <w:rPr>
        <w:rStyle w:val="PageNumber"/>
        <w:rFonts w:ascii="Arial Narrow" w:hAnsi="Arial Narrow"/>
        <w:color w:val="808080"/>
        <w:sz w:val="18"/>
        <w:szCs w:val="18"/>
      </w:rPr>
      <w:fldChar w:fldCharType="separate"/>
    </w:r>
    <w:r w:rsidR="00EF48A2">
      <w:rPr>
        <w:rStyle w:val="PageNumber"/>
        <w:rFonts w:ascii="Arial Narrow" w:hAnsi="Arial Narrow"/>
        <w:noProof/>
        <w:color w:val="808080"/>
        <w:sz w:val="18"/>
        <w:szCs w:val="18"/>
      </w:rPr>
      <w:t>15</w:t>
    </w:r>
    <w:r w:rsidRPr="0055446D">
      <w:rPr>
        <w:rStyle w:val="PageNumber"/>
        <w:rFonts w:ascii="Arial Narrow" w:hAnsi="Arial Narrow"/>
        <w:color w:val="808080"/>
        <w:sz w:val="18"/>
        <w:szCs w:val="18"/>
      </w:rPr>
      <w:fldChar w:fldCharType="end"/>
    </w:r>
    <w:r w:rsidRPr="0055446D">
      <w:rPr>
        <w:rStyle w:val="PageNumber"/>
        <w:rFonts w:ascii="Arial Narrow" w:hAnsi="Arial Narrow"/>
        <w:color w:val="808080"/>
        <w:sz w:val="18"/>
        <w:szCs w:val="18"/>
      </w:rPr>
      <w:t xml:space="preserve"> of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NUMPAGES </w:instrText>
    </w:r>
    <w:r w:rsidRPr="0055446D">
      <w:rPr>
        <w:rStyle w:val="PageNumber"/>
        <w:rFonts w:ascii="Arial Narrow" w:hAnsi="Arial Narrow"/>
        <w:color w:val="808080"/>
        <w:sz w:val="18"/>
        <w:szCs w:val="18"/>
      </w:rPr>
      <w:fldChar w:fldCharType="separate"/>
    </w:r>
    <w:r w:rsidR="00EF48A2">
      <w:rPr>
        <w:rStyle w:val="PageNumber"/>
        <w:rFonts w:ascii="Arial Narrow" w:hAnsi="Arial Narrow"/>
        <w:noProof/>
        <w:color w:val="808080"/>
        <w:sz w:val="18"/>
        <w:szCs w:val="18"/>
      </w:rPr>
      <w:t>15</w:t>
    </w:r>
    <w:r w:rsidRPr="0055446D">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Pr="00B43C82" w:rsidRDefault="004677B8"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4</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B8" w:rsidRDefault="004677B8">
      <w:r>
        <w:separator/>
      </w:r>
    </w:p>
    <w:p w:rsidR="004677B8" w:rsidRDefault="004677B8"/>
  </w:footnote>
  <w:footnote w:type="continuationSeparator" w:id="0">
    <w:p w:rsidR="004677B8" w:rsidRDefault="004677B8">
      <w:r>
        <w:continuationSeparator/>
      </w:r>
    </w:p>
    <w:p w:rsidR="004677B8" w:rsidRDefault="004677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Pr="00795A45" w:rsidRDefault="004677B8" w:rsidP="00795A45">
    <w:pPr>
      <w:pStyle w:val="Header"/>
      <w:jc w:val="right"/>
    </w:pPr>
    <w:r w:rsidRPr="005A766D">
      <w:rPr>
        <w:color w:val="C0C0C0"/>
      </w:rPr>
      <w:t xml:space="preserve">DH </w:t>
    </w:r>
    <w:r>
      <w:rPr>
        <w:color w:val="C0C0C0"/>
      </w:rPr>
      <w:t>Formal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Default="004677B8" w:rsidP="004A173F">
    <w:r>
      <w:rPr>
        <w:noProof/>
        <w:lang w:eastAsia="en-GB"/>
      </w:rPr>
      <w:drawing>
        <wp:inline distT="0" distB="0" distL="0" distR="0" wp14:anchorId="07D5C100" wp14:editId="2E59C6A9">
          <wp:extent cx="3467100" cy="2228850"/>
          <wp:effectExtent l="0" t="0" r="0" b="0"/>
          <wp:docPr id="3"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Pr="005A766D" w:rsidRDefault="004677B8"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89642B2"/>
    <w:multiLevelType w:val="hybridMultilevel"/>
    <w:tmpl w:val="BB205292"/>
    <w:lvl w:ilvl="0" w:tplc="FA5E9F2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2">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6">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EFD7AE2"/>
    <w:multiLevelType w:val="hybridMultilevel"/>
    <w:tmpl w:val="10C6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8">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9">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1">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2">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4DE53E8"/>
    <w:multiLevelType w:val="hybridMultilevel"/>
    <w:tmpl w:val="1952AD92"/>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5">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6">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9">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2">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3">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4">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7C337B96"/>
    <w:multiLevelType w:val="hybridMultilevel"/>
    <w:tmpl w:val="0A3284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7">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34"/>
  </w:num>
  <w:num w:numId="3">
    <w:abstractNumId w:val="31"/>
  </w:num>
  <w:num w:numId="4">
    <w:abstractNumId w:val="17"/>
  </w:num>
  <w:num w:numId="5">
    <w:abstractNumId w:val="14"/>
  </w:num>
  <w:num w:numId="6">
    <w:abstractNumId w:val="27"/>
  </w:num>
  <w:num w:numId="7">
    <w:abstractNumId w:val="37"/>
  </w:num>
  <w:num w:numId="8">
    <w:abstractNumId w:val="18"/>
  </w:num>
  <w:num w:numId="9">
    <w:abstractNumId w:val="2"/>
  </w:num>
  <w:num w:numId="10">
    <w:abstractNumId w:val="46"/>
  </w:num>
  <w:num w:numId="11">
    <w:abstractNumId w:val="47"/>
  </w:num>
  <w:num w:numId="12">
    <w:abstractNumId w:val="41"/>
  </w:num>
  <w:num w:numId="13">
    <w:abstractNumId w:val="9"/>
  </w:num>
  <w:num w:numId="14">
    <w:abstractNumId w:val="30"/>
  </w:num>
  <w:num w:numId="15">
    <w:abstractNumId w:val="12"/>
  </w:num>
  <w:num w:numId="16">
    <w:abstractNumId w:val="23"/>
  </w:num>
  <w:num w:numId="17">
    <w:abstractNumId w:val="39"/>
  </w:num>
  <w:num w:numId="18">
    <w:abstractNumId w:val="35"/>
  </w:num>
  <w:num w:numId="19">
    <w:abstractNumId w:val="16"/>
  </w:num>
  <w:num w:numId="20">
    <w:abstractNumId w:val="33"/>
  </w:num>
  <w:num w:numId="21">
    <w:abstractNumId w:val="15"/>
  </w:num>
  <w:num w:numId="22">
    <w:abstractNumId w:val="28"/>
  </w:num>
  <w:num w:numId="23">
    <w:abstractNumId w:val="1"/>
  </w:num>
  <w:num w:numId="24">
    <w:abstractNumId w:val="40"/>
  </w:num>
  <w:num w:numId="25">
    <w:abstractNumId w:val="32"/>
  </w:num>
  <w:num w:numId="26">
    <w:abstractNumId w:val="10"/>
  </w:num>
  <w:num w:numId="27">
    <w:abstractNumId w:val="24"/>
  </w:num>
  <w:num w:numId="28">
    <w:abstractNumId w:val="29"/>
  </w:num>
  <w:num w:numId="29">
    <w:abstractNumId w:val="26"/>
  </w:num>
  <w:num w:numId="30">
    <w:abstractNumId w:val="7"/>
  </w:num>
  <w:num w:numId="31">
    <w:abstractNumId w:val="3"/>
  </w:num>
  <w:num w:numId="32">
    <w:abstractNumId w:val="21"/>
  </w:num>
  <w:num w:numId="33">
    <w:abstractNumId w:val="38"/>
  </w:num>
  <w:num w:numId="34">
    <w:abstractNumId w:val="44"/>
  </w:num>
  <w:num w:numId="35">
    <w:abstractNumId w:val="25"/>
  </w:num>
  <w:num w:numId="36">
    <w:abstractNumId w:val="4"/>
  </w:num>
  <w:num w:numId="37">
    <w:abstractNumId w:val="11"/>
  </w:num>
  <w:num w:numId="38">
    <w:abstractNumId w:val="9"/>
  </w:num>
  <w:num w:numId="39">
    <w:abstractNumId w:val="5"/>
  </w:num>
  <w:num w:numId="40">
    <w:abstractNumId w:val="9"/>
  </w:num>
  <w:num w:numId="41">
    <w:abstractNumId w:val="9"/>
  </w:num>
  <w:num w:numId="42">
    <w:abstractNumId w:val="9"/>
  </w:num>
  <w:num w:numId="43">
    <w:abstractNumId w:val="9"/>
  </w:num>
  <w:num w:numId="44">
    <w:abstractNumId w:val="9"/>
  </w:num>
  <w:num w:numId="45">
    <w:abstractNumId w:val="29"/>
  </w:num>
  <w:num w:numId="46">
    <w:abstractNumId w:val="29"/>
  </w:num>
  <w:num w:numId="47">
    <w:abstractNumId w:val="0"/>
  </w:num>
  <w:num w:numId="48">
    <w:abstractNumId w:val="9"/>
  </w:num>
  <w:num w:numId="49">
    <w:abstractNumId w:val="11"/>
  </w:num>
  <w:num w:numId="50">
    <w:abstractNumId w:val="9"/>
  </w:num>
  <w:num w:numId="51">
    <w:abstractNumId w:val="43"/>
  </w:num>
  <w:num w:numId="52">
    <w:abstractNumId w:val="42"/>
  </w:num>
  <w:num w:numId="53">
    <w:abstractNumId w:val="6"/>
  </w:num>
  <w:num w:numId="54">
    <w:abstractNumId w:val="13"/>
  </w:num>
  <w:num w:numId="55">
    <w:abstractNumId w:val="19"/>
  </w:num>
  <w:num w:numId="56">
    <w:abstractNumId w:val="20"/>
  </w:num>
  <w:num w:numId="57">
    <w:abstractNumId w:val="36"/>
  </w:num>
  <w:num w:numId="58">
    <w:abstractNumId w:val="22"/>
  </w:num>
  <w:num w:numId="59">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30"/>
    <w:rsid w:val="00000A06"/>
    <w:rsid w:val="00003211"/>
    <w:rsid w:val="000116F4"/>
    <w:rsid w:val="00012A74"/>
    <w:rsid w:val="0001328F"/>
    <w:rsid w:val="00015085"/>
    <w:rsid w:val="0001734D"/>
    <w:rsid w:val="00026C87"/>
    <w:rsid w:val="00030D00"/>
    <w:rsid w:val="0003231B"/>
    <w:rsid w:val="00035ECF"/>
    <w:rsid w:val="0004201E"/>
    <w:rsid w:val="00044C0F"/>
    <w:rsid w:val="00050E78"/>
    <w:rsid w:val="00050E96"/>
    <w:rsid w:val="000526EC"/>
    <w:rsid w:val="00055029"/>
    <w:rsid w:val="000552F3"/>
    <w:rsid w:val="0006133C"/>
    <w:rsid w:val="00062664"/>
    <w:rsid w:val="00064670"/>
    <w:rsid w:val="00065167"/>
    <w:rsid w:val="000759C3"/>
    <w:rsid w:val="00085C82"/>
    <w:rsid w:val="000872B1"/>
    <w:rsid w:val="00095DA4"/>
    <w:rsid w:val="000A175A"/>
    <w:rsid w:val="000A2CD3"/>
    <w:rsid w:val="000B75F2"/>
    <w:rsid w:val="000C0675"/>
    <w:rsid w:val="000C1549"/>
    <w:rsid w:val="000C1605"/>
    <w:rsid w:val="000C188B"/>
    <w:rsid w:val="000C55B3"/>
    <w:rsid w:val="000C6DE8"/>
    <w:rsid w:val="000D0382"/>
    <w:rsid w:val="000D0781"/>
    <w:rsid w:val="000D1683"/>
    <w:rsid w:val="000D2413"/>
    <w:rsid w:val="000D2BED"/>
    <w:rsid w:val="000D7145"/>
    <w:rsid w:val="000D7F28"/>
    <w:rsid w:val="000E344E"/>
    <w:rsid w:val="000E4404"/>
    <w:rsid w:val="000E7C4F"/>
    <w:rsid w:val="000F0641"/>
    <w:rsid w:val="000F477E"/>
    <w:rsid w:val="000F6021"/>
    <w:rsid w:val="000F6DA5"/>
    <w:rsid w:val="00110B0F"/>
    <w:rsid w:val="00113C69"/>
    <w:rsid w:val="00116926"/>
    <w:rsid w:val="00123AE5"/>
    <w:rsid w:val="00123D61"/>
    <w:rsid w:val="00125F14"/>
    <w:rsid w:val="00131AD6"/>
    <w:rsid w:val="0013425D"/>
    <w:rsid w:val="00134784"/>
    <w:rsid w:val="00140BF5"/>
    <w:rsid w:val="001416DF"/>
    <w:rsid w:val="00150621"/>
    <w:rsid w:val="001514FC"/>
    <w:rsid w:val="001531FC"/>
    <w:rsid w:val="001638BE"/>
    <w:rsid w:val="00163C78"/>
    <w:rsid w:val="0016777C"/>
    <w:rsid w:val="00167E19"/>
    <w:rsid w:val="001726DB"/>
    <w:rsid w:val="001757E4"/>
    <w:rsid w:val="0018511D"/>
    <w:rsid w:val="00187211"/>
    <w:rsid w:val="001872E1"/>
    <w:rsid w:val="0019230B"/>
    <w:rsid w:val="001A0F7B"/>
    <w:rsid w:val="001A391B"/>
    <w:rsid w:val="001B15D8"/>
    <w:rsid w:val="001B3B43"/>
    <w:rsid w:val="001B4BE2"/>
    <w:rsid w:val="001B6406"/>
    <w:rsid w:val="001B6789"/>
    <w:rsid w:val="001C0ECB"/>
    <w:rsid w:val="001C1A35"/>
    <w:rsid w:val="001C5595"/>
    <w:rsid w:val="001C6FE0"/>
    <w:rsid w:val="001D1F72"/>
    <w:rsid w:val="001D5212"/>
    <w:rsid w:val="001D5F92"/>
    <w:rsid w:val="001D7058"/>
    <w:rsid w:val="001E14F1"/>
    <w:rsid w:val="001E6991"/>
    <w:rsid w:val="001F24BF"/>
    <w:rsid w:val="001F282E"/>
    <w:rsid w:val="001F6710"/>
    <w:rsid w:val="002022D7"/>
    <w:rsid w:val="00203B45"/>
    <w:rsid w:val="0020545E"/>
    <w:rsid w:val="00215250"/>
    <w:rsid w:val="002159A6"/>
    <w:rsid w:val="0022292E"/>
    <w:rsid w:val="00222E43"/>
    <w:rsid w:val="0022387E"/>
    <w:rsid w:val="00230E0D"/>
    <w:rsid w:val="00232477"/>
    <w:rsid w:val="00232BA1"/>
    <w:rsid w:val="00240F30"/>
    <w:rsid w:val="0024759B"/>
    <w:rsid w:val="00250DA6"/>
    <w:rsid w:val="0025124C"/>
    <w:rsid w:val="00253303"/>
    <w:rsid w:val="00261625"/>
    <w:rsid w:val="00264FBC"/>
    <w:rsid w:val="002726A4"/>
    <w:rsid w:val="00273E58"/>
    <w:rsid w:val="00276FCB"/>
    <w:rsid w:val="00291F1C"/>
    <w:rsid w:val="00296137"/>
    <w:rsid w:val="00297918"/>
    <w:rsid w:val="002A2D18"/>
    <w:rsid w:val="002B00A6"/>
    <w:rsid w:val="002B0FBF"/>
    <w:rsid w:val="002C08FF"/>
    <w:rsid w:val="002C09E0"/>
    <w:rsid w:val="002C13C0"/>
    <w:rsid w:val="002D3A7B"/>
    <w:rsid w:val="002D7F0F"/>
    <w:rsid w:val="002E1295"/>
    <w:rsid w:val="002E3600"/>
    <w:rsid w:val="002E49BB"/>
    <w:rsid w:val="002F16EF"/>
    <w:rsid w:val="002F23B0"/>
    <w:rsid w:val="002F3D5C"/>
    <w:rsid w:val="002F462F"/>
    <w:rsid w:val="002F5AC9"/>
    <w:rsid w:val="003032AE"/>
    <w:rsid w:val="003034F3"/>
    <w:rsid w:val="00315986"/>
    <w:rsid w:val="00317A93"/>
    <w:rsid w:val="00323704"/>
    <w:rsid w:val="0033519B"/>
    <w:rsid w:val="003358EB"/>
    <w:rsid w:val="00336432"/>
    <w:rsid w:val="00337442"/>
    <w:rsid w:val="00337DF4"/>
    <w:rsid w:val="003434E2"/>
    <w:rsid w:val="003457E3"/>
    <w:rsid w:val="00352AAB"/>
    <w:rsid w:val="00355414"/>
    <w:rsid w:val="003621AC"/>
    <w:rsid w:val="0036438C"/>
    <w:rsid w:val="00372817"/>
    <w:rsid w:val="00372D0B"/>
    <w:rsid w:val="0037708A"/>
    <w:rsid w:val="003806EF"/>
    <w:rsid w:val="00383237"/>
    <w:rsid w:val="00387F0E"/>
    <w:rsid w:val="00393DB4"/>
    <w:rsid w:val="003A02AB"/>
    <w:rsid w:val="003A4323"/>
    <w:rsid w:val="003A69CC"/>
    <w:rsid w:val="003A6C32"/>
    <w:rsid w:val="003A787B"/>
    <w:rsid w:val="003B147C"/>
    <w:rsid w:val="003B79E6"/>
    <w:rsid w:val="003C350D"/>
    <w:rsid w:val="003C3FFA"/>
    <w:rsid w:val="003C422E"/>
    <w:rsid w:val="003C76D6"/>
    <w:rsid w:val="003C7A11"/>
    <w:rsid w:val="003D0260"/>
    <w:rsid w:val="003D1A67"/>
    <w:rsid w:val="003D797A"/>
    <w:rsid w:val="003D7D51"/>
    <w:rsid w:val="003E545F"/>
    <w:rsid w:val="003E7786"/>
    <w:rsid w:val="003E7E65"/>
    <w:rsid w:val="003F1195"/>
    <w:rsid w:val="003F6ACD"/>
    <w:rsid w:val="00407101"/>
    <w:rsid w:val="0041080E"/>
    <w:rsid w:val="00412738"/>
    <w:rsid w:val="0041404D"/>
    <w:rsid w:val="00422A7E"/>
    <w:rsid w:val="004258A7"/>
    <w:rsid w:val="00430B38"/>
    <w:rsid w:val="00433F94"/>
    <w:rsid w:val="00435194"/>
    <w:rsid w:val="004407A1"/>
    <w:rsid w:val="00441043"/>
    <w:rsid w:val="00442455"/>
    <w:rsid w:val="004468C0"/>
    <w:rsid w:val="00450151"/>
    <w:rsid w:val="00453976"/>
    <w:rsid w:val="0045551E"/>
    <w:rsid w:val="004632F9"/>
    <w:rsid w:val="00464B36"/>
    <w:rsid w:val="00465C4F"/>
    <w:rsid w:val="004677B8"/>
    <w:rsid w:val="0047133C"/>
    <w:rsid w:val="00472A20"/>
    <w:rsid w:val="00474FE1"/>
    <w:rsid w:val="00476380"/>
    <w:rsid w:val="00477E94"/>
    <w:rsid w:val="004819EC"/>
    <w:rsid w:val="00482349"/>
    <w:rsid w:val="004833AF"/>
    <w:rsid w:val="00493C86"/>
    <w:rsid w:val="00494562"/>
    <w:rsid w:val="00494669"/>
    <w:rsid w:val="004976FD"/>
    <w:rsid w:val="004A173F"/>
    <w:rsid w:val="004A3C2C"/>
    <w:rsid w:val="004A435B"/>
    <w:rsid w:val="004B6454"/>
    <w:rsid w:val="004C2950"/>
    <w:rsid w:val="004C317D"/>
    <w:rsid w:val="004C3B1F"/>
    <w:rsid w:val="004C620A"/>
    <w:rsid w:val="004D318D"/>
    <w:rsid w:val="004D401C"/>
    <w:rsid w:val="004D40C6"/>
    <w:rsid w:val="004D413C"/>
    <w:rsid w:val="004D42B7"/>
    <w:rsid w:val="004D4ED5"/>
    <w:rsid w:val="004E38E3"/>
    <w:rsid w:val="004F1474"/>
    <w:rsid w:val="004F28B6"/>
    <w:rsid w:val="00500825"/>
    <w:rsid w:val="00500A6D"/>
    <w:rsid w:val="00503DC0"/>
    <w:rsid w:val="005056D9"/>
    <w:rsid w:val="00513EB5"/>
    <w:rsid w:val="00516803"/>
    <w:rsid w:val="00516D9F"/>
    <w:rsid w:val="00516F72"/>
    <w:rsid w:val="00517B7D"/>
    <w:rsid w:val="00520F80"/>
    <w:rsid w:val="005213F3"/>
    <w:rsid w:val="00524B46"/>
    <w:rsid w:val="00532162"/>
    <w:rsid w:val="00533139"/>
    <w:rsid w:val="00536B66"/>
    <w:rsid w:val="00541D90"/>
    <w:rsid w:val="00553C95"/>
    <w:rsid w:val="0055446D"/>
    <w:rsid w:val="00562D99"/>
    <w:rsid w:val="0056347F"/>
    <w:rsid w:val="00563A91"/>
    <w:rsid w:val="00583608"/>
    <w:rsid w:val="0058534B"/>
    <w:rsid w:val="00585F39"/>
    <w:rsid w:val="00590B21"/>
    <w:rsid w:val="00595FD8"/>
    <w:rsid w:val="005A104E"/>
    <w:rsid w:val="005A4059"/>
    <w:rsid w:val="005A4D2A"/>
    <w:rsid w:val="005A56DC"/>
    <w:rsid w:val="005A60DC"/>
    <w:rsid w:val="005A766D"/>
    <w:rsid w:val="005B1AD8"/>
    <w:rsid w:val="005B47E6"/>
    <w:rsid w:val="005C3757"/>
    <w:rsid w:val="005C3FDD"/>
    <w:rsid w:val="005D0250"/>
    <w:rsid w:val="005D02D6"/>
    <w:rsid w:val="005D3CD7"/>
    <w:rsid w:val="005E5771"/>
    <w:rsid w:val="005E5973"/>
    <w:rsid w:val="005E6657"/>
    <w:rsid w:val="005E7B40"/>
    <w:rsid w:val="005F0EB4"/>
    <w:rsid w:val="005F2706"/>
    <w:rsid w:val="005F32F2"/>
    <w:rsid w:val="005F5D0A"/>
    <w:rsid w:val="005F6760"/>
    <w:rsid w:val="005F691F"/>
    <w:rsid w:val="0060091B"/>
    <w:rsid w:val="00601E6F"/>
    <w:rsid w:val="00602561"/>
    <w:rsid w:val="00602E50"/>
    <w:rsid w:val="006037E8"/>
    <w:rsid w:val="00607B4D"/>
    <w:rsid w:val="00613EB0"/>
    <w:rsid w:val="006146A1"/>
    <w:rsid w:val="0062087E"/>
    <w:rsid w:val="00624DB4"/>
    <w:rsid w:val="00625151"/>
    <w:rsid w:val="00635AEB"/>
    <w:rsid w:val="006450D5"/>
    <w:rsid w:val="006453D9"/>
    <w:rsid w:val="00656605"/>
    <w:rsid w:val="00656710"/>
    <w:rsid w:val="006579E3"/>
    <w:rsid w:val="00665D0D"/>
    <w:rsid w:val="006674CE"/>
    <w:rsid w:val="00667AFD"/>
    <w:rsid w:val="0067530D"/>
    <w:rsid w:val="00677564"/>
    <w:rsid w:val="00683A51"/>
    <w:rsid w:val="00685893"/>
    <w:rsid w:val="00694775"/>
    <w:rsid w:val="00695658"/>
    <w:rsid w:val="00696161"/>
    <w:rsid w:val="00696D30"/>
    <w:rsid w:val="006A0BEA"/>
    <w:rsid w:val="006A275B"/>
    <w:rsid w:val="006B1655"/>
    <w:rsid w:val="006B16F9"/>
    <w:rsid w:val="006B3850"/>
    <w:rsid w:val="006B50EE"/>
    <w:rsid w:val="006B568B"/>
    <w:rsid w:val="006B6A9F"/>
    <w:rsid w:val="006C5BA9"/>
    <w:rsid w:val="006E1129"/>
    <w:rsid w:val="006E2ED2"/>
    <w:rsid w:val="006E55D5"/>
    <w:rsid w:val="006E5B1B"/>
    <w:rsid w:val="006E609F"/>
    <w:rsid w:val="006E775E"/>
    <w:rsid w:val="006F3508"/>
    <w:rsid w:val="006F6FD3"/>
    <w:rsid w:val="00701628"/>
    <w:rsid w:val="0070466F"/>
    <w:rsid w:val="0072269A"/>
    <w:rsid w:val="0072277C"/>
    <w:rsid w:val="00724295"/>
    <w:rsid w:val="007245CF"/>
    <w:rsid w:val="0072776B"/>
    <w:rsid w:val="007308F7"/>
    <w:rsid w:val="00736F21"/>
    <w:rsid w:val="0074125D"/>
    <w:rsid w:val="00742BC4"/>
    <w:rsid w:val="0074505D"/>
    <w:rsid w:val="00745733"/>
    <w:rsid w:val="00745EAF"/>
    <w:rsid w:val="00747049"/>
    <w:rsid w:val="0075059D"/>
    <w:rsid w:val="00757778"/>
    <w:rsid w:val="007633E3"/>
    <w:rsid w:val="0076692D"/>
    <w:rsid w:val="00776A7C"/>
    <w:rsid w:val="007808A1"/>
    <w:rsid w:val="00782E98"/>
    <w:rsid w:val="007840CE"/>
    <w:rsid w:val="00785F4A"/>
    <w:rsid w:val="00790A04"/>
    <w:rsid w:val="0079239B"/>
    <w:rsid w:val="00792C03"/>
    <w:rsid w:val="00795342"/>
    <w:rsid w:val="00795A45"/>
    <w:rsid w:val="007A046E"/>
    <w:rsid w:val="007A5256"/>
    <w:rsid w:val="007A6080"/>
    <w:rsid w:val="007B7D76"/>
    <w:rsid w:val="007C3999"/>
    <w:rsid w:val="007D0257"/>
    <w:rsid w:val="007D309B"/>
    <w:rsid w:val="007D3975"/>
    <w:rsid w:val="007D7810"/>
    <w:rsid w:val="007E65CC"/>
    <w:rsid w:val="007F3504"/>
    <w:rsid w:val="00801937"/>
    <w:rsid w:val="00804136"/>
    <w:rsid w:val="00804C80"/>
    <w:rsid w:val="00811BEF"/>
    <w:rsid w:val="00814D7E"/>
    <w:rsid w:val="00827CE9"/>
    <w:rsid w:val="0083626F"/>
    <w:rsid w:val="00836986"/>
    <w:rsid w:val="00836E0A"/>
    <w:rsid w:val="00841747"/>
    <w:rsid w:val="00847FEF"/>
    <w:rsid w:val="0085066D"/>
    <w:rsid w:val="00850A67"/>
    <w:rsid w:val="008525AB"/>
    <w:rsid w:val="008676C6"/>
    <w:rsid w:val="00873BC6"/>
    <w:rsid w:val="00874AB8"/>
    <w:rsid w:val="00883101"/>
    <w:rsid w:val="00887231"/>
    <w:rsid w:val="008922B7"/>
    <w:rsid w:val="00892A4D"/>
    <w:rsid w:val="008960C8"/>
    <w:rsid w:val="008A2531"/>
    <w:rsid w:val="008A4796"/>
    <w:rsid w:val="008A497D"/>
    <w:rsid w:val="008A5771"/>
    <w:rsid w:val="008B12AD"/>
    <w:rsid w:val="008B2A81"/>
    <w:rsid w:val="008B360F"/>
    <w:rsid w:val="008B5622"/>
    <w:rsid w:val="008C0C81"/>
    <w:rsid w:val="008C11BB"/>
    <w:rsid w:val="008C36BF"/>
    <w:rsid w:val="008C50B2"/>
    <w:rsid w:val="008D1657"/>
    <w:rsid w:val="008D1C6C"/>
    <w:rsid w:val="008D2965"/>
    <w:rsid w:val="008D36A9"/>
    <w:rsid w:val="008D5283"/>
    <w:rsid w:val="008E00DE"/>
    <w:rsid w:val="008E3138"/>
    <w:rsid w:val="008E4419"/>
    <w:rsid w:val="008E6186"/>
    <w:rsid w:val="008F308E"/>
    <w:rsid w:val="008F571E"/>
    <w:rsid w:val="008F68B8"/>
    <w:rsid w:val="009032DB"/>
    <w:rsid w:val="00903585"/>
    <w:rsid w:val="00904AF2"/>
    <w:rsid w:val="00905394"/>
    <w:rsid w:val="00905E73"/>
    <w:rsid w:val="00906844"/>
    <w:rsid w:val="009122EF"/>
    <w:rsid w:val="0091386D"/>
    <w:rsid w:val="00913DC7"/>
    <w:rsid w:val="00920464"/>
    <w:rsid w:val="00921FF0"/>
    <w:rsid w:val="00923131"/>
    <w:rsid w:val="0092521C"/>
    <w:rsid w:val="0092582F"/>
    <w:rsid w:val="00925860"/>
    <w:rsid w:val="00926CEC"/>
    <w:rsid w:val="009311E6"/>
    <w:rsid w:val="00935FE9"/>
    <w:rsid w:val="00950EEC"/>
    <w:rsid w:val="00950F8E"/>
    <w:rsid w:val="009525C0"/>
    <w:rsid w:val="0096099E"/>
    <w:rsid w:val="00961A54"/>
    <w:rsid w:val="009629BD"/>
    <w:rsid w:val="00965C9F"/>
    <w:rsid w:val="009724F4"/>
    <w:rsid w:val="00974920"/>
    <w:rsid w:val="009777C8"/>
    <w:rsid w:val="0098006C"/>
    <w:rsid w:val="00982BF8"/>
    <w:rsid w:val="009833A3"/>
    <w:rsid w:val="00984149"/>
    <w:rsid w:val="0098417D"/>
    <w:rsid w:val="00986D31"/>
    <w:rsid w:val="009879E8"/>
    <w:rsid w:val="00992451"/>
    <w:rsid w:val="00993D27"/>
    <w:rsid w:val="00995188"/>
    <w:rsid w:val="00997782"/>
    <w:rsid w:val="009A10D6"/>
    <w:rsid w:val="009A1FC6"/>
    <w:rsid w:val="009A2423"/>
    <w:rsid w:val="009A345C"/>
    <w:rsid w:val="009A69D5"/>
    <w:rsid w:val="009B06A9"/>
    <w:rsid w:val="009B4245"/>
    <w:rsid w:val="009C07E3"/>
    <w:rsid w:val="009C1A9D"/>
    <w:rsid w:val="009C2EA4"/>
    <w:rsid w:val="009C428A"/>
    <w:rsid w:val="009C5C3A"/>
    <w:rsid w:val="009D0005"/>
    <w:rsid w:val="009D0324"/>
    <w:rsid w:val="009D5FD9"/>
    <w:rsid w:val="009D682C"/>
    <w:rsid w:val="009D72A6"/>
    <w:rsid w:val="009E02CE"/>
    <w:rsid w:val="009E352E"/>
    <w:rsid w:val="009E63FC"/>
    <w:rsid w:val="009F14F6"/>
    <w:rsid w:val="009F5A60"/>
    <w:rsid w:val="009F5AFE"/>
    <w:rsid w:val="009F66AB"/>
    <w:rsid w:val="00A0120A"/>
    <w:rsid w:val="00A10A08"/>
    <w:rsid w:val="00A140C6"/>
    <w:rsid w:val="00A20138"/>
    <w:rsid w:val="00A2172E"/>
    <w:rsid w:val="00A23A07"/>
    <w:rsid w:val="00A24900"/>
    <w:rsid w:val="00A262CB"/>
    <w:rsid w:val="00A307B8"/>
    <w:rsid w:val="00A30CA1"/>
    <w:rsid w:val="00A31562"/>
    <w:rsid w:val="00A32E4E"/>
    <w:rsid w:val="00A367D5"/>
    <w:rsid w:val="00A36EF9"/>
    <w:rsid w:val="00A37B57"/>
    <w:rsid w:val="00A402D4"/>
    <w:rsid w:val="00A4052B"/>
    <w:rsid w:val="00A43A27"/>
    <w:rsid w:val="00A43AD6"/>
    <w:rsid w:val="00A45B34"/>
    <w:rsid w:val="00A462B6"/>
    <w:rsid w:val="00A46825"/>
    <w:rsid w:val="00A47767"/>
    <w:rsid w:val="00A51F0B"/>
    <w:rsid w:val="00A52279"/>
    <w:rsid w:val="00A53B9D"/>
    <w:rsid w:val="00A54141"/>
    <w:rsid w:val="00A54C73"/>
    <w:rsid w:val="00A628C2"/>
    <w:rsid w:val="00A635A9"/>
    <w:rsid w:val="00A6628F"/>
    <w:rsid w:val="00A664B2"/>
    <w:rsid w:val="00A672C4"/>
    <w:rsid w:val="00A716B9"/>
    <w:rsid w:val="00A73208"/>
    <w:rsid w:val="00A737E6"/>
    <w:rsid w:val="00A74C4D"/>
    <w:rsid w:val="00A81FBF"/>
    <w:rsid w:val="00A83169"/>
    <w:rsid w:val="00A9115B"/>
    <w:rsid w:val="00A94E6A"/>
    <w:rsid w:val="00A95F76"/>
    <w:rsid w:val="00A97AEA"/>
    <w:rsid w:val="00AA0568"/>
    <w:rsid w:val="00AA18AB"/>
    <w:rsid w:val="00AB20A2"/>
    <w:rsid w:val="00AC37CE"/>
    <w:rsid w:val="00AC4DE1"/>
    <w:rsid w:val="00AD4602"/>
    <w:rsid w:val="00AD6022"/>
    <w:rsid w:val="00AE1E4B"/>
    <w:rsid w:val="00AE2165"/>
    <w:rsid w:val="00AE22A2"/>
    <w:rsid w:val="00AE3909"/>
    <w:rsid w:val="00AE6246"/>
    <w:rsid w:val="00B01032"/>
    <w:rsid w:val="00B010A7"/>
    <w:rsid w:val="00B01D06"/>
    <w:rsid w:val="00B03109"/>
    <w:rsid w:val="00B04F51"/>
    <w:rsid w:val="00B05114"/>
    <w:rsid w:val="00B06CF7"/>
    <w:rsid w:val="00B119F6"/>
    <w:rsid w:val="00B1607C"/>
    <w:rsid w:val="00B162EC"/>
    <w:rsid w:val="00B16E09"/>
    <w:rsid w:val="00B17536"/>
    <w:rsid w:val="00B17C1C"/>
    <w:rsid w:val="00B22FC7"/>
    <w:rsid w:val="00B234B9"/>
    <w:rsid w:val="00B26D71"/>
    <w:rsid w:val="00B315C8"/>
    <w:rsid w:val="00B43C82"/>
    <w:rsid w:val="00B4420A"/>
    <w:rsid w:val="00B46034"/>
    <w:rsid w:val="00B512AB"/>
    <w:rsid w:val="00B55605"/>
    <w:rsid w:val="00B55848"/>
    <w:rsid w:val="00B56655"/>
    <w:rsid w:val="00B60220"/>
    <w:rsid w:val="00B60338"/>
    <w:rsid w:val="00B60E8B"/>
    <w:rsid w:val="00B65CF3"/>
    <w:rsid w:val="00B66264"/>
    <w:rsid w:val="00B66DF9"/>
    <w:rsid w:val="00B73B1C"/>
    <w:rsid w:val="00B778E0"/>
    <w:rsid w:val="00B80394"/>
    <w:rsid w:val="00B8088B"/>
    <w:rsid w:val="00B8169F"/>
    <w:rsid w:val="00B81A71"/>
    <w:rsid w:val="00B820E8"/>
    <w:rsid w:val="00B857A4"/>
    <w:rsid w:val="00B96248"/>
    <w:rsid w:val="00B96BFB"/>
    <w:rsid w:val="00BA0BDF"/>
    <w:rsid w:val="00BA43B0"/>
    <w:rsid w:val="00BA5FCC"/>
    <w:rsid w:val="00BA6C58"/>
    <w:rsid w:val="00BB075D"/>
    <w:rsid w:val="00BB1F10"/>
    <w:rsid w:val="00BB3710"/>
    <w:rsid w:val="00BB3FA9"/>
    <w:rsid w:val="00BB4D3C"/>
    <w:rsid w:val="00BB5791"/>
    <w:rsid w:val="00BB740F"/>
    <w:rsid w:val="00BC0DE9"/>
    <w:rsid w:val="00BC513D"/>
    <w:rsid w:val="00BC5D78"/>
    <w:rsid w:val="00BC6417"/>
    <w:rsid w:val="00BD0671"/>
    <w:rsid w:val="00BE5BB7"/>
    <w:rsid w:val="00BF2817"/>
    <w:rsid w:val="00BF3C9A"/>
    <w:rsid w:val="00BF6FDA"/>
    <w:rsid w:val="00BF7D44"/>
    <w:rsid w:val="00C0147D"/>
    <w:rsid w:val="00C11E91"/>
    <w:rsid w:val="00C13A27"/>
    <w:rsid w:val="00C206CA"/>
    <w:rsid w:val="00C235C6"/>
    <w:rsid w:val="00C26428"/>
    <w:rsid w:val="00C3019B"/>
    <w:rsid w:val="00C31052"/>
    <w:rsid w:val="00C37519"/>
    <w:rsid w:val="00C40E09"/>
    <w:rsid w:val="00C44764"/>
    <w:rsid w:val="00C47BBC"/>
    <w:rsid w:val="00C5073D"/>
    <w:rsid w:val="00C507CF"/>
    <w:rsid w:val="00C51FB7"/>
    <w:rsid w:val="00C5485A"/>
    <w:rsid w:val="00C54AB6"/>
    <w:rsid w:val="00C56045"/>
    <w:rsid w:val="00C57F77"/>
    <w:rsid w:val="00C6039A"/>
    <w:rsid w:val="00C62E71"/>
    <w:rsid w:val="00C64606"/>
    <w:rsid w:val="00C64C0D"/>
    <w:rsid w:val="00C65A00"/>
    <w:rsid w:val="00C6781A"/>
    <w:rsid w:val="00C74599"/>
    <w:rsid w:val="00C77FCF"/>
    <w:rsid w:val="00C8092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FBF"/>
    <w:rsid w:val="00CB6167"/>
    <w:rsid w:val="00CC1BE2"/>
    <w:rsid w:val="00CC1F46"/>
    <w:rsid w:val="00CC6078"/>
    <w:rsid w:val="00CC7D1E"/>
    <w:rsid w:val="00CE2133"/>
    <w:rsid w:val="00CE5F0A"/>
    <w:rsid w:val="00D02445"/>
    <w:rsid w:val="00D02614"/>
    <w:rsid w:val="00D02D9A"/>
    <w:rsid w:val="00D047D3"/>
    <w:rsid w:val="00D05C86"/>
    <w:rsid w:val="00D13DA1"/>
    <w:rsid w:val="00D261DE"/>
    <w:rsid w:val="00D271C1"/>
    <w:rsid w:val="00D318B2"/>
    <w:rsid w:val="00D407A0"/>
    <w:rsid w:val="00D417D3"/>
    <w:rsid w:val="00D42E72"/>
    <w:rsid w:val="00D43878"/>
    <w:rsid w:val="00D4522D"/>
    <w:rsid w:val="00D4581F"/>
    <w:rsid w:val="00D518F9"/>
    <w:rsid w:val="00D53DDB"/>
    <w:rsid w:val="00D55B96"/>
    <w:rsid w:val="00D57157"/>
    <w:rsid w:val="00D57296"/>
    <w:rsid w:val="00D5750A"/>
    <w:rsid w:val="00D6068D"/>
    <w:rsid w:val="00D60AAD"/>
    <w:rsid w:val="00D703B6"/>
    <w:rsid w:val="00D70F8E"/>
    <w:rsid w:val="00D71552"/>
    <w:rsid w:val="00D73EE4"/>
    <w:rsid w:val="00D76EF6"/>
    <w:rsid w:val="00D775B7"/>
    <w:rsid w:val="00D80EA3"/>
    <w:rsid w:val="00D83387"/>
    <w:rsid w:val="00D8615A"/>
    <w:rsid w:val="00D879CB"/>
    <w:rsid w:val="00D91488"/>
    <w:rsid w:val="00D91D89"/>
    <w:rsid w:val="00D9550D"/>
    <w:rsid w:val="00DB3179"/>
    <w:rsid w:val="00DB4489"/>
    <w:rsid w:val="00DB4CA1"/>
    <w:rsid w:val="00DB6819"/>
    <w:rsid w:val="00DC23B3"/>
    <w:rsid w:val="00DC356C"/>
    <w:rsid w:val="00DC66FE"/>
    <w:rsid w:val="00DD0E2C"/>
    <w:rsid w:val="00DD4911"/>
    <w:rsid w:val="00DD569D"/>
    <w:rsid w:val="00DD5727"/>
    <w:rsid w:val="00DD5DC8"/>
    <w:rsid w:val="00DE115A"/>
    <w:rsid w:val="00DE4BB3"/>
    <w:rsid w:val="00DE5764"/>
    <w:rsid w:val="00DE618B"/>
    <w:rsid w:val="00DF2091"/>
    <w:rsid w:val="00E014F4"/>
    <w:rsid w:val="00E066F8"/>
    <w:rsid w:val="00E10649"/>
    <w:rsid w:val="00E201F0"/>
    <w:rsid w:val="00E248D6"/>
    <w:rsid w:val="00E30B02"/>
    <w:rsid w:val="00E37BA3"/>
    <w:rsid w:val="00E37FD8"/>
    <w:rsid w:val="00E40E51"/>
    <w:rsid w:val="00E4425D"/>
    <w:rsid w:val="00E45340"/>
    <w:rsid w:val="00E53ACA"/>
    <w:rsid w:val="00E53E61"/>
    <w:rsid w:val="00E55A82"/>
    <w:rsid w:val="00E562A5"/>
    <w:rsid w:val="00E60B47"/>
    <w:rsid w:val="00E615A9"/>
    <w:rsid w:val="00E661D7"/>
    <w:rsid w:val="00E7070A"/>
    <w:rsid w:val="00E718B6"/>
    <w:rsid w:val="00E72DCA"/>
    <w:rsid w:val="00E73008"/>
    <w:rsid w:val="00E737E7"/>
    <w:rsid w:val="00E75CA2"/>
    <w:rsid w:val="00E77CD6"/>
    <w:rsid w:val="00E819D6"/>
    <w:rsid w:val="00E83C73"/>
    <w:rsid w:val="00E84DFE"/>
    <w:rsid w:val="00E859CC"/>
    <w:rsid w:val="00E93314"/>
    <w:rsid w:val="00EA0471"/>
    <w:rsid w:val="00EA599B"/>
    <w:rsid w:val="00EA7023"/>
    <w:rsid w:val="00EA70DE"/>
    <w:rsid w:val="00EB4876"/>
    <w:rsid w:val="00EB6E2C"/>
    <w:rsid w:val="00EB7E1B"/>
    <w:rsid w:val="00EC0717"/>
    <w:rsid w:val="00ED3683"/>
    <w:rsid w:val="00ED41A3"/>
    <w:rsid w:val="00ED5755"/>
    <w:rsid w:val="00ED57F0"/>
    <w:rsid w:val="00ED5F72"/>
    <w:rsid w:val="00ED7041"/>
    <w:rsid w:val="00EE1105"/>
    <w:rsid w:val="00EE2590"/>
    <w:rsid w:val="00EE2E7D"/>
    <w:rsid w:val="00EE46A2"/>
    <w:rsid w:val="00EE4702"/>
    <w:rsid w:val="00EE48E4"/>
    <w:rsid w:val="00EF0817"/>
    <w:rsid w:val="00EF48A2"/>
    <w:rsid w:val="00EF6FAD"/>
    <w:rsid w:val="00F03979"/>
    <w:rsid w:val="00F03DF2"/>
    <w:rsid w:val="00F04AD8"/>
    <w:rsid w:val="00F0650F"/>
    <w:rsid w:val="00F1057D"/>
    <w:rsid w:val="00F13954"/>
    <w:rsid w:val="00F2224D"/>
    <w:rsid w:val="00F232CF"/>
    <w:rsid w:val="00F232FC"/>
    <w:rsid w:val="00F2443E"/>
    <w:rsid w:val="00F276E0"/>
    <w:rsid w:val="00F4090B"/>
    <w:rsid w:val="00F42657"/>
    <w:rsid w:val="00F42756"/>
    <w:rsid w:val="00F431E7"/>
    <w:rsid w:val="00F432BC"/>
    <w:rsid w:val="00F47199"/>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33A7"/>
    <w:rsid w:val="00F94566"/>
    <w:rsid w:val="00F94E86"/>
    <w:rsid w:val="00F952E7"/>
    <w:rsid w:val="00FA55E3"/>
    <w:rsid w:val="00FA579D"/>
    <w:rsid w:val="00FB1D0B"/>
    <w:rsid w:val="00FB275D"/>
    <w:rsid w:val="00FB5FD5"/>
    <w:rsid w:val="00FC193B"/>
    <w:rsid w:val="00FC522F"/>
    <w:rsid w:val="00FD2717"/>
    <w:rsid w:val="00FD3786"/>
    <w:rsid w:val="00FE0B38"/>
    <w:rsid w:val="00FF1FCF"/>
    <w:rsid w:val="00FF3BE2"/>
    <w:rsid w:val="00FF56A7"/>
    <w:rsid w:val="00FF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terprise/policies/sme/facts-figures-analysis/sme-definition/index_e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usinesslink.gov.uk/contractsfinder"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omptpaymentcod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Social%20Care%20Policy\Policy%20&amp;%20Legislation\Markets\Care%20Act%20implementation%20support\15-16\Market%20shaping%20review\ITT\DH%20Formal%20Part%20A%20-%20Instructions_D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2810-207A-4807-8733-F7BFA112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Formal Part A - Instructions_DM</Template>
  <TotalTime>241</TotalTime>
  <Pages>15</Pages>
  <Words>4056</Words>
  <Characters>22292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26296</CharactersWithSpaces>
  <SharedDoc>false</SharedDoc>
  <HLinks>
    <vt:vector size="18" baseType="variant">
      <vt:variant>
        <vt:i4>3211376</vt:i4>
      </vt:variant>
      <vt:variant>
        <vt:i4>40</vt:i4>
      </vt:variant>
      <vt:variant>
        <vt:i4>0</vt:i4>
      </vt:variant>
      <vt:variant>
        <vt:i4>5</vt:i4>
      </vt:variant>
      <vt:variant>
        <vt:lpwstr>http://www.businesslink.gov.uk/contractsfinder</vt:lpwstr>
      </vt:variant>
      <vt:variant>
        <vt:lpwstr/>
      </vt:variant>
      <vt:variant>
        <vt:i4>262215</vt:i4>
      </vt:variant>
      <vt:variant>
        <vt:i4>37</vt:i4>
      </vt:variant>
      <vt:variant>
        <vt:i4>0</vt:i4>
      </vt:variant>
      <vt:variant>
        <vt:i4>5</vt:i4>
      </vt:variant>
      <vt:variant>
        <vt:lpwstr>http://www.promptpaymentcode.org.uk/</vt:lpwstr>
      </vt:variant>
      <vt:variant>
        <vt:lpwstr/>
      </vt:variant>
      <vt:variant>
        <vt:i4>5111856</vt:i4>
      </vt:variant>
      <vt:variant>
        <vt:i4>34</vt:i4>
      </vt:variant>
      <vt:variant>
        <vt:i4>0</vt:i4>
      </vt:variant>
      <vt:variant>
        <vt:i4>5</vt:i4>
      </vt:variant>
      <vt:variant>
        <vt:lpwstr>http://ec.europa.eu/enterprise/policies/sme/facts-figures-analysis/sme-definition/index_en.htm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Morgan, Dean</dc:creator>
  <cp:lastModifiedBy>Stafford, Simon</cp:lastModifiedBy>
  <cp:revision>8</cp:revision>
  <cp:lastPrinted>2012-12-12T12:46:00Z</cp:lastPrinted>
  <dcterms:created xsi:type="dcterms:W3CDTF">2015-11-30T10:44:00Z</dcterms:created>
  <dcterms:modified xsi:type="dcterms:W3CDTF">2015-11-30T17:07:00Z</dcterms:modified>
</cp:coreProperties>
</file>