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037B52" w:rsidRPr="00C86160" w:rsidRDefault="00037B52" w:rsidP="00037B52">
      <w:pPr>
        <w:spacing w:after="0" w:line="240" w:lineRule="auto"/>
        <w:jc w:val="center"/>
        <w:rPr>
          <w:rFonts w:cs="Arial"/>
          <w:b/>
          <w:sz w:val="28"/>
          <w:szCs w:val="28"/>
          <w:lang w:val="en-GB"/>
        </w:rPr>
      </w:pPr>
      <w:r w:rsidRPr="00C86160">
        <w:rPr>
          <w:rFonts w:cs="Arial"/>
          <w:b/>
          <w:sz w:val="28"/>
          <w:szCs w:val="28"/>
          <w:lang w:val="en-GB"/>
        </w:rPr>
        <w:t>Terms of Reference</w:t>
      </w:r>
    </w:p>
    <w:p w:rsidR="00037B52" w:rsidRPr="00C86160" w:rsidRDefault="00037B52" w:rsidP="00037B52">
      <w:pPr>
        <w:spacing w:after="0" w:line="240" w:lineRule="auto"/>
        <w:jc w:val="center"/>
        <w:rPr>
          <w:rFonts w:cs="Arial"/>
          <w:b/>
          <w:sz w:val="28"/>
          <w:szCs w:val="28"/>
          <w:lang w:val="en-GB"/>
        </w:rPr>
      </w:pPr>
    </w:p>
    <w:p w:rsidR="00904C30" w:rsidRPr="00EC5845" w:rsidRDefault="003A542D" w:rsidP="00037B52">
      <w:pPr>
        <w:spacing w:after="0" w:line="240" w:lineRule="auto"/>
        <w:jc w:val="center"/>
        <w:rPr>
          <w:rFonts w:cs="Arial"/>
          <w:b/>
          <w:sz w:val="28"/>
          <w:szCs w:val="28"/>
          <w:lang w:val="en-GB"/>
        </w:rPr>
      </w:pPr>
      <w:r w:rsidRPr="00EC5845">
        <w:rPr>
          <w:rFonts w:cs="Arial"/>
          <w:b/>
          <w:sz w:val="28"/>
          <w:szCs w:val="28"/>
          <w:lang w:val="en-GB"/>
        </w:rPr>
        <w:t xml:space="preserve">Developing a Cyber Security </w:t>
      </w:r>
      <w:r w:rsidR="00CB720E" w:rsidRPr="00EC5845">
        <w:rPr>
          <w:rFonts w:cs="Arial"/>
          <w:b/>
          <w:sz w:val="28"/>
          <w:szCs w:val="28"/>
          <w:lang w:val="en-GB"/>
        </w:rPr>
        <w:t xml:space="preserve">Application </w:t>
      </w:r>
      <w:r w:rsidR="0043150E" w:rsidRPr="00EC5845">
        <w:rPr>
          <w:rFonts w:cs="Arial"/>
          <w:b/>
          <w:sz w:val="28"/>
          <w:szCs w:val="28"/>
          <w:lang w:val="en-GB"/>
        </w:rPr>
        <w:t xml:space="preserve">Framework </w:t>
      </w:r>
      <w:r w:rsidRPr="00EC5845">
        <w:rPr>
          <w:rFonts w:cs="Arial"/>
          <w:b/>
          <w:sz w:val="28"/>
          <w:szCs w:val="28"/>
          <w:lang w:val="en-GB"/>
        </w:rPr>
        <w:t>for F</w:t>
      </w:r>
      <w:r w:rsidR="00904C30" w:rsidRPr="00EC5845">
        <w:rPr>
          <w:rFonts w:cs="Arial"/>
          <w:b/>
          <w:sz w:val="28"/>
          <w:szCs w:val="28"/>
          <w:lang w:val="en-GB"/>
        </w:rPr>
        <w:t xml:space="preserve">inancial </w:t>
      </w:r>
      <w:r w:rsidRPr="00EC5845">
        <w:rPr>
          <w:rFonts w:cs="Arial"/>
          <w:b/>
          <w:sz w:val="28"/>
          <w:szCs w:val="28"/>
          <w:lang w:val="en-GB"/>
        </w:rPr>
        <w:t>I</w:t>
      </w:r>
      <w:r w:rsidR="00904C30" w:rsidRPr="00EC5845">
        <w:rPr>
          <w:rFonts w:cs="Arial"/>
          <w:b/>
          <w:sz w:val="28"/>
          <w:szCs w:val="28"/>
          <w:lang w:val="en-GB"/>
        </w:rPr>
        <w:t>nstitutions</w:t>
      </w:r>
      <w:r w:rsidRPr="00EC5845">
        <w:rPr>
          <w:rFonts w:cs="Arial"/>
          <w:b/>
          <w:sz w:val="28"/>
          <w:szCs w:val="28"/>
          <w:lang w:val="en-GB"/>
        </w:rPr>
        <w:t xml:space="preserve"> in Mexico</w:t>
      </w:r>
    </w:p>
    <w:p w:rsidR="00037B52" w:rsidRPr="00C86160" w:rsidRDefault="00037B52" w:rsidP="00037B52">
      <w:pPr>
        <w:spacing w:after="0" w:line="240" w:lineRule="auto"/>
        <w:jc w:val="center"/>
        <w:rPr>
          <w:rFonts w:cs="Arial"/>
          <w:b/>
          <w:sz w:val="28"/>
          <w:szCs w:val="28"/>
          <w:lang w:val="en-GB"/>
        </w:rPr>
      </w:pPr>
      <w:r w:rsidRPr="00EC5845">
        <w:rPr>
          <w:rFonts w:cs="Arial"/>
          <w:b/>
          <w:sz w:val="28"/>
          <w:szCs w:val="28"/>
          <w:lang w:val="en-GB"/>
        </w:rPr>
        <w:t>M</w:t>
      </w:r>
      <w:r w:rsidR="00025111" w:rsidRPr="00EC5845">
        <w:rPr>
          <w:rFonts w:cs="Arial"/>
          <w:b/>
          <w:sz w:val="28"/>
          <w:szCs w:val="28"/>
          <w:lang w:val="en-GB"/>
        </w:rPr>
        <w:t>exico Prosperity Fund</w:t>
      </w:r>
      <w:r w:rsidR="00025111">
        <w:rPr>
          <w:rFonts w:cs="Arial"/>
          <w:b/>
          <w:sz w:val="28"/>
          <w:szCs w:val="28"/>
          <w:lang w:val="en-GB"/>
        </w:rPr>
        <w:t xml:space="preserve"> Programme</w:t>
      </w:r>
    </w:p>
    <w:p w:rsidR="00D24089" w:rsidRPr="002A0DFD" w:rsidRDefault="00D24089" w:rsidP="00037B52">
      <w:pPr>
        <w:rPr>
          <w:lang w:val="en-GB"/>
        </w:rPr>
      </w:pPr>
    </w:p>
    <w:p w:rsidR="00037B52" w:rsidRPr="008B6CFC" w:rsidRDefault="00037B52" w:rsidP="008B6CFC">
      <w:pPr>
        <w:pStyle w:val="TOCHeading"/>
        <w:rPr>
          <w:rFonts w:asciiTheme="minorHAnsi" w:hAnsiTheme="minorHAnsi"/>
          <w:sz w:val="22"/>
          <w:szCs w:val="22"/>
        </w:rPr>
      </w:pPr>
    </w:p>
    <w:p w:rsidR="00037B52" w:rsidRPr="008B6CFC" w:rsidRDefault="00037B52" w:rsidP="00037B52">
      <w:pPr>
        <w:rPr>
          <w:lang w:val="en-GB"/>
        </w:rPr>
      </w:pPr>
    </w:p>
    <w:p w:rsidR="00037B52" w:rsidRPr="008B6CFC" w:rsidRDefault="00037B52">
      <w:pPr>
        <w:rPr>
          <w:lang w:val="en-GB"/>
        </w:rPr>
      </w:pPr>
      <w:r w:rsidRPr="008B6CFC">
        <w:rPr>
          <w:lang w:val="en-GB"/>
        </w:rPr>
        <w:br w:type="page"/>
      </w:r>
    </w:p>
    <w:p w:rsidR="00037B52" w:rsidRPr="00C86160" w:rsidRDefault="00037B52" w:rsidP="00037B52">
      <w:pPr>
        <w:pStyle w:val="Heading2"/>
        <w:rPr>
          <w:szCs w:val="22"/>
          <w:lang w:val="en-GB"/>
        </w:rPr>
      </w:pPr>
      <w:bookmarkStart w:id="0" w:name="_Toc503177890"/>
      <w:r w:rsidRPr="00C86160">
        <w:rPr>
          <w:szCs w:val="22"/>
          <w:lang w:val="en-GB"/>
        </w:rPr>
        <w:lastRenderedPageBreak/>
        <w:t>SUMMARY OF REQUIREMENT</w:t>
      </w:r>
      <w:bookmarkEnd w:id="0"/>
      <w:r w:rsidRPr="00C86160">
        <w:rPr>
          <w:szCs w:val="22"/>
          <w:lang w:val="en-GB"/>
        </w:rPr>
        <w:t xml:space="preserve"> </w:t>
      </w:r>
    </w:p>
    <w:p w:rsidR="00037B52" w:rsidRPr="00C86160" w:rsidRDefault="00037B52" w:rsidP="00037B52">
      <w:pPr>
        <w:pStyle w:val="ListParagraph"/>
        <w:numPr>
          <w:ilvl w:val="0"/>
          <w:numId w:val="1"/>
        </w:numPr>
        <w:spacing w:after="120"/>
        <w:jc w:val="both"/>
        <w:rPr>
          <w:rFonts w:eastAsia="Calibri" w:cs="Arial"/>
          <w:lang w:val="en-GB" w:eastAsia="en-US"/>
        </w:rPr>
      </w:pPr>
      <w:r w:rsidRPr="00C86160">
        <w:rPr>
          <w:rFonts w:eastAsia="Calibri" w:cs="Arial"/>
          <w:lang w:val="en-GB" w:eastAsia="en-US"/>
        </w:rPr>
        <w:t xml:space="preserve">The Foreign and Commonwealth Office (FCO), seeks to appoint one supplier </w:t>
      </w:r>
      <w:r w:rsidR="00BA6BE3">
        <w:rPr>
          <w:rFonts w:eastAsia="Calibri" w:cs="Arial"/>
          <w:lang w:val="en-GB" w:eastAsia="en-US"/>
        </w:rPr>
        <w:t>that</w:t>
      </w:r>
      <w:r w:rsidR="00BA6BE3" w:rsidRPr="00EC5845">
        <w:rPr>
          <w:rFonts w:eastAsia="Calibri" w:cs="Arial"/>
          <w:lang w:val="en-GB" w:eastAsia="en-US"/>
        </w:rPr>
        <w:t xml:space="preserve"> </w:t>
      </w:r>
      <w:r w:rsidR="00904C30" w:rsidRPr="00EC5845">
        <w:rPr>
          <w:rFonts w:eastAsia="Calibri" w:cs="Arial"/>
          <w:lang w:val="en-GB" w:eastAsia="en-US"/>
        </w:rPr>
        <w:t>will support the Mexican Bank</w:t>
      </w:r>
      <w:r w:rsidR="00CB720E" w:rsidRPr="00EC5845">
        <w:rPr>
          <w:rFonts w:eastAsia="Calibri" w:cs="Arial"/>
          <w:lang w:val="en-GB" w:eastAsia="en-US"/>
        </w:rPr>
        <w:t>ing</w:t>
      </w:r>
      <w:r w:rsidR="00904C30" w:rsidRPr="00EC5845">
        <w:rPr>
          <w:rFonts w:eastAsia="Calibri" w:cs="Arial"/>
          <w:lang w:val="en-GB" w:eastAsia="en-US"/>
        </w:rPr>
        <w:t xml:space="preserve"> Association</w:t>
      </w:r>
      <w:r w:rsidR="00CB720E" w:rsidRPr="00EC5845">
        <w:rPr>
          <w:rFonts w:eastAsia="Calibri" w:cs="Arial"/>
          <w:lang w:val="en-GB" w:eastAsia="en-US"/>
        </w:rPr>
        <w:t xml:space="preserve"> (ABM)</w:t>
      </w:r>
      <w:r w:rsidR="00904C30" w:rsidRPr="00EC5845">
        <w:rPr>
          <w:rFonts w:eastAsia="Calibri" w:cs="Arial"/>
          <w:lang w:val="en-GB" w:eastAsia="en-US"/>
        </w:rPr>
        <w:t xml:space="preserve"> </w:t>
      </w:r>
      <w:r w:rsidR="003A542D" w:rsidRPr="00EC5845">
        <w:rPr>
          <w:rFonts w:eastAsia="Calibri" w:cs="Arial"/>
          <w:lang w:val="en-GB" w:eastAsia="en-US"/>
        </w:rPr>
        <w:t xml:space="preserve">by </w:t>
      </w:r>
      <w:r w:rsidR="00904C30" w:rsidRPr="00EC5845">
        <w:rPr>
          <w:rFonts w:eastAsia="Calibri" w:cs="Arial"/>
          <w:lang w:val="en-GB" w:eastAsia="en-US"/>
        </w:rPr>
        <w:t>develop</w:t>
      </w:r>
      <w:r w:rsidR="003A542D" w:rsidRPr="00EC5845">
        <w:rPr>
          <w:rFonts w:eastAsia="Calibri" w:cs="Arial"/>
          <w:lang w:val="en-GB" w:eastAsia="en-US"/>
        </w:rPr>
        <w:t>ing</w:t>
      </w:r>
      <w:r w:rsidR="00904C30" w:rsidRPr="00EC5845">
        <w:rPr>
          <w:rFonts w:eastAsia="Calibri" w:cs="Arial"/>
          <w:lang w:val="en-GB" w:eastAsia="en-US"/>
        </w:rPr>
        <w:t xml:space="preserve"> a</w:t>
      </w:r>
      <w:r w:rsidR="00CB720E" w:rsidRPr="00EC5845">
        <w:rPr>
          <w:rFonts w:eastAsia="Calibri" w:cs="Arial"/>
          <w:lang w:val="en-GB" w:eastAsia="en-US"/>
        </w:rPr>
        <w:t>n application</w:t>
      </w:r>
      <w:r w:rsidR="00904C30" w:rsidRPr="00EC5845">
        <w:rPr>
          <w:rFonts w:eastAsia="Calibri" w:cs="Arial"/>
          <w:lang w:val="en-GB" w:eastAsia="en-US"/>
        </w:rPr>
        <w:t xml:space="preserve"> framework </w:t>
      </w:r>
      <w:r w:rsidR="00CB720E" w:rsidRPr="00EC5845">
        <w:rPr>
          <w:lang w:val="en-GB"/>
        </w:rPr>
        <w:t xml:space="preserve">to design an outline for cyber security best practices </w:t>
      </w:r>
      <w:r w:rsidR="00904C30" w:rsidRPr="00EC5845">
        <w:rPr>
          <w:rFonts w:eastAsia="Calibri" w:cs="Arial"/>
          <w:lang w:val="en-GB" w:eastAsia="en-US"/>
        </w:rPr>
        <w:t xml:space="preserve">that </w:t>
      </w:r>
      <w:r w:rsidR="009D7323" w:rsidRPr="00EC5845">
        <w:rPr>
          <w:rFonts w:eastAsia="Calibri" w:cs="Arial"/>
          <w:lang w:val="en-GB" w:eastAsia="en-US"/>
        </w:rPr>
        <w:t>could</w:t>
      </w:r>
      <w:r w:rsidR="006E6820" w:rsidRPr="00EC5845">
        <w:rPr>
          <w:rFonts w:eastAsia="Calibri" w:cs="Arial"/>
          <w:lang w:val="en-GB" w:eastAsia="en-US"/>
        </w:rPr>
        <w:t xml:space="preserve"> </w:t>
      </w:r>
      <w:r w:rsidR="00904C30" w:rsidRPr="00EC5845">
        <w:rPr>
          <w:rFonts w:eastAsia="Calibri" w:cs="Arial"/>
          <w:lang w:val="en-GB" w:eastAsia="en-US"/>
        </w:rPr>
        <w:t xml:space="preserve">be used by </w:t>
      </w:r>
      <w:r w:rsidR="003A542D" w:rsidRPr="00EC5845">
        <w:rPr>
          <w:rFonts w:eastAsia="Calibri" w:cs="Arial"/>
          <w:lang w:val="en-GB" w:eastAsia="en-US"/>
        </w:rPr>
        <w:t>F</w:t>
      </w:r>
      <w:r w:rsidR="00904C30" w:rsidRPr="00EC5845">
        <w:rPr>
          <w:rFonts w:eastAsia="Calibri" w:cs="Arial"/>
          <w:lang w:val="en-GB" w:eastAsia="en-US"/>
        </w:rPr>
        <w:t xml:space="preserve">inancial </w:t>
      </w:r>
      <w:r w:rsidR="003A542D" w:rsidRPr="00EC5845">
        <w:rPr>
          <w:rFonts w:eastAsia="Calibri" w:cs="Arial"/>
          <w:lang w:val="en-GB" w:eastAsia="en-US"/>
        </w:rPr>
        <w:t>I</w:t>
      </w:r>
      <w:r w:rsidR="00904C30" w:rsidRPr="00EC5845">
        <w:rPr>
          <w:rFonts w:eastAsia="Calibri" w:cs="Arial"/>
          <w:lang w:val="en-GB" w:eastAsia="en-US"/>
        </w:rPr>
        <w:t>nstitutions</w:t>
      </w:r>
      <w:r w:rsidR="003A542D" w:rsidRPr="00EC5845">
        <w:rPr>
          <w:rFonts w:eastAsia="Calibri" w:cs="Arial"/>
          <w:lang w:val="en-GB" w:eastAsia="en-US"/>
        </w:rPr>
        <w:t xml:space="preserve"> in Mexico</w:t>
      </w:r>
      <w:r w:rsidR="00904C30" w:rsidRPr="00EC5845">
        <w:rPr>
          <w:rFonts w:eastAsia="Calibri" w:cs="Arial"/>
          <w:lang w:val="en-GB" w:eastAsia="en-US"/>
        </w:rPr>
        <w:t xml:space="preserve"> to enhance their</w:t>
      </w:r>
      <w:r w:rsidR="003A542D" w:rsidRPr="00EC5845">
        <w:rPr>
          <w:rFonts w:eastAsia="Calibri" w:cs="Arial"/>
          <w:lang w:val="en-GB" w:eastAsia="en-US"/>
        </w:rPr>
        <w:t xml:space="preserve"> cyber</w:t>
      </w:r>
      <w:r w:rsidR="00904C30" w:rsidRPr="00EC5845">
        <w:rPr>
          <w:rFonts w:eastAsia="Calibri" w:cs="Arial"/>
          <w:lang w:val="en-GB" w:eastAsia="en-US"/>
        </w:rPr>
        <w:t xml:space="preserve"> security controls and </w:t>
      </w:r>
      <w:r w:rsidR="003A542D" w:rsidRPr="00EC5845">
        <w:rPr>
          <w:rFonts w:eastAsia="Calibri" w:cs="Arial"/>
          <w:lang w:val="en-GB" w:eastAsia="en-US"/>
        </w:rPr>
        <w:t xml:space="preserve">potentially </w:t>
      </w:r>
      <w:r w:rsidR="00904C30" w:rsidRPr="00EC5845">
        <w:rPr>
          <w:rFonts w:eastAsia="Calibri" w:cs="Arial"/>
          <w:lang w:val="en-GB" w:eastAsia="en-US"/>
        </w:rPr>
        <w:t xml:space="preserve">adopt </w:t>
      </w:r>
      <w:r w:rsidR="003A542D" w:rsidRPr="00EC5845">
        <w:rPr>
          <w:rFonts w:eastAsia="Calibri" w:cs="Arial"/>
          <w:lang w:val="en-GB" w:eastAsia="en-US"/>
        </w:rPr>
        <w:t xml:space="preserve">international (including UK) </w:t>
      </w:r>
      <w:r w:rsidR="00904C30" w:rsidRPr="00EC5845">
        <w:rPr>
          <w:rFonts w:eastAsia="Calibri" w:cs="Arial"/>
          <w:lang w:val="en-GB" w:eastAsia="en-US"/>
        </w:rPr>
        <w:t>best practices related to cyber</w:t>
      </w:r>
      <w:r w:rsidR="003A542D" w:rsidRPr="00EC5845">
        <w:rPr>
          <w:rFonts w:eastAsia="Calibri" w:cs="Arial"/>
          <w:lang w:val="en-GB" w:eastAsia="en-US"/>
        </w:rPr>
        <w:t xml:space="preserve"> </w:t>
      </w:r>
      <w:r w:rsidR="00904C30" w:rsidRPr="00EC5845">
        <w:rPr>
          <w:rFonts w:eastAsia="Calibri" w:cs="Arial"/>
          <w:lang w:val="en-GB" w:eastAsia="en-US"/>
        </w:rPr>
        <w:t>security.</w:t>
      </w:r>
      <w:r w:rsidR="00BA6BE3" w:rsidRPr="00EC5845">
        <w:rPr>
          <w:rFonts w:eastAsia="Calibri" w:cs="Arial"/>
          <w:lang w:val="en-GB" w:eastAsia="en-US"/>
        </w:rPr>
        <w:t xml:space="preserve"> </w:t>
      </w:r>
      <w:r w:rsidR="00BA6BE3">
        <w:rPr>
          <w:rFonts w:eastAsia="Calibri" w:cs="Arial"/>
          <w:lang w:val="en-GB" w:eastAsia="en-US"/>
        </w:rPr>
        <w:t xml:space="preserve">This supplier is expected </w:t>
      </w:r>
      <w:r w:rsidRPr="00C86160">
        <w:rPr>
          <w:rFonts w:eastAsia="Calibri" w:cs="Arial"/>
          <w:lang w:val="en-GB" w:eastAsia="en-US"/>
        </w:rPr>
        <w:t xml:space="preserve">to </w:t>
      </w:r>
      <w:r w:rsidR="00BA6BE3">
        <w:rPr>
          <w:rFonts w:eastAsia="Calibri" w:cs="Arial"/>
          <w:lang w:val="en-GB" w:eastAsia="en-US"/>
        </w:rPr>
        <w:t xml:space="preserve">provide technical capabilities </w:t>
      </w:r>
      <w:r w:rsidRPr="00C86160">
        <w:rPr>
          <w:rFonts w:eastAsia="Calibri" w:cs="Arial"/>
          <w:lang w:val="en-GB" w:eastAsia="en-US"/>
        </w:rPr>
        <w:t>as described in detail</w:t>
      </w:r>
      <w:r w:rsidR="00C86160">
        <w:rPr>
          <w:rFonts w:eastAsia="Calibri" w:cs="Arial"/>
          <w:lang w:val="en-GB" w:eastAsia="en-US"/>
        </w:rPr>
        <w:t xml:space="preserve"> in section</w:t>
      </w:r>
      <w:r w:rsidRPr="00C86160">
        <w:rPr>
          <w:rFonts w:eastAsia="Calibri" w:cs="Arial"/>
          <w:lang w:val="en-GB" w:eastAsia="en-US"/>
        </w:rPr>
        <w:t xml:space="preserve"> </w:t>
      </w:r>
      <w:r w:rsidR="00EC5845">
        <w:rPr>
          <w:rFonts w:eastAsia="Calibri" w:cs="Arial"/>
          <w:lang w:val="en-GB" w:eastAsia="en-US"/>
        </w:rPr>
        <w:t>7</w:t>
      </w:r>
      <w:r w:rsidR="00C86160">
        <w:rPr>
          <w:rFonts w:eastAsia="Calibri" w:cs="Arial"/>
          <w:lang w:val="en-GB" w:eastAsia="en-US"/>
        </w:rPr>
        <w:t xml:space="preserve"> </w:t>
      </w:r>
      <w:r w:rsidRPr="00C86160">
        <w:rPr>
          <w:rFonts w:eastAsia="Calibri" w:cs="Arial"/>
          <w:lang w:val="en-GB" w:eastAsia="en-US"/>
        </w:rPr>
        <w:t xml:space="preserve">for the implementation of year 2 (FY17-18) </w:t>
      </w:r>
      <w:r w:rsidR="003A542D">
        <w:rPr>
          <w:rFonts w:eastAsia="Calibri" w:cs="Arial"/>
          <w:lang w:val="en-GB" w:eastAsia="en-US"/>
        </w:rPr>
        <w:t>non ODA Prosperity Fund activities</w:t>
      </w:r>
      <w:r w:rsidRPr="00C86160">
        <w:rPr>
          <w:rFonts w:eastAsia="Calibri" w:cs="Arial"/>
          <w:lang w:val="en-GB" w:eastAsia="en-US"/>
        </w:rPr>
        <w:t xml:space="preserve"> in Mexico entitled </w:t>
      </w:r>
      <w:r w:rsidRPr="00C86160">
        <w:rPr>
          <w:rFonts w:eastAsia="Calibri" w:cs="Arial"/>
          <w:b/>
          <w:lang w:val="en-GB" w:eastAsia="en-US"/>
        </w:rPr>
        <w:t>Business Environment</w:t>
      </w:r>
      <w:r w:rsidR="003A542D">
        <w:rPr>
          <w:rFonts w:eastAsia="Calibri" w:cs="Arial"/>
          <w:lang w:val="en-GB" w:eastAsia="en-US"/>
        </w:rPr>
        <w:t>.</w:t>
      </w:r>
    </w:p>
    <w:p w:rsidR="00037B52" w:rsidRPr="00C86160" w:rsidRDefault="00037B52" w:rsidP="00037B52">
      <w:pPr>
        <w:pStyle w:val="Heading2"/>
        <w:rPr>
          <w:szCs w:val="22"/>
        </w:rPr>
      </w:pPr>
      <w:bookmarkStart w:id="1" w:name="_Toc503177891"/>
      <w:r w:rsidRPr="00C86160">
        <w:rPr>
          <w:szCs w:val="22"/>
        </w:rPr>
        <w:t>INTRODUCTION</w:t>
      </w:r>
      <w:bookmarkEnd w:id="1"/>
      <w:r w:rsidRPr="00C86160">
        <w:rPr>
          <w:szCs w:val="22"/>
        </w:rPr>
        <w:t xml:space="preserve">  </w:t>
      </w:r>
    </w:p>
    <w:p w:rsidR="00037B52" w:rsidRPr="00C86160" w:rsidRDefault="00037B52" w:rsidP="00037B52">
      <w:pPr>
        <w:pStyle w:val="NoSpacing"/>
        <w:numPr>
          <w:ilvl w:val="0"/>
          <w:numId w:val="1"/>
        </w:numPr>
        <w:spacing w:after="120" w:line="276" w:lineRule="auto"/>
        <w:jc w:val="both"/>
        <w:rPr>
          <w:rFonts w:asciiTheme="minorHAnsi" w:hAnsiTheme="minorHAnsi" w:cs="Arial"/>
        </w:rPr>
      </w:pPr>
      <w:r w:rsidRPr="00C86160">
        <w:rPr>
          <w:rFonts w:asciiTheme="minorHAnsi" w:hAnsiTheme="minorHAnsi" w:cs="Arial"/>
        </w:rPr>
        <w:t xml:space="preserve">In 2015, the UK government’s </w:t>
      </w:r>
      <w:r w:rsidRPr="00C86160">
        <w:rPr>
          <w:rFonts w:asciiTheme="minorHAnsi" w:hAnsiTheme="minorHAnsi" w:cs="Arial"/>
          <w:b/>
        </w:rPr>
        <w:t>Strategic Defence and Security Review</w:t>
      </w:r>
      <w:r w:rsidRPr="00C86160">
        <w:rPr>
          <w:rFonts w:asciiTheme="minorHAnsi" w:hAnsiTheme="minorHAnsi" w:cs="Arial"/>
        </w:rPr>
        <w:t xml:space="preserve"> announced a </w:t>
      </w:r>
      <w:r w:rsidRPr="007F2C6B">
        <w:rPr>
          <w:rFonts w:asciiTheme="minorHAnsi" w:hAnsiTheme="minorHAnsi" w:cs="Arial"/>
          <w:b/>
        </w:rPr>
        <w:t>£1.3billion</w:t>
      </w:r>
      <w:r w:rsidRPr="00C86160">
        <w:rPr>
          <w:rFonts w:asciiTheme="minorHAnsi" w:hAnsiTheme="minorHAnsi" w:cs="Arial"/>
          <w:b/>
        </w:rPr>
        <w:t xml:space="preserve"> cross-government Prosperity Fund (PF)</w:t>
      </w:r>
      <w:r w:rsidRPr="00C86160">
        <w:rPr>
          <w:rFonts w:asciiTheme="minorHAnsi" w:hAnsiTheme="minorHAnsi" w:cs="Arial"/>
        </w:rPr>
        <w:t xml:space="preserve"> to run over five years (2016/17 to 2020/21). Its primary purpose is to promote the economic reform and development needed for growth in partner countries, in accordance with Overseas Development Assistance (ODA) rules, the UK’s International Development Act (2002), and the Gender Equality Act (2014).The Fund’s secondary objective is to open up opportunities for which business, including UK businesses, can compete. The UK government is looking to identify and support programmes that meet </w:t>
      </w:r>
      <w:r w:rsidRPr="00C86160">
        <w:rPr>
          <w:rFonts w:asciiTheme="minorHAnsi" w:hAnsiTheme="minorHAnsi" w:cs="Arial"/>
          <w:u w:val="single"/>
        </w:rPr>
        <w:t>both</w:t>
      </w:r>
      <w:r w:rsidRPr="00C86160">
        <w:rPr>
          <w:rFonts w:asciiTheme="minorHAnsi" w:hAnsiTheme="minorHAnsi" w:cs="Arial"/>
        </w:rPr>
        <w:t xml:space="preserve"> the Fund’s primary </w:t>
      </w:r>
      <w:r w:rsidRPr="00C86160">
        <w:rPr>
          <w:rFonts w:asciiTheme="minorHAnsi" w:hAnsiTheme="minorHAnsi" w:cs="Arial"/>
          <w:u w:val="single"/>
        </w:rPr>
        <w:t>and</w:t>
      </w:r>
      <w:r w:rsidRPr="00C86160">
        <w:rPr>
          <w:rFonts w:asciiTheme="minorHAnsi" w:hAnsiTheme="minorHAnsi" w:cs="Arial"/>
        </w:rPr>
        <w:t xml:space="preserve"> secondary objectives. The Prosperity Fund will focus on sectors and countries where there is clear potential for high-impact work. In Mexico the focus for the PF is in the sectors of Energy, Future Cities, Financial Services and Business Environment.</w:t>
      </w:r>
    </w:p>
    <w:p w:rsidR="00037B52" w:rsidRPr="00C86160" w:rsidRDefault="00037B52" w:rsidP="00F55385">
      <w:pPr>
        <w:pStyle w:val="ListParagraph"/>
        <w:numPr>
          <w:ilvl w:val="0"/>
          <w:numId w:val="1"/>
        </w:numPr>
        <w:spacing w:after="120"/>
        <w:ind w:left="714" w:hanging="357"/>
        <w:jc w:val="both"/>
        <w:rPr>
          <w:rFonts w:cs="Arial"/>
          <w:lang w:val="en-GB"/>
        </w:rPr>
      </w:pPr>
      <w:r w:rsidRPr="00C86160">
        <w:rPr>
          <w:rFonts w:cs="Arial"/>
          <w:lang w:val="en-GB" w:eastAsia="en-GB"/>
        </w:rPr>
        <w:t xml:space="preserve">The purpose of this service is </w:t>
      </w:r>
      <w:r w:rsidRPr="00C86160">
        <w:rPr>
          <w:rFonts w:eastAsia="Calibri" w:cs="Arial"/>
          <w:lang w:val="en-GB" w:eastAsia="en-US"/>
        </w:rPr>
        <w:t xml:space="preserve">to provide the services </w:t>
      </w:r>
      <w:r w:rsidR="00C86160">
        <w:rPr>
          <w:rFonts w:eastAsia="Calibri" w:cs="Arial"/>
          <w:lang w:val="en-GB" w:eastAsia="en-US"/>
        </w:rPr>
        <w:t>described in section</w:t>
      </w:r>
      <w:r w:rsidRPr="00C86160">
        <w:rPr>
          <w:rFonts w:eastAsia="Calibri" w:cs="Arial"/>
          <w:lang w:val="en-GB" w:eastAsia="en-US"/>
        </w:rPr>
        <w:t xml:space="preserve"> </w:t>
      </w:r>
      <w:r w:rsidR="00C86160">
        <w:rPr>
          <w:rFonts w:eastAsia="Calibri" w:cs="Arial"/>
          <w:lang w:val="en-GB" w:eastAsia="en-US"/>
        </w:rPr>
        <w:t>10</w:t>
      </w:r>
      <w:r w:rsidRPr="00C86160">
        <w:rPr>
          <w:rFonts w:eastAsia="Calibri" w:cs="Arial"/>
          <w:lang w:val="en-GB" w:eastAsia="en-US"/>
        </w:rPr>
        <w:t xml:space="preserve"> that will contribute to</w:t>
      </w:r>
      <w:r w:rsidRPr="00C86160">
        <w:rPr>
          <w:rFonts w:cs="Arial"/>
          <w:lang w:val="en-GB" w:eastAsia="en-GB"/>
        </w:rPr>
        <w:t xml:space="preserve"> the development and successful delivery of Prosperity Fund programme. This will improve the Business Environmen</w:t>
      </w:r>
      <w:r w:rsidR="00EC5845">
        <w:rPr>
          <w:rFonts w:cs="Arial"/>
          <w:lang w:val="en-GB" w:eastAsia="en-GB"/>
        </w:rPr>
        <w:t>t,</w:t>
      </w:r>
      <w:r w:rsidRPr="00C86160">
        <w:rPr>
          <w:rFonts w:cs="Arial"/>
          <w:lang w:val="en-GB" w:eastAsia="en-GB"/>
        </w:rPr>
        <w:t xml:space="preserve"> facilitate Mexico’s economic growth and open opportunities for business, including UK business, with relevant capabilities.</w:t>
      </w:r>
      <w:r w:rsidR="00F55385">
        <w:rPr>
          <w:rFonts w:eastAsia="Calibri" w:cs="Arial"/>
          <w:lang w:val="en-GB" w:eastAsia="en-US"/>
        </w:rPr>
        <w:t xml:space="preserve"> The activities under the scope of this TORs will be funded under the NON ODA portfolio. This means that activities are meant to contribute to unlock the secondary benefits of the PF. </w:t>
      </w:r>
    </w:p>
    <w:p w:rsidR="00037B52" w:rsidRPr="00C86160" w:rsidRDefault="00037B52" w:rsidP="00037B52">
      <w:pPr>
        <w:pStyle w:val="Heading2"/>
        <w:rPr>
          <w:szCs w:val="22"/>
          <w:lang w:val="en-GB"/>
        </w:rPr>
      </w:pPr>
      <w:bookmarkStart w:id="2" w:name="_Toc503177893"/>
      <w:r w:rsidRPr="00C86160">
        <w:rPr>
          <w:szCs w:val="22"/>
          <w:lang w:val="en-GB"/>
        </w:rPr>
        <w:t>OBJECTIVE</w:t>
      </w:r>
      <w:bookmarkEnd w:id="2"/>
    </w:p>
    <w:p w:rsidR="00037B52" w:rsidRPr="00EC5845" w:rsidRDefault="00037B52" w:rsidP="00037B52">
      <w:pPr>
        <w:pStyle w:val="Heading2"/>
        <w:numPr>
          <w:ilvl w:val="0"/>
          <w:numId w:val="1"/>
        </w:numPr>
        <w:spacing w:before="0"/>
        <w:rPr>
          <w:rFonts w:cs="Arial"/>
          <w:b w:val="0"/>
          <w:szCs w:val="22"/>
          <w:lang w:val="en-GB"/>
        </w:rPr>
      </w:pPr>
      <w:bookmarkStart w:id="3" w:name="_Toc503177894"/>
      <w:r w:rsidRPr="00F55385">
        <w:rPr>
          <w:rFonts w:cs="Arial"/>
          <w:b w:val="0"/>
          <w:szCs w:val="22"/>
          <w:lang w:val="en-GB"/>
        </w:rPr>
        <w:t xml:space="preserve">Within the Business Environment strand we are working to identify where our interventions will have the most added value in years to come. </w:t>
      </w:r>
      <w:bookmarkEnd w:id="3"/>
      <w:r w:rsidR="003A542D" w:rsidRPr="00EC5845">
        <w:rPr>
          <w:rFonts w:cs="Arial"/>
          <w:b w:val="0"/>
          <w:szCs w:val="22"/>
          <w:lang w:val="en-GB"/>
        </w:rPr>
        <w:t>As part of this we are considering how to support Mexico’s efforts in building a</w:t>
      </w:r>
      <w:r w:rsidR="00EC5845">
        <w:rPr>
          <w:rFonts w:cs="Arial"/>
          <w:b w:val="0"/>
          <w:szCs w:val="22"/>
          <w:lang w:val="en-GB"/>
        </w:rPr>
        <w:t>n application</w:t>
      </w:r>
      <w:r w:rsidR="003A542D" w:rsidRPr="00EC5845">
        <w:rPr>
          <w:rFonts w:cs="Arial"/>
          <w:b w:val="0"/>
          <w:szCs w:val="22"/>
          <w:lang w:val="en-GB"/>
        </w:rPr>
        <w:t xml:space="preserve"> framework for cyber security, particularly </w:t>
      </w:r>
      <w:r w:rsidR="00EC5845">
        <w:rPr>
          <w:rFonts w:cs="Arial"/>
          <w:b w:val="0"/>
          <w:szCs w:val="22"/>
          <w:lang w:val="en-GB"/>
        </w:rPr>
        <w:t>for</w:t>
      </w:r>
      <w:r w:rsidR="003A542D" w:rsidRPr="00EC5845">
        <w:rPr>
          <w:rFonts w:cs="Arial"/>
          <w:b w:val="0"/>
          <w:szCs w:val="22"/>
          <w:lang w:val="en-GB"/>
        </w:rPr>
        <w:t xml:space="preserve"> financial institutions. There are lessons that have been learned in other parts of the world on this subject and the Prosperity Fund aims to share international (including UK) best practices in the form of technical assistance</w:t>
      </w:r>
    </w:p>
    <w:p w:rsidR="00F55385" w:rsidRDefault="00F55385" w:rsidP="00F55385">
      <w:pPr>
        <w:pStyle w:val="ListParagraph"/>
        <w:widowControl w:val="0"/>
        <w:autoSpaceDE w:val="0"/>
        <w:autoSpaceDN w:val="0"/>
        <w:adjustRightInd w:val="0"/>
        <w:spacing w:after="240"/>
        <w:jc w:val="both"/>
        <w:rPr>
          <w:rFonts w:cs="Arial"/>
          <w:lang w:val="en-GB"/>
        </w:rPr>
      </w:pPr>
    </w:p>
    <w:p w:rsidR="00037B52" w:rsidRDefault="00037B52" w:rsidP="00037B52">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In order to achieve the objective, the supplier must focus its interventions on the development and facilitation of improvements to the business environment. The supplier must collaborate with the British Embassy in Mexico City and the </w:t>
      </w:r>
      <w:r w:rsidR="00F55385">
        <w:rPr>
          <w:rFonts w:cs="Arial"/>
          <w:lang w:val="en-GB"/>
        </w:rPr>
        <w:t>Mexican Banking Association</w:t>
      </w:r>
      <w:r w:rsidRPr="00C86160">
        <w:rPr>
          <w:rFonts w:cs="Arial"/>
          <w:lang w:val="en-GB"/>
        </w:rPr>
        <w:t xml:space="preserve"> to identify and reach agreement on interventions that will have the greatest potential impact on the improvement of the sectors above. These interventions may be </w:t>
      </w:r>
      <w:r w:rsidRPr="00C86160">
        <w:rPr>
          <w:rFonts w:cs="Arial"/>
          <w:lang w:val="en-GB" w:eastAsia="en-GB"/>
        </w:rPr>
        <w:t xml:space="preserve">(but not limited to) </w:t>
      </w:r>
      <w:r w:rsidRPr="00C86160">
        <w:rPr>
          <w:rFonts w:cs="Arial"/>
          <w:lang w:val="en-GB"/>
        </w:rPr>
        <w:t>in the form of policy reforms, improved implementation of reforms, or the introduction of new processes or practices that improve the conditions in Mexico.</w:t>
      </w:r>
    </w:p>
    <w:p w:rsidR="00EC5845" w:rsidRPr="00EC5845" w:rsidRDefault="00EC5845" w:rsidP="00EC5845">
      <w:pPr>
        <w:pStyle w:val="ListParagraph"/>
        <w:rPr>
          <w:rFonts w:cs="Arial"/>
          <w:lang w:val="en-GB"/>
        </w:rPr>
      </w:pPr>
    </w:p>
    <w:p w:rsidR="00F55385" w:rsidRPr="00C86160" w:rsidRDefault="00F55385" w:rsidP="00037B52">
      <w:pPr>
        <w:pStyle w:val="ListParagraph"/>
        <w:widowControl w:val="0"/>
        <w:autoSpaceDE w:val="0"/>
        <w:autoSpaceDN w:val="0"/>
        <w:adjustRightInd w:val="0"/>
        <w:spacing w:before="240"/>
        <w:rPr>
          <w:rFonts w:cs="Arial"/>
          <w:lang w:val="en-GB"/>
        </w:rPr>
      </w:pPr>
    </w:p>
    <w:p w:rsidR="00037B52" w:rsidRPr="00C86160" w:rsidRDefault="00037B52" w:rsidP="00037B52">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The supplier must </w:t>
      </w:r>
      <w:r w:rsidR="00724F9A">
        <w:rPr>
          <w:rFonts w:cs="Arial"/>
          <w:lang w:val="en-GB"/>
        </w:rPr>
        <w:t xml:space="preserve">include in their proposal </w:t>
      </w:r>
      <w:r w:rsidR="00EC5845">
        <w:rPr>
          <w:rFonts w:cs="Arial"/>
          <w:lang w:val="en-GB"/>
        </w:rPr>
        <w:t>how delivery against the output</w:t>
      </w:r>
      <w:r w:rsidR="00724F9A">
        <w:rPr>
          <w:rFonts w:cs="Arial"/>
          <w:lang w:val="en-GB"/>
        </w:rPr>
        <w:t xml:space="preserve"> below will be measured</w:t>
      </w:r>
      <w:r w:rsidRPr="00C86160">
        <w:rPr>
          <w:rFonts w:cs="Arial"/>
          <w:lang w:val="en-GB"/>
        </w:rPr>
        <w:t xml:space="preserve">. The British Embassy in Mexico City must approve the targets prior to beginning any interventions during the </w:t>
      </w:r>
      <w:r w:rsidR="00724F9A">
        <w:rPr>
          <w:rFonts w:cs="Arial"/>
          <w:lang w:val="en-GB"/>
        </w:rPr>
        <w:t>implementation of the contract.</w:t>
      </w:r>
    </w:p>
    <w:p w:rsidR="00F66A82" w:rsidRPr="003A542D" w:rsidRDefault="00F66A82" w:rsidP="00F66A82">
      <w:pPr>
        <w:pStyle w:val="Heading2"/>
        <w:rPr>
          <w:szCs w:val="22"/>
          <w:lang w:val="en-GB"/>
        </w:rPr>
      </w:pPr>
      <w:bookmarkStart w:id="4" w:name="_Toc503177895"/>
      <w:r w:rsidRPr="00C86160">
        <w:rPr>
          <w:szCs w:val="22"/>
          <w:lang w:val="en-GB"/>
        </w:rPr>
        <w:t>OUTPUTS / DELIVERABLES</w:t>
      </w:r>
      <w:bookmarkEnd w:id="4"/>
      <w:r w:rsidRPr="003A542D">
        <w:rPr>
          <w:szCs w:val="22"/>
          <w:lang w:val="en-GB"/>
        </w:rPr>
        <w:br/>
      </w:r>
    </w:p>
    <w:p w:rsidR="00F66A82" w:rsidRPr="00EC5845" w:rsidRDefault="00F66A82" w:rsidP="00F66A82">
      <w:pPr>
        <w:pStyle w:val="ListParagraph"/>
        <w:numPr>
          <w:ilvl w:val="0"/>
          <w:numId w:val="1"/>
        </w:numPr>
        <w:jc w:val="both"/>
        <w:rPr>
          <w:rFonts w:cs="Arial"/>
          <w:b/>
          <w:lang w:val="en-GB"/>
        </w:rPr>
      </w:pPr>
      <w:r w:rsidRPr="00EC5845">
        <w:rPr>
          <w:rFonts w:cs="Arial"/>
          <w:b/>
          <w:lang w:val="en-GB"/>
        </w:rPr>
        <w:t xml:space="preserve">There </w:t>
      </w:r>
      <w:r w:rsidR="003A542D" w:rsidRPr="00EC5845">
        <w:rPr>
          <w:rFonts w:cs="Arial"/>
          <w:b/>
          <w:lang w:val="en-GB"/>
        </w:rPr>
        <w:t>is one specific output</w:t>
      </w:r>
      <w:r w:rsidRPr="00EC5845">
        <w:rPr>
          <w:rFonts w:cs="Arial"/>
          <w:b/>
          <w:lang w:val="en-GB"/>
        </w:rPr>
        <w:t xml:space="preserve"> that the selected supplier is expected to deliver</w:t>
      </w:r>
      <w:r w:rsidR="003A542D" w:rsidRPr="00EC5845">
        <w:rPr>
          <w:rFonts w:cs="Arial"/>
          <w:b/>
          <w:lang w:val="en-GB"/>
        </w:rPr>
        <w:t xml:space="preserve"> in the form of a </w:t>
      </w:r>
      <w:r w:rsidR="00CB720E" w:rsidRPr="00EC5845">
        <w:rPr>
          <w:rFonts w:cs="Arial"/>
          <w:b/>
          <w:lang w:val="en-GB"/>
        </w:rPr>
        <w:t>report (in Spanish and English)</w:t>
      </w:r>
      <w:r w:rsidR="003A542D" w:rsidRPr="00EC5845">
        <w:rPr>
          <w:rFonts w:cs="Arial"/>
          <w:b/>
          <w:lang w:val="en-GB"/>
        </w:rPr>
        <w:t>. This report should include:</w:t>
      </w:r>
    </w:p>
    <w:p w:rsidR="003A542D" w:rsidRPr="00EC5845" w:rsidRDefault="003A542D" w:rsidP="003A542D">
      <w:pPr>
        <w:pStyle w:val="ListParagraph"/>
        <w:jc w:val="both"/>
        <w:rPr>
          <w:rFonts w:cs="Arial"/>
          <w:b/>
          <w:lang w:val="en-GB"/>
        </w:rPr>
      </w:pPr>
    </w:p>
    <w:p w:rsidR="00C60DD7" w:rsidRPr="00EC5845" w:rsidRDefault="003A542D" w:rsidP="00F55385">
      <w:pPr>
        <w:pStyle w:val="ListParagraph"/>
        <w:numPr>
          <w:ilvl w:val="0"/>
          <w:numId w:val="9"/>
        </w:numPr>
        <w:jc w:val="both"/>
        <w:rPr>
          <w:rFonts w:cs="Arial"/>
          <w:i/>
          <w:lang w:val="en-GB"/>
        </w:rPr>
      </w:pPr>
      <w:r w:rsidRPr="00EC5845">
        <w:rPr>
          <w:rFonts w:cs="Arial"/>
          <w:lang w:val="en-GB"/>
        </w:rPr>
        <w:t>Mapping of cyber s</w:t>
      </w:r>
      <w:r w:rsidR="00C60DD7" w:rsidRPr="00EC5845">
        <w:rPr>
          <w:rFonts w:cs="Arial"/>
          <w:lang w:val="en-GB"/>
        </w:rPr>
        <w:t xml:space="preserve">ecurity </w:t>
      </w:r>
      <w:r w:rsidR="00CB720E" w:rsidRPr="00EC5845">
        <w:rPr>
          <w:rFonts w:cs="Arial"/>
          <w:lang w:val="en-GB"/>
        </w:rPr>
        <w:t>best practices</w:t>
      </w:r>
      <w:r w:rsidRPr="00EC5845">
        <w:rPr>
          <w:rFonts w:cs="Arial"/>
          <w:i/>
          <w:lang w:val="en-GB"/>
        </w:rPr>
        <w:t xml:space="preserve"> </w:t>
      </w:r>
      <w:r w:rsidR="00CB720E" w:rsidRPr="00EC5845">
        <w:rPr>
          <w:rFonts w:cs="Arial"/>
          <w:i/>
          <w:lang w:val="en-GB"/>
        </w:rPr>
        <w:t>in</w:t>
      </w:r>
      <w:r w:rsidRPr="00EC5845">
        <w:rPr>
          <w:rFonts w:cs="Arial"/>
          <w:i/>
          <w:lang w:val="en-GB"/>
        </w:rPr>
        <w:t xml:space="preserve"> financial institutions in</w:t>
      </w:r>
      <w:r w:rsidR="0043150E" w:rsidRPr="00EC5845">
        <w:rPr>
          <w:rFonts w:cs="Arial"/>
          <w:i/>
          <w:lang w:val="en-GB"/>
        </w:rPr>
        <w:t xml:space="preserve"> Mexico vis a vis</w:t>
      </w:r>
      <w:r w:rsidRPr="00EC5845">
        <w:rPr>
          <w:rFonts w:cs="Arial"/>
          <w:i/>
          <w:lang w:val="en-GB"/>
        </w:rPr>
        <w:t xml:space="preserve"> the US and in the UK.</w:t>
      </w:r>
    </w:p>
    <w:p w:rsidR="003A542D" w:rsidRPr="00EC5845" w:rsidRDefault="003A542D" w:rsidP="003A542D">
      <w:pPr>
        <w:pStyle w:val="ListParagraph"/>
        <w:numPr>
          <w:ilvl w:val="0"/>
          <w:numId w:val="9"/>
        </w:numPr>
        <w:jc w:val="both"/>
        <w:rPr>
          <w:rFonts w:cs="Arial"/>
          <w:lang w:val="en-GB"/>
        </w:rPr>
      </w:pPr>
      <w:r w:rsidRPr="00EC5845">
        <w:rPr>
          <w:rFonts w:cs="Arial"/>
          <w:lang w:val="en-GB"/>
        </w:rPr>
        <w:t xml:space="preserve">Benchmark analysis to compare best practices to current situation in Mexico. </w:t>
      </w:r>
    </w:p>
    <w:p w:rsidR="003A542D" w:rsidRPr="00EC5845" w:rsidRDefault="003A542D" w:rsidP="00F55385">
      <w:pPr>
        <w:pStyle w:val="ListParagraph"/>
        <w:numPr>
          <w:ilvl w:val="0"/>
          <w:numId w:val="9"/>
        </w:numPr>
        <w:jc w:val="both"/>
        <w:rPr>
          <w:rFonts w:cs="Arial"/>
          <w:lang w:val="en-GB"/>
        </w:rPr>
      </w:pPr>
      <w:r w:rsidRPr="00EC5845">
        <w:rPr>
          <w:rFonts w:cs="Arial"/>
          <w:lang w:val="en-GB"/>
        </w:rPr>
        <w:t>Identification of regulation</w:t>
      </w:r>
      <w:r w:rsidR="00CB720E" w:rsidRPr="00EC5845">
        <w:rPr>
          <w:rFonts w:cs="Arial"/>
          <w:lang w:val="en-GB"/>
        </w:rPr>
        <w:t xml:space="preserve"> and best practices in financial institutions</w:t>
      </w:r>
      <w:r w:rsidRPr="00EC5845">
        <w:rPr>
          <w:rFonts w:cs="Arial"/>
          <w:lang w:val="en-GB"/>
        </w:rPr>
        <w:t xml:space="preserve"> used in </w:t>
      </w:r>
      <w:r w:rsidR="00025111" w:rsidRPr="00EC5845">
        <w:rPr>
          <w:rFonts w:cs="Arial"/>
          <w:lang w:val="en-GB"/>
        </w:rPr>
        <w:t>the two</w:t>
      </w:r>
      <w:r w:rsidRPr="00EC5845">
        <w:rPr>
          <w:rFonts w:cs="Arial"/>
          <w:lang w:val="en-GB"/>
        </w:rPr>
        <w:t xml:space="preserve"> countries</w:t>
      </w:r>
      <w:r w:rsidR="00025111" w:rsidRPr="00EC5845">
        <w:rPr>
          <w:rFonts w:cs="Arial"/>
          <w:lang w:val="en-GB"/>
        </w:rPr>
        <w:t xml:space="preserve"> above</w:t>
      </w:r>
      <w:r w:rsidRPr="00EC5845">
        <w:rPr>
          <w:rFonts w:cs="Arial"/>
          <w:lang w:val="en-GB"/>
        </w:rPr>
        <w:t xml:space="preserve"> that could be adapted to the Mexican market. </w:t>
      </w:r>
    </w:p>
    <w:p w:rsidR="00C60DD7" w:rsidRPr="00EC5845" w:rsidRDefault="003A542D" w:rsidP="00F55385">
      <w:pPr>
        <w:pStyle w:val="ListParagraph"/>
        <w:numPr>
          <w:ilvl w:val="0"/>
          <w:numId w:val="9"/>
        </w:numPr>
        <w:jc w:val="both"/>
        <w:rPr>
          <w:rFonts w:cs="Arial"/>
          <w:lang w:val="en-GB"/>
        </w:rPr>
      </w:pPr>
      <w:r w:rsidRPr="00EC5845">
        <w:rPr>
          <w:rFonts w:cs="Arial"/>
          <w:lang w:val="en-GB"/>
        </w:rPr>
        <w:t>C</w:t>
      </w:r>
      <w:r w:rsidR="00C60DD7" w:rsidRPr="00EC5845">
        <w:rPr>
          <w:rFonts w:cs="Arial"/>
          <w:lang w:val="en-GB"/>
        </w:rPr>
        <w:t>hallenges</w:t>
      </w:r>
      <w:r w:rsidRPr="00EC5845">
        <w:rPr>
          <w:rFonts w:cs="Arial"/>
          <w:lang w:val="en-GB"/>
        </w:rPr>
        <w:t xml:space="preserve"> for Financial Institutions in Mexico</w:t>
      </w:r>
      <w:r w:rsidR="0004341C" w:rsidRPr="00EC5845">
        <w:rPr>
          <w:rFonts w:cs="Arial"/>
          <w:lang w:val="en-GB"/>
        </w:rPr>
        <w:t xml:space="preserve"> to ado</w:t>
      </w:r>
      <w:r w:rsidRPr="00EC5845">
        <w:rPr>
          <w:rFonts w:cs="Arial"/>
          <w:lang w:val="en-GB"/>
        </w:rPr>
        <w:t xml:space="preserve">pt cyber security international </w:t>
      </w:r>
      <w:r w:rsidR="00CB720E" w:rsidRPr="00EC5845">
        <w:rPr>
          <w:rFonts w:cs="Arial"/>
          <w:lang w:val="en-GB"/>
        </w:rPr>
        <w:t>best practices</w:t>
      </w:r>
      <w:r w:rsidR="0004341C" w:rsidRPr="00EC5845">
        <w:rPr>
          <w:rFonts w:cs="Arial"/>
          <w:lang w:val="en-GB"/>
        </w:rPr>
        <w:t xml:space="preserve"> and</w:t>
      </w:r>
      <w:r w:rsidRPr="00EC5845">
        <w:rPr>
          <w:rFonts w:cs="Arial"/>
          <w:lang w:val="en-GB"/>
        </w:rPr>
        <w:t xml:space="preserve"> its </w:t>
      </w:r>
      <w:r w:rsidR="0004341C" w:rsidRPr="00EC5845">
        <w:rPr>
          <w:rFonts w:cs="Arial"/>
          <w:lang w:val="en-GB"/>
        </w:rPr>
        <w:t>implications.</w:t>
      </w:r>
    </w:p>
    <w:p w:rsidR="00EC5845" w:rsidRDefault="003A542D" w:rsidP="00CB720E">
      <w:pPr>
        <w:pStyle w:val="ListParagraph"/>
        <w:numPr>
          <w:ilvl w:val="0"/>
          <w:numId w:val="9"/>
        </w:numPr>
        <w:jc w:val="both"/>
        <w:rPr>
          <w:rFonts w:cs="Arial"/>
          <w:lang w:val="en-GB"/>
        </w:rPr>
      </w:pPr>
      <w:r w:rsidRPr="00EC5845">
        <w:rPr>
          <w:rFonts w:cs="Arial"/>
          <w:lang w:val="en-GB"/>
        </w:rPr>
        <w:t>Design of a c</w:t>
      </w:r>
      <w:r w:rsidR="0004341C" w:rsidRPr="00EC5845">
        <w:rPr>
          <w:rFonts w:cs="Arial"/>
          <w:lang w:val="en-GB"/>
        </w:rPr>
        <w:t>yber</w:t>
      </w:r>
      <w:r w:rsidRPr="00EC5845">
        <w:rPr>
          <w:rFonts w:cs="Arial"/>
          <w:lang w:val="en-GB"/>
        </w:rPr>
        <w:t xml:space="preserve"> </w:t>
      </w:r>
      <w:r w:rsidR="0004341C" w:rsidRPr="00EC5845">
        <w:rPr>
          <w:rFonts w:cs="Arial"/>
          <w:lang w:val="en-GB"/>
        </w:rPr>
        <w:t>security</w:t>
      </w:r>
      <w:r w:rsidR="00925E37" w:rsidRPr="00EC5845">
        <w:rPr>
          <w:rFonts w:cs="Arial"/>
          <w:lang w:val="en-GB"/>
        </w:rPr>
        <w:t xml:space="preserve"> application</w:t>
      </w:r>
      <w:r w:rsidR="0004341C" w:rsidRPr="00EC5845">
        <w:rPr>
          <w:rFonts w:cs="Arial"/>
          <w:lang w:val="en-GB"/>
        </w:rPr>
        <w:t xml:space="preserve"> </w:t>
      </w:r>
      <w:r w:rsidR="0043150E" w:rsidRPr="00EC5845">
        <w:rPr>
          <w:rFonts w:cs="Arial"/>
          <w:lang w:val="en-GB"/>
        </w:rPr>
        <w:t>framework</w:t>
      </w:r>
      <w:r w:rsidR="00CB720E" w:rsidRPr="00EC5845">
        <w:rPr>
          <w:rFonts w:cs="Arial"/>
          <w:lang w:val="en-GB"/>
        </w:rPr>
        <w:t xml:space="preserve"> </w:t>
      </w:r>
      <w:r w:rsidRPr="00EC5845">
        <w:rPr>
          <w:rFonts w:cs="Arial"/>
          <w:lang w:val="en-GB"/>
        </w:rPr>
        <w:t>for</w:t>
      </w:r>
      <w:r w:rsidR="00C60DD7" w:rsidRPr="00EC5845">
        <w:rPr>
          <w:rFonts w:cs="Arial"/>
          <w:lang w:val="en-GB"/>
        </w:rPr>
        <w:t xml:space="preserve"> financial institutions </w:t>
      </w:r>
      <w:r w:rsidRPr="00EC5845">
        <w:rPr>
          <w:rFonts w:cs="Arial"/>
          <w:lang w:val="en-GB"/>
        </w:rPr>
        <w:t>in Mexico. This should include international (including UK)</w:t>
      </w:r>
      <w:r w:rsidR="00C60DD7" w:rsidRPr="00EC5845">
        <w:rPr>
          <w:rFonts w:cs="Arial"/>
          <w:lang w:val="en-GB"/>
        </w:rPr>
        <w:t xml:space="preserve"> best practice</w:t>
      </w:r>
      <w:r w:rsidR="0004341C" w:rsidRPr="00EC5845">
        <w:rPr>
          <w:rFonts w:cs="Arial"/>
          <w:lang w:val="en-GB"/>
        </w:rPr>
        <w:t xml:space="preserve">s and </w:t>
      </w:r>
      <w:r w:rsidRPr="00EC5845">
        <w:rPr>
          <w:rFonts w:cs="Arial"/>
          <w:lang w:val="en-GB"/>
        </w:rPr>
        <w:t xml:space="preserve">indicators to </w:t>
      </w:r>
      <w:r w:rsidR="0004341C" w:rsidRPr="00EC5845">
        <w:rPr>
          <w:rFonts w:cs="Arial"/>
          <w:lang w:val="en-GB"/>
        </w:rPr>
        <w:t>measure their level of compliance</w:t>
      </w:r>
      <w:r w:rsidR="00EC5845">
        <w:rPr>
          <w:rFonts w:cs="Arial"/>
          <w:lang w:val="en-GB"/>
        </w:rPr>
        <w:t>.</w:t>
      </w:r>
    </w:p>
    <w:p w:rsidR="00F55385" w:rsidRPr="00EC5845" w:rsidRDefault="003A542D" w:rsidP="00EC5845">
      <w:pPr>
        <w:pStyle w:val="ListParagraph"/>
        <w:ind w:left="1440"/>
        <w:jc w:val="both"/>
        <w:rPr>
          <w:rFonts w:cs="Arial"/>
          <w:lang w:val="en-GB"/>
        </w:rPr>
      </w:pPr>
      <w:r w:rsidRPr="00EC5845">
        <w:rPr>
          <w:rFonts w:cs="Arial"/>
          <w:lang w:val="en-GB"/>
        </w:rPr>
        <w:t xml:space="preserve"> </w:t>
      </w:r>
    </w:p>
    <w:p w:rsidR="00117C9F" w:rsidRPr="00EC5845" w:rsidRDefault="00117C9F" w:rsidP="00EC5845">
      <w:pPr>
        <w:pStyle w:val="ListParagraph"/>
        <w:numPr>
          <w:ilvl w:val="0"/>
          <w:numId w:val="1"/>
        </w:numPr>
        <w:jc w:val="both"/>
        <w:rPr>
          <w:rFonts w:cs="Arial"/>
          <w:color w:val="FF0000"/>
          <w:lang w:val="en-GB"/>
        </w:rPr>
      </w:pPr>
      <w:r w:rsidRPr="00EC5845">
        <w:rPr>
          <w:rFonts w:cs="Arial"/>
          <w:lang w:val="en-GB"/>
        </w:rPr>
        <w:t xml:space="preserve">The </w:t>
      </w:r>
      <w:r w:rsidR="00CB720E" w:rsidRPr="00EC5845">
        <w:rPr>
          <w:rFonts w:cs="Arial"/>
          <w:lang w:val="en-GB"/>
        </w:rPr>
        <w:t xml:space="preserve">supplier </w:t>
      </w:r>
      <w:r w:rsidRPr="00EC5845">
        <w:rPr>
          <w:rFonts w:cs="Arial"/>
          <w:lang w:val="en-GB"/>
        </w:rPr>
        <w:t>should have full availability for formally presenting the above deliverables to the beneficiary in whatever format is previously agreed with the Embassy</w:t>
      </w:r>
      <w:r w:rsidRPr="00EC5845">
        <w:rPr>
          <w:rFonts w:cs="Arial"/>
          <w:color w:val="FF0000"/>
          <w:lang w:val="en-GB"/>
        </w:rPr>
        <w:t xml:space="preserve">.  </w:t>
      </w:r>
    </w:p>
    <w:p w:rsidR="00E737A7" w:rsidRPr="00C86160" w:rsidRDefault="00F55385" w:rsidP="00F55385">
      <w:pPr>
        <w:jc w:val="both"/>
        <w:rPr>
          <w:b/>
          <w:bCs/>
        </w:rPr>
      </w:pPr>
      <w:r>
        <w:rPr>
          <w:rFonts w:cs="Arial"/>
          <w:lang w:val="en-GB"/>
        </w:rPr>
        <w:t xml:space="preserve"> </w:t>
      </w:r>
      <w:r w:rsidR="00E737A7" w:rsidRPr="00C86160">
        <w:rPr>
          <w:b/>
          <w:bCs/>
        </w:rPr>
        <w:t xml:space="preserve">METHODOLOGY </w:t>
      </w:r>
    </w:p>
    <w:p w:rsidR="00EC5845" w:rsidRDefault="00E737A7" w:rsidP="00EC5845">
      <w:pPr>
        <w:pStyle w:val="Default"/>
        <w:numPr>
          <w:ilvl w:val="0"/>
          <w:numId w:val="1"/>
        </w:numPr>
        <w:rPr>
          <w:rFonts w:asciiTheme="minorHAnsi" w:hAnsiTheme="minorHAnsi"/>
          <w:sz w:val="22"/>
          <w:szCs w:val="22"/>
        </w:rPr>
      </w:pPr>
      <w:r w:rsidRPr="00C86160">
        <w:rPr>
          <w:rFonts w:asciiTheme="minorHAnsi" w:hAnsiTheme="minorHAnsi"/>
          <w:sz w:val="22"/>
          <w:szCs w:val="22"/>
        </w:rPr>
        <w:t>Interested parties are asked to tender a methodology outline of how they would deliver the above mentioned services, both on a theoretical and practical basis. That may include – but not limited to - desk and field research, stakeholder consultations</w:t>
      </w:r>
      <w:r w:rsidR="003A542D">
        <w:rPr>
          <w:rFonts w:asciiTheme="minorHAnsi" w:hAnsiTheme="minorHAnsi"/>
          <w:sz w:val="22"/>
          <w:szCs w:val="22"/>
        </w:rPr>
        <w:t xml:space="preserve"> and management</w:t>
      </w:r>
      <w:r w:rsidRPr="00C86160">
        <w:rPr>
          <w:rFonts w:asciiTheme="minorHAnsi" w:hAnsiTheme="minorHAnsi"/>
          <w:sz w:val="22"/>
          <w:szCs w:val="22"/>
        </w:rPr>
        <w:t xml:space="preserve"> in Mexico and UK, reports with policy recommendations and proposals of training modules when needed,</w:t>
      </w:r>
      <w:r w:rsidR="003A542D">
        <w:rPr>
          <w:rFonts w:asciiTheme="minorHAnsi" w:hAnsiTheme="minorHAnsi"/>
          <w:sz w:val="22"/>
          <w:szCs w:val="22"/>
        </w:rPr>
        <w:t xml:space="preserve"> risk management mitigation strategies,</w:t>
      </w:r>
      <w:r w:rsidRPr="00C86160">
        <w:rPr>
          <w:rFonts w:asciiTheme="minorHAnsi" w:hAnsiTheme="minorHAnsi"/>
          <w:sz w:val="22"/>
          <w:szCs w:val="22"/>
        </w:rPr>
        <w:t xml:space="preserve"> etc. </w:t>
      </w:r>
    </w:p>
    <w:p w:rsidR="00EC5845" w:rsidRDefault="00EC5845" w:rsidP="00EC5845">
      <w:pPr>
        <w:pStyle w:val="Default"/>
        <w:ind w:left="720"/>
        <w:rPr>
          <w:rFonts w:asciiTheme="minorHAnsi" w:hAnsiTheme="minorHAnsi"/>
          <w:sz w:val="22"/>
          <w:szCs w:val="22"/>
        </w:rPr>
      </w:pPr>
    </w:p>
    <w:p w:rsidR="00EC5845" w:rsidRPr="00EC5845" w:rsidRDefault="00925E37" w:rsidP="00EC5845">
      <w:pPr>
        <w:pStyle w:val="Default"/>
        <w:numPr>
          <w:ilvl w:val="0"/>
          <w:numId w:val="1"/>
        </w:numPr>
        <w:rPr>
          <w:rFonts w:asciiTheme="minorHAnsi" w:hAnsiTheme="minorHAnsi"/>
          <w:sz w:val="22"/>
          <w:szCs w:val="22"/>
        </w:rPr>
      </w:pPr>
      <w:r w:rsidRPr="00EC5845">
        <w:rPr>
          <w:rFonts w:asciiTheme="minorHAnsi" w:hAnsiTheme="minorHAnsi"/>
          <w:sz w:val="22"/>
          <w:szCs w:val="22"/>
        </w:rPr>
        <w:t>If required by the ABM, t</w:t>
      </w:r>
      <w:r w:rsidR="00E737A7" w:rsidRPr="00EC5845">
        <w:rPr>
          <w:rFonts w:asciiTheme="minorHAnsi" w:hAnsiTheme="minorHAnsi"/>
          <w:sz w:val="22"/>
          <w:szCs w:val="22"/>
        </w:rPr>
        <w:t>he supplier will b</w:t>
      </w:r>
      <w:r w:rsidRPr="00EC5845">
        <w:rPr>
          <w:rFonts w:asciiTheme="minorHAnsi" w:hAnsiTheme="minorHAnsi"/>
          <w:sz w:val="22"/>
          <w:szCs w:val="22"/>
        </w:rPr>
        <w:t xml:space="preserve">e expected to engage with them </w:t>
      </w:r>
      <w:r w:rsidR="00E737A7" w:rsidRPr="00EC5845">
        <w:rPr>
          <w:rFonts w:asciiTheme="minorHAnsi" w:hAnsiTheme="minorHAnsi"/>
          <w:sz w:val="22"/>
          <w:szCs w:val="22"/>
        </w:rPr>
        <w:t>to determine complementarities to exi</w:t>
      </w:r>
      <w:r w:rsidR="003A542D" w:rsidRPr="00EC5845">
        <w:rPr>
          <w:rFonts w:asciiTheme="minorHAnsi" w:hAnsiTheme="minorHAnsi"/>
          <w:sz w:val="22"/>
          <w:szCs w:val="22"/>
        </w:rPr>
        <w:t>sting policies and initiatives</w:t>
      </w:r>
      <w:r w:rsidR="00717A20" w:rsidRPr="00EC5845">
        <w:rPr>
          <w:rFonts w:ascii="Calibri" w:hAnsi="Calibri" w:cs="Calibri"/>
          <w:sz w:val="22"/>
          <w:szCs w:val="22"/>
        </w:rPr>
        <w:t>.</w:t>
      </w:r>
    </w:p>
    <w:p w:rsidR="00EC5845" w:rsidRPr="00EC5845" w:rsidRDefault="00EC5845" w:rsidP="00EC5845">
      <w:pPr>
        <w:pStyle w:val="Default"/>
        <w:rPr>
          <w:rFonts w:asciiTheme="minorHAnsi" w:hAnsiTheme="minorHAnsi"/>
          <w:sz w:val="22"/>
          <w:szCs w:val="22"/>
        </w:rPr>
      </w:pPr>
    </w:p>
    <w:p w:rsidR="00E737A7" w:rsidRPr="00EC5845" w:rsidRDefault="003A542D" w:rsidP="00EC5845">
      <w:pPr>
        <w:pStyle w:val="Default"/>
        <w:numPr>
          <w:ilvl w:val="0"/>
          <w:numId w:val="1"/>
        </w:numPr>
        <w:rPr>
          <w:rFonts w:asciiTheme="minorHAnsi" w:hAnsiTheme="minorHAnsi"/>
          <w:sz w:val="22"/>
          <w:szCs w:val="22"/>
        </w:rPr>
      </w:pPr>
      <w:r w:rsidRPr="00EC5845">
        <w:rPr>
          <w:rFonts w:asciiTheme="minorHAnsi" w:hAnsiTheme="minorHAnsi"/>
          <w:sz w:val="22"/>
          <w:szCs w:val="22"/>
        </w:rPr>
        <w:t>Buy in with the ABM as a beneficiary for this project has been secured by the British Embassy in Mexico City. However, the successful supplier is expected to manage this relationship without additional support from the British Embassy in Mexico City.</w:t>
      </w:r>
      <w:r w:rsidRPr="00EC5845">
        <w:rPr>
          <w:rFonts w:asciiTheme="minorHAnsi" w:hAnsiTheme="minorHAnsi"/>
          <w:sz w:val="22"/>
          <w:szCs w:val="22"/>
          <w:highlight w:val="yellow"/>
        </w:rPr>
        <w:br/>
      </w:r>
    </w:p>
    <w:p w:rsidR="003A542D" w:rsidRDefault="003A542D" w:rsidP="003A542D">
      <w:pPr>
        <w:ind w:left="360"/>
      </w:pPr>
      <w:r w:rsidRPr="00EC5845">
        <w:rPr>
          <w:b/>
          <w:bCs/>
        </w:rPr>
        <w:t>NON DISCLOSURE AGREEMENT</w:t>
      </w:r>
    </w:p>
    <w:p w:rsidR="003A542D" w:rsidRPr="00EC5845" w:rsidRDefault="003A542D" w:rsidP="00EC5845">
      <w:pPr>
        <w:pStyle w:val="Default"/>
        <w:numPr>
          <w:ilvl w:val="0"/>
          <w:numId w:val="1"/>
        </w:numPr>
        <w:ind w:left="709" w:hanging="283"/>
      </w:pPr>
      <w:r w:rsidRPr="00EC5845">
        <w:rPr>
          <w:rFonts w:asciiTheme="minorHAnsi" w:hAnsiTheme="minorHAnsi"/>
          <w:sz w:val="22"/>
          <w:szCs w:val="22"/>
        </w:rPr>
        <w:t>The successful supplier and relevant team members will be required to sign a Non Disclosure Agreement (NDA) agreeing to treat and manage all information related to this project as confidential. It will also agree t</w:t>
      </w:r>
      <w:r w:rsidR="00025111" w:rsidRPr="00EC5845">
        <w:rPr>
          <w:rFonts w:asciiTheme="minorHAnsi" w:hAnsiTheme="minorHAnsi"/>
          <w:sz w:val="22"/>
          <w:szCs w:val="22"/>
        </w:rPr>
        <w:t>o</w:t>
      </w:r>
      <w:r w:rsidRPr="00EC5845">
        <w:rPr>
          <w:rFonts w:asciiTheme="minorHAnsi" w:hAnsiTheme="minorHAnsi"/>
          <w:sz w:val="22"/>
          <w:szCs w:val="22"/>
        </w:rPr>
        <w:t xml:space="preserve"> not disclose or discuss any issues related to the scope of this work to any third party apart from the relevant stakeholders in the British Embassy in Mexico City or the ABM.</w:t>
      </w:r>
    </w:p>
    <w:p w:rsidR="003A542D" w:rsidRPr="003A542D" w:rsidRDefault="003A542D" w:rsidP="003A542D">
      <w:pPr>
        <w:pStyle w:val="Default"/>
        <w:ind w:left="360"/>
      </w:pPr>
    </w:p>
    <w:p w:rsidR="00EC5845" w:rsidRDefault="00EC5845" w:rsidP="00037B52">
      <w:pPr>
        <w:rPr>
          <w:b/>
          <w:bCs/>
        </w:rPr>
      </w:pPr>
    </w:p>
    <w:p w:rsidR="00EC5845" w:rsidRDefault="00EC5845" w:rsidP="00037B52">
      <w:pPr>
        <w:rPr>
          <w:b/>
          <w:bCs/>
        </w:rPr>
      </w:pPr>
    </w:p>
    <w:p w:rsidR="00E737A7" w:rsidRPr="00C86160" w:rsidRDefault="00E737A7" w:rsidP="00037B52">
      <w:pPr>
        <w:rPr>
          <w:lang w:val="en-GB"/>
        </w:rPr>
      </w:pPr>
      <w:r w:rsidRPr="00C86160">
        <w:rPr>
          <w:b/>
          <w:bCs/>
        </w:rPr>
        <w:t>PROCESS AND TIMEFRAME</w:t>
      </w:r>
    </w:p>
    <w:p w:rsidR="00037B52" w:rsidRDefault="00E737A7" w:rsidP="00E737A7">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The British Embassy in Mexico City requires completion of the service by </w:t>
      </w:r>
      <w:r w:rsidR="00C86160">
        <w:rPr>
          <w:rFonts w:eastAsiaTheme="minorHAnsi" w:cs="Arial"/>
          <w:color w:val="000000"/>
          <w:lang w:val="en-GB" w:eastAsia="en-US"/>
        </w:rPr>
        <w:t>25 March 2018 as follows:</w:t>
      </w:r>
    </w:p>
    <w:tbl>
      <w:tblPr>
        <w:tblStyle w:val="TableGrid"/>
        <w:tblW w:w="0" w:type="auto"/>
        <w:tblInd w:w="817" w:type="dxa"/>
        <w:tblLook w:val="04A0"/>
      </w:tblPr>
      <w:tblGrid>
        <w:gridCol w:w="3804"/>
        <w:gridCol w:w="4621"/>
      </w:tblGrid>
      <w:tr w:rsidR="00C86160" w:rsidRPr="00177A33" w:rsidTr="00A91700">
        <w:tc>
          <w:tcPr>
            <w:tcW w:w="3804" w:type="dxa"/>
            <w:shd w:val="clear" w:color="auto" w:fill="D9D9D9" w:themeFill="background1" w:themeFillShade="D9"/>
          </w:tcPr>
          <w:p w:rsidR="00C86160" w:rsidRPr="00177A33" w:rsidRDefault="00C86160" w:rsidP="00A91700">
            <w:pPr>
              <w:spacing w:line="360" w:lineRule="auto"/>
              <w:jc w:val="center"/>
              <w:rPr>
                <w:rFonts w:ascii="Arial" w:eastAsia="Times New Roman" w:hAnsi="Arial" w:cs="Arial"/>
                <w:b/>
                <w:lang w:val="en-GB"/>
              </w:rPr>
            </w:pPr>
            <w:r>
              <w:rPr>
                <w:rFonts w:eastAsiaTheme="minorHAnsi" w:cs="Arial"/>
                <w:color w:val="000000"/>
                <w:lang w:val="en-GB" w:eastAsia="en-US"/>
              </w:rPr>
              <w:t xml:space="preserve"> </w:t>
            </w:r>
            <w:r w:rsidRPr="00177A33">
              <w:rPr>
                <w:rFonts w:ascii="Arial" w:eastAsia="Times New Roman" w:hAnsi="Arial" w:cs="Arial"/>
                <w:b/>
                <w:lang w:val="en-GB"/>
              </w:rPr>
              <w:t>Activity</w:t>
            </w:r>
          </w:p>
        </w:tc>
        <w:tc>
          <w:tcPr>
            <w:tcW w:w="4621" w:type="dxa"/>
            <w:shd w:val="clear" w:color="auto" w:fill="D9D9D9" w:themeFill="background1" w:themeFillShade="D9"/>
          </w:tcPr>
          <w:p w:rsidR="00C86160" w:rsidRPr="00177A33" w:rsidRDefault="00C86160" w:rsidP="00A91700">
            <w:pPr>
              <w:spacing w:line="360" w:lineRule="auto"/>
              <w:jc w:val="center"/>
              <w:rPr>
                <w:rFonts w:ascii="Arial" w:eastAsia="Times New Roman" w:hAnsi="Arial" w:cs="Arial"/>
                <w:b/>
                <w:lang w:val="en-GB"/>
              </w:rPr>
            </w:pPr>
            <w:r w:rsidRPr="00177A33">
              <w:rPr>
                <w:rFonts w:ascii="Arial" w:eastAsia="Times New Roman" w:hAnsi="Arial" w:cs="Arial"/>
                <w:b/>
                <w:lang w:val="en-GB"/>
              </w:rPr>
              <w:t>Deadline</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ITT to prospective Organisations</w:t>
            </w:r>
          </w:p>
        </w:tc>
        <w:tc>
          <w:tcPr>
            <w:tcW w:w="4621" w:type="dxa"/>
          </w:tcPr>
          <w:p w:rsidR="00C86160" w:rsidRPr="00057504" w:rsidRDefault="00B04E26" w:rsidP="00EC5845">
            <w:pPr>
              <w:spacing w:line="360" w:lineRule="auto"/>
              <w:rPr>
                <w:rFonts w:ascii="Arial" w:eastAsia="Times New Roman" w:hAnsi="Arial" w:cs="Arial"/>
                <w:b/>
                <w:u w:val="single"/>
                <w:lang w:val="en-GB"/>
              </w:rPr>
            </w:pPr>
            <w:r>
              <w:rPr>
                <w:rFonts w:ascii="Arial" w:eastAsia="Times New Roman" w:hAnsi="Arial" w:cs="Arial"/>
                <w:b/>
                <w:lang w:val="en-GB"/>
              </w:rPr>
              <w:t>2</w:t>
            </w:r>
            <w:r w:rsidR="00EC5845">
              <w:rPr>
                <w:rFonts w:ascii="Arial" w:eastAsia="Times New Roman" w:hAnsi="Arial" w:cs="Arial"/>
                <w:b/>
                <w:lang w:val="en-GB"/>
              </w:rPr>
              <w:t>1</w:t>
            </w:r>
            <w:r w:rsidR="00C86160">
              <w:rPr>
                <w:rFonts w:ascii="Arial" w:eastAsia="Times New Roman" w:hAnsi="Arial" w:cs="Arial"/>
                <w:b/>
                <w:lang w:val="en-GB"/>
              </w:rPr>
              <w:t xml:space="preserve"> </w:t>
            </w:r>
            <w:r w:rsidR="00F55385">
              <w:rPr>
                <w:rFonts w:ascii="Arial" w:eastAsia="Times New Roman" w:hAnsi="Arial" w:cs="Arial"/>
                <w:b/>
                <w:lang w:val="en-GB"/>
              </w:rPr>
              <w:t>February</w:t>
            </w:r>
            <w:r w:rsidR="00C86160">
              <w:rPr>
                <w:rFonts w:ascii="Arial" w:eastAsia="Times New Roman" w:hAnsi="Arial" w:cs="Arial"/>
                <w:b/>
                <w:lang w:val="en-GB"/>
              </w:rPr>
              <w:t xml:space="preserve"> 201</w:t>
            </w:r>
            <w:r w:rsidR="00F55385">
              <w:rPr>
                <w:rFonts w:ascii="Arial" w:eastAsia="Times New Roman" w:hAnsi="Arial" w:cs="Arial"/>
                <w:b/>
                <w:lang w:val="en-GB"/>
              </w:rPr>
              <w:t>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Last day of questions from bidders on the ITT</w:t>
            </w:r>
          </w:p>
        </w:tc>
        <w:tc>
          <w:tcPr>
            <w:tcW w:w="4621" w:type="dxa"/>
          </w:tcPr>
          <w:p w:rsidR="00C86160" w:rsidRPr="00C86160" w:rsidRDefault="00EC5845" w:rsidP="00CE5AC2">
            <w:pPr>
              <w:spacing w:line="360" w:lineRule="auto"/>
              <w:rPr>
                <w:rFonts w:ascii="Arial" w:eastAsia="Times New Roman" w:hAnsi="Arial" w:cs="Arial"/>
                <w:b/>
                <w:lang w:val="en-GB"/>
              </w:rPr>
            </w:pPr>
            <w:r>
              <w:rPr>
                <w:rFonts w:ascii="Arial" w:eastAsia="Times New Roman" w:hAnsi="Arial" w:cs="Arial"/>
                <w:b/>
                <w:lang w:val="en-GB"/>
              </w:rPr>
              <w:t>25</w:t>
            </w:r>
            <w:r w:rsidR="00B04E26">
              <w:rPr>
                <w:rFonts w:ascii="Arial" w:eastAsia="Times New Roman" w:hAnsi="Arial" w:cs="Arial"/>
                <w:b/>
                <w:lang w:val="en-GB"/>
              </w:rPr>
              <w:t xml:space="preserve"> </w:t>
            </w:r>
            <w:r w:rsidR="00F55385">
              <w:rPr>
                <w:rFonts w:ascii="Arial" w:eastAsia="Times New Roman" w:hAnsi="Arial" w:cs="Arial"/>
                <w:b/>
                <w:lang w:val="en-GB"/>
              </w:rPr>
              <w:t xml:space="preserve">February </w:t>
            </w:r>
            <w:r w:rsidR="00C86160">
              <w:rPr>
                <w:rFonts w:ascii="Arial" w:eastAsia="Times New Roman" w:hAnsi="Arial" w:cs="Arial"/>
                <w:b/>
                <w:lang w:val="en-GB"/>
              </w:rPr>
              <w:t>2018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ITT response</w:t>
            </w:r>
          </w:p>
        </w:tc>
        <w:tc>
          <w:tcPr>
            <w:tcW w:w="4621" w:type="dxa"/>
          </w:tcPr>
          <w:p w:rsidR="00C86160" w:rsidRPr="00057504" w:rsidRDefault="00C406E5" w:rsidP="00C406E5">
            <w:pPr>
              <w:spacing w:line="360" w:lineRule="auto"/>
              <w:rPr>
                <w:rFonts w:ascii="Arial" w:eastAsia="Times New Roman" w:hAnsi="Arial" w:cs="Arial"/>
                <w:b/>
                <w:u w:val="single"/>
                <w:lang w:val="en-GB"/>
              </w:rPr>
            </w:pPr>
            <w:r>
              <w:rPr>
                <w:rFonts w:ascii="Arial" w:eastAsia="Times New Roman" w:hAnsi="Arial" w:cs="Arial"/>
                <w:b/>
                <w:lang w:val="en-GB"/>
              </w:rPr>
              <w:t xml:space="preserve">28 February </w:t>
            </w:r>
            <w:r w:rsidR="00C86160">
              <w:rPr>
                <w:rFonts w:ascii="Arial" w:eastAsia="Times New Roman" w:hAnsi="Arial" w:cs="Arial"/>
                <w:b/>
                <w:lang w:val="en-GB"/>
              </w:rPr>
              <w:t>2018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Pr>
                <w:rFonts w:ascii="Arial" w:eastAsia="Times New Roman" w:hAnsi="Arial" w:cs="Arial"/>
                <w:lang w:val="en-GB"/>
              </w:rPr>
              <w:t>Announcement of awarded bid</w:t>
            </w:r>
          </w:p>
        </w:tc>
        <w:tc>
          <w:tcPr>
            <w:tcW w:w="4621" w:type="dxa"/>
          </w:tcPr>
          <w:p w:rsidR="00C86160" w:rsidRPr="00057504" w:rsidRDefault="00C406E5" w:rsidP="00C406E5">
            <w:pPr>
              <w:spacing w:line="360" w:lineRule="auto"/>
              <w:rPr>
                <w:rFonts w:ascii="Arial" w:eastAsia="Times New Roman" w:hAnsi="Arial" w:cs="Arial"/>
                <w:b/>
                <w:u w:val="single"/>
                <w:lang w:val="en-GB"/>
              </w:rPr>
            </w:pPr>
            <w:r>
              <w:rPr>
                <w:rFonts w:ascii="Arial" w:eastAsia="Times New Roman" w:hAnsi="Arial" w:cs="Arial"/>
                <w:b/>
                <w:lang w:val="en-GB"/>
              </w:rPr>
              <w:t xml:space="preserve">2 </w:t>
            </w:r>
            <w:r w:rsidR="00B04E26">
              <w:rPr>
                <w:rFonts w:ascii="Arial" w:eastAsia="Times New Roman" w:hAnsi="Arial" w:cs="Arial"/>
                <w:b/>
                <w:lang w:val="en-GB"/>
              </w:rPr>
              <w:t>March</w:t>
            </w:r>
            <w:r w:rsidR="00C86160">
              <w:rPr>
                <w:rFonts w:ascii="Arial" w:eastAsia="Times New Roman" w:hAnsi="Arial" w:cs="Arial"/>
                <w:b/>
                <w:lang w:val="en-GB"/>
              </w:rPr>
              <w:t xml:space="preserve"> 2018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Contract Award</w:t>
            </w:r>
          </w:p>
        </w:tc>
        <w:tc>
          <w:tcPr>
            <w:tcW w:w="4621" w:type="dxa"/>
          </w:tcPr>
          <w:p w:rsidR="00C86160" w:rsidRPr="00057504" w:rsidRDefault="00C406E5" w:rsidP="00C406E5">
            <w:pPr>
              <w:spacing w:line="360" w:lineRule="auto"/>
              <w:rPr>
                <w:rFonts w:ascii="Arial" w:eastAsia="Times New Roman" w:hAnsi="Arial" w:cs="Arial"/>
                <w:b/>
                <w:u w:val="single"/>
                <w:lang w:val="en-GB"/>
              </w:rPr>
            </w:pPr>
            <w:r>
              <w:rPr>
                <w:rFonts w:ascii="Arial" w:eastAsia="Times New Roman" w:hAnsi="Arial" w:cs="Arial"/>
                <w:b/>
                <w:lang w:val="en-GB"/>
              </w:rPr>
              <w:t xml:space="preserve">2 </w:t>
            </w:r>
            <w:r w:rsidR="00F55385">
              <w:rPr>
                <w:rFonts w:ascii="Arial" w:eastAsia="Times New Roman" w:hAnsi="Arial" w:cs="Arial"/>
                <w:b/>
                <w:lang w:val="en-GB"/>
              </w:rPr>
              <w:t>March</w:t>
            </w:r>
            <w:r w:rsidR="00C86160">
              <w:rPr>
                <w:rFonts w:ascii="Arial" w:eastAsia="Times New Roman" w:hAnsi="Arial" w:cs="Arial"/>
                <w:b/>
                <w:lang w:val="en-GB"/>
              </w:rPr>
              <w:t xml:space="preserve"> 2018</w:t>
            </w:r>
          </w:p>
        </w:tc>
      </w:tr>
    </w:tbl>
    <w:p w:rsidR="00C86160" w:rsidRPr="00C86160" w:rsidRDefault="00C86160" w:rsidP="00C86160">
      <w:pPr>
        <w:pStyle w:val="ListParagraph"/>
        <w:rPr>
          <w:rFonts w:eastAsiaTheme="minorHAnsi" w:cs="Arial"/>
          <w:color w:val="000000"/>
          <w:lang w:val="en-GB" w:eastAsia="en-US"/>
        </w:rPr>
      </w:pPr>
    </w:p>
    <w:p w:rsidR="00313A17" w:rsidRPr="00CE5AC2" w:rsidRDefault="00313A17" w:rsidP="00E737A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Questions from bidders should be submitted to </w:t>
      </w:r>
      <w:hyperlink r:id="rId8" w:history="1">
        <w:r w:rsidRPr="005E099B">
          <w:rPr>
            <w:rStyle w:val="Hyperlink"/>
            <w:rFonts w:eastAsiaTheme="minorHAnsi" w:cs="Arial"/>
            <w:lang w:val="en-GB" w:eastAsia="en-US"/>
          </w:rPr>
          <w:t>Ukinmexico.ccep@fco.gov.uk</w:t>
        </w:r>
      </w:hyperlink>
      <w:r w:rsidR="00CE5AC2" w:rsidRPr="00CE5AC2">
        <w:rPr>
          <w:lang w:val="en-GB"/>
        </w:rPr>
        <w:t xml:space="preserve"> </w:t>
      </w:r>
      <w:r w:rsidR="00CE5AC2">
        <w:rPr>
          <w:lang w:val="en-GB"/>
        </w:rPr>
        <w:t xml:space="preserve">considering the deadline above. </w:t>
      </w:r>
      <w:r w:rsidR="00C558C6">
        <w:rPr>
          <w:lang w:val="en-GB"/>
        </w:rPr>
        <w:t xml:space="preserve">Responses to questions from bidders will be uploaded to Contracts Finder after the deadline. Individual responses to bidders will not be submitted. </w:t>
      </w:r>
    </w:p>
    <w:p w:rsidR="00CE5AC2" w:rsidRDefault="00CE5AC2" w:rsidP="00CE5AC2">
      <w:pPr>
        <w:pStyle w:val="ListParagraph"/>
        <w:rPr>
          <w:rFonts w:eastAsiaTheme="minorHAnsi" w:cs="Arial"/>
          <w:color w:val="000000"/>
          <w:lang w:val="en-GB" w:eastAsia="en-US"/>
        </w:rPr>
      </w:pPr>
    </w:p>
    <w:p w:rsidR="00022F19" w:rsidRDefault="00022F19" w:rsidP="00E737A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Proposals should be submitted to the following email address no later than </w:t>
      </w:r>
      <w:r w:rsidR="00C406E5">
        <w:rPr>
          <w:rFonts w:eastAsiaTheme="minorHAnsi" w:cs="Arial"/>
          <w:color w:val="000000"/>
          <w:lang w:val="en-GB" w:eastAsia="en-US"/>
        </w:rPr>
        <w:t>28</w:t>
      </w:r>
      <w:r w:rsidR="00313A17">
        <w:rPr>
          <w:rFonts w:eastAsiaTheme="minorHAnsi" w:cs="Arial"/>
          <w:color w:val="000000"/>
          <w:lang w:val="en-GB" w:eastAsia="en-US"/>
        </w:rPr>
        <w:t xml:space="preserve"> </w:t>
      </w:r>
      <w:r w:rsidR="00C406E5">
        <w:rPr>
          <w:rFonts w:eastAsiaTheme="minorHAnsi" w:cs="Arial"/>
          <w:color w:val="000000"/>
          <w:lang w:val="en-GB" w:eastAsia="en-US"/>
        </w:rPr>
        <w:t>February</w:t>
      </w:r>
      <w:r>
        <w:rPr>
          <w:rFonts w:eastAsiaTheme="minorHAnsi" w:cs="Arial"/>
          <w:color w:val="000000"/>
          <w:lang w:val="en-GB" w:eastAsia="en-US"/>
        </w:rPr>
        <w:t xml:space="preserve"> 2018 at 11.59 PM (UTC-6). </w:t>
      </w:r>
      <w:hyperlink r:id="rId9" w:history="1">
        <w:r w:rsidRPr="005E099B">
          <w:rPr>
            <w:rStyle w:val="Hyperlink"/>
            <w:rFonts w:eastAsiaTheme="minorHAnsi" w:cs="Arial"/>
            <w:lang w:val="en-GB" w:eastAsia="en-US"/>
          </w:rPr>
          <w:t>Ukinmexico.ccep@fco.gov.uk</w:t>
        </w:r>
      </w:hyperlink>
    </w:p>
    <w:p w:rsidR="00022F19" w:rsidRDefault="00022F19" w:rsidP="00022F19">
      <w:pPr>
        <w:pStyle w:val="ListParagraph"/>
        <w:rPr>
          <w:rFonts w:eastAsiaTheme="minorHAnsi" w:cs="Arial"/>
          <w:color w:val="000000"/>
          <w:lang w:val="en-GB" w:eastAsia="en-US"/>
        </w:rPr>
      </w:pPr>
    </w:p>
    <w:p w:rsidR="00022F19" w:rsidRDefault="00EC5845" w:rsidP="00022F19">
      <w:pPr>
        <w:pStyle w:val="ListParagraph"/>
        <w:numPr>
          <w:ilvl w:val="0"/>
          <w:numId w:val="1"/>
        </w:numPr>
        <w:rPr>
          <w:rFonts w:eastAsiaTheme="minorHAnsi" w:cs="Arial"/>
          <w:color w:val="000000"/>
          <w:lang w:val="en-GB" w:eastAsia="en-US"/>
        </w:rPr>
      </w:pPr>
      <w:r>
        <w:rPr>
          <w:rFonts w:eastAsiaTheme="minorHAnsi" w:cs="Arial"/>
          <w:color w:val="000000"/>
          <w:lang w:val="en-GB" w:eastAsia="en-US"/>
        </w:rPr>
        <w:t>Your proposal should be sent in</w:t>
      </w:r>
      <w:r w:rsidR="00022F19">
        <w:rPr>
          <w:rFonts w:eastAsiaTheme="minorHAnsi" w:cs="Arial"/>
          <w:color w:val="000000"/>
          <w:lang w:val="en-GB" w:eastAsia="en-US"/>
        </w:rPr>
        <w:t xml:space="preserve"> two separate files</w:t>
      </w:r>
      <w:r>
        <w:rPr>
          <w:rFonts w:eastAsiaTheme="minorHAnsi" w:cs="Arial"/>
          <w:color w:val="000000"/>
          <w:lang w:val="en-GB" w:eastAsia="en-US"/>
        </w:rPr>
        <w:t>*</w:t>
      </w:r>
      <w:r w:rsidR="00022F19">
        <w:rPr>
          <w:rFonts w:eastAsiaTheme="minorHAnsi" w:cs="Arial"/>
          <w:color w:val="000000"/>
          <w:lang w:val="en-GB" w:eastAsia="en-US"/>
        </w:rPr>
        <w:t xml:space="preserve"> under Subject Line “</w:t>
      </w:r>
      <w:r w:rsidR="00F55385">
        <w:rPr>
          <w:rFonts w:eastAsiaTheme="minorHAnsi" w:cs="Arial"/>
          <w:color w:val="000000"/>
          <w:lang w:val="en-GB" w:eastAsia="en-US"/>
        </w:rPr>
        <w:t>ABM Framework</w:t>
      </w:r>
      <w:r w:rsidR="00022F19">
        <w:rPr>
          <w:rFonts w:eastAsiaTheme="minorHAnsi" w:cs="Arial"/>
          <w:color w:val="000000"/>
          <w:lang w:val="en-GB" w:eastAsia="en-US"/>
        </w:rPr>
        <w:t>”</w:t>
      </w:r>
      <w:r w:rsidR="00022F19">
        <w:rPr>
          <w:rFonts w:eastAsiaTheme="minorHAnsi" w:cs="Arial"/>
          <w:color w:val="000000"/>
          <w:lang w:val="en-GB" w:eastAsia="en-US"/>
        </w:rPr>
        <w:br/>
        <w:t>1. Technical proposal</w:t>
      </w:r>
      <w:r>
        <w:rPr>
          <w:rFonts w:eastAsiaTheme="minorHAnsi" w:cs="Arial"/>
          <w:color w:val="000000"/>
          <w:lang w:val="en-GB" w:eastAsia="en-US"/>
        </w:rPr>
        <w:t xml:space="preserve"> (with attachments). Free format.</w:t>
      </w:r>
      <w:r w:rsidR="00022F19">
        <w:rPr>
          <w:rFonts w:eastAsiaTheme="minorHAnsi" w:cs="Arial"/>
          <w:color w:val="000000"/>
          <w:lang w:val="en-GB" w:eastAsia="en-US"/>
        </w:rPr>
        <w:br/>
        <w:t>2. Economic proposal</w:t>
      </w:r>
      <w:r>
        <w:rPr>
          <w:rFonts w:eastAsiaTheme="minorHAnsi" w:cs="Arial"/>
          <w:color w:val="000000"/>
          <w:lang w:val="en-GB" w:eastAsia="en-US"/>
        </w:rPr>
        <w:t xml:space="preserve">. This format is provided in this ITT.   </w:t>
      </w:r>
    </w:p>
    <w:p w:rsidR="002D2D1C" w:rsidRDefault="00EC5845" w:rsidP="002D2D1C">
      <w:pPr>
        <w:pStyle w:val="ListParagraph"/>
        <w:rPr>
          <w:rFonts w:eastAsiaTheme="minorHAnsi" w:cs="Arial"/>
          <w:color w:val="000000"/>
          <w:lang w:val="en-GB" w:eastAsia="en-US"/>
        </w:rPr>
      </w:pPr>
      <w:r>
        <w:rPr>
          <w:rFonts w:eastAsiaTheme="minorHAnsi" w:cs="Arial"/>
          <w:color w:val="000000"/>
          <w:lang w:val="en-GB" w:eastAsia="en-US"/>
        </w:rPr>
        <w:t>*</w:t>
      </w:r>
      <w:r w:rsidRPr="00EC5845">
        <w:rPr>
          <w:rFonts w:eastAsiaTheme="minorHAnsi" w:cs="Arial"/>
          <w:b/>
          <w:color w:val="000000"/>
          <w:lang w:val="en-GB" w:eastAsia="en-US"/>
        </w:rPr>
        <w:t>Only attach two files</w:t>
      </w:r>
      <w:r>
        <w:rPr>
          <w:rFonts w:eastAsiaTheme="minorHAnsi" w:cs="Arial"/>
          <w:b/>
          <w:color w:val="000000"/>
          <w:lang w:val="en-GB" w:eastAsia="en-US"/>
        </w:rPr>
        <w:t xml:space="preserve"> </w:t>
      </w:r>
    </w:p>
    <w:p w:rsidR="00EC5845" w:rsidRPr="002D2D1C" w:rsidRDefault="00EC5845" w:rsidP="002D2D1C">
      <w:pPr>
        <w:pStyle w:val="ListParagraph"/>
        <w:rPr>
          <w:rFonts w:eastAsiaTheme="minorHAnsi" w:cs="Arial"/>
          <w:color w:val="000000"/>
          <w:lang w:val="en-GB" w:eastAsia="en-US"/>
        </w:rPr>
      </w:pPr>
    </w:p>
    <w:p w:rsidR="002D2D1C" w:rsidRDefault="002D2D1C" w:rsidP="00022F19">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Proposals will be scored considering the evaluation criteria advertised in this ITT. </w:t>
      </w:r>
    </w:p>
    <w:p w:rsidR="005147A8" w:rsidRDefault="005147A8" w:rsidP="005147A8">
      <w:pPr>
        <w:pStyle w:val="ListParagraph"/>
        <w:rPr>
          <w:rFonts w:eastAsiaTheme="minorHAnsi" w:cs="Arial"/>
          <w:color w:val="000000"/>
          <w:lang w:val="en-GB" w:eastAsia="en-US"/>
        </w:rPr>
      </w:pPr>
    </w:p>
    <w:p w:rsidR="005147A8" w:rsidRDefault="005147A8" w:rsidP="00022F19">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All services should be completed by 31 March 2018. </w:t>
      </w:r>
    </w:p>
    <w:p w:rsidR="00022F19" w:rsidRDefault="00022F19" w:rsidP="00022F19">
      <w:pPr>
        <w:pStyle w:val="ListParagraph"/>
        <w:rPr>
          <w:rFonts w:eastAsiaTheme="minorHAnsi" w:cs="Arial"/>
          <w:color w:val="000000"/>
          <w:lang w:val="en-GB" w:eastAsia="en-US"/>
        </w:rPr>
      </w:pPr>
    </w:p>
    <w:p w:rsidR="00EC5845" w:rsidRDefault="00EC5845" w:rsidP="00EC5845">
      <w:pPr>
        <w:pStyle w:val="Default"/>
        <w:spacing w:line="276" w:lineRule="auto"/>
        <w:rPr>
          <w:rFonts w:asciiTheme="minorHAnsi" w:hAnsiTheme="minorHAnsi"/>
          <w:b/>
          <w:bCs/>
          <w:sz w:val="22"/>
          <w:szCs w:val="22"/>
        </w:rPr>
      </w:pPr>
      <w:r>
        <w:rPr>
          <w:rFonts w:asciiTheme="minorHAnsi" w:hAnsiTheme="minorHAnsi"/>
          <w:b/>
          <w:bCs/>
          <w:sz w:val="22"/>
          <w:szCs w:val="22"/>
        </w:rPr>
        <w:t>KICK OFF WORKSHOP</w:t>
      </w:r>
    </w:p>
    <w:p w:rsidR="00E737A7" w:rsidRDefault="00E737A7" w:rsidP="00E737A7">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A project kick-off workshop with </w:t>
      </w:r>
      <w:r w:rsidR="00EC5845">
        <w:rPr>
          <w:rFonts w:eastAsiaTheme="minorHAnsi" w:cs="Arial"/>
          <w:color w:val="000000"/>
          <w:lang w:val="en-GB" w:eastAsia="en-US"/>
        </w:rPr>
        <w:t>the British Embassy in Mexico City</w:t>
      </w:r>
      <w:r w:rsidRPr="00C86160">
        <w:rPr>
          <w:rFonts w:eastAsiaTheme="minorHAnsi" w:cs="Arial"/>
          <w:color w:val="000000"/>
          <w:lang w:val="en-GB" w:eastAsia="en-US"/>
        </w:rPr>
        <w:t xml:space="preserve"> will be used to establish a shared understanding of the project goals and methodology, and to clarify key knowledge gaps. This should result in an updated work-plan within one week of this meeting being held. The approval of this updated work plan by the British Embassy Programme team will provide the basis for the commencement of the activities </w:t>
      </w:r>
      <w:bookmarkStart w:id="5" w:name="_GoBack"/>
      <w:r w:rsidRPr="00C86160">
        <w:rPr>
          <w:rFonts w:eastAsiaTheme="minorHAnsi" w:cs="Arial"/>
          <w:color w:val="000000"/>
          <w:lang w:val="en-GB" w:eastAsia="en-US"/>
        </w:rPr>
        <w:t>agree</w:t>
      </w:r>
      <w:bookmarkEnd w:id="5"/>
      <w:r w:rsidRPr="00C86160">
        <w:rPr>
          <w:rFonts w:eastAsiaTheme="minorHAnsi" w:cs="Arial"/>
          <w:color w:val="000000"/>
          <w:lang w:val="en-GB" w:eastAsia="en-US"/>
        </w:rPr>
        <w:t>d in said work plan and their subsequent payment.</w:t>
      </w:r>
    </w:p>
    <w:p w:rsidR="00EC5845" w:rsidRDefault="00EC5845" w:rsidP="00EC5845">
      <w:pPr>
        <w:pStyle w:val="ListParagraph"/>
        <w:rPr>
          <w:rFonts w:eastAsiaTheme="minorHAnsi" w:cs="Arial"/>
          <w:color w:val="000000"/>
          <w:lang w:val="en-GB" w:eastAsia="en-US"/>
        </w:rPr>
      </w:pPr>
    </w:p>
    <w:p w:rsidR="00EC5845" w:rsidRPr="00C86160" w:rsidRDefault="00EC5845" w:rsidP="00E737A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Failure to achieve a shared understanding of the project goals and methodologies between both parties will result in the contract being awarded to the next highest scored bidder.</w:t>
      </w:r>
    </w:p>
    <w:p w:rsidR="00022F19" w:rsidRDefault="00022F19" w:rsidP="00E737A7">
      <w:pPr>
        <w:pStyle w:val="Default"/>
        <w:rPr>
          <w:rFonts w:asciiTheme="minorHAnsi" w:hAnsiTheme="minorHAnsi"/>
          <w:b/>
          <w:bCs/>
          <w:sz w:val="22"/>
          <w:szCs w:val="22"/>
        </w:rPr>
      </w:pPr>
    </w:p>
    <w:p w:rsidR="00EC5845" w:rsidRDefault="00EC5845" w:rsidP="00E737A7">
      <w:pPr>
        <w:pStyle w:val="Default"/>
        <w:spacing w:line="276" w:lineRule="auto"/>
        <w:rPr>
          <w:rFonts w:asciiTheme="minorHAnsi" w:hAnsiTheme="minorHAnsi"/>
          <w:b/>
          <w:bCs/>
          <w:sz w:val="22"/>
          <w:szCs w:val="22"/>
        </w:rPr>
      </w:pPr>
    </w:p>
    <w:p w:rsidR="00EC5845" w:rsidRDefault="00EC5845" w:rsidP="00E737A7">
      <w:pPr>
        <w:pStyle w:val="Default"/>
        <w:spacing w:line="276" w:lineRule="auto"/>
        <w:rPr>
          <w:rFonts w:asciiTheme="minorHAnsi" w:hAnsiTheme="minorHAnsi"/>
          <w:b/>
          <w:bCs/>
          <w:sz w:val="22"/>
          <w:szCs w:val="22"/>
        </w:rPr>
      </w:pPr>
    </w:p>
    <w:p w:rsidR="00EC5845" w:rsidRDefault="00EC5845" w:rsidP="00E737A7">
      <w:pPr>
        <w:pStyle w:val="Default"/>
        <w:spacing w:line="276" w:lineRule="auto"/>
        <w:rPr>
          <w:rFonts w:asciiTheme="minorHAnsi" w:hAnsiTheme="minorHAnsi"/>
          <w:b/>
          <w:bCs/>
          <w:sz w:val="22"/>
          <w:szCs w:val="22"/>
        </w:rPr>
      </w:pPr>
    </w:p>
    <w:p w:rsidR="00E737A7" w:rsidRPr="00C86160" w:rsidRDefault="00E737A7" w:rsidP="00E737A7">
      <w:pPr>
        <w:pStyle w:val="Default"/>
        <w:spacing w:line="276" w:lineRule="auto"/>
        <w:rPr>
          <w:rFonts w:asciiTheme="minorHAnsi" w:hAnsiTheme="minorHAnsi" w:cs="Calibri"/>
          <w:b/>
          <w:bCs/>
          <w:sz w:val="22"/>
          <w:szCs w:val="22"/>
        </w:rPr>
      </w:pPr>
      <w:r w:rsidRPr="00C86160">
        <w:rPr>
          <w:rFonts w:asciiTheme="minorHAnsi" w:hAnsiTheme="minorHAnsi"/>
          <w:b/>
          <w:bCs/>
          <w:sz w:val="22"/>
          <w:szCs w:val="22"/>
        </w:rPr>
        <w:t>SKILLS AND COMPETENCES</w:t>
      </w:r>
    </w:p>
    <w:p w:rsidR="00E737A7" w:rsidRPr="00EC5845" w:rsidRDefault="00EC5845" w:rsidP="00E737A7">
      <w:pPr>
        <w:pStyle w:val="Default"/>
        <w:numPr>
          <w:ilvl w:val="0"/>
          <w:numId w:val="1"/>
        </w:numPr>
        <w:spacing w:line="276" w:lineRule="auto"/>
        <w:rPr>
          <w:rFonts w:asciiTheme="minorHAnsi" w:hAnsiTheme="minorHAnsi"/>
          <w:sz w:val="22"/>
          <w:szCs w:val="22"/>
        </w:rPr>
      </w:pPr>
      <w:r>
        <w:rPr>
          <w:rFonts w:asciiTheme="minorHAnsi" w:hAnsiTheme="minorHAnsi"/>
          <w:sz w:val="22"/>
          <w:szCs w:val="22"/>
        </w:rPr>
        <w:t>The supplier</w:t>
      </w:r>
      <w:r w:rsidR="00E737A7" w:rsidRPr="00EC5845">
        <w:rPr>
          <w:rFonts w:asciiTheme="minorHAnsi" w:hAnsiTheme="minorHAnsi"/>
          <w:sz w:val="22"/>
          <w:szCs w:val="22"/>
        </w:rPr>
        <w:t xml:space="preserve"> </w:t>
      </w:r>
      <w:r>
        <w:rPr>
          <w:rFonts w:asciiTheme="minorHAnsi" w:hAnsiTheme="minorHAnsi"/>
          <w:sz w:val="22"/>
          <w:szCs w:val="22"/>
        </w:rPr>
        <w:t>is expected to</w:t>
      </w:r>
      <w:r w:rsidR="00E737A7" w:rsidRPr="00EC5845">
        <w:rPr>
          <w:rFonts w:asciiTheme="minorHAnsi" w:hAnsiTheme="minorHAnsi"/>
          <w:sz w:val="22"/>
          <w:szCs w:val="22"/>
        </w:rPr>
        <w:t xml:space="preserve"> have: </w:t>
      </w:r>
    </w:p>
    <w:p w:rsidR="00EC5845" w:rsidRPr="00EC5845" w:rsidRDefault="00EC5845" w:rsidP="00EC5845">
      <w:pPr>
        <w:pStyle w:val="Default"/>
        <w:numPr>
          <w:ilvl w:val="0"/>
          <w:numId w:val="7"/>
        </w:numPr>
        <w:spacing w:line="276" w:lineRule="auto"/>
        <w:rPr>
          <w:rFonts w:asciiTheme="minorHAnsi" w:hAnsiTheme="minorHAnsi"/>
          <w:sz w:val="22"/>
          <w:szCs w:val="22"/>
        </w:rPr>
      </w:pPr>
      <w:r w:rsidRPr="00EC5845">
        <w:rPr>
          <w:rFonts w:asciiTheme="minorHAnsi" w:hAnsiTheme="minorHAnsi"/>
          <w:sz w:val="22"/>
          <w:szCs w:val="22"/>
        </w:rPr>
        <w:t xml:space="preserve">Proven track record of working in Mexico, including clear understanding of the main challenges and constrains that the financial services and banking sectors in Mexico face, in particular those in cyber security. </w:t>
      </w:r>
    </w:p>
    <w:p w:rsidR="00EC5845" w:rsidRDefault="00E737A7" w:rsidP="00E737A7">
      <w:pPr>
        <w:pStyle w:val="Default"/>
        <w:numPr>
          <w:ilvl w:val="0"/>
          <w:numId w:val="7"/>
        </w:numPr>
        <w:spacing w:after="75" w:line="276" w:lineRule="auto"/>
        <w:rPr>
          <w:rFonts w:asciiTheme="minorHAnsi" w:hAnsiTheme="minorHAnsi"/>
          <w:sz w:val="22"/>
          <w:szCs w:val="22"/>
        </w:rPr>
      </w:pPr>
      <w:r w:rsidRPr="00EC5845">
        <w:rPr>
          <w:rFonts w:asciiTheme="minorHAnsi" w:hAnsiTheme="minorHAnsi"/>
          <w:sz w:val="22"/>
          <w:szCs w:val="22"/>
        </w:rPr>
        <w:t>Demonstrated ability to provide operational support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w:t>
      </w:r>
      <w:r w:rsidR="00865ED7" w:rsidRPr="00EC5845">
        <w:rPr>
          <w:rFonts w:asciiTheme="minorHAnsi" w:hAnsiTheme="minorHAnsi"/>
          <w:sz w:val="22"/>
          <w:szCs w:val="22"/>
        </w:rPr>
        <w:t xml:space="preserve">nce of strategic </w:t>
      </w:r>
      <w:r w:rsidRPr="00EC5845">
        <w:rPr>
          <w:rFonts w:asciiTheme="minorHAnsi" w:hAnsiTheme="minorHAnsi"/>
          <w:sz w:val="22"/>
          <w:szCs w:val="22"/>
        </w:rPr>
        <w:t>stakeholder engagement, management and influence.</w:t>
      </w:r>
    </w:p>
    <w:p w:rsidR="00E737A7" w:rsidRPr="00EC5845" w:rsidRDefault="00E737A7" w:rsidP="00E737A7">
      <w:pPr>
        <w:pStyle w:val="Default"/>
        <w:numPr>
          <w:ilvl w:val="0"/>
          <w:numId w:val="7"/>
        </w:numPr>
        <w:spacing w:after="75" w:line="276" w:lineRule="auto"/>
        <w:rPr>
          <w:rFonts w:asciiTheme="minorHAnsi" w:hAnsiTheme="minorHAnsi"/>
          <w:sz w:val="22"/>
          <w:szCs w:val="22"/>
        </w:rPr>
      </w:pPr>
      <w:r w:rsidRPr="00EC5845">
        <w:rPr>
          <w:rFonts w:asciiTheme="minorHAnsi" w:hAnsiTheme="minorHAnsi"/>
          <w:sz w:val="22"/>
          <w:szCs w:val="22"/>
        </w:rPr>
        <w:t xml:space="preserve">A </w:t>
      </w:r>
      <w:r w:rsidR="00865ED7" w:rsidRPr="00EC5845">
        <w:rPr>
          <w:rFonts w:asciiTheme="minorHAnsi" w:hAnsiTheme="minorHAnsi"/>
          <w:sz w:val="22"/>
          <w:szCs w:val="22"/>
        </w:rPr>
        <w:t xml:space="preserve">very </w:t>
      </w:r>
      <w:r w:rsidRPr="00EC5845">
        <w:rPr>
          <w:rFonts w:asciiTheme="minorHAnsi" w:hAnsiTheme="minorHAnsi"/>
          <w:sz w:val="22"/>
          <w:szCs w:val="22"/>
        </w:rPr>
        <w:t xml:space="preserve">strong track record of conducting research, analysing data and preparing and publishing comprehensive reports </w:t>
      </w:r>
      <w:r w:rsidR="00865ED7" w:rsidRPr="00EC5845">
        <w:rPr>
          <w:rFonts w:asciiTheme="minorHAnsi" w:hAnsiTheme="minorHAnsi"/>
          <w:sz w:val="22"/>
          <w:szCs w:val="22"/>
        </w:rPr>
        <w:t xml:space="preserve">in Mexico </w:t>
      </w:r>
      <w:r w:rsidRPr="00EC5845">
        <w:rPr>
          <w:rFonts w:asciiTheme="minorHAnsi" w:hAnsiTheme="minorHAnsi"/>
          <w:sz w:val="22"/>
          <w:szCs w:val="22"/>
        </w:rPr>
        <w:t xml:space="preserve">combined with very good communication and presentation skills; </w:t>
      </w:r>
    </w:p>
    <w:p w:rsidR="00865ED7" w:rsidRPr="00EC5845" w:rsidRDefault="00865ED7" w:rsidP="00865ED7">
      <w:pPr>
        <w:pStyle w:val="Default"/>
        <w:numPr>
          <w:ilvl w:val="0"/>
          <w:numId w:val="7"/>
        </w:numPr>
        <w:spacing w:line="276" w:lineRule="auto"/>
        <w:rPr>
          <w:rFonts w:asciiTheme="minorHAnsi" w:hAnsiTheme="minorHAnsi"/>
          <w:sz w:val="22"/>
          <w:szCs w:val="22"/>
        </w:rPr>
      </w:pPr>
      <w:r w:rsidRPr="00EC5845">
        <w:rPr>
          <w:rFonts w:asciiTheme="minorHAnsi" w:hAnsiTheme="minorHAnsi"/>
          <w:sz w:val="22"/>
          <w:szCs w:val="22"/>
        </w:rPr>
        <w:t>Full working knowledge of the Mexican, US and UK cyber security regulatory framework</w:t>
      </w:r>
      <w:r w:rsidR="00EC5845">
        <w:rPr>
          <w:rFonts w:asciiTheme="minorHAnsi" w:hAnsiTheme="minorHAnsi"/>
          <w:sz w:val="22"/>
          <w:szCs w:val="22"/>
        </w:rPr>
        <w:t>.</w:t>
      </w:r>
      <w:r w:rsidRPr="00EC5845">
        <w:rPr>
          <w:rFonts w:asciiTheme="minorHAnsi" w:hAnsiTheme="minorHAnsi"/>
          <w:sz w:val="22"/>
          <w:szCs w:val="22"/>
        </w:rPr>
        <w:t xml:space="preserve"> </w:t>
      </w:r>
    </w:p>
    <w:p w:rsidR="00117C9F" w:rsidRPr="00EC5845" w:rsidRDefault="00117C9F" w:rsidP="00865ED7">
      <w:pPr>
        <w:pStyle w:val="Default"/>
        <w:numPr>
          <w:ilvl w:val="0"/>
          <w:numId w:val="7"/>
        </w:numPr>
        <w:spacing w:line="276" w:lineRule="auto"/>
        <w:rPr>
          <w:rFonts w:asciiTheme="minorHAnsi" w:hAnsiTheme="minorHAnsi"/>
          <w:sz w:val="22"/>
          <w:szCs w:val="22"/>
        </w:rPr>
      </w:pPr>
      <w:r w:rsidRPr="00EC5845">
        <w:rPr>
          <w:rFonts w:asciiTheme="minorHAnsi" w:hAnsiTheme="minorHAnsi"/>
          <w:sz w:val="22"/>
          <w:szCs w:val="22"/>
        </w:rPr>
        <w:t>Full knowledge of UK cyber security protocols, training and technological solutions</w:t>
      </w:r>
      <w:r w:rsidR="00EC5845">
        <w:rPr>
          <w:rFonts w:asciiTheme="minorHAnsi" w:hAnsiTheme="minorHAnsi"/>
          <w:sz w:val="22"/>
          <w:szCs w:val="22"/>
        </w:rPr>
        <w:t>.</w:t>
      </w:r>
    </w:p>
    <w:p w:rsidR="00117C9F" w:rsidRPr="00EC5845" w:rsidRDefault="00117C9F" w:rsidP="00865ED7">
      <w:pPr>
        <w:pStyle w:val="Default"/>
        <w:numPr>
          <w:ilvl w:val="0"/>
          <w:numId w:val="7"/>
        </w:numPr>
        <w:spacing w:line="276" w:lineRule="auto"/>
        <w:rPr>
          <w:rFonts w:asciiTheme="minorHAnsi" w:hAnsiTheme="minorHAnsi"/>
          <w:sz w:val="22"/>
          <w:szCs w:val="22"/>
        </w:rPr>
      </w:pPr>
      <w:r w:rsidRPr="00EC5845">
        <w:rPr>
          <w:rFonts w:asciiTheme="minorHAnsi" w:hAnsiTheme="minorHAnsi"/>
          <w:sz w:val="22"/>
          <w:szCs w:val="22"/>
        </w:rPr>
        <w:t>Full capability of delivering relevant know how transfer to beneficiary</w:t>
      </w:r>
      <w:r w:rsidR="00EC5845">
        <w:rPr>
          <w:rFonts w:asciiTheme="minorHAnsi" w:hAnsiTheme="minorHAnsi"/>
          <w:sz w:val="22"/>
          <w:szCs w:val="22"/>
        </w:rPr>
        <w:t>.</w:t>
      </w:r>
      <w:r w:rsidRPr="00EC5845">
        <w:rPr>
          <w:rFonts w:asciiTheme="minorHAnsi" w:hAnsiTheme="minorHAnsi"/>
          <w:sz w:val="22"/>
          <w:szCs w:val="22"/>
        </w:rPr>
        <w:t xml:space="preserve"> </w:t>
      </w:r>
    </w:p>
    <w:p w:rsidR="00117C9F" w:rsidRPr="00EC5845" w:rsidRDefault="00117C9F" w:rsidP="00865ED7">
      <w:pPr>
        <w:pStyle w:val="Default"/>
        <w:numPr>
          <w:ilvl w:val="0"/>
          <w:numId w:val="7"/>
        </w:numPr>
        <w:spacing w:line="276" w:lineRule="auto"/>
        <w:rPr>
          <w:rFonts w:asciiTheme="minorHAnsi" w:hAnsiTheme="minorHAnsi"/>
          <w:sz w:val="22"/>
          <w:szCs w:val="22"/>
        </w:rPr>
      </w:pPr>
      <w:r w:rsidRPr="00EC5845">
        <w:rPr>
          <w:rFonts w:asciiTheme="minorHAnsi" w:hAnsiTheme="minorHAnsi"/>
          <w:sz w:val="22"/>
          <w:szCs w:val="22"/>
        </w:rPr>
        <w:t>Full availability to discuss progress, findings, questions and enquiries that the beneficiary may have</w:t>
      </w:r>
      <w:r w:rsidR="00EC5845">
        <w:rPr>
          <w:rFonts w:asciiTheme="minorHAnsi" w:hAnsiTheme="minorHAnsi"/>
          <w:sz w:val="22"/>
          <w:szCs w:val="22"/>
        </w:rPr>
        <w:t>.</w:t>
      </w:r>
      <w:r w:rsidRPr="00EC5845">
        <w:rPr>
          <w:rFonts w:asciiTheme="minorHAnsi" w:hAnsiTheme="minorHAnsi"/>
          <w:sz w:val="22"/>
          <w:szCs w:val="22"/>
        </w:rPr>
        <w:t xml:space="preserve"> </w:t>
      </w:r>
    </w:p>
    <w:p w:rsidR="00EC5845" w:rsidRDefault="00EC5845" w:rsidP="00E737A7">
      <w:pPr>
        <w:rPr>
          <w:b/>
          <w:bCs/>
          <w:lang w:val="en-GB"/>
        </w:rPr>
      </w:pPr>
    </w:p>
    <w:p w:rsidR="00E737A7" w:rsidRPr="00C86160" w:rsidRDefault="00E737A7" w:rsidP="00E737A7">
      <w:pPr>
        <w:rPr>
          <w:b/>
          <w:bCs/>
          <w:lang w:val="en-GB"/>
        </w:rPr>
      </w:pPr>
      <w:r w:rsidRPr="00C86160">
        <w:rPr>
          <w:b/>
          <w:bCs/>
          <w:lang w:val="en-GB"/>
        </w:rPr>
        <w:t>REPORTING STRUCTURE, LOGISTICS AND OTHER ARRANGEMENTS</w:t>
      </w:r>
    </w:p>
    <w:p w:rsidR="00E737A7" w:rsidRPr="00C86160" w:rsidRDefault="00E737A7" w:rsidP="00E737A7">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The supplier will report to the FCO’s Programme Team at the British Embassy Mexico City. The supplier will also appoint a member of staff to liaise with the FCO’s Programme Team for Mexico on contract management issues. We expect to hold regular progress meetings with the Programme team and policy leads at the British Embassy in which suppliers are expected to raise any issues. </w:t>
      </w:r>
    </w:p>
    <w:p w:rsidR="00E737A7" w:rsidRPr="00C86160" w:rsidRDefault="00E737A7" w:rsidP="00E737A7">
      <w:pPr>
        <w:pStyle w:val="Default"/>
        <w:spacing w:line="276" w:lineRule="auto"/>
        <w:ind w:left="720"/>
        <w:jc w:val="both"/>
        <w:rPr>
          <w:rFonts w:asciiTheme="minorHAnsi" w:hAnsiTheme="minorHAnsi"/>
          <w:sz w:val="22"/>
          <w:szCs w:val="22"/>
        </w:rPr>
      </w:pPr>
    </w:p>
    <w:p w:rsidR="00E737A7" w:rsidRPr="00C86160" w:rsidRDefault="00E737A7" w:rsidP="00E737A7">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In terms of logistics, the supplier will work independently in setting up their own meetings with key stakeholders, arranging logistics etc. Where appropriate, the FCO’s Programme Team at the British Embassy Mexico City may assist in accessing </w:t>
      </w:r>
      <w:r w:rsidR="00F55385">
        <w:rPr>
          <w:rFonts w:asciiTheme="minorHAnsi" w:hAnsiTheme="minorHAnsi"/>
          <w:sz w:val="22"/>
          <w:szCs w:val="22"/>
        </w:rPr>
        <w:t>stakeholders</w:t>
      </w:r>
      <w:r w:rsidRPr="00C86160">
        <w:rPr>
          <w:rFonts w:asciiTheme="minorHAnsi" w:hAnsiTheme="minorHAnsi"/>
          <w:sz w:val="22"/>
          <w:szCs w:val="22"/>
        </w:rPr>
        <w:t xml:space="preserve">. The decision of when to accompany the supplier to meetings will be taken by the Programme team at the British Embassy in Mexico. </w:t>
      </w:r>
    </w:p>
    <w:p w:rsidR="00E737A7" w:rsidRPr="00C86160" w:rsidRDefault="00E737A7" w:rsidP="00E737A7">
      <w:pPr>
        <w:rPr>
          <w:b/>
          <w:bCs/>
        </w:rPr>
      </w:pPr>
      <w:r w:rsidRPr="00C86160">
        <w:rPr>
          <w:b/>
          <w:bCs/>
        </w:rPr>
        <w:t>BUDGET</w:t>
      </w:r>
    </w:p>
    <w:p w:rsidR="00E737A7" w:rsidRDefault="00E737A7" w:rsidP="00E737A7">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maximum budget for the service, covered under these terms of </w:t>
      </w:r>
      <w:r w:rsidR="003A542D">
        <w:rPr>
          <w:rFonts w:asciiTheme="minorHAnsi" w:hAnsiTheme="minorHAnsi"/>
          <w:sz w:val="22"/>
          <w:szCs w:val="22"/>
        </w:rPr>
        <w:t>reference, will be no more than £24,000.00</w:t>
      </w:r>
    </w:p>
    <w:p w:rsidR="00FB4206" w:rsidRDefault="00FB4206" w:rsidP="00FB4206">
      <w:pPr>
        <w:pStyle w:val="Default"/>
        <w:ind w:left="720"/>
        <w:rPr>
          <w:rFonts w:asciiTheme="minorHAnsi" w:hAnsiTheme="minorHAnsi"/>
          <w:sz w:val="22"/>
          <w:szCs w:val="22"/>
        </w:rPr>
      </w:pPr>
    </w:p>
    <w:p w:rsidR="00EC5845" w:rsidRDefault="00EC5845" w:rsidP="00FB4206">
      <w:pPr>
        <w:pStyle w:val="Default"/>
        <w:ind w:left="720"/>
        <w:rPr>
          <w:rFonts w:asciiTheme="minorHAnsi" w:hAnsiTheme="minorHAnsi"/>
          <w:sz w:val="22"/>
          <w:szCs w:val="22"/>
        </w:rPr>
      </w:pPr>
    </w:p>
    <w:p w:rsidR="00EC5845" w:rsidRDefault="00EC5845" w:rsidP="00FB4206">
      <w:pPr>
        <w:pStyle w:val="Default"/>
        <w:ind w:left="720"/>
        <w:rPr>
          <w:rFonts w:asciiTheme="minorHAnsi" w:hAnsiTheme="minorHAnsi"/>
          <w:sz w:val="22"/>
          <w:szCs w:val="22"/>
        </w:rPr>
      </w:pPr>
    </w:p>
    <w:p w:rsidR="00EC5845" w:rsidRPr="00C86160" w:rsidRDefault="00EC5845" w:rsidP="00FB4206">
      <w:pPr>
        <w:pStyle w:val="Default"/>
        <w:ind w:left="720"/>
        <w:rPr>
          <w:rFonts w:asciiTheme="minorHAnsi" w:hAnsiTheme="minorHAnsi"/>
          <w:sz w:val="22"/>
          <w:szCs w:val="22"/>
        </w:rPr>
      </w:pPr>
    </w:p>
    <w:p w:rsidR="00E737A7" w:rsidRPr="00C86160" w:rsidRDefault="00E737A7" w:rsidP="00E737A7">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propose the overall budget for this work, which must be inclusive of all applicable taxes, overheads and travel costs for any field visits. Bidders are expected to show value for money and not reach the budget ceiling if costs can be lower. The supplier will be paid on the delivery of each output. </w:t>
      </w:r>
    </w:p>
    <w:p w:rsidR="00E737A7" w:rsidRPr="00C86160" w:rsidRDefault="00E737A7" w:rsidP="00E737A7">
      <w:pPr>
        <w:pStyle w:val="Default"/>
        <w:rPr>
          <w:rFonts w:asciiTheme="minorHAnsi" w:hAnsiTheme="minorHAnsi"/>
          <w:sz w:val="22"/>
          <w:szCs w:val="22"/>
        </w:rPr>
      </w:pPr>
    </w:p>
    <w:p w:rsidR="00E737A7" w:rsidRPr="00C86160" w:rsidRDefault="00E737A7" w:rsidP="00E737A7">
      <w:pPr>
        <w:pStyle w:val="Default"/>
        <w:rPr>
          <w:rFonts w:asciiTheme="minorHAnsi" w:hAnsiTheme="minorHAnsi"/>
          <w:b/>
          <w:bCs/>
          <w:sz w:val="22"/>
          <w:szCs w:val="22"/>
        </w:rPr>
      </w:pPr>
      <w:r w:rsidRPr="00C86160">
        <w:rPr>
          <w:rFonts w:asciiTheme="minorHAnsi" w:hAnsiTheme="minorHAnsi"/>
          <w:b/>
          <w:bCs/>
          <w:sz w:val="22"/>
          <w:szCs w:val="22"/>
        </w:rPr>
        <w:t xml:space="preserve">DUTY OF CARE </w:t>
      </w:r>
    </w:p>
    <w:p w:rsidR="00E737A7" w:rsidRPr="00C86160" w:rsidRDefault="00E737A7" w:rsidP="00E737A7">
      <w:pPr>
        <w:pStyle w:val="Default"/>
        <w:rPr>
          <w:rFonts w:asciiTheme="minorHAnsi" w:hAnsiTheme="minorHAnsi"/>
          <w:sz w:val="22"/>
          <w:szCs w:val="22"/>
        </w:rPr>
      </w:pPr>
    </w:p>
    <w:p w:rsidR="00E737A7" w:rsidRDefault="00E737A7" w:rsidP="00E737A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rsidR="003B1554" w:rsidRPr="00C86160" w:rsidRDefault="003B1554" w:rsidP="003B1554">
      <w:pPr>
        <w:pStyle w:val="Default"/>
        <w:spacing w:line="276" w:lineRule="auto"/>
        <w:ind w:left="720"/>
        <w:rPr>
          <w:rFonts w:asciiTheme="minorHAnsi" w:hAnsiTheme="minorHAnsi"/>
          <w:sz w:val="22"/>
          <w:szCs w:val="22"/>
        </w:rPr>
      </w:pPr>
    </w:p>
    <w:p w:rsidR="00E737A7" w:rsidRPr="00C86160" w:rsidRDefault="00E737A7" w:rsidP="00E737A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implementing partner is responsible for ensuring appropriate safety and security briefings for all of their Personnel working under this Contract and ensuring that their Personnel register and receive briefing as outlined above. Travel advice is also available on the FCO website and the implementing agency must ensure they (and their Personnel) are up to date with the latest position. </w:t>
      </w:r>
    </w:p>
    <w:p w:rsidR="00C86160" w:rsidRPr="00C86160" w:rsidRDefault="00C86160" w:rsidP="00C86160">
      <w:pPr>
        <w:pStyle w:val="Default"/>
        <w:spacing w:line="276" w:lineRule="auto"/>
        <w:ind w:left="720"/>
        <w:rPr>
          <w:rFonts w:asciiTheme="minorHAnsi" w:hAnsiTheme="minorHAnsi"/>
          <w:sz w:val="22"/>
          <w:szCs w:val="22"/>
        </w:rPr>
      </w:pPr>
    </w:p>
    <w:p w:rsidR="00C86160" w:rsidRPr="00C86160" w:rsidRDefault="00E737A7" w:rsidP="00C86160">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Service Suppliers must develop their Tender on the basis of being fully responsible for Duty of Care. They must confirm in their Tender that: </w:t>
      </w:r>
    </w:p>
    <w:p w:rsidR="00C86160" w:rsidRPr="00C86160" w:rsidRDefault="00E737A7" w:rsidP="00C86160">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fully accept responsibility</w:t>
      </w:r>
      <w:r w:rsidR="00C86160" w:rsidRPr="00C86160">
        <w:rPr>
          <w:rFonts w:asciiTheme="minorHAnsi" w:hAnsiTheme="minorHAnsi"/>
          <w:sz w:val="22"/>
          <w:szCs w:val="22"/>
        </w:rPr>
        <w:t xml:space="preserve"> for Security and Duty of Care.</w:t>
      </w:r>
    </w:p>
    <w:p w:rsidR="00C86160" w:rsidRPr="00C86160" w:rsidRDefault="00E737A7" w:rsidP="00E737A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 xml:space="preserve">They understand the potential risks and have the knowledge and experience to develop an effective risk plan. </w:t>
      </w:r>
    </w:p>
    <w:p w:rsidR="00E737A7" w:rsidRDefault="00E737A7" w:rsidP="00E737A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have the capability to manage their Duty of Care responsibilities throughout the life of the contract.</w:t>
      </w:r>
    </w:p>
    <w:p w:rsidR="00410111" w:rsidRDefault="00410111" w:rsidP="00410111">
      <w:pPr>
        <w:pStyle w:val="Default"/>
        <w:spacing w:line="276" w:lineRule="auto"/>
        <w:ind w:left="1440"/>
        <w:rPr>
          <w:rFonts w:asciiTheme="minorHAnsi" w:hAnsiTheme="minorHAnsi"/>
          <w:sz w:val="22"/>
          <w:szCs w:val="22"/>
        </w:rPr>
      </w:pPr>
    </w:p>
    <w:p w:rsidR="00410111" w:rsidRPr="00410111" w:rsidRDefault="00410111" w:rsidP="00410111">
      <w:pPr>
        <w:pStyle w:val="ListParagraph"/>
        <w:numPr>
          <w:ilvl w:val="0"/>
          <w:numId w:val="1"/>
        </w:numPr>
        <w:rPr>
          <w:rFonts w:eastAsiaTheme="minorHAnsi" w:cs="Arial"/>
          <w:color w:val="000000"/>
          <w:lang w:val="en-GB" w:eastAsia="en-US"/>
        </w:rPr>
      </w:pPr>
      <w:r w:rsidRPr="00410111">
        <w:rPr>
          <w:rFonts w:eastAsiaTheme="minorHAnsi" w:cs="Arial"/>
          <w:color w:val="000000"/>
          <w:lang w:val="en-GB" w:eastAsia="en-US"/>
        </w:rPr>
        <w:t xml:space="preserve">The Bidder acknowledges that, if </w:t>
      </w:r>
      <w:r w:rsidR="0038126A">
        <w:rPr>
          <w:rFonts w:eastAsiaTheme="minorHAnsi" w:cs="Arial"/>
          <w:color w:val="000000"/>
          <w:lang w:val="en-GB" w:eastAsia="en-US"/>
        </w:rPr>
        <w:t>it is awarded the contract for the services as</w:t>
      </w:r>
      <w:r w:rsidRPr="00410111">
        <w:rPr>
          <w:rFonts w:eastAsiaTheme="minorHAnsi" w:cs="Arial"/>
          <w:color w:val="000000"/>
          <w:lang w:val="en-GB" w:eastAsia="en-US"/>
        </w:rPr>
        <w:t xml:space="preserve"> described in this ITT (the "Current Procurement"), it may have access to or gain knowledge of certain confidential and/or commercially sensitive information which may be relevant to a subsequent procurement which is being run by the FCO (including a mini-competition run under the Prosperity Framework) (the "Subsequent Procurement").</w:t>
      </w:r>
    </w:p>
    <w:p w:rsidR="00410111" w:rsidRDefault="00410111" w:rsidP="00410111">
      <w:pPr>
        <w:pStyle w:val="ListParagraph"/>
        <w:rPr>
          <w:rFonts w:eastAsiaTheme="minorHAnsi" w:cs="Arial"/>
          <w:color w:val="000000"/>
          <w:lang w:val="en-GB" w:eastAsia="en-US"/>
        </w:rPr>
      </w:pPr>
    </w:p>
    <w:p w:rsidR="00410111" w:rsidRPr="00410111" w:rsidRDefault="00410111" w:rsidP="00410111">
      <w:pPr>
        <w:pStyle w:val="ListParagraph"/>
        <w:numPr>
          <w:ilvl w:val="0"/>
          <w:numId w:val="1"/>
        </w:numPr>
        <w:rPr>
          <w:rFonts w:eastAsiaTheme="minorHAnsi" w:cs="Arial"/>
          <w:color w:val="000000"/>
          <w:lang w:val="en-GB" w:eastAsia="en-US"/>
        </w:rPr>
      </w:pPr>
      <w:r w:rsidRPr="00410111">
        <w:rPr>
          <w:rFonts w:eastAsiaTheme="minorHAnsi" w:cs="Arial"/>
          <w:color w:val="000000"/>
          <w:lang w:val="en-GB" w:eastAsia="en-US"/>
        </w:rPr>
        <w:t>The Bidder acknowledges that, under the Public Contract Regulations 2015, the FCO is required (among other things) to take appropriate measures to ensure that competition is not distorted by a bidder who has previously been involved in advising the FCO. </w:t>
      </w:r>
      <w:r>
        <w:rPr>
          <w:rFonts w:eastAsiaTheme="minorHAnsi" w:cs="Arial"/>
          <w:color w:val="000000"/>
          <w:lang w:val="en-GB" w:eastAsia="en-US"/>
        </w:rPr>
        <w:br/>
      </w:r>
      <w:r w:rsidRPr="00410111">
        <w:rPr>
          <w:rFonts w:eastAsiaTheme="minorHAnsi" w:cs="Arial"/>
          <w:color w:val="000000"/>
          <w:lang w:val="en-GB" w:eastAsia="en-US"/>
        </w:rPr>
        <w:t xml:space="preserve"> </w:t>
      </w:r>
    </w:p>
    <w:p w:rsidR="00F55385" w:rsidRPr="00F55385" w:rsidRDefault="00410111" w:rsidP="002A4278">
      <w:pPr>
        <w:pStyle w:val="ListParagraph"/>
        <w:numPr>
          <w:ilvl w:val="0"/>
          <w:numId w:val="1"/>
        </w:numPr>
        <w:rPr>
          <w:rFonts w:eastAsiaTheme="minorHAnsi" w:cs="Arial"/>
          <w:color w:val="000000"/>
          <w:lang w:val="en-GB" w:eastAsia="en-US"/>
        </w:rPr>
      </w:pPr>
      <w:r w:rsidRPr="00410111">
        <w:rPr>
          <w:rFonts w:eastAsiaTheme="minorHAnsi" w:cs="Arial"/>
          <w:color w:val="000000"/>
          <w:lang w:val="en-GB" w:eastAsia="en-US"/>
        </w:rPr>
        <w:t>As part of meeting this requirement, the FCO may require that the successful bidder (if it is also bidding on a Subsequent Procurement) establish internal “ethical walls” (also known as “information barriers”) to ensure that its employees, suppliers and agents on the team involved in such Subsequent Procurement bid do not discuss the Subsequent Procurement or have passed to them any information from those employees, suppliers and agents who are familiar with or are currently engaged in providing the services under the Current Procuremen</w:t>
      </w:r>
      <w:r w:rsidR="00F55385">
        <w:rPr>
          <w:rFonts w:eastAsiaTheme="minorHAnsi" w:cs="Arial"/>
          <w:color w:val="000000"/>
          <w:lang w:val="en-GB" w:eastAsia="en-US"/>
        </w:rPr>
        <w:t xml:space="preserve">t. </w:t>
      </w:r>
    </w:p>
    <w:sectPr w:rsidR="00F55385" w:rsidRPr="00F55385" w:rsidSect="00D240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B2D0AC" w15:done="0"/>
  <w15:commentEx w15:paraId="5AFBFE6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B9" w:rsidRDefault="007B42B9" w:rsidP="00037B52">
      <w:pPr>
        <w:spacing w:after="0" w:line="240" w:lineRule="auto"/>
      </w:pPr>
      <w:r>
        <w:separator/>
      </w:r>
    </w:p>
  </w:endnote>
  <w:endnote w:type="continuationSeparator" w:id="0">
    <w:p w:rsidR="007B42B9" w:rsidRDefault="007B42B9" w:rsidP="00037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Default="00313A17">
    <w:pPr>
      <w:pStyle w:val="Footer"/>
    </w:pPr>
  </w:p>
  <w:p w:rsidR="00313A17" w:rsidRPr="00904C30" w:rsidRDefault="00313A17" w:rsidP="00037B52">
    <w:pPr>
      <w:pStyle w:val="Footer"/>
      <w:jc w:val="center"/>
      <w:rPr>
        <w:rFonts w:ascii="Arial" w:hAnsi="Arial" w:cs="Arial"/>
        <w:b/>
        <w:sz w:val="20"/>
        <w:lang w:val="en-US"/>
      </w:rPr>
    </w:pPr>
    <w:r w:rsidRPr="00904C30">
      <w:rPr>
        <w:rFonts w:ascii="Arial" w:hAnsi="Arial" w:cs="Arial"/>
        <w:b/>
        <w:sz w:val="20"/>
        <w:lang w:val="en-US"/>
      </w:rPr>
      <w:t xml:space="preserve"> </w:t>
    </w:r>
  </w:p>
  <w:p w:rsidR="00117C9F" w:rsidRPr="00EC5845" w:rsidRDefault="006325E3" w:rsidP="00037B52">
    <w:pPr>
      <w:pStyle w:val="Footer"/>
      <w:spacing w:before="120"/>
      <w:jc w:val="right"/>
      <w:rPr>
        <w:lang w:val="en-GB"/>
      </w:rPr>
    </w:pPr>
    <w:fldSimple w:instr=" FILENAME \p \* MERGEFORMAT ">
      <w:r w:rsidR="00117C9F" w:rsidRPr="00117C9F">
        <w:rPr>
          <w:rFonts w:ascii="Arial" w:hAnsi="Arial" w:cs="Arial"/>
          <w:noProof/>
          <w:sz w:val="12"/>
          <w:lang w:val="en-GB"/>
        </w:rPr>
        <w:t>C</w:t>
      </w:r>
      <w:r w:rsidR="00117C9F" w:rsidRPr="00117C9F">
        <w:rPr>
          <w:noProof/>
          <w:lang w:val="en-GB"/>
        </w:rPr>
        <w:t>:\Users\ggonzalez\AppData\Local\Microsoft\Windows\Temporary Internet Files\Outlook</w:t>
      </w:r>
      <w:r w:rsidR="00117C9F" w:rsidRPr="00EC5845">
        <w:rPr>
          <w:noProof/>
          <w:lang w:val="en-GB"/>
        </w:rPr>
        <w:t xml:space="preserve"> Temp\ToR ABM framework 19 Feb SA.docx</w:t>
      </w:r>
    </w:fldSimple>
  </w:p>
  <w:p w:rsidR="00313A17" w:rsidRPr="00117C9F" w:rsidRDefault="00117C9F" w:rsidP="00117C9F">
    <w:pPr>
      <w:pStyle w:val="Footer"/>
      <w:spacing w:before="120"/>
      <w:jc w:val="center"/>
      <w:rPr>
        <w:rFonts w:ascii="Arial" w:hAnsi="Arial" w:cs="Arial"/>
        <w:b/>
        <w:sz w:val="20"/>
        <w:lang w:val="en-GB"/>
      </w:rPr>
    </w:pPr>
    <w:r w:rsidRPr="00EC5845">
      <w:rPr>
        <w:rFonts w:ascii="Arial" w:hAnsi="Arial" w:cs="Arial"/>
        <w:b/>
        <w:sz w:val="20"/>
        <w:lang w:val="en-GB"/>
      </w:rPr>
      <w:t xml:space="preserve"> </w:t>
    </w:r>
    <w:r w:rsidR="006325E3" w:rsidRPr="00117C9F">
      <w:rPr>
        <w:rFonts w:ascii="Arial" w:hAnsi="Arial" w:cs="Arial"/>
        <w:b/>
        <w:sz w:val="20"/>
      </w:rPr>
      <w:fldChar w:fldCharType="begin"/>
    </w:r>
    <w:r w:rsidRPr="00117C9F">
      <w:rPr>
        <w:rFonts w:ascii="Arial" w:hAnsi="Arial" w:cs="Arial"/>
        <w:b/>
        <w:sz w:val="20"/>
      </w:rPr>
      <w:instrText xml:space="preserve"> DOCPROPERTY PRIVACY  \* MERGEFORMAT </w:instrText>
    </w:r>
    <w:r w:rsidR="006325E3" w:rsidRPr="00117C9F">
      <w:rPr>
        <w:rFonts w:ascii="Arial" w:hAnsi="Arial" w:cs="Arial"/>
        <w:b/>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9F" w:rsidRDefault="006325E3">
    <w:pPr>
      <w:pStyle w:val="Footer"/>
      <w:jc w:val="right"/>
    </w:pPr>
    <w:sdt>
      <w:sdtPr>
        <w:id w:val="6873813"/>
        <w:docPartObj>
          <w:docPartGallery w:val="Page Numbers (Bottom of Page)"/>
          <w:docPartUnique/>
        </w:docPartObj>
      </w:sdtPr>
      <w:sdtContent>
        <w:r>
          <w:fldChar w:fldCharType="begin"/>
        </w:r>
        <w:r w:rsidR="0004341C">
          <w:instrText xml:space="preserve"> PAGE   \* MERGEFORMAT </w:instrText>
        </w:r>
        <w:r>
          <w:fldChar w:fldCharType="separate"/>
        </w:r>
        <w:r w:rsidR="004B5C88">
          <w:rPr>
            <w:noProof/>
          </w:rPr>
          <w:t>6</w:t>
        </w:r>
        <w:r>
          <w:rPr>
            <w:noProof/>
          </w:rPr>
          <w:fldChar w:fldCharType="end"/>
        </w:r>
      </w:sdtContent>
    </w:sdt>
  </w:p>
  <w:p w:rsidR="00117C9F" w:rsidRDefault="00117C9F" w:rsidP="00117C9F">
    <w:pPr>
      <w:pStyle w:val="Footer"/>
      <w:jc w:val="center"/>
      <w:rPr>
        <w:rFonts w:ascii="Arial" w:hAnsi="Arial" w:cs="Arial"/>
        <w:b/>
        <w:sz w:val="20"/>
      </w:rPr>
    </w:pPr>
    <w:r w:rsidRPr="00117C9F">
      <w:rPr>
        <w:rFonts w:ascii="Arial" w:hAnsi="Arial" w:cs="Arial"/>
        <w:b/>
        <w:sz w:val="20"/>
      </w:rPr>
      <w:t xml:space="preserve"> </w:t>
    </w:r>
  </w:p>
  <w:p w:rsidR="00313A17" w:rsidRPr="00EC5845" w:rsidRDefault="006325E3" w:rsidP="00117C9F">
    <w:pPr>
      <w:pStyle w:val="Footer"/>
      <w:spacing w:before="120"/>
      <w:jc w:val="right"/>
      <w:rPr>
        <w:rFonts w:ascii="Arial" w:hAnsi="Arial" w:cs="Arial"/>
        <w:sz w:val="12"/>
        <w:lang w:val="en-GB"/>
      </w:rPr>
    </w:pPr>
    <w:fldSimple w:instr=" FILENAME \p \* MERGEFORMAT ">
      <w:r w:rsidR="00117C9F" w:rsidRPr="00EC5845">
        <w:rPr>
          <w:rFonts w:ascii="Arial" w:hAnsi="Arial" w:cs="Arial"/>
          <w:noProof/>
          <w:sz w:val="12"/>
          <w:lang w:val="en-GB"/>
        </w:rPr>
        <w:t>C:\Users\ggonzalez\AppData\Local\Microsoft\Windows\Temporary Internet Files\Outlook Temp\ToR ABM framework 19 Feb SA.docx</w:t>
      </w:r>
    </w:fldSimple>
    <w:r w:rsidRPr="00117C9F">
      <w:rPr>
        <w:rFonts w:ascii="Arial" w:hAnsi="Arial" w:cs="Arial"/>
        <w:sz w:val="12"/>
      </w:rPr>
      <w:fldChar w:fldCharType="begin"/>
    </w:r>
    <w:r w:rsidR="00117C9F" w:rsidRPr="00EC5845">
      <w:rPr>
        <w:rFonts w:ascii="Arial" w:hAnsi="Arial" w:cs="Arial"/>
        <w:sz w:val="12"/>
        <w:lang w:val="en-GB"/>
      </w:rPr>
      <w:instrText xml:space="preserve"> DOCPROPERTY PRIVACY  \* MERGEFORMAT </w:instrText>
    </w:r>
    <w:r w:rsidRPr="00117C9F">
      <w:rPr>
        <w:rFonts w:ascii="Arial" w:hAnsi="Arial" w:cs="Arial"/>
        <w:sz w:val="12"/>
      </w:rPr>
      <w:fldChar w:fldCharType="end"/>
    </w:r>
  </w:p>
  <w:p w:rsidR="00313A17" w:rsidRPr="00EC5845" w:rsidRDefault="00313A17" w:rsidP="00037B52">
    <w:pPr>
      <w:pStyle w:val="Footer"/>
      <w:spacing w:before="120"/>
      <w:jc w:val="right"/>
      <w:rPr>
        <w:rFonts w:ascii="Arial" w:hAnsi="Arial" w:cs="Arial"/>
        <w:sz w:val="12"/>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Default="00313A17">
    <w:pPr>
      <w:pStyle w:val="Footer"/>
    </w:pPr>
  </w:p>
  <w:p w:rsidR="00313A17" w:rsidRPr="00A91700" w:rsidRDefault="00313A17" w:rsidP="00037B52">
    <w:pPr>
      <w:pStyle w:val="Footer"/>
      <w:jc w:val="center"/>
      <w:rPr>
        <w:rFonts w:ascii="Arial" w:hAnsi="Arial" w:cs="Arial"/>
        <w:b/>
        <w:sz w:val="20"/>
        <w:lang w:val="en-GB"/>
      </w:rPr>
    </w:pPr>
    <w:r w:rsidRPr="00A91700">
      <w:rPr>
        <w:rFonts w:ascii="Arial" w:hAnsi="Arial" w:cs="Arial"/>
        <w:b/>
        <w:sz w:val="20"/>
        <w:lang w:val="en-GB"/>
      </w:rPr>
      <w:t xml:space="preserve"> </w:t>
    </w:r>
  </w:p>
  <w:p w:rsidR="00117C9F" w:rsidRPr="00EC5845" w:rsidRDefault="006325E3" w:rsidP="00037B52">
    <w:pPr>
      <w:pStyle w:val="Footer"/>
      <w:spacing w:before="120"/>
      <w:jc w:val="right"/>
      <w:rPr>
        <w:lang w:val="en-GB"/>
      </w:rPr>
    </w:pPr>
    <w:fldSimple w:instr=" FILENAME \p \* MERGEFORMAT ">
      <w:r w:rsidR="00117C9F" w:rsidRPr="00117C9F">
        <w:rPr>
          <w:rFonts w:ascii="Arial" w:hAnsi="Arial" w:cs="Arial"/>
          <w:noProof/>
          <w:sz w:val="12"/>
          <w:lang w:val="en-GB"/>
        </w:rPr>
        <w:t>C</w:t>
      </w:r>
      <w:r w:rsidR="00117C9F" w:rsidRPr="00117C9F">
        <w:rPr>
          <w:noProof/>
          <w:lang w:val="en-GB"/>
        </w:rPr>
        <w:t>:\Users\ggonzalez\AppData\Local\Microsoft\Windows\Temporary Internet Files\Outlook</w:t>
      </w:r>
      <w:r w:rsidR="00117C9F" w:rsidRPr="00EC5845">
        <w:rPr>
          <w:noProof/>
          <w:lang w:val="en-GB"/>
        </w:rPr>
        <w:t xml:space="preserve"> Temp\ToR ABM framework 19 Feb SA.docx</w:t>
      </w:r>
    </w:fldSimple>
  </w:p>
  <w:p w:rsidR="00313A17" w:rsidRPr="00117C9F" w:rsidRDefault="00117C9F" w:rsidP="00117C9F">
    <w:pPr>
      <w:pStyle w:val="Footer"/>
      <w:spacing w:before="120"/>
      <w:jc w:val="center"/>
      <w:rPr>
        <w:rFonts w:ascii="Arial" w:hAnsi="Arial" w:cs="Arial"/>
        <w:b/>
        <w:sz w:val="20"/>
        <w:lang w:val="en-GB"/>
      </w:rPr>
    </w:pPr>
    <w:r w:rsidRPr="00EC5845">
      <w:rPr>
        <w:rFonts w:ascii="Arial" w:hAnsi="Arial" w:cs="Arial"/>
        <w:b/>
        <w:sz w:val="20"/>
        <w:lang w:val="en-G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B9" w:rsidRDefault="007B42B9" w:rsidP="00037B52">
      <w:pPr>
        <w:spacing w:after="0" w:line="240" w:lineRule="auto"/>
      </w:pPr>
      <w:r>
        <w:separator/>
      </w:r>
    </w:p>
  </w:footnote>
  <w:footnote w:type="continuationSeparator" w:id="0">
    <w:p w:rsidR="007B42B9" w:rsidRDefault="007B42B9" w:rsidP="00037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9F" w:rsidRPr="00117C9F" w:rsidRDefault="00117C9F" w:rsidP="00117C9F">
    <w:pPr>
      <w:pStyle w:val="Header"/>
      <w:jc w:val="center"/>
      <w:rPr>
        <w:rFonts w:ascii="Arial" w:hAnsi="Arial" w:cs="Arial"/>
        <w:b/>
        <w:sz w:val="20"/>
      </w:rPr>
    </w:pPr>
    <w:r w:rsidRPr="00117C9F">
      <w:rPr>
        <w:rFonts w:ascii="Arial" w:hAnsi="Arial" w:cs="Arial"/>
        <w:b/>
        <w:sz w:val="20"/>
      </w:rPr>
      <w:t xml:space="preserve"> </w:t>
    </w:r>
  </w:p>
  <w:p w:rsidR="00313A17" w:rsidRPr="00037B52" w:rsidRDefault="00313A17" w:rsidP="00037B52">
    <w:pPr>
      <w:pStyle w:val="Header"/>
      <w:jc w:val="center"/>
      <w:rPr>
        <w:rFonts w:ascii="Arial" w:hAnsi="Arial" w:cs="Arial"/>
        <w:b/>
        <w:sz w:val="20"/>
      </w:rPr>
    </w:pPr>
    <w:r w:rsidRPr="00037B52">
      <w:rPr>
        <w:rFonts w:ascii="Arial" w:hAnsi="Arial" w:cs="Arial"/>
        <w:b/>
        <w:sz w:val="20"/>
      </w:rPr>
      <w:t xml:space="preserve"> </w:t>
    </w:r>
  </w:p>
  <w:p w:rsidR="00313A17" w:rsidRDefault="00313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9F" w:rsidRPr="00117C9F" w:rsidRDefault="00117C9F" w:rsidP="00117C9F">
    <w:pPr>
      <w:pStyle w:val="Header"/>
      <w:jc w:val="center"/>
      <w:rPr>
        <w:rFonts w:ascii="Arial" w:hAnsi="Arial" w:cs="Arial"/>
        <w:b/>
        <w:sz w:val="20"/>
      </w:rPr>
    </w:pPr>
    <w:r w:rsidRPr="00117C9F">
      <w:rPr>
        <w:rFonts w:ascii="Arial" w:hAnsi="Arial" w:cs="Arial"/>
        <w:b/>
        <w:sz w:val="20"/>
      </w:rPr>
      <w:t xml:space="preserve"> </w:t>
    </w:r>
    <w:r w:rsidR="006325E3" w:rsidRPr="00117C9F">
      <w:rPr>
        <w:rFonts w:ascii="Arial" w:hAnsi="Arial" w:cs="Arial"/>
        <w:b/>
        <w:sz w:val="20"/>
      </w:rPr>
      <w:fldChar w:fldCharType="begin"/>
    </w:r>
    <w:r w:rsidRPr="00117C9F">
      <w:rPr>
        <w:rFonts w:ascii="Arial" w:hAnsi="Arial" w:cs="Arial"/>
        <w:b/>
        <w:sz w:val="20"/>
      </w:rPr>
      <w:instrText xml:space="preserve"> DOCPROPERTY PRIVACY  \* MERGEFORMAT </w:instrText>
    </w:r>
    <w:r w:rsidR="006325E3" w:rsidRPr="00117C9F">
      <w:rPr>
        <w:rFonts w:ascii="Arial" w:hAnsi="Arial" w:cs="Arial"/>
        <w:b/>
        <w:sz w:val="20"/>
      </w:rPr>
      <w:fldChar w:fldCharType="end"/>
    </w:r>
  </w:p>
  <w:p w:rsidR="00313A17" w:rsidRPr="00037B52" w:rsidRDefault="00313A17" w:rsidP="00037B52">
    <w:pPr>
      <w:pStyle w:val="Header"/>
      <w:jc w:val="center"/>
      <w:rPr>
        <w:rFonts w:ascii="Arial" w:hAnsi="Arial" w:cs="Arial"/>
        <w:b/>
        <w:sz w:val="20"/>
      </w:rPr>
    </w:pPr>
    <w:r w:rsidRPr="00037B52">
      <w:rPr>
        <w:rFonts w:ascii="Arial" w:hAnsi="Arial" w:cs="Arial"/>
        <w:b/>
        <w:sz w:val="20"/>
      </w:rPr>
      <w:t xml:space="preserve"> </w:t>
    </w:r>
  </w:p>
  <w:p w:rsidR="00313A17" w:rsidRPr="00037B52" w:rsidRDefault="00313A17">
    <w:pPr>
      <w:pStyle w:val="Header"/>
      <w:rPr>
        <w:b/>
      </w:rPr>
    </w:pPr>
    <w:r w:rsidRPr="00037B52">
      <w:rPr>
        <w:b/>
      </w:rPr>
      <w:t>Terms of Ref</w:t>
    </w:r>
    <w:r>
      <w:rPr>
        <w:b/>
      </w:rPr>
      <w:t>e</w:t>
    </w:r>
    <w:r w:rsidRPr="00037B52">
      <w:rPr>
        <w:b/>
      </w:rPr>
      <w:t>rence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9F" w:rsidRPr="00117C9F" w:rsidRDefault="00117C9F" w:rsidP="00117C9F">
    <w:pPr>
      <w:pStyle w:val="Header"/>
      <w:jc w:val="center"/>
      <w:rPr>
        <w:rFonts w:ascii="Arial" w:hAnsi="Arial" w:cs="Arial"/>
        <w:b/>
        <w:sz w:val="20"/>
      </w:rPr>
    </w:pPr>
    <w:r w:rsidRPr="00117C9F">
      <w:rPr>
        <w:rFonts w:ascii="Arial" w:hAnsi="Arial" w:cs="Arial"/>
        <w:b/>
        <w:sz w:val="20"/>
      </w:rPr>
      <w:t xml:space="preserve"> </w:t>
    </w:r>
  </w:p>
  <w:p w:rsidR="00313A17" w:rsidRPr="00037B52" w:rsidRDefault="00313A17" w:rsidP="00037B52">
    <w:pPr>
      <w:pStyle w:val="Header"/>
      <w:jc w:val="center"/>
      <w:rPr>
        <w:rFonts w:ascii="Arial" w:hAnsi="Arial" w:cs="Arial"/>
        <w:b/>
        <w:sz w:val="20"/>
      </w:rPr>
    </w:pPr>
    <w:r w:rsidRPr="00037B52">
      <w:rPr>
        <w:rFonts w:ascii="Arial" w:hAnsi="Arial" w:cs="Arial"/>
        <w:b/>
        <w:sz w:val="20"/>
      </w:rPr>
      <w:t xml:space="preserve"> </w:t>
    </w:r>
  </w:p>
  <w:p w:rsidR="00313A17" w:rsidRDefault="00313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0DF5"/>
    <w:multiLevelType w:val="hybridMultilevel"/>
    <w:tmpl w:val="B972DAF8"/>
    <w:lvl w:ilvl="0" w:tplc="D67E5C54">
      <w:start w:val="1"/>
      <w:numFmt w:val="decimal"/>
      <w:lvlText w:val="%1."/>
      <w:lvlJc w:val="left"/>
      <w:pPr>
        <w:ind w:left="720" w:hanging="360"/>
      </w:pPr>
      <w:rPr>
        <w:rFonts w:asciiTheme="minorHAnsi" w:hAnsiTheme="minorHAnsi" w:hint="default"/>
        <w:b/>
        <w:i w:val="0"/>
        <w:color w:val="auto"/>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514177"/>
    <w:multiLevelType w:val="hybridMultilevel"/>
    <w:tmpl w:val="78BAE79C"/>
    <w:lvl w:ilvl="0" w:tplc="9F3E973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F0A68D3"/>
    <w:multiLevelType w:val="hybridMultilevel"/>
    <w:tmpl w:val="788CFD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DA12BF7"/>
    <w:multiLevelType w:val="hybridMultilevel"/>
    <w:tmpl w:val="832A4AB2"/>
    <w:lvl w:ilvl="0" w:tplc="E6CA86E2">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9007FF2"/>
    <w:multiLevelType w:val="hybridMultilevel"/>
    <w:tmpl w:val="7D2A1FDC"/>
    <w:lvl w:ilvl="0" w:tplc="3EBAF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07161FC"/>
    <w:multiLevelType w:val="hybridMultilevel"/>
    <w:tmpl w:val="BC9C632E"/>
    <w:lvl w:ilvl="0" w:tplc="4B042AB6">
      <w:start w:val="1"/>
      <w:numFmt w:val="decimal"/>
      <w:lvlText w:val="%1."/>
      <w:lvlJc w:val="left"/>
      <w:pPr>
        <w:ind w:left="720" w:hanging="360"/>
      </w:pPr>
      <w:rPr>
        <w:rFonts w:asciiTheme="minorHAnsi" w:hAnsiTheme="minorHAnsi"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9752F8"/>
    <w:multiLevelType w:val="hybridMultilevel"/>
    <w:tmpl w:val="B32E9A20"/>
    <w:lvl w:ilvl="0" w:tplc="B134C6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BFD38D6"/>
    <w:multiLevelType w:val="hybridMultilevel"/>
    <w:tmpl w:val="BC9C632E"/>
    <w:lvl w:ilvl="0" w:tplc="4B042AB6">
      <w:start w:val="1"/>
      <w:numFmt w:val="decimal"/>
      <w:lvlText w:val="%1."/>
      <w:lvlJc w:val="left"/>
      <w:pPr>
        <w:ind w:left="720" w:hanging="360"/>
      </w:pPr>
      <w:rPr>
        <w:rFonts w:asciiTheme="minorHAnsi" w:hAnsiTheme="minorHAnsi"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AF2C3F"/>
    <w:multiLevelType w:val="hybridMultilevel"/>
    <w:tmpl w:val="6B04FD52"/>
    <w:lvl w:ilvl="0" w:tplc="9BDA88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8"/>
  </w:num>
  <w:num w:numId="3">
    <w:abstractNumId w:val="1"/>
  </w:num>
  <w:num w:numId="4">
    <w:abstractNumId w:val="7"/>
  </w:num>
  <w:num w:numId="5">
    <w:abstractNumId w:val="5"/>
  </w:num>
  <w:num w:numId="6">
    <w:abstractNumId w:val="6"/>
  </w:num>
  <w:num w:numId="7">
    <w:abstractNumId w:val="2"/>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el Rojas García">
    <w15:presenceInfo w15:providerId="AD" w15:userId="S-1-5-21-832476459-2831188590-4204374730-11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037B52"/>
    <w:rsid w:val="00022F19"/>
    <w:rsid w:val="00025111"/>
    <w:rsid w:val="00034CE6"/>
    <w:rsid w:val="00037B52"/>
    <w:rsid w:val="0004341C"/>
    <w:rsid w:val="000B55D2"/>
    <w:rsid w:val="00117C9F"/>
    <w:rsid w:val="00195A19"/>
    <w:rsid w:val="001A159B"/>
    <w:rsid w:val="001C1E4E"/>
    <w:rsid w:val="001C7A14"/>
    <w:rsid w:val="002A0DFD"/>
    <w:rsid w:val="002A4278"/>
    <w:rsid w:val="002D2D1C"/>
    <w:rsid w:val="00313A17"/>
    <w:rsid w:val="00354314"/>
    <w:rsid w:val="0038126A"/>
    <w:rsid w:val="003A542D"/>
    <w:rsid w:val="003B1554"/>
    <w:rsid w:val="003C7A9A"/>
    <w:rsid w:val="003E1FCF"/>
    <w:rsid w:val="00410111"/>
    <w:rsid w:val="0043150E"/>
    <w:rsid w:val="0045326D"/>
    <w:rsid w:val="004B4D85"/>
    <w:rsid w:val="004B5C88"/>
    <w:rsid w:val="0050377C"/>
    <w:rsid w:val="005147A8"/>
    <w:rsid w:val="00570498"/>
    <w:rsid w:val="0057288C"/>
    <w:rsid w:val="006325E3"/>
    <w:rsid w:val="006365B5"/>
    <w:rsid w:val="00663F05"/>
    <w:rsid w:val="006E1AE9"/>
    <w:rsid w:val="006E6820"/>
    <w:rsid w:val="006F771A"/>
    <w:rsid w:val="00717A20"/>
    <w:rsid w:val="00724F9A"/>
    <w:rsid w:val="00757C8B"/>
    <w:rsid w:val="00773D9B"/>
    <w:rsid w:val="007A3339"/>
    <w:rsid w:val="007B42B9"/>
    <w:rsid w:val="007F2C6B"/>
    <w:rsid w:val="007F429E"/>
    <w:rsid w:val="00843A52"/>
    <w:rsid w:val="008461E3"/>
    <w:rsid w:val="008516E3"/>
    <w:rsid w:val="00865ED7"/>
    <w:rsid w:val="008924DB"/>
    <w:rsid w:val="008B6CFC"/>
    <w:rsid w:val="00904C30"/>
    <w:rsid w:val="00925E37"/>
    <w:rsid w:val="009C1384"/>
    <w:rsid w:val="009D7323"/>
    <w:rsid w:val="00A91700"/>
    <w:rsid w:val="00B04E26"/>
    <w:rsid w:val="00B05592"/>
    <w:rsid w:val="00B07230"/>
    <w:rsid w:val="00B1542D"/>
    <w:rsid w:val="00BA6BE3"/>
    <w:rsid w:val="00C33533"/>
    <w:rsid w:val="00C406E5"/>
    <w:rsid w:val="00C558C6"/>
    <w:rsid w:val="00C60DD7"/>
    <w:rsid w:val="00C86160"/>
    <w:rsid w:val="00CB720E"/>
    <w:rsid w:val="00CE5AC2"/>
    <w:rsid w:val="00CF78A8"/>
    <w:rsid w:val="00D2078E"/>
    <w:rsid w:val="00D24089"/>
    <w:rsid w:val="00DE5999"/>
    <w:rsid w:val="00E57F91"/>
    <w:rsid w:val="00E737A7"/>
    <w:rsid w:val="00EC5845"/>
    <w:rsid w:val="00EC65DD"/>
    <w:rsid w:val="00F23C79"/>
    <w:rsid w:val="00F41B15"/>
    <w:rsid w:val="00F55385"/>
    <w:rsid w:val="00F66A82"/>
    <w:rsid w:val="00FB008E"/>
    <w:rsid w:val="00FB42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52"/>
    <w:rPr>
      <w:rFonts w:eastAsiaTheme="minorEastAsia"/>
      <w:lang w:val="es-CO" w:eastAsia="es-CO"/>
    </w:rPr>
  </w:style>
  <w:style w:type="paragraph" w:styleId="Heading1">
    <w:name w:val="heading 1"/>
    <w:basedOn w:val="Normal"/>
    <w:next w:val="Normal"/>
    <w:link w:val="Heading1Char"/>
    <w:uiPriority w:val="9"/>
    <w:qFormat/>
    <w:rsid w:val="00037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B5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B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7B52"/>
  </w:style>
  <w:style w:type="paragraph" w:styleId="Footer">
    <w:name w:val="footer"/>
    <w:basedOn w:val="Normal"/>
    <w:link w:val="FooterChar"/>
    <w:uiPriority w:val="99"/>
    <w:unhideWhenUsed/>
    <w:rsid w:val="0003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B52"/>
  </w:style>
  <w:style w:type="paragraph" w:styleId="BalloonText">
    <w:name w:val="Balloon Text"/>
    <w:basedOn w:val="Normal"/>
    <w:link w:val="BalloonTextChar"/>
    <w:uiPriority w:val="99"/>
    <w:semiHidden/>
    <w:unhideWhenUsed/>
    <w:rsid w:val="0003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52"/>
    <w:rPr>
      <w:rFonts w:ascii="Tahoma" w:hAnsi="Tahoma" w:cs="Tahoma"/>
      <w:sz w:val="16"/>
      <w:szCs w:val="16"/>
    </w:rPr>
  </w:style>
  <w:style w:type="character" w:styleId="Hyperlink">
    <w:name w:val="Hyperlink"/>
    <w:uiPriority w:val="99"/>
    <w:rsid w:val="00037B52"/>
    <w:rPr>
      <w:color w:val="0000FF"/>
      <w:u w:val="single"/>
    </w:rPr>
  </w:style>
  <w:style w:type="character" w:customStyle="1" w:styleId="Heading1Char">
    <w:name w:val="Heading 1 Char"/>
    <w:basedOn w:val="DefaultParagraphFont"/>
    <w:link w:val="Heading1"/>
    <w:uiPriority w:val="9"/>
    <w:rsid w:val="00037B52"/>
    <w:rPr>
      <w:rFonts w:asciiTheme="majorHAnsi" w:eastAsiaTheme="majorEastAsia" w:hAnsiTheme="majorHAnsi" w:cstheme="majorBidi"/>
      <w:b/>
      <w:bCs/>
      <w:color w:val="365F91" w:themeColor="accent1" w:themeShade="BF"/>
      <w:sz w:val="28"/>
      <w:szCs w:val="28"/>
      <w:lang w:val="es-CO" w:eastAsia="es-CO"/>
    </w:rPr>
  </w:style>
  <w:style w:type="paragraph" w:styleId="TOCHeading">
    <w:name w:val="TOC Heading"/>
    <w:basedOn w:val="Heading1"/>
    <w:next w:val="Normal"/>
    <w:uiPriority w:val="39"/>
    <w:unhideWhenUsed/>
    <w:qFormat/>
    <w:rsid w:val="00037B52"/>
    <w:pPr>
      <w:outlineLvl w:val="9"/>
    </w:pPr>
    <w:rPr>
      <w:lang w:val="en-US"/>
    </w:rPr>
  </w:style>
  <w:style w:type="paragraph" w:styleId="TOC2">
    <w:name w:val="toc 2"/>
    <w:basedOn w:val="Normal"/>
    <w:next w:val="Normal"/>
    <w:autoRedefine/>
    <w:uiPriority w:val="39"/>
    <w:unhideWhenUsed/>
    <w:qFormat/>
    <w:rsid w:val="00037B52"/>
    <w:pPr>
      <w:spacing w:after="100"/>
      <w:ind w:left="220"/>
    </w:pPr>
  </w:style>
  <w:style w:type="character" w:customStyle="1" w:styleId="Heading2Char">
    <w:name w:val="Heading 2 Char"/>
    <w:basedOn w:val="DefaultParagraphFont"/>
    <w:link w:val="Heading2"/>
    <w:uiPriority w:val="9"/>
    <w:rsid w:val="00037B52"/>
    <w:rPr>
      <w:rFonts w:eastAsiaTheme="majorEastAsia" w:cstheme="majorBidi"/>
      <w:b/>
      <w:bCs/>
      <w:szCs w:val="26"/>
      <w:lang w:val="es-CO"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
    <w:basedOn w:val="Normal"/>
    <w:link w:val="ListParagraphChar"/>
    <w:uiPriority w:val="34"/>
    <w:qFormat/>
    <w:rsid w:val="00037B5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037B52"/>
    <w:rPr>
      <w:rFonts w:eastAsiaTheme="minorEastAsia"/>
      <w:lang w:val="es-CO" w:eastAsia="es-CO"/>
    </w:rPr>
  </w:style>
  <w:style w:type="paragraph" w:styleId="NoSpacing">
    <w:name w:val="No Spacing"/>
    <w:uiPriority w:val="1"/>
    <w:qFormat/>
    <w:rsid w:val="00037B52"/>
    <w:pPr>
      <w:spacing w:after="0" w:line="240" w:lineRule="auto"/>
    </w:pPr>
    <w:rPr>
      <w:rFonts w:ascii="Calibri" w:eastAsia="Calibri" w:hAnsi="Calibri" w:cs="Times New Roman"/>
    </w:rPr>
  </w:style>
  <w:style w:type="table" w:styleId="TableGrid">
    <w:name w:val="Table Grid"/>
    <w:basedOn w:val="TableNormal"/>
    <w:uiPriority w:val="59"/>
    <w:rsid w:val="00037B52"/>
    <w:pPr>
      <w:spacing w:after="0" w:line="240" w:lineRule="auto"/>
    </w:pPr>
    <w:rPr>
      <w:rFonts w:eastAsiaTheme="minorEastAsia"/>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37A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55385"/>
    <w:rPr>
      <w:sz w:val="16"/>
      <w:szCs w:val="16"/>
    </w:rPr>
  </w:style>
  <w:style w:type="paragraph" w:styleId="CommentText">
    <w:name w:val="annotation text"/>
    <w:basedOn w:val="Normal"/>
    <w:link w:val="CommentTextChar"/>
    <w:uiPriority w:val="99"/>
    <w:semiHidden/>
    <w:unhideWhenUsed/>
    <w:rsid w:val="00F55385"/>
    <w:pPr>
      <w:spacing w:line="240" w:lineRule="auto"/>
    </w:pPr>
    <w:rPr>
      <w:sz w:val="20"/>
      <w:szCs w:val="20"/>
    </w:rPr>
  </w:style>
  <w:style w:type="character" w:customStyle="1" w:styleId="CommentTextChar">
    <w:name w:val="Comment Text Char"/>
    <w:basedOn w:val="DefaultParagraphFont"/>
    <w:link w:val="CommentText"/>
    <w:uiPriority w:val="99"/>
    <w:semiHidden/>
    <w:rsid w:val="00F55385"/>
    <w:rPr>
      <w:rFonts w:eastAsiaTheme="minorEastAsia"/>
      <w:sz w:val="20"/>
      <w:szCs w:val="20"/>
      <w:lang w:val="es-CO" w:eastAsia="es-CO"/>
    </w:rPr>
  </w:style>
  <w:style w:type="paragraph" w:styleId="CommentSubject">
    <w:name w:val="annotation subject"/>
    <w:basedOn w:val="CommentText"/>
    <w:next w:val="CommentText"/>
    <w:link w:val="CommentSubjectChar"/>
    <w:uiPriority w:val="99"/>
    <w:semiHidden/>
    <w:unhideWhenUsed/>
    <w:rsid w:val="00F55385"/>
    <w:rPr>
      <w:b/>
      <w:bCs/>
    </w:rPr>
  </w:style>
  <w:style w:type="character" w:customStyle="1" w:styleId="CommentSubjectChar">
    <w:name w:val="Comment Subject Char"/>
    <w:basedOn w:val="CommentTextChar"/>
    <w:link w:val="CommentSubject"/>
    <w:uiPriority w:val="99"/>
    <w:semiHidden/>
    <w:rsid w:val="00F55385"/>
    <w:rPr>
      <w:rFonts w:eastAsiaTheme="minorEastAsia"/>
      <w:b/>
      <w:bCs/>
      <w:sz w:val="20"/>
      <w:szCs w:val="20"/>
      <w:lang w:val="es-CO" w:eastAsia="es-CO"/>
    </w:rPr>
  </w:style>
  <w:style w:type="character" w:customStyle="1" w:styleId="shorttext">
    <w:name w:val="short_text"/>
    <w:basedOn w:val="DefaultParagraphFont"/>
    <w:rsid w:val="00E57F91"/>
  </w:style>
</w:styles>
</file>

<file path=word/webSettings.xml><?xml version="1.0" encoding="utf-8"?>
<w:webSettings xmlns:r="http://schemas.openxmlformats.org/officeDocument/2006/relationships" xmlns:w="http://schemas.openxmlformats.org/wordprocessingml/2006/main">
  <w:divs>
    <w:div w:id="31809055">
      <w:bodyDiv w:val="1"/>
      <w:marLeft w:val="0"/>
      <w:marRight w:val="0"/>
      <w:marTop w:val="0"/>
      <w:marBottom w:val="0"/>
      <w:divBdr>
        <w:top w:val="none" w:sz="0" w:space="0" w:color="auto"/>
        <w:left w:val="none" w:sz="0" w:space="0" w:color="auto"/>
        <w:bottom w:val="none" w:sz="0" w:space="0" w:color="auto"/>
        <w:right w:val="none" w:sz="0" w:space="0" w:color="auto"/>
      </w:divBdr>
    </w:div>
    <w:div w:id="464129292">
      <w:bodyDiv w:val="1"/>
      <w:marLeft w:val="20"/>
      <w:marRight w:val="20"/>
      <w:marTop w:val="0"/>
      <w:marBottom w:val="0"/>
      <w:divBdr>
        <w:top w:val="none" w:sz="0" w:space="0" w:color="auto"/>
        <w:left w:val="none" w:sz="0" w:space="0" w:color="auto"/>
        <w:bottom w:val="none" w:sz="0" w:space="0" w:color="auto"/>
        <w:right w:val="none" w:sz="0" w:space="0" w:color="auto"/>
      </w:divBdr>
      <w:divsChild>
        <w:div w:id="20906215">
          <w:marLeft w:val="0"/>
          <w:marRight w:val="0"/>
          <w:marTop w:val="0"/>
          <w:marBottom w:val="0"/>
          <w:divBdr>
            <w:top w:val="none" w:sz="0" w:space="0" w:color="auto"/>
            <w:left w:val="none" w:sz="0" w:space="0" w:color="auto"/>
            <w:bottom w:val="none" w:sz="0" w:space="0" w:color="auto"/>
            <w:right w:val="none" w:sz="0" w:space="0" w:color="auto"/>
          </w:divBdr>
          <w:divsChild>
            <w:div w:id="1827277124">
              <w:marLeft w:val="0"/>
              <w:marRight w:val="0"/>
              <w:marTop w:val="0"/>
              <w:marBottom w:val="0"/>
              <w:divBdr>
                <w:top w:val="none" w:sz="0" w:space="0" w:color="auto"/>
                <w:left w:val="none" w:sz="0" w:space="0" w:color="auto"/>
                <w:bottom w:val="none" w:sz="0" w:space="0" w:color="auto"/>
                <w:right w:val="none" w:sz="0" w:space="0" w:color="auto"/>
              </w:divBdr>
              <w:divsChild>
                <w:div w:id="1406298356">
                  <w:marLeft w:val="120"/>
                  <w:marRight w:val="0"/>
                  <w:marTop w:val="0"/>
                  <w:marBottom w:val="0"/>
                  <w:divBdr>
                    <w:top w:val="none" w:sz="0" w:space="0" w:color="auto"/>
                    <w:left w:val="none" w:sz="0" w:space="0" w:color="auto"/>
                    <w:bottom w:val="none" w:sz="0" w:space="0" w:color="auto"/>
                    <w:right w:val="none" w:sz="0" w:space="0" w:color="auto"/>
                  </w:divBdr>
                  <w:divsChild>
                    <w:div w:id="611128884">
                      <w:marLeft w:val="0"/>
                      <w:marRight w:val="0"/>
                      <w:marTop w:val="0"/>
                      <w:marBottom w:val="0"/>
                      <w:divBdr>
                        <w:top w:val="none" w:sz="0" w:space="0" w:color="auto"/>
                        <w:left w:val="none" w:sz="0" w:space="0" w:color="auto"/>
                        <w:bottom w:val="none" w:sz="0" w:space="0" w:color="auto"/>
                        <w:right w:val="none" w:sz="0" w:space="0" w:color="auto"/>
                      </w:divBdr>
                      <w:divsChild>
                        <w:div w:id="20406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inmexico.ccep@fco.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Ukinmexico.ccep@fco.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2E71-D1A6-4017-BAB7-9E098E83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1900</Words>
  <Characters>10836</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vt:lpstr>
      <vt:lpstr>SA</vt:lpstr>
    </vt:vector>
  </TitlesOfParts>
  <Company>FCO</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c:title>
  <dc:subject/>
  <dc:creator>sandujo</dc:creator>
  <cp:keywords/>
  <cp:lastModifiedBy>sandujo</cp:lastModifiedBy>
  <cp:revision>7</cp:revision>
  <dcterms:created xsi:type="dcterms:W3CDTF">2018-02-21T21:07:00Z</dcterms:created>
  <dcterms:modified xsi:type="dcterms:W3CDTF">2018-02-21T21:15:00Z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2017-12-18T06:00:00Z</vt:filetime>
  </property>
</Properties>
</file>