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r>
        <w:rPr>
          <w:rFonts w:ascii="Arial" w:hAnsi="Arial" w:cs="Arial"/>
          <w:b/>
          <w:noProof/>
          <w:sz w:val="22"/>
          <w:szCs w:val="22"/>
        </w:rPr>
        <w:drawing>
          <wp:inline distT="0" distB="0" distL="0" distR="0" wp14:anchorId="671E9519" wp14:editId="1B4ABCB2">
            <wp:extent cx="2371090" cy="1882140"/>
            <wp:effectExtent l="0" t="0" r="0" b="3810"/>
            <wp:docPr id="1" name="Picture 1" descr="hca_328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_3282_sml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090" cy="1882140"/>
                    </a:xfrm>
                    <a:prstGeom prst="rect">
                      <a:avLst/>
                    </a:prstGeom>
                    <a:noFill/>
                    <a:ln>
                      <a:noFill/>
                    </a:ln>
                  </pic:spPr>
                </pic:pic>
              </a:graphicData>
            </a:graphic>
          </wp:inline>
        </w:drawing>
      </w:r>
    </w:p>
    <w:p w:rsidR="00BA3BF2" w:rsidRDefault="00BA3BF2" w:rsidP="00E11816">
      <w:pPr>
        <w:rPr>
          <w:rFonts w:ascii="Arial" w:hAnsi="Arial" w:cs="Arial"/>
          <w:b/>
        </w:rPr>
      </w:pPr>
    </w:p>
    <w:p w:rsidR="00BA3BF2" w:rsidRDefault="00BA3BF2" w:rsidP="00E11816">
      <w:pPr>
        <w:rPr>
          <w:rFonts w:ascii="Arial" w:hAnsi="Arial" w:cs="Arial"/>
          <w:b/>
        </w:rPr>
      </w:pPr>
    </w:p>
    <w:p w:rsidR="00E11816" w:rsidRPr="00E11816" w:rsidRDefault="00BA67BF" w:rsidP="00E11816">
      <w:pPr>
        <w:rPr>
          <w:rFonts w:ascii="Arial" w:hAnsi="Arial" w:cs="Arial"/>
          <w:b/>
        </w:rPr>
      </w:pPr>
      <w:r>
        <w:rPr>
          <w:rFonts w:ascii="Arial" w:hAnsi="Arial" w:cs="Arial"/>
          <w:b/>
        </w:rPr>
        <w:t>Property</w:t>
      </w:r>
      <w:r w:rsidR="00E11816" w:rsidRPr="00E11816">
        <w:rPr>
          <w:rFonts w:ascii="Arial" w:hAnsi="Arial" w:cs="Arial"/>
          <w:b/>
        </w:rPr>
        <w:t xml:space="preserve"> Panel Tender Brief</w:t>
      </w:r>
    </w:p>
    <w:p w:rsidR="00E11816" w:rsidRPr="00E11816" w:rsidRDefault="00E11816" w:rsidP="00E11816">
      <w:pPr>
        <w:rPr>
          <w:rFonts w:ascii="Arial" w:hAnsi="Arial" w:cs="Arial"/>
          <w:b/>
        </w:rPr>
      </w:pPr>
    </w:p>
    <w:p w:rsidR="00E11816" w:rsidRPr="00E11816" w:rsidRDefault="00CA4D14" w:rsidP="00E11816">
      <w:pPr>
        <w:rPr>
          <w:rFonts w:ascii="Arial" w:hAnsi="Arial" w:cs="Arial"/>
          <w:b/>
        </w:rPr>
      </w:pPr>
      <w:r>
        <w:rPr>
          <w:rFonts w:ascii="Arial" w:hAnsi="Arial" w:cs="Arial"/>
          <w:b/>
        </w:rPr>
        <w:t xml:space="preserve">July </w:t>
      </w:r>
      <w:r w:rsidR="000B729E">
        <w:rPr>
          <w:rFonts w:ascii="Arial" w:hAnsi="Arial" w:cs="Arial"/>
          <w:b/>
        </w:rPr>
        <w:t>2016</w:t>
      </w:r>
    </w:p>
    <w:p w:rsidR="00E11816" w:rsidRPr="00E11816" w:rsidRDefault="00E11816" w:rsidP="00E11816">
      <w:pPr>
        <w:rPr>
          <w:rFonts w:ascii="Arial" w:hAnsi="Arial" w:cs="Arial"/>
          <w:b/>
        </w:rPr>
      </w:pPr>
    </w:p>
    <w:p w:rsidR="005552DC" w:rsidRDefault="005552DC" w:rsidP="00E11816">
      <w:pPr>
        <w:rPr>
          <w:rFonts w:ascii="Arial" w:hAnsi="Arial" w:cs="Arial"/>
          <w:b/>
        </w:rPr>
      </w:pPr>
      <w:r>
        <w:rPr>
          <w:rFonts w:ascii="Arial" w:hAnsi="Arial" w:cs="Arial"/>
          <w:b/>
        </w:rPr>
        <w:t xml:space="preserve">Former </w:t>
      </w:r>
      <w:r w:rsidR="00CA4D14">
        <w:rPr>
          <w:rFonts w:ascii="Arial" w:hAnsi="Arial" w:cs="Arial"/>
          <w:b/>
        </w:rPr>
        <w:t xml:space="preserve">Lord Mayor </w:t>
      </w:r>
      <w:proofErr w:type="spellStart"/>
      <w:r w:rsidR="00CA4D14">
        <w:rPr>
          <w:rFonts w:ascii="Arial" w:hAnsi="Arial" w:cs="Arial"/>
          <w:b/>
        </w:rPr>
        <w:t>Treloar</w:t>
      </w:r>
      <w:proofErr w:type="spellEnd"/>
      <w:r>
        <w:rPr>
          <w:rFonts w:ascii="Arial" w:hAnsi="Arial" w:cs="Arial"/>
          <w:b/>
        </w:rPr>
        <w:t xml:space="preserve"> Hospital Site</w:t>
      </w:r>
      <w:r w:rsidR="00CA4D14">
        <w:rPr>
          <w:rFonts w:ascii="Arial" w:hAnsi="Arial" w:cs="Arial"/>
          <w:b/>
        </w:rPr>
        <w:t xml:space="preserve">, Alton, Hampshire </w:t>
      </w:r>
    </w:p>
    <w:p w:rsidR="005552DC" w:rsidRDefault="005552DC" w:rsidP="00E11816">
      <w:pPr>
        <w:rPr>
          <w:rFonts w:ascii="Arial" w:hAnsi="Arial" w:cs="Arial"/>
          <w:b/>
        </w:rPr>
      </w:pPr>
    </w:p>
    <w:p w:rsidR="00E11816" w:rsidRDefault="00CA4D14" w:rsidP="00E11816">
      <w:pPr>
        <w:rPr>
          <w:rFonts w:ascii="Arial" w:hAnsi="Arial" w:cs="Arial"/>
          <w:b/>
        </w:rPr>
      </w:pPr>
      <w:r>
        <w:rPr>
          <w:rFonts w:ascii="Arial" w:hAnsi="Arial" w:cs="Arial"/>
          <w:b/>
        </w:rPr>
        <w:t>Marketing of HCA land</w:t>
      </w:r>
      <w:r w:rsidR="00A53EB7">
        <w:rPr>
          <w:rFonts w:ascii="Arial" w:hAnsi="Arial" w:cs="Arial"/>
          <w:b/>
        </w:rPr>
        <w:t xml:space="preserve"> for residential development</w:t>
      </w:r>
    </w:p>
    <w:p w:rsidR="003F6449" w:rsidRPr="00E11816" w:rsidRDefault="003F6449" w:rsidP="00E11816">
      <w:pPr>
        <w:rPr>
          <w:rFonts w:ascii="Arial" w:hAnsi="Arial" w:cs="Arial"/>
          <w:b/>
        </w:rPr>
      </w:pPr>
    </w:p>
    <w:p w:rsidR="00E11816" w:rsidRPr="00E11816" w:rsidRDefault="00E11816" w:rsidP="00284C93">
      <w:pPr>
        <w:rPr>
          <w:rFonts w:ascii="Arial" w:hAnsi="Arial" w:cs="Arial"/>
          <w:b/>
        </w:rPr>
      </w:pPr>
    </w:p>
    <w:p w:rsidR="00E11816" w:rsidRPr="00E11816" w:rsidRDefault="00E11816" w:rsidP="00E11816">
      <w:pPr>
        <w:rPr>
          <w:rFonts w:ascii="Arial" w:hAnsi="Arial" w:cs="Arial"/>
          <w:b/>
        </w:rPr>
      </w:pPr>
    </w:p>
    <w:p w:rsidR="00E11816" w:rsidRPr="00E11816" w:rsidRDefault="00E11816" w:rsidP="00E11816">
      <w:pPr>
        <w:rPr>
          <w:rFonts w:ascii="Arial" w:hAnsi="Arial" w:cs="Arial"/>
          <w:b/>
        </w:rPr>
      </w:pPr>
    </w:p>
    <w:p w:rsidR="00E11816" w:rsidRPr="00E11816" w:rsidRDefault="00E11816" w:rsidP="00E11816">
      <w:pPr>
        <w:rPr>
          <w:rFonts w:ascii="Arial" w:hAnsi="Arial" w:cs="Arial"/>
          <w:b/>
        </w:rPr>
      </w:pPr>
    </w:p>
    <w:p w:rsidR="00E11816" w:rsidRDefault="00CA4D14" w:rsidP="00A947DE">
      <w:pPr>
        <w:jc w:val="center"/>
        <w:rPr>
          <w:rFonts w:ascii="Arial" w:hAnsi="Arial" w:cs="Arial"/>
          <w:noProof/>
        </w:rPr>
      </w:pPr>
      <w:r>
        <w:rPr>
          <w:noProof/>
        </w:rPr>
        <w:drawing>
          <wp:anchor distT="0" distB="0" distL="114300" distR="114300" simplePos="0" relativeHeight="251659264" behindDoc="0" locked="0" layoutInCell="1" allowOverlap="1" wp14:anchorId="4B3BAE4C" wp14:editId="4B9A7565">
            <wp:simplePos x="0" y="0"/>
            <wp:positionH relativeFrom="margin">
              <wp:posOffset>128270</wp:posOffset>
            </wp:positionH>
            <wp:positionV relativeFrom="page">
              <wp:posOffset>5497830</wp:posOffset>
            </wp:positionV>
            <wp:extent cx="5295900" cy="3779520"/>
            <wp:effectExtent l="0" t="0" r="0" b="0"/>
            <wp:wrapNone/>
            <wp:docPr id="6" name="Picture 6" descr="Lord Mayor Treloar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rd Mayor Treloar Aerial 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5900" cy="377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E11816" w:rsidRPr="00E11816" w:rsidTr="00691B22">
        <w:trPr>
          <w:trHeight w:val="333"/>
        </w:trPr>
        <w:tc>
          <w:tcPr>
            <w:tcW w:w="10915" w:type="dxa"/>
          </w:tcPr>
          <w:p w:rsidR="00E11816" w:rsidRPr="00E11816" w:rsidRDefault="00CA4D14" w:rsidP="00E11816">
            <w:pPr>
              <w:rPr>
                <w:rFonts w:ascii="Arial" w:hAnsi="Arial" w:cs="Arial"/>
                <w:b/>
                <w:bCs/>
              </w:rPr>
            </w:pPr>
            <w:r>
              <w:rPr>
                <w:rFonts w:ascii="Arial" w:hAnsi="Arial" w:cs="Arial"/>
                <w:b/>
                <w:bCs/>
              </w:rPr>
              <w:lastRenderedPageBreak/>
              <w:t>R</w:t>
            </w:r>
            <w:r w:rsidR="00E11816" w:rsidRPr="00E11816">
              <w:rPr>
                <w:rFonts w:ascii="Arial" w:hAnsi="Arial" w:cs="Arial"/>
                <w:b/>
                <w:bCs/>
              </w:rPr>
              <w:t>esponse to invitation to participate in a mini competition</w:t>
            </w:r>
          </w:p>
          <w:p w:rsidR="00E11816" w:rsidRPr="00E11816" w:rsidRDefault="00E11816" w:rsidP="00E11816">
            <w:pPr>
              <w:rPr>
                <w:rFonts w:ascii="Arial" w:hAnsi="Arial" w:cs="Arial"/>
                <w:b/>
                <w:bCs/>
                <w:lang w:val="en-US"/>
              </w:rPr>
            </w:pPr>
          </w:p>
        </w:tc>
      </w:tr>
      <w:tr w:rsidR="00E11816" w:rsidRPr="00E11816" w:rsidTr="00691B22">
        <w:tc>
          <w:tcPr>
            <w:tcW w:w="10915" w:type="dxa"/>
          </w:tcPr>
          <w:p w:rsidR="00E11816" w:rsidRPr="00E11816" w:rsidRDefault="00E11816" w:rsidP="00E11816">
            <w:pPr>
              <w:rPr>
                <w:rFonts w:ascii="Arial" w:hAnsi="Arial" w:cs="Arial"/>
              </w:rPr>
            </w:pPr>
            <w:r w:rsidRPr="00E11816">
              <w:rPr>
                <w:rFonts w:ascii="Arial" w:hAnsi="Arial" w:cs="Arial"/>
                <w:b/>
                <w:bCs/>
              </w:rPr>
              <w:t>Panel Name</w:t>
            </w:r>
            <w:r w:rsidR="00BA67BF">
              <w:rPr>
                <w:rFonts w:ascii="Arial" w:hAnsi="Arial" w:cs="Arial"/>
              </w:rPr>
              <w:t>:- Property</w:t>
            </w:r>
            <w:r w:rsidRPr="00E11816">
              <w:rPr>
                <w:rFonts w:ascii="Arial" w:hAnsi="Arial" w:cs="Arial"/>
              </w:rPr>
              <w:t xml:space="preserve"> </w:t>
            </w:r>
          </w:p>
          <w:p w:rsidR="00E11816" w:rsidRPr="00E11816" w:rsidRDefault="00E11816" w:rsidP="00E11816">
            <w:pPr>
              <w:rPr>
                <w:rFonts w:ascii="Arial" w:hAnsi="Arial" w:cs="Arial"/>
              </w:rPr>
            </w:pPr>
          </w:p>
        </w:tc>
      </w:tr>
      <w:tr w:rsidR="00E11816" w:rsidRPr="00E11816" w:rsidTr="00691B22">
        <w:tc>
          <w:tcPr>
            <w:tcW w:w="10915" w:type="dxa"/>
          </w:tcPr>
          <w:p w:rsidR="00E11816" w:rsidRPr="00E11816" w:rsidRDefault="00E11816" w:rsidP="00E11816">
            <w:pPr>
              <w:rPr>
                <w:rFonts w:ascii="Arial" w:hAnsi="Arial" w:cs="Arial"/>
              </w:rPr>
            </w:pPr>
            <w:r w:rsidRPr="00E11816">
              <w:rPr>
                <w:rFonts w:ascii="Arial" w:hAnsi="Arial" w:cs="Arial"/>
                <w:b/>
                <w:bCs/>
              </w:rPr>
              <w:t>Project Name</w:t>
            </w:r>
            <w:r w:rsidRPr="00E11816">
              <w:rPr>
                <w:rFonts w:ascii="Arial" w:hAnsi="Arial" w:cs="Arial"/>
              </w:rPr>
              <w:t xml:space="preserve">:-    </w:t>
            </w:r>
            <w:r w:rsidR="005552DC">
              <w:rPr>
                <w:rFonts w:ascii="Arial" w:hAnsi="Arial" w:cs="Arial"/>
              </w:rPr>
              <w:t>Marketing</w:t>
            </w:r>
            <w:r w:rsidRPr="00E11816">
              <w:rPr>
                <w:rFonts w:ascii="Arial" w:hAnsi="Arial" w:cs="Arial"/>
              </w:rPr>
              <w:t xml:space="preserve"> </w:t>
            </w:r>
            <w:r w:rsidR="008F6E87">
              <w:rPr>
                <w:rFonts w:ascii="Arial" w:hAnsi="Arial" w:cs="Arial"/>
              </w:rPr>
              <w:t xml:space="preserve">of residential land </w:t>
            </w:r>
            <w:r w:rsidR="00BA67BF">
              <w:rPr>
                <w:rFonts w:ascii="Arial" w:hAnsi="Arial" w:cs="Arial"/>
              </w:rPr>
              <w:t xml:space="preserve">(Property Panel Appointment) </w:t>
            </w:r>
            <w:r w:rsidR="005552DC">
              <w:rPr>
                <w:rFonts w:ascii="Arial" w:hAnsi="Arial" w:cs="Arial"/>
              </w:rPr>
              <w:t xml:space="preserve">– Lord Mayor </w:t>
            </w:r>
            <w:proofErr w:type="spellStart"/>
            <w:r w:rsidR="005552DC">
              <w:rPr>
                <w:rFonts w:ascii="Arial" w:hAnsi="Arial" w:cs="Arial"/>
              </w:rPr>
              <w:t>Treloar</w:t>
            </w:r>
            <w:proofErr w:type="spellEnd"/>
            <w:r w:rsidR="005552DC">
              <w:rPr>
                <w:rFonts w:ascii="Arial" w:hAnsi="Arial" w:cs="Arial"/>
              </w:rPr>
              <w:t>, Alton</w:t>
            </w:r>
          </w:p>
          <w:p w:rsidR="00E11816" w:rsidRPr="00E11816" w:rsidRDefault="00E11816" w:rsidP="00E11816">
            <w:pPr>
              <w:rPr>
                <w:rFonts w:ascii="Arial" w:hAnsi="Arial" w:cs="Arial"/>
              </w:rPr>
            </w:pPr>
          </w:p>
          <w:p w:rsidR="00E11816" w:rsidRPr="002B0C98" w:rsidRDefault="00E11816" w:rsidP="00E11816">
            <w:pPr>
              <w:rPr>
                <w:rFonts w:ascii="Arial" w:hAnsi="Arial" w:cs="Arial"/>
                <w:b/>
                <w:bCs/>
              </w:rPr>
            </w:pPr>
            <w:r w:rsidRPr="002B0C98">
              <w:rPr>
                <w:rFonts w:ascii="Arial" w:hAnsi="Arial" w:cs="Arial"/>
                <w:b/>
                <w:bCs/>
              </w:rPr>
              <w:t xml:space="preserve">Date:- </w:t>
            </w:r>
            <w:r w:rsidR="008F6E87" w:rsidRPr="002B0C98">
              <w:rPr>
                <w:rFonts w:ascii="Arial" w:hAnsi="Arial" w:cs="Arial"/>
                <w:b/>
                <w:bCs/>
              </w:rPr>
              <w:t>1</w:t>
            </w:r>
            <w:r w:rsidR="00F70B75">
              <w:rPr>
                <w:rFonts w:ascii="Arial" w:hAnsi="Arial" w:cs="Arial"/>
                <w:b/>
                <w:bCs/>
              </w:rPr>
              <w:t>3</w:t>
            </w:r>
            <w:r w:rsidR="008F6E87" w:rsidRPr="002B0C98">
              <w:rPr>
                <w:rFonts w:ascii="Arial" w:hAnsi="Arial" w:cs="Arial"/>
                <w:b/>
                <w:bCs/>
                <w:vertAlign w:val="superscript"/>
              </w:rPr>
              <w:t>th</w:t>
            </w:r>
            <w:r w:rsidR="008F6E87" w:rsidRPr="002B0C98">
              <w:rPr>
                <w:rFonts w:ascii="Arial" w:hAnsi="Arial" w:cs="Arial"/>
                <w:b/>
                <w:bCs/>
              </w:rPr>
              <w:t xml:space="preserve"> July 2016</w:t>
            </w:r>
          </w:p>
          <w:p w:rsidR="0050747F" w:rsidRPr="00A53EB7" w:rsidRDefault="0050747F" w:rsidP="00E11816">
            <w:pPr>
              <w:rPr>
                <w:rFonts w:ascii="Arial" w:hAnsi="Arial" w:cs="Arial"/>
                <w:highlight w:val="yellow"/>
              </w:rPr>
            </w:pPr>
          </w:p>
          <w:p w:rsidR="00BA67BF" w:rsidRPr="00E11816" w:rsidRDefault="00BA67BF" w:rsidP="008F6E87">
            <w:pPr>
              <w:rPr>
                <w:rFonts w:ascii="Arial" w:hAnsi="Arial" w:cs="Arial"/>
              </w:rPr>
            </w:pPr>
          </w:p>
        </w:tc>
      </w:tr>
      <w:tr w:rsidR="00E11816" w:rsidRPr="00E11816" w:rsidTr="00691B22">
        <w:tc>
          <w:tcPr>
            <w:tcW w:w="10915" w:type="dxa"/>
          </w:tcPr>
          <w:p w:rsidR="00BA67BF" w:rsidRDefault="00BA67BF" w:rsidP="00E11816">
            <w:pPr>
              <w:rPr>
                <w:rFonts w:ascii="Arial" w:hAnsi="Arial" w:cs="Arial"/>
                <w:b/>
                <w:bCs/>
                <w:lang w:val="en-US"/>
              </w:rPr>
            </w:pPr>
          </w:p>
          <w:p w:rsidR="00E11816" w:rsidRPr="00E11816" w:rsidRDefault="00E11816" w:rsidP="00E11816">
            <w:pPr>
              <w:rPr>
                <w:rFonts w:ascii="Arial" w:hAnsi="Arial" w:cs="Arial"/>
                <w:b/>
                <w:lang w:val="en-US"/>
              </w:rPr>
            </w:pPr>
            <w:r w:rsidRPr="00E11816">
              <w:rPr>
                <w:rFonts w:ascii="Arial" w:hAnsi="Arial" w:cs="Arial"/>
                <w:b/>
                <w:bCs/>
                <w:lang w:val="en-US"/>
              </w:rPr>
              <w:t xml:space="preserve">Proposal </w:t>
            </w:r>
            <w:r w:rsidRPr="00E11816">
              <w:rPr>
                <w:rFonts w:ascii="Arial" w:hAnsi="Arial" w:cs="Arial"/>
                <w:b/>
                <w:lang w:val="en-US"/>
              </w:rPr>
              <w:t>Brief</w:t>
            </w:r>
          </w:p>
          <w:p w:rsidR="00E11816" w:rsidRPr="00E11816" w:rsidRDefault="00E11816" w:rsidP="00E11816">
            <w:pPr>
              <w:rPr>
                <w:rFonts w:ascii="Arial" w:hAnsi="Arial" w:cs="Arial"/>
                <w:b/>
                <w:bCs/>
              </w:rPr>
            </w:pPr>
          </w:p>
          <w:p w:rsidR="00E11816" w:rsidRDefault="00E11816" w:rsidP="00937377">
            <w:pPr>
              <w:rPr>
                <w:rFonts w:ascii="Arial" w:hAnsi="Arial" w:cs="Arial"/>
                <w:b/>
                <w:bCs/>
                <w:i/>
              </w:rPr>
            </w:pPr>
            <w:r w:rsidRPr="00E11816">
              <w:rPr>
                <w:rFonts w:ascii="Arial" w:hAnsi="Arial" w:cs="Arial"/>
                <w:b/>
                <w:bCs/>
                <w:i/>
              </w:rPr>
              <w:t>INTRODUCTION</w:t>
            </w:r>
          </w:p>
          <w:p w:rsidR="00A9106A" w:rsidRPr="00E11816" w:rsidRDefault="00A9106A" w:rsidP="00937377">
            <w:pPr>
              <w:rPr>
                <w:rFonts w:ascii="Arial" w:hAnsi="Arial" w:cs="Arial"/>
                <w:b/>
                <w:bCs/>
                <w:i/>
              </w:rPr>
            </w:pPr>
          </w:p>
          <w:p w:rsidR="00A9106A" w:rsidRDefault="00A9106A" w:rsidP="00A9106A">
            <w:pPr>
              <w:rPr>
                <w:rFonts w:ascii="Arial" w:hAnsi="Arial" w:cs="Arial"/>
                <w:bCs/>
              </w:rPr>
            </w:pPr>
            <w:r w:rsidRPr="00E11816">
              <w:rPr>
                <w:rFonts w:ascii="Arial" w:hAnsi="Arial" w:cs="Arial"/>
                <w:bCs/>
              </w:rPr>
              <w:t xml:space="preserve">The Homes and Communities Agency (HCA) </w:t>
            </w:r>
            <w:r>
              <w:rPr>
                <w:rFonts w:ascii="Arial" w:hAnsi="Arial" w:cs="Arial"/>
                <w:bCs/>
              </w:rPr>
              <w:t xml:space="preserve">is seeking interest from property consultants who offer expertise in the marketing and disposal of residential land, to work on its site at the former Lord Mayor </w:t>
            </w:r>
            <w:proofErr w:type="spellStart"/>
            <w:r>
              <w:rPr>
                <w:rFonts w:ascii="Arial" w:hAnsi="Arial" w:cs="Arial"/>
                <w:bCs/>
              </w:rPr>
              <w:t>Treloar</w:t>
            </w:r>
            <w:proofErr w:type="spellEnd"/>
            <w:r>
              <w:rPr>
                <w:rFonts w:ascii="Arial" w:hAnsi="Arial" w:cs="Arial"/>
                <w:bCs/>
              </w:rPr>
              <w:t xml:space="preserve"> site (LMT) at Alton, Hampshire (Plans at Appendix A). Interested consultants must have a detailed knowledge of the local market place along with a full understanding of the wider environment. </w:t>
            </w:r>
          </w:p>
          <w:p w:rsidR="00A9106A" w:rsidRDefault="00A9106A" w:rsidP="00A9106A">
            <w:pPr>
              <w:rPr>
                <w:rFonts w:ascii="Arial" w:hAnsi="Arial" w:cs="Arial"/>
                <w:bCs/>
              </w:rPr>
            </w:pPr>
          </w:p>
          <w:p w:rsidR="00A9106A" w:rsidRDefault="00A9106A" w:rsidP="00A9106A">
            <w:pPr>
              <w:rPr>
                <w:rFonts w:ascii="Arial" w:hAnsi="Arial" w:cs="Arial"/>
                <w:bCs/>
              </w:rPr>
            </w:pPr>
            <w:r>
              <w:rPr>
                <w:rFonts w:ascii="Arial" w:hAnsi="Arial" w:cs="Arial"/>
                <w:bCs/>
              </w:rPr>
              <w:t>The project will deliver the following outputs for HCA:</w:t>
            </w:r>
          </w:p>
          <w:p w:rsidR="00A9106A" w:rsidRDefault="00A9106A" w:rsidP="00A9106A">
            <w:pPr>
              <w:rPr>
                <w:rFonts w:ascii="Arial" w:hAnsi="Arial" w:cs="Arial"/>
                <w:bCs/>
              </w:rPr>
            </w:pPr>
          </w:p>
          <w:p w:rsidR="00A9106A" w:rsidRPr="00BC278C" w:rsidRDefault="00A9106A" w:rsidP="00A9106A">
            <w:pPr>
              <w:pStyle w:val="ListParagraph"/>
              <w:numPr>
                <w:ilvl w:val="0"/>
                <w:numId w:val="6"/>
              </w:numPr>
              <w:jc w:val="both"/>
              <w:rPr>
                <w:rFonts w:ascii="Arial" w:hAnsi="Arial" w:cs="Arial"/>
                <w:lang w:eastAsia="en-US"/>
              </w:rPr>
            </w:pPr>
            <w:r w:rsidRPr="00BC278C">
              <w:rPr>
                <w:rFonts w:ascii="Arial" w:hAnsi="Arial" w:cs="Arial"/>
                <w:lang w:eastAsia="en-US"/>
              </w:rPr>
              <w:t xml:space="preserve">280 new homes on HCA owned land </w:t>
            </w:r>
            <w:r>
              <w:rPr>
                <w:rFonts w:ascii="Arial" w:hAnsi="Arial" w:cs="Arial"/>
                <w:lang w:eastAsia="en-US"/>
              </w:rPr>
              <w:t>(20% affordable)</w:t>
            </w:r>
          </w:p>
          <w:p w:rsidR="00A9106A" w:rsidRPr="008077D2" w:rsidRDefault="00A9106A" w:rsidP="00A9106A">
            <w:pPr>
              <w:jc w:val="both"/>
              <w:rPr>
                <w:rFonts w:ascii="Arial" w:hAnsi="Arial" w:cs="Arial"/>
                <w:lang w:eastAsia="en-US"/>
              </w:rPr>
            </w:pPr>
          </w:p>
          <w:p w:rsidR="00A9106A" w:rsidRPr="00BC278C" w:rsidRDefault="00A9106A" w:rsidP="00A9106A">
            <w:pPr>
              <w:pStyle w:val="ListParagraph"/>
              <w:numPr>
                <w:ilvl w:val="0"/>
                <w:numId w:val="6"/>
              </w:numPr>
              <w:jc w:val="both"/>
              <w:rPr>
                <w:rFonts w:ascii="Arial" w:hAnsi="Arial" w:cs="Arial"/>
                <w:lang w:eastAsia="en-US"/>
              </w:rPr>
            </w:pPr>
            <w:r w:rsidRPr="00BC278C">
              <w:rPr>
                <w:rFonts w:ascii="Arial" w:hAnsi="Arial" w:cs="Arial"/>
                <w:lang w:eastAsia="en-US"/>
              </w:rPr>
              <w:t>Public Open Space (including a country park of 10 ha)</w:t>
            </w:r>
          </w:p>
          <w:p w:rsidR="00A9106A" w:rsidRPr="008077D2" w:rsidRDefault="00A9106A" w:rsidP="00A9106A">
            <w:pPr>
              <w:ind w:left="360"/>
              <w:jc w:val="both"/>
              <w:rPr>
                <w:rFonts w:ascii="Arial" w:hAnsi="Arial" w:cs="Arial"/>
                <w:lang w:eastAsia="en-US"/>
              </w:rPr>
            </w:pPr>
          </w:p>
          <w:p w:rsidR="00A9106A" w:rsidRPr="00BC278C" w:rsidRDefault="00A9106A" w:rsidP="00A9106A">
            <w:pPr>
              <w:pStyle w:val="ListParagraph"/>
              <w:numPr>
                <w:ilvl w:val="0"/>
                <w:numId w:val="6"/>
              </w:numPr>
              <w:jc w:val="both"/>
              <w:rPr>
                <w:rFonts w:ascii="Arial" w:hAnsi="Arial" w:cs="Arial"/>
                <w:lang w:eastAsia="en-US"/>
              </w:rPr>
            </w:pPr>
            <w:r w:rsidRPr="00BC278C">
              <w:rPr>
                <w:rFonts w:ascii="Arial" w:hAnsi="Arial" w:cs="Arial"/>
                <w:lang w:eastAsia="en-US"/>
              </w:rPr>
              <w:t>Significant highway improvements, including bridge widening</w:t>
            </w:r>
          </w:p>
          <w:p w:rsidR="00A9106A" w:rsidRPr="008077D2" w:rsidRDefault="00A9106A" w:rsidP="00A9106A">
            <w:pPr>
              <w:ind w:left="360"/>
              <w:jc w:val="both"/>
              <w:rPr>
                <w:rFonts w:ascii="Arial" w:hAnsi="Arial" w:cs="Arial"/>
                <w:lang w:eastAsia="en-US"/>
              </w:rPr>
            </w:pPr>
          </w:p>
          <w:p w:rsidR="00A9106A" w:rsidRPr="00BC278C" w:rsidRDefault="00A9106A" w:rsidP="00A9106A">
            <w:pPr>
              <w:pStyle w:val="ListParagraph"/>
              <w:numPr>
                <w:ilvl w:val="0"/>
                <w:numId w:val="6"/>
              </w:numPr>
              <w:jc w:val="both"/>
              <w:rPr>
                <w:rFonts w:ascii="Arial" w:hAnsi="Arial" w:cs="Arial"/>
                <w:lang w:eastAsia="en-US"/>
              </w:rPr>
            </w:pPr>
            <w:r w:rsidRPr="00BC278C">
              <w:rPr>
                <w:rFonts w:ascii="Arial" w:hAnsi="Arial" w:cs="Arial"/>
                <w:lang w:eastAsia="en-US"/>
              </w:rPr>
              <w:t>Significant s.106 contribution (through appointed developers) towards a community leisure facility, primary &amp; secondary school education</w:t>
            </w:r>
          </w:p>
          <w:p w:rsidR="00A9106A" w:rsidRDefault="00A9106A" w:rsidP="00A9106A">
            <w:pPr>
              <w:pStyle w:val="ListParagraph"/>
              <w:rPr>
                <w:rFonts w:ascii="Arial" w:hAnsi="Arial" w:cs="Arial"/>
                <w:lang w:eastAsia="en-US"/>
              </w:rPr>
            </w:pPr>
          </w:p>
          <w:p w:rsidR="00A9106A" w:rsidRPr="009667F5" w:rsidRDefault="00A9106A" w:rsidP="00A9106A">
            <w:pPr>
              <w:pStyle w:val="ListParagraph"/>
              <w:numPr>
                <w:ilvl w:val="0"/>
                <w:numId w:val="6"/>
              </w:numPr>
              <w:rPr>
                <w:rFonts w:ascii="Arial" w:hAnsi="Arial" w:cs="Arial"/>
                <w:bCs/>
              </w:rPr>
            </w:pPr>
            <w:r w:rsidRPr="00BC278C">
              <w:rPr>
                <w:rFonts w:ascii="Arial" w:hAnsi="Arial" w:cs="Arial"/>
                <w:lang w:eastAsia="en-US"/>
              </w:rPr>
              <w:t>An enhanced receipt to the HCA by sharing s.106 costs with adjoining landowners</w:t>
            </w:r>
          </w:p>
          <w:p w:rsidR="009667F5" w:rsidRPr="009667F5" w:rsidRDefault="009667F5" w:rsidP="009667F5">
            <w:pPr>
              <w:pStyle w:val="ListParagraph"/>
              <w:rPr>
                <w:rFonts w:ascii="Arial" w:hAnsi="Arial" w:cs="Arial"/>
                <w:bCs/>
              </w:rPr>
            </w:pPr>
          </w:p>
          <w:p w:rsidR="009667F5" w:rsidRDefault="009667F5" w:rsidP="009667F5">
            <w:pPr>
              <w:jc w:val="both"/>
              <w:rPr>
                <w:rFonts w:ascii="Arial" w:hAnsi="Arial" w:cs="Arial"/>
                <w:lang w:eastAsia="en-US"/>
              </w:rPr>
            </w:pPr>
          </w:p>
          <w:p w:rsidR="009667F5" w:rsidRPr="009667F5" w:rsidRDefault="009667F5" w:rsidP="009667F5">
            <w:pPr>
              <w:jc w:val="both"/>
              <w:rPr>
                <w:rFonts w:ascii="Arial" w:hAnsi="Arial" w:cs="Arial"/>
                <w:lang w:eastAsia="en-US"/>
              </w:rPr>
            </w:pPr>
            <w:r>
              <w:rPr>
                <w:rFonts w:ascii="Arial" w:hAnsi="Arial" w:cs="Arial"/>
                <w:lang w:eastAsia="en-US"/>
              </w:rPr>
              <w:t xml:space="preserve">This project forms </w:t>
            </w:r>
            <w:r w:rsidR="00445EE9">
              <w:rPr>
                <w:rFonts w:ascii="Arial" w:hAnsi="Arial" w:cs="Arial"/>
                <w:lang w:eastAsia="en-US"/>
              </w:rPr>
              <w:t xml:space="preserve">part </w:t>
            </w:r>
            <w:r>
              <w:rPr>
                <w:rFonts w:ascii="Arial" w:hAnsi="Arial" w:cs="Arial"/>
                <w:lang w:eastAsia="en-US"/>
              </w:rPr>
              <w:t xml:space="preserve">of </w:t>
            </w:r>
            <w:proofErr w:type="gramStart"/>
            <w:r w:rsidR="00445EE9">
              <w:rPr>
                <w:rFonts w:ascii="Arial" w:hAnsi="Arial" w:cs="Arial"/>
                <w:lang w:eastAsia="en-US"/>
              </w:rPr>
              <w:t>a collaboration</w:t>
            </w:r>
            <w:proofErr w:type="gramEnd"/>
            <w:r>
              <w:rPr>
                <w:rFonts w:ascii="Arial" w:hAnsi="Arial" w:cs="Arial"/>
                <w:lang w:eastAsia="en-US"/>
              </w:rPr>
              <w:t xml:space="preserve"> with </w:t>
            </w:r>
            <w:proofErr w:type="spellStart"/>
            <w:r>
              <w:rPr>
                <w:rFonts w:ascii="Arial" w:hAnsi="Arial" w:cs="Arial"/>
                <w:lang w:eastAsia="en-US"/>
              </w:rPr>
              <w:t>Harvington</w:t>
            </w:r>
            <w:proofErr w:type="spellEnd"/>
            <w:r>
              <w:rPr>
                <w:rFonts w:ascii="Arial" w:hAnsi="Arial" w:cs="Arial"/>
                <w:lang w:eastAsia="en-US"/>
              </w:rPr>
              <w:t xml:space="preserve"> Properties who own the adjacent </w:t>
            </w:r>
            <w:proofErr w:type="spellStart"/>
            <w:r>
              <w:rPr>
                <w:rFonts w:ascii="Arial" w:hAnsi="Arial" w:cs="Arial"/>
                <w:lang w:eastAsia="en-US"/>
              </w:rPr>
              <w:t>Selborne</w:t>
            </w:r>
            <w:proofErr w:type="spellEnd"/>
            <w:r>
              <w:rPr>
                <w:rFonts w:ascii="Arial" w:hAnsi="Arial" w:cs="Arial"/>
                <w:lang w:eastAsia="en-US"/>
              </w:rPr>
              <w:t xml:space="preserve"> Road site. The collaboration (formalised in a legal agreement) shares the costs of securing outline planning, the shared infrastructure works costs and will deliver a further 249 homes</w:t>
            </w:r>
            <w:r w:rsidR="00461ADA">
              <w:rPr>
                <w:rFonts w:ascii="Arial" w:hAnsi="Arial" w:cs="Arial"/>
                <w:lang w:eastAsia="en-US"/>
              </w:rPr>
              <w:t xml:space="preserve"> (529 new homes in total)</w:t>
            </w:r>
            <w:r>
              <w:rPr>
                <w:rFonts w:ascii="Arial" w:hAnsi="Arial" w:cs="Arial"/>
                <w:lang w:eastAsia="en-US"/>
              </w:rPr>
              <w:t xml:space="preserve">. </w:t>
            </w:r>
            <w:proofErr w:type="spellStart"/>
            <w:r>
              <w:rPr>
                <w:rFonts w:ascii="Arial" w:hAnsi="Arial" w:cs="Arial"/>
                <w:lang w:eastAsia="en-US"/>
              </w:rPr>
              <w:t>Harvington</w:t>
            </w:r>
            <w:proofErr w:type="spellEnd"/>
            <w:r>
              <w:rPr>
                <w:rFonts w:ascii="Arial" w:hAnsi="Arial" w:cs="Arial"/>
                <w:lang w:eastAsia="en-US"/>
              </w:rPr>
              <w:t xml:space="preserve"> Properties are marketing their site separately and the </w:t>
            </w:r>
            <w:proofErr w:type="spellStart"/>
            <w:r>
              <w:rPr>
                <w:rFonts w:ascii="Arial" w:hAnsi="Arial" w:cs="Arial"/>
                <w:lang w:eastAsia="en-US"/>
              </w:rPr>
              <w:t>Selborne</w:t>
            </w:r>
            <w:proofErr w:type="spellEnd"/>
            <w:r>
              <w:rPr>
                <w:rFonts w:ascii="Arial" w:hAnsi="Arial" w:cs="Arial"/>
                <w:lang w:eastAsia="en-US"/>
              </w:rPr>
              <w:t xml:space="preserve"> Road site does not form part of this commission.</w:t>
            </w:r>
          </w:p>
          <w:p w:rsidR="009667F5" w:rsidRPr="009667F5" w:rsidRDefault="009667F5" w:rsidP="009667F5">
            <w:pPr>
              <w:rPr>
                <w:rFonts w:ascii="Arial" w:hAnsi="Arial" w:cs="Arial"/>
                <w:bCs/>
              </w:rPr>
            </w:pPr>
          </w:p>
          <w:p w:rsidR="00A9106A" w:rsidRPr="00105CA7" w:rsidRDefault="00A9106A" w:rsidP="00A9106A">
            <w:pPr>
              <w:pStyle w:val="ListParagraph"/>
              <w:rPr>
                <w:rFonts w:ascii="Arial" w:hAnsi="Arial" w:cs="Arial"/>
                <w:bCs/>
              </w:rPr>
            </w:pPr>
          </w:p>
          <w:p w:rsidR="00A9106A" w:rsidRPr="00017848" w:rsidRDefault="00A9106A" w:rsidP="00A9106A">
            <w:pPr>
              <w:pStyle w:val="Heading3"/>
              <w:spacing w:after="200" w:line="276" w:lineRule="auto"/>
              <w:rPr>
                <w:sz w:val="24"/>
                <w:szCs w:val="24"/>
              </w:rPr>
            </w:pPr>
            <w:r w:rsidRPr="00105CA7">
              <w:rPr>
                <w:sz w:val="24"/>
                <w:szCs w:val="24"/>
              </w:rPr>
              <w:t>Objectives of the Agency Appointment</w:t>
            </w:r>
            <w:r w:rsidRPr="00017848">
              <w:rPr>
                <w:b w:val="0"/>
              </w:rPr>
              <w:br/>
            </w:r>
          </w:p>
          <w:p w:rsidR="00A9106A" w:rsidRDefault="00A9106A" w:rsidP="00A9106A">
            <w:pPr>
              <w:spacing w:after="200" w:line="276" w:lineRule="auto"/>
              <w:rPr>
                <w:rFonts w:ascii="Arial" w:hAnsi="Arial" w:cs="Arial"/>
              </w:rPr>
            </w:pPr>
            <w:r w:rsidRPr="00017848">
              <w:rPr>
                <w:rFonts w:ascii="Arial" w:hAnsi="Arial" w:cs="Arial"/>
              </w:rPr>
              <w:t>To ensure that the development opportunity</w:t>
            </w:r>
            <w:r w:rsidR="00445EE9">
              <w:rPr>
                <w:rFonts w:ascii="Arial" w:hAnsi="Arial" w:cs="Arial"/>
              </w:rPr>
              <w:t xml:space="preserve"> a</w:t>
            </w:r>
            <w:r w:rsidR="009667F5">
              <w:rPr>
                <w:rFonts w:ascii="Arial" w:hAnsi="Arial" w:cs="Arial"/>
              </w:rPr>
              <w:t xml:space="preserve">t Lord Mayor </w:t>
            </w:r>
            <w:proofErr w:type="spellStart"/>
            <w:r w:rsidR="009667F5">
              <w:rPr>
                <w:rFonts w:ascii="Arial" w:hAnsi="Arial" w:cs="Arial"/>
              </w:rPr>
              <w:t>Treloar</w:t>
            </w:r>
            <w:proofErr w:type="spellEnd"/>
            <w:r w:rsidRPr="00017848">
              <w:rPr>
                <w:rFonts w:ascii="Arial" w:hAnsi="Arial" w:cs="Arial"/>
              </w:rPr>
              <w:t xml:space="preserve"> is effectively marketed to potential development partners to ensure timely delivery of housing and a receipt to the </w:t>
            </w:r>
            <w:r>
              <w:rPr>
                <w:rFonts w:ascii="Arial" w:hAnsi="Arial" w:cs="Arial"/>
              </w:rPr>
              <w:t>Agency by providing:</w:t>
            </w:r>
          </w:p>
          <w:p w:rsidR="00A9106A" w:rsidRDefault="00A9106A" w:rsidP="00A9106A">
            <w:pPr>
              <w:pStyle w:val="ListParagraph"/>
              <w:numPr>
                <w:ilvl w:val="0"/>
                <w:numId w:val="6"/>
              </w:numPr>
              <w:spacing w:after="200" w:line="276" w:lineRule="auto"/>
              <w:rPr>
                <w:rFonts w:ascii="Arial" w:hAnsi="Arial" w:cs="Arial"/>
              </w:rPr>
            </w:pPr>
            <w:r>
              <w:rPr>
                <w:rFonts w:ascii="Arial" w:hAnsi="Arial" w:cs="Arial"/>
              </w:rPr>
              <w:t>A</w:t>
            </w:r>
            <w:r w:rsidRPr="00105CA7">
              <w:rPr>
                <w:rFonts w:ascii="Arial" w:hAnsi="Arial" w:cs="Arial"/>
              </w:rPr>
              <w:t xml:space="preserve"> representative to lead on contact with potential development partners throughout t</w:t>
            </w:r>
            <w:r>
              <w:rPr>
                <w:rFonts w:ascii="Arial" w:hAnsi="Arial" w:cs="Arial"/>
              </w:rPr>
              <w:t xml:space="preserve">he OJEU </w:t>
            </w:r>
            <w:r>
              <w:rPr>
                <w:rFonts w:ascii="Arial" w:hAnsi="Arial" w:cs="Arial"/>
              </w:rPr>
              <w:lastRenderedPageBreak/>
              <w:t>procurement process</w:t>
            </w:r>
            <w:r>
              <w:rPr>
                <w:rFonts w:ascii="Arial" w:hAnsi="Arial" w:cs="Arial"/>
              </w:rPr>
              <w:br/>
            </w:r>
          </w:p>
          <w:p w:rsidR="00A9106A" w:rsidRPr="00105CA7" w:rsidRDefault="00A9106A" w:rsidP="00A9106A">
            <w:pPr>
              <w:pStyle w:val="ListParagraph"/>
              <w:numPr>
                <w:ilvl w:val="0"/>
                <w:numId w:val="6"/>
              </w:numPr>
              <w:spacing w:after="200" w:line="276" w:lineRule="auto"/>
              <w:rPr>
                <w:rFonts w:ascii="Arial" w:hAnsi="Arial" w:cs="Arial"/>
              </w:rPr>
            </w:pPr>
            <w:r>
              <w:rPr>
                <w:rFonts w:ascii="Arial" w:hAnsi="Arial" w:cs="Arial"/>
              </w:rPr>
              <w:t>A resource to run the Competitive Dialogue process and bidder presentations, including timely responses to any bidder clarifications</w:t>
            </w:r>
            <w:r w:rsidRPr="00105CA7">
              <w:rPr>
                <w:rFonts w:ascii="Arial" w:hAnsi="Arial" w:cs="Arial"/>
              </w:rPr>
              <w:br/>
            </w:r>
          </w:p>
          <w:p w:rsidR="00A9106A" w:rsidRPr="00105CA7" w:rsidRDefault="00A9106A" w:rsidP="00A9106A">
            <w:pPr>
              <w:pStyle w:val="ListParagraph"/>
              <w:numPr>
                <w:ilvl w:val="0"/>
                <w:numId w:val="6"/>
              </w:numPr>
              <w:spacing w:after="200" w:line="276" w:lineRule="auto"/>
              <w:rPr>
                <w:rFonts w:ascii="Arial" w:hAnsi="Arial" w:cs="Arial"/>
              </w:rPr>
            </w:pPr>
            <w:r w:rsidRPr="00105CA7">
              <w:rPr>
                <w:rFonts w:ascii="Arial" w:hAnsi="Arial" w:cs="Arial"/>
              </w:rPr>
              <w:t>A resource to colla</w:t>
            </w:r>
            <w:r>
              <w:rPr>
                <w:rFonts w:ascii="Arial" w:hAnsi="Arial" w:cs="Arial"/>
              </w:rPr>
              <w:t xml:space="preserve">te, check tender submissions and request any additional information </w:t>
            </w:r>
            <w:r w:rsidRPr="00105CA7">
              <w:rPr>
                <w:rFonts w:ascii="Arial" w:hAnsi="Arial" w:cs="Arial"/>
              </w:rPr>
              <w:br/>
            </w:r>
          </w:p>
          <w:p w:rsidR="00A9106A" w:rsidRPr="00105CA7" w:rsidRDefault="00A9106A" w:rsidP="00A9106A">
            <w:pPr>
              <w:pStyle w:val="ListParagraph"/>
              <w:numPr>
                <w:ilvl w:val="0"/>
                <w:numId w:val="6"/>
              </w:numPr>
              <w:spacing w:after="200" w:line="276" w:lineRule="auto"/>
              <w:rPr>
                <w:rFonts w:ascii="Arial" w:hAnsi="Arial" w:cs="Arial"/>
              </w:rPr>
            </w:pPr>
            <w:r w:rsidRPr="00105CA7">
              <w:rPr>
                <w:rFonts w:ascii="Arial" w:hAnsi="Arial" w:cs="Arial"/>
              </w:rPr>
              <w:t xml:space="preserve">A resource </w:t>
            </w:r>
            <w:r>
              <w:rPr>
                <w:rFonts w:ascii="Arial" w:hAnsi="Arial" w:cs="Arial"/>
              </w:rPr>
              <w:t>to evaluate financial proposals, including the Agency’s DAT Model</w:t>
            </w:r>
            <w:r w:rsidRPr="00105CA7">
              <w:rPr>
                <w:rFonts w:ascii="Arial" w:hAnsi="Arial" w:cs="Arial"/>
              </w:rPr>
              <w:br/>
            </w:r>
          </w:p>
          <w:p w:rsidR="00A9106A" w:rsidRPr="00017848" w:rsidRDefault="00A9106A" w:rsidP="00A9106A">
            <w:pPr>
              <w:pStyle w:val="ListParagraph"/>
              <w:numPr>
                <w:ilvl w:val="0"/>
                <w:numId w:val="6"/>
              </w:numPr>
              <w:spacing w:after="200" w:line="276" w:lineRule="auto"/>
              <w:rPr>
                <w:rFonts w:ascii="Arial" w:hAnsi="Arial" w:cs="Arial"/>
                <w:iCs/>
              </w:rPr>
            </w:pPr>
            <w:r>
              <w:rPr>
                <w:rFonts w:ascii="Arial" w:hAnsi="Arial" w:cs="Arial"/>
              </w:rPr>
              <w:t>A tender evaluation panel member</w:t>
            </w:r>
          </w:p>
          <w:p w:rsidR="00A9106A" w:rsidRPr="00017848" w:rsidRDefault="00A9106A" w:rsidP="00A9106A">
            <w:pPr>
              <w:pStyle w:val="ListParagraph"/>
              <w:spacing w:after="200" w:line="276" w:lineRule="auto"/>
              <w:rPr>
                <w:rFonts w:ascii="Arial" w:hAnsi="Arial" w:cs="Arial"/>
                <w:iCs/>
              </w:rPr>
            </w:pPr>
          </w:p>
          <w:p w:rsidR="00A9106A" w:rsidRPr="00017848" w:rsidRDefault="00A9106A" w:rsidP="00A9106A">
            <w:pPr>
              <w:pStyle w:val="ListParagraph"/>
              <w:numPr>
                <w:ilvl w:val="0"/>
                <w:numId w:val="6"/>
              </w:numPr>
              <w:spacing w:after="200" w:line="276" w:lineRule="auto"/>
              <w:rPr>
                <w:rFonts w:ascii="Arial" w:hAnsi="Arial" w:cs="Arial"/>
                <w:iCs/>
              </w:rPr>
            </w:pPr>
            <w:r>
              <w:rPr>
                <w:rFonts w:ascii="Arial" w:hAnsi="Arial" w:cs="Arial"/>
                <w:iCs/>
              </w:rPr>
              <w:t>Input into the Agency’s decision making report</w:t>
            </w:r>
            <w:r w:rsidRPr="00017848">
              <w:rPr>
                <w:rFonts w:ascii="Arial" w:hAnsi="Arial" w:cs="Arial"/>
                <w:iCs/>
              </w:rPr>
              <w:br/>
            </w:r>
          </w:p>
          <w:p w:rsidR="00A9106A" w:rsidRPr="00105CA7" w:rsidRDefault="00A9106A" w:rsidP="00A9106A">
            <w:pPr>
              <w:pStyle w:val="ListParagraph"/>
              <w:numPr>
                <w:ilvl w:val="0"/>
                <w:numId w:val="6"/>
              </w:numPr>
              <w:spacing w:after="200" w:line="276" w:lineRule="auto"/>
              <w:rPr>
                <w:rFonts w:ascii="Arial" w:hAnsi="Arial" w:cs="Arial"/>
                <w:bCs/>
              </w:rPr>
            </w:pPr>
            <w:r w:rsidRPr="00105CA7">
              <w:rPr>
                <w:rFonts w:ascii="Arial" w:hAnsi="Arial" w:cs="Arial"/>
              </w:rPr>
              <w:t>A source of advice on any commercial matters t</w:t>
            </w:r>
            <w:r>
              <w:rPr>
                <w:rFonts w:ascii="Arial" w:hAnsi="Arial" w:cs="Arial"/>
              </w:rPr>
              <w:t>hat may arise during the tender</w:t>
            </w:r>
            <w:r w:rsidRPr="00105CA7">
              <w:rPr>
                <w:rFonts w:ascii="Arial" w:hAnsi="Arial" w:cs="Arial"/>
              </w:rPr>
              <w:t xml:space="preserve">, pre contract, conditional contract or </w:t>
            </w:r>
            <w:r>
              <w:rPr>
                <w:rFonts w:ascii="Arial" w:hAnsi="Arial" w:cs="Arial"/>
              </w:rPr>
              <w:t>unconditional contract stages of the project</w:t>
            </w:r>
          </w:p>
          <w:p w:rsidR="00A9106A" w:rsidRPr="00E11816" w:rsidRDefault="00A9106A" w:rsidP="00A9106A">
            <w:pPr>
              <w:rPr>
                <w:rFonts w:ascii="Arial" w:hAnsi="Arial" w:cs="Arial"/>
                <w:b/>
                <w:bCs/>
                <w:i/>
              </w:rPr>
            </w:pPr>
            <w:r w:rsidRPr="00E11816">
              <w:rPr>
                <w:rFonts w:ascii="Arial" w:hAnsi="Arial" w:cs="Arial"/>
                <w:b/>
                <w:bCs/>
                <w:i/>
              </w:rPr>
              <w:t>BACKGROUND</w:t>
            </w:r>
          </w:p>
          <w:p w:rsidR="00A9106A" w:rsidRPr="00E11816" w:rsidRDefault="00A9106A" w:rsidP="00A9106A">
            <w:pPr>
              <w:rPr>
                <w:rFonts w:ascii="Arial" w:hAnsi="Arial" w:cs="Arial"/>
                <w:b/>
                <w:bCs/>
                <w:i/>
              </w:rPr>
            </w:pPr>
          </w:p>
          <w:p w:rsidR="00A9106A" w:rsidRPr="007F619A" w:rsidRDefault="00A9106A" w:rsidP="00A9106A">
            <w:pPr>
              <w:autoSpaceDE w:val="0"/>
              <w:autoSpaceDN w:val="0"/>
              <w:spacing w:after="165" w:line="260" w:lineRule="atLeast"/>
              <w:rPr>
                <w:rFonts w:ascii="Arial" w:hAnsi="Arial"/>
                <w:color w:val="000000"/>
                <w:lang w:val="en-US" w:eastAsia="en-US"/>
              </w:rPr>
            </w:pPr>
            <w:r w:rsidRPr="008077D2">
              <w:rPr>
                <w:rFonts w:ascii="Arial" w:hAnsi="Arial" w:cs="Arial"/>
                <w:lang w:eastAsia="en-US"/>
              </w:rPr>
              <w:t>T</w:t>
            </w:r>
            <w:r>
              <w:rPr>
                <w:rFonts w:ascii="Arial" w:hAnsi="Arial" w:cs="Arial"/>
                <w:lang w:eastAsia="en-US"/>
              </w:rPr>
              <w:t xml:space="preserve">he Lord Mayor </w:t>
            </w:r>
            <w:proofErr w:type="spellStart"/>
            <w:r>
              <w:rPr>
                <w:rFonts w:ascii="Arial" w:hAnsi="Arial" w:cs="Arial"/>
                <w:lang w:eastAsia="en-US"/>
              </w:rPr>
              <w:t>Treloar</w:t>
            </w:r>
            <w:proofErr w:type="spellEnd"/>
            <w:r>
              <w:rPr>
                <w:rFonts w:ascii="Arial" w:hAnsi="Arial" w:cs="Arial"/>
                <w:lang w:eastAsia="en-US"/>
              </w:rPr>
              <w:t xml:space="preserve"> site</w:t>
            </w:r>
            <w:r w:rsidRPr="008077D2">
              <w:rPr>
                <w:rFonts w:ascii="Arial" w:hAnsi="Arial" w:cs="Arial"/>
                <w:lang w:eastAsia="en-US"/>
              </w:rPr>
              <w:t xml:space="preserve"> in Alton comprises of 26 ha of former hospital land, acquired by the HCA as part of the Hospital Sites P</w:t>
            </w:r>
            <w:r>
              <w:rPr>
                <w:rFonts w:ascii="Arial" w:hAnsi="Arial" w:cs="Arial"/>
                <w:lang w:eastAsia="en-US"/>
              </w:rPr>
              <w:t>rogramme in 2005 (see Appendix A</w:t>
            </w:r>
            <w:r w:rsidRPr="008077D2">
              <w:rPr>
                <w:rFonts w:ascii="Arial" w:hAnsi="Arial" w:cs="Arial"/>
                <w:lang w:eastAsia="en-US"/>
              </w:rPr>
              <w:t xml:space="preserve"> for location). </w:t>
            </w:r>
            <w:r w:rsidRPr="007F619A">
              <w:rPr>
                <w:rFonts w:ascii="Arial" w:hAnsi="Arial"/>
                <w:color w:val="000000"/>
                <w:lang w:val="en-US" w:eastAsia="en-US"/>
              </w:rPr>
              <w:t>The site lies at the south western edge of Alton, situated within East Hampshire at the head of the northern River Wey valley. Alton is a historic market town with a full range of local facilities and benefits from good strategic transport links including:</w:t>
            </w:r>
          </w:p>
          <w:p w:rsidR="00A9106A" w:rsidRPr="007F619A" w:rsidRDefault="00A9106A" w:rsidP="00A9106A">
            <w:pPr>
              <w:numPr>
                <w:ilvl w:val="0"/>
                <w:numId w:val="6"/>
              </w:numPr>
              <w:autoSpaceDE w:val="0"/>
              <w:autoSpaceDN w:val="0"/>
              <w:spacing w:after="165" w:line="260" w:lineRule="atLeast"/>
              <w:rPr>
                <w:rFonts w:ascii="Arial" w:hAnsi="Arial"/>
                <w:color w:val="000000"/>
                <w:lang w:val="en-US" w:eastAsia="en-US"/>
              </w:rPr>
            </w:pPr>
            <w:proofErr w:type="spellStart"/>
            <w:r w:rsidRPr="007F619A">
              <w:rPr>
                <w:rFonts w:ascii="Arial" w:hAnsi="Arial"/>
                <w:color w:val="000000"/>
                <w:lang w:val="en-US" w:eastAsia="en-US"/>
              </w:rPr>
              <w:t>Farnham</w:t>
            </w:r>
            <w:proofErr w:type="spellEnd"/>
            <w:r w:rsidRPr="007F619A">
              <w:rPr>
                <w:rFonts w:ascii="Arial" w:hAnsi="Arial"/>
                <w:color w:val="000000"/>
                <w:lang w:val="en-US" w:eastAsia="en-US"/>
              </w:rPr>
              <w:t xml:space="preserve">, </w:t>
            </w:r>
            <w:proofErr w:type="spellStart"/>
            <w:r w:rsidRPr="007F619A">
              <w:rPr>
                <w:rFonts w:ascii="Arial" w:hAnsi="Arial"/>
                <w:color w:val="000000"/>
                <w:lang w:val="en-US" w:eastAsia="en-US"/>
              </w:rPr>
              <w:t>Aldershot</w:t>
            </w:r>
            <w:proofErr w:type="spellEnd"/>
            <w:r w:rsidRPr="007F619A">
              <w:rPr>
                <w:rFonts w:ascii="Arial" w:hAnsi="Arial"/>
                <w:color w:val="000000"/>
                <w:lang w:val="en-US" w:eastAsia="en-US"/>
              </w:rPr>
              <w:t xml:space="preserve"> and Guildford lying to the north east and accessible via the A31;</w:t>
            </w:r>
          </w:p>
          <w:p w:rsidR="00A9106A" w:rsidRPr="007F619A" w:rsidRDefault="00A9106A" w:rsidP="00A9106A">
            <w:pPr>
              <w:numPr>
                <w:ilvl w:val="0"/>
                <w:numId w:val="6"/>
              </w:numPr>
              <w:autoSpaceDE w:val="0"/>
              <w:autoSpaceDN w:val="0"/>
              <w:spacing w:after="165" w:line="260" w:lineRule="atLeast"/>
              <w:rPr>
                <w:rFonts w:ascii="Arial" w:hAnsi="Arial"/>
                <w:color w:val="000000"/>
                <w:lang w:val="en-US" w:eastAsia="en-US"/>
              </w:rPr>
            </w:pPr>
            <w:r w:rsidRPr="007F619A">
              <w:rPr>
                <w:rFonts w:ascii="Arial" w:hAnsi="Arial"/>
                <w:color w:val="000000"/>
                <w:lang w:val="en-US" w:eastAsia="en-US"/>
              </w:rPr>
              <w:t xml:space="preserve">Winchester, </w:t>
            </w:r>
            <w:proofErr w:type="spellStart"/>
            <w:r w:rsidRPr="007F619A">
              <w:rPr>
                <w:rFonts w:ascii="Arial" w:hAnsi="Arial"/>
                <w:color w:val="000000"/>
                <w:lang w:val="en-US" w:eastAsia="en-US"/>
              </w:rPr>
              <w:t>Eastleigh</w:t>
            </w:r>
            <w:proofErr w:type="spellEnd"/>
            <w:r w:rsidRPr="007F619A">
              <w:rPr>
                <w:rFonts w:ascii="Arial" w:hAnsi="Arial"/>
                <w:color w:val="000000"/>
                <w:lang w:val="en-US" w:eastAsia="en-US"/>
              </w:rPr>
              <w:t xml:space="preserve"> and Southampton located to the south west via the A31; </w:t>
            </w:r>
          </w:p>
          <w:p w:rsidR="00A9106A" w:rsidRPr="007F619A" w:rsidRDefault="00A9106A" w:rsidP="00A9106A">
            <w:pPr>
              <w:numPr>
                <w:ilvl w:val="0"/>
                <w:numId w:val="6"/>
              </w:numPr>
              <w:autoSpaceDE w:val="0"/>
              <w:autoSpaceDN w:val="0"/>
              <w:spacing w:after="165" w:line="260" w:lineRule="atLeast"/>
              <w:rPr>
                <w:rFonts w:ascii="Arial" w:hAnsi="Arial"/>
                <w:color w:val="000000"/>
                <w:lang w:val="en-US" w:eastAsia="en-US"/>
              </w:rPr>
            </w:pPr>
            <w:r w:rsidRPr="007F619A">
              <w:rPr>
                <w:rFonts w:ascii="Arial" w:hAnsi="Arial"/>
                <w:color w:val="000000"/>
                <w:lang w:val="en-US" w:eastAsia="en-US"/>
              </w:rPr>
              <w:t>Basingstoke and the M3 motorway are situated to the north and accessed via the A339; and</w:t>
            </w:r>
          </w:p>
          <w:p w:rsidR="00A9106A" w:rsidRPr="007F619A" w:rsidRDefault="00A9106A" w:rsidP="00A9106A">
            <w:pPr>
              <w:numPr>
                <w:ilvl w:val="0"/>
                <w:numId w:val="6"/>
              </w:numPr>
              <w:autoSpaceDE w:val="0"/>
              <w:autoSpaceDN w:val="0"/>
              <w:spacing w:after="165" w:line="260" w:lineRule="atLeast"/>
              <w:rPr>
                <w:rFonts w:ascii="Arial" w:hAnsi="Arial"/>
                <w:color w:val="000000"/>
                <w:lang w:val="en-US" w:eastAsia="en-US"/>
              </w:rPr>
            </w:pPr>
            <w:r w:rsidRPr="007F619A">
              <w:rPr>
                <w:rFonts w:ascii="Arial" w:hAnsi="Arial"/>
                <w:color w:val="000000"/>
                <w:lang w:val="en-US" w:eastAsia="en-US"/>
              </w:rPr>
              <w:t>Direct train connection to London Waterloo.</w:t>
            </w:r>
          </w:p>
          <w:p w:rsidR="00A9106A" w:rsidRDefault="00A9106A" w:rsidP="00A9106A">
            <w:pPr>
              <w:spacing w:after="165" w:line="260" w:lineRule="atLeast"/>
              <w:jc w:val="both"/>
              <w:rPr>
                <w:rFonts w:ascii="Arial" w:hAnsi="Arial" w:cs="Arial"/>
                <w:lang w:eastAsia="en-US"/>
              </w:rPr>
            </w:pPr>
            <w:r w:rsidRPr="007F619A">
              <w:rPr>
                <w:rFonts w:ascii="Arial" w:hAnsi="Arial"/>
                <w:lang w:eastAsia="en-US"/>
              </w:rPr>
              <w:t>In addition, the South Downs National Park, which stretches from Winchester in Hampshire to Eastbourne in East Sussex, is located just to the south of Alton and provides a wealth of recreational opportunities.</w:t>
            </w:r>
          </w:p>
          <w:p w:rsidR="00A9106A" w:rsidRPr="008077D2" w:rsidRDefault="00A9106A" w:rsidP="00A9106A">
            <w:pPr>
              <w:spacing w:before="60" w:after="60" w:line="280" w:lineRule="atLeast"/>
              <w:rPr>
                <w:rFonts w:ascii="Arial" w:hAnsi="Arial"/>
                <w:lang w:eastAsia="en-US"/>
              </w:rPr>
            </w:pPr>
            <w:r w:rsidRPr="008077D2">
              <w:rPr>
                <w:rFonts w:ascii="Arial" w:hAnsi="Arial" w:cs="Arial"/>
                <w:lang w:eastAsia="en-US"/>
              </w:rPr>
              <w:t>The site has been constrained from delivering housing development until now for a number of reasons, including;</w:t>
            </w:r>
            <w:r w:rsidRPr="008077D2">
              <w:rPr>
                <w:rFonts w:ascii="Arial" w:hAnsi="Arial" w:cs="Arial"/>
                <w:lang w:eastAsia="en-US"/>
              </w:rPr>
              <w:br/>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cs="Arial"/>
                <w:lang w:eastAsia="en-US"/>
              </w:rPr>
              <w:t>The planning requirement to deliver extensive off-site infrastructure upgrading works, including widening of a local railway bridge owned by the charity, Mid Hants Railway (MHR).</w:t>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cs="Arial"/>
                <w:lang w:eastAsia="en-US"/>
              </w:rPr>
              <w:t xml:space="preserve">The low Local Plan allocation in term of housing numbers on the Lord Mayor </w:t>
            </w:r>
            <w:proofErr w:type="spellStart"/>
            <w:r w:rsidRPr="008077D2">
              <w:rPr>
                <w:rFonts w:ascii="Arial" w:hAnsi="Arial" w:cs="Arial"/>
                <w:lang w:eastAsia="en-US"/>
              </w:rPr>
              <w:t>Treloar</w:t>
            </w:r>
            <w:proofErr w:type="spellEnd"/>
            <w:r w:rsidRPr="008077D2">
              <w:rPr>
                <w:rFonts w:ascii="Arial" w:hAnsi="Arial" w:cs="Arial"/>
                <w:lang w:eastAsia="en-US"/>
              </w:rPr>
              <w:t xml:space="preserve"> site which is insufficient to fund the infrastructure costs and creates the need to jointly fund the works as part of the development of the neighbouring site at </w:t>
            </w:r>
            <w:proofErr w:type="spellStart"/>
            <w:r w:rsidRPr="008077D2">
              <w:rPr>
                <w:rFonts w:ascii="Arial" w:hAnsi="Arial" w:cs="Arial"/>
                <w:lang w:eastAsia="en-US"/>
              </w:rPr>
              <w:t>Selborne</w:t>
            </w:r>
            <w:proofErr w:type="spellEnd"/>
            <w:r w:rsidRPr="008077D2">
              <w:rPr>
                <w:rFonts w:ascii="Arial" w:hAnsi="Arial" w:cs="Arial"/>
                <w:lang w:eastAsia="en-US"/>
              </w:rPr>
              <w:t xml:space="preserve"> Road.</w:t>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cs="Arial"/>
                <w:lang w:eastAsia="en-US"/>
              </w:rPr>
              <w:t xml:space="preserve">A need to secure access rights to undertake the </w:t>
            </w:r>
            <w:r w:rsidR="009667F5">
              <w:rPr>
                <w:rFonts w:ascii="Arial" w:hAnsi="Arial" w:cs="Arial"/>
                <w:lang w:eastAsia="en-US"/>
              </w:rPr>
              <w:t>bridge widening works from MHR.</w:t>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cs="Arial"/>
                <w:lang w:eastAsia="en-US"/>
              </w:rPr>
              <w:t xml:space="preserve">A need to secure further rights to undertake the bridge works from another eight landowners who collectively form the owners of the neighbouring development site </w:t>
            </w:r>
            <w:r w:rsidRPr="008077D2">
              <w:rPr>
                <w:rFonts w:ascii="Arial" w:hAnsi="Arial" w:cs="Arial"/>
                <w:lang w:eastAsia="en-US"/>
              </w:rPr>
              <w:lastRenderedPageBreak/>
              <w:t>(</w:t>
            </w:r>
            <w:proofErr w:type="spellStart"/>
            <w:r w:rsidRPr="008077D2">
              <w:rPr>
                <w:rFonts w:ascii="Arial" w:hAnsi="Arial" w:cs="Arial"/>
                <w:lang w:eastAsia="en-US"/>
              </w:rPr>
              <w:t>Selborne</w:t>
            </w:r>
            <w:proofErr w:type="spellEnd"/>
            <w:r w:rsidRPr="008077D2">
              <w:rPr>
                <w:rFonts w:ascii="Arial" w:hAnsi="Arial" w:cs="Arial"/>
                <w:lang w:eastAsia="en-US"/>
              </w:rPr>
              <w:t xml:space="preserve"> Road Landowners), </w:t>
            </w:r>
            <w:r w:rsidR="009667F5">
              <w:rPr>
                <w:rFonts w:ascii="Arial" w:hAnsi="Arial" w:cs="Arial"/>
                <w:lang w:eastAsia="en-US"/>
              </w:rPr>
              <w:t>and other third party interests</w:t>
            </w:r>
            <w:r w:rsidRPr="008077D2">
              <w:rPr>
                <w:rFonts w:ascii="Arial" w:hAnsi="Arial" w:cs="Arial"/>
                <w:lang w:eastAsia="en-US"/>
              </w:rPr>
              <w:t xml:space="preserve">. </w:t>
            </w:r>
            <w:r>
              <w:rPr>
                <w:rFonts w:ascii="Arial" w:hAnsi="Arial" w:cs="Arial"/>
                <w:lang w:eastAsia="en-US"/>
              </w:rPr>
              <w:t>Appendix A</w:t>
            </w:r>
            <w:r w:rsidRPr="008077D2">
              <w:rPr>
                <w:rFonts w:ascii="Arial" w:hAnsi="Arial" w:cs="Arial"/>
                <w:lang w:eastAsia="en-US"/>
              </w:rPr>
              <w:t xml:space="preserve"> shows the landownerships and the bridge that requires widening.</w:t>
            </w:r>
          </w:p>
          <w:p w:rsidR="00A9106A" w:rsidRPr="008077D2" w:rsidRDefault="00A9106A" w:rsidP="00A9106A">
            <w:pPr>
              <w:spacing w:before="60" w:after="60" w:line="280" w:lineRule="atLeast"/>
              <w:jc w:val="both"/>
              <w:rPr>
                <w:rFonts w:ascii="Arial" w:hAnsi="Arial"/>
                <w:lang w:eastAsia="en-US"/>
              </w:rPr>
            </w:pPr>
          </w:p>
          <w:p w:rsidR="00A9106A" w:rsidRPr="008077D2" w:rsidRDefault="00A9106A" w:rsidP="00A9106A">
            <w:pPr>
              <w:spacing w:before="60" w:after="60" w:line="280" w:lineRule="atLeast"/>
              <w:rPr>
                <w:rFonts w:ascii="Arial" w:hAnsi="Arial"/>
                <w:lang w:eastAsia="en-US"/>
              </w:rPr>
            </w:pPr>
            <w:r w:rsidRPr="008077D2">
              <w:rPr>
                <w:rFonts w:ascii="Arial" w:hAnsi="Arial"/>
                <w:lang w:eastAsia="en-US"/>
              </w:rPr>
              <w:t>The costs associated with the off-site infrastructure works are significant. The cost of the bridge-related works is £4.6m, a new roundabout will cost £200,000, and other shared highway works amount to £225,00</w:t>
            </w:r>
            <w:r w:rsidR="00015070">
              <w:rPr>
                <w:rFonts w:ascii="Arial" w:hAnsi="Arial"/>
                <w:lang w:eastAsia="en-US"/>
              </w:rPr>
              <w:t>0.</w:t>
            </w:r>
            <w:r w:rsidRPr="008077D2">
              <w:rPr>
                <w:rFonts w:ascii="Arial" w:hAnsi="Arial"/>
                <w:lang w:eastAsia="en-US"/>
              </w:rPr>
              <w:br/>
            </w:r>
          </w:p>
          <w:p w:rsidR="00A9106A" w:rsidRPr="008077D2" w:rsidRDefault="00A9106A" w:rsidP="00A9106A">
            <w:pPr>
              <w:spacing w:before="60" w:after="60" w:line="280" w:lineRule="atLeast"/>
              <w:rPr>
                <w:rFonts w:ascii="Arial" w:hAnsi="Arial"/>
                <w:lang w:eastAsia="en-US"/>
              </w:rPr>
            </w:pPr>
            <w:r w:rsidRPr="008077D2">
              <w:rPr>
                <w:rFonts w:ascii="Arial" w:hAnsi="Arial" w:cs="Arial"/>
                <w:lang w:eastAsia="en-US"/>
              </w:rPr>
              <w:t xml:space="preserve">The HCA has worked with the various landowners over the last six years to develop a viable solution to resolve all the issues </w:t>
            </w:r>
            <w:r>
              <w:rPr>
                <w:rFonts w:ascii="Arial" w:hAnsi="Arial" w:cs="Arial"/>
                <w:lang w:eastAsia="en-US"/>
              </w:rPr>
              <w:t>and the Agency</w:t>
            </w:r>
            <w:r w:rsidRPr="008077D2">
              <w:rPr>
                <w:rFonts w:ascii="Arial" w:hAnsi="Arial" w:cs="Arial"/>
                <w:lang w:eastAsia="en-US"/>
              </w:rPr>
              <w:t xml:space="preserve"> has now:</w:t>
            </w:r>
            <w:r w:rsidRPr="008077D2">
              <w:rPr>
                <w:rFonts w:ascii="Arial" w:hAnsi="Arial" w:cs="Arial"/>
                <w:lang w:eastAsia="en-US"/>
              </w:rPr>
              <w:br/>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lang w:eastAsia="en-US"/>
              </w:rPr>
              <w:t>Entered into a legally binding contract with MHR to secure the access rights (29 January 2016).</w:t>
            </w:r>
          </w:p>
          <w:p w:rsidR="00A9106A" w:rsidRPr="008077D2" w:rsidRDefault="00A9106A" w:rsidP="00A9106A">
            <w:pPr>
              <w:numPr>
                <w:ilvl w:val="1"/>
                <w:numId w:val="6"/>
              </w:numPr>
              <w:spacing w:before="60" w:after="60" w:line="280" w:lineRule="atLeast"/>
              <w:rPr>
                <w:rFonts w:ascii="Arial" w:hAnsi="Arial"/>
                <w:lang w:eastAsia="en-US"/>
              </w:rPr>
            </w:pPr>
            <w:r w:rsidRPr="008077D2">
              <w:rPr>
                <w:rFonts w:ascii="Arial" w:hAnsi="Arial"/>
                <w:lang w:eastAsia="en-US"/>
              </w:rPr>
              <w:t xml:space="preserve">Entered into a legally binding contract with the remaining eight landowners to secure the remaining access rights and share the costs of the infrastructure </w:t>
            </w:r>
            <w:r w:rsidR="009667F5">
              <w:rPr>
                <w:rFonts w:ascii="Arial" w:hAnsi="Arial"/>
                <w:lang w:eastAsia="en-US"/>
              </w:rPr>
              <w:t>works</w:t>
            </w:r>
            <w:r w:rsidRPr="008077D2">
              <w:rPr>
                <w:rFonts w:ascii="Arial" w:hAnsi="Arial"/>
                <w:lang w:eastAsia="en-US"/>
              </w:rPr>
              <w:t xml:space="preserve"> </w:t>
            </w:r>
            <w:proofErr w:type="gramStart"/>
            <w:r w:rsidRPr="008077D2">
              <w:rPr>
                <w:rFonts w:ascii="Arial" w:hAnsi="Arial"/>
                <w:lang w:eastAsia="en-US"/>
              </w:rPr>
              <w:t>( 8</w:t>
            </w:r>
            <w:proofErr w:type="gramEnd"/>
            <w:r w:rsidRPr="008077D2">
              <w:rPr>
                <w:rFonts w:ascii="Arial" w:hAnsi="Arial"/>
                <w:lang w:eastAsia="en-US"/>
              </w:rPr>
              <w:t xml:space="preserve"> April 2016)</w:t>
            </w:r>
            <w:r w:rsidR="009667F5">
              <w:rPr>
                <w:rFonts w:ascii="Arial" w:hAnsi="Arial"/>
                <w:lang w:eastAsia="en-US"/>
              </w:rPr>
              <w:t>.</w:t>
            </w:r>
          </w:p>
          <w:p w:rsidR="00441B4D" w:rsidRPr="00C70B34" w:rsidRDefault="00A9106A" w:rsidP="00752617">
            <w:pPr>
              <w:numPr>
                <w:ilvl w:val="1"/>
                <w:numId w:val="6"/>
              </w:numPr>
              <w:spacing w:before="60" w:after="165" w:line="260" w:lineRule="atLeast"/>
              <w:jc w:val="both"/>
              <w:rPr>
                <w:rFonts w:ascii="Arial" w:hAnsi="Arial" w:cs="Arial"/>
                <w:lang w:eastAsia="en-US"/>
              </w:rPr>
            </w:pPr>
            <w:r w:rsidRPr="00C70B34">
              <w:rPr>
                <w:rFonts w:ascii="Arial" w:hAnsi="Arial"/>
                <w:lang w:eastAsia="en-US"/>
              </w:rPr>
              <w:t>Secured outline planning consent for 529 new homes (on 29 April 2016) and is now free of legal challenge.</w:t>
            </w:r>
          </w:p>
          <w:p w:rsidR="00602D91" w:rsidRDefault="00602D91" w:rsidP="00602D91">
            <w:pPr>
              <w:spacing w:after="165" w:line="260" w:lineRule="atLeast"/>
              <w:rPr>
                <w:rFonts w:ascii="Arial" w:hAnsi="Arial" w:cs="Arial"/>
                <w:lang w:eastAsia="en-US"/>
              </w:rPr>
            </w:pPr>
            <w:r>
              <w:rPr>
                <w:rFonts w:ascii="Arial" w:hAnsi="Arial" w:cs="Arial"/>
                <w:lang w:eastAsia="en-US"/>
              </w:rPr>
              <w:t>The o</w:t>
            </w:r>
            <w:r w:rsidRPr="00752617">
              <w:rPr>
                <w:rFonts w:ascii="Arial" w:hAnsi="Arial" w:cs="Arial"/>
                <w:lang w:eastAsia="en-US"/>
              </w:rPr>
              <w:t>utline planning pe</w:t>
            </w:r>
            <w:r>
              <w:rPr>
                <w:rFonts w:ascii="Arial" w:hAnsi="Arial" w:cs="Arial"/>
                <w:lang w:eastAsia="en-US"/>
              </w:rPr>
              <w:t xml:space="preserve">rmission (Ref: 30021/056), includes </w:t>
            </w:r>
            <w:r w:rsidRPr="00752617">
              <w:rPr>
                <w:rFonts w:ascii="Arial" w:hAnsi="Arial" w:cs="Arial"/>
                <w:lang w:eastAsia="en-US"/>
              </w:rPr>
              <w:t>detailed consent for associated highways works. The selected developer will be responsible for obtaining reserved matters consent</w:t>
            </w:r>
            <w:r w:rsidR="009667F5">
              <w:rPr>
                <w:rFonts w:ascii="Arial" w:hAnsi="Arial" w:cs="Arial"/>
                <w:lang w:eastAsia="en-US"/>
              </w:rPr>
              <w:t xml:space="preserve"> for Lord Mayor </w:t>
            </w:r>
            <w:proofErr w:type="spellStart"/>
            <w:r w:rsidR="009667F5">
              <w:rPr>
                <w:rFonts w:ascii="Arial" w:hAnsi="Arial" w:cs="Arial"/>
                <w:lang w:eastAsia="en-US"/>
              </w:rPr>
              <w:t>Treloar</w:t>
            </w:r>
            <w:proofErr w:type="spellEnd"/>
            <w:r w:rsidRPr="00752617">
              <w:rPr>
                <w:rFonts w:ascii="Arial" w:hAnsi="Arial" w:cs="Arial"/>
                <w:lang w:eastAsia="en-US"/>
              </w:rPr>
              <w:t>, together with meeting the relevant obligations of the s106 agreement.</w:t>
            </w:r>
            <w:r>
              <w:rPr>
                <w:rFonts w:ascii="Arial" w:hAnsi="Arial" w:cs="Arial"/>
                <w:lang w:eastAsia="en-US"/>
              </w:rPr>
              <w:t xml:space="preserve"> </w:t>
            </w:r>
          </w:p>
          <w:p w:rsidR="00752617" w:rsidRDefault="002B0C98" w:rsidP="002B0C98">
            <w:pPr>
              <w:spacing w:after="165" w:line="260" w:lineRule="atLeast"/>
              <w:rPr>
                <w:rFonts w:ascii="Arial" w:hAnsi="Arial" w:cs="Arial"/>
                <w:lang w:eastAsia="en-US"/>
              </w:rPr>
            </w:pPr>
            <w:r>
              <w:rPr>
                <w:rFonts w:ascii="Arial" w:hAnsi="Arial" w:cs="Arial"/>
                <w:lang w:eastAsia="en-US"/>
              </w:rPr>
              <w:t xml:space="preserve">For full details of the </w:t>
            </w:r>
            <w:r w:rsidR="009667F5">
              <w:rPr>
                <w:rFonts w:ascii="Arial" w:hAnsi="Arial" w:cs="Arial"/>
                <w:lang w:eastAsia="en-US"/>
              </w:rPr>
              <w:t xml:space="preserve">planning </w:t>
            </w:r>
            <w:r>
              <w:rPr>
                <w:rFonts w:ascii="Arial" w:hAnsi="Arial" w:cs="Arial"/>
                <w:lang w:eastAsia="en-US"/>
              </w:rPr>
              <w:t>consent please visit the Planning Portal or the East Hampshire District Council website.</w:t>
            </w:r>
          </w:p>
          <w:p w:rsidR="00602D91" w:rsidRPr="00752617" w:rsidRDefault="00602D91" w:rsidP="00602D91">
            <w:pPr>
              <w:tabs>
                <w:tab w:val="left" w:pos="709"/>
                <w:tab w:val="left" w:pos="7170"/>
              </w:tabs>
              <w:spacing w:after="165" w:line="260" w:lineRule="atLeast"/>
              <w:rPr>
                <w:rFonts w:ascii="Arial" w:hAnsi="Arial" w:cs="Arial"/>
                <w:u w:val="single"/>
              </w:rPr>
            </w:pPr>
            <w:r w:rsidRPr="00752617">
              <w:rPr>
                <w:rFonts w:ascii="Arial" w:hAnsi="Arial" w:cs="Arial"/>
                <w:u w:val="single"/>
              </w:rPr>
              <w:t>Section 106 Agreement</w:t>
            </w:r>
          </w:p>
          <w:p w:rsidR="00602D91" w:rsidRDefault="00602D91" w:rsidP="00602D91">
            <w:pPr>
              <w:tabs>
                <w:tab w:val="left" w:pos="709"/>
                <w:tab w:val="left" w:pos="7170"/>
              </w:tabs>
              <w:spacing w:after="165" w:line="260" w:lineRule="atLeast"/>
              <w:rPr>
                <w:rFonts w:ascii="Arial" w:hAnsi="Arial" w:cs="Arial"/>
              </w:rPr>
            </w:pPr>
            <w:r w:rsidRPr="00752617">
              <w:rPr>
                <w:rFonts w:ascii="Arial" w:hAnsi="Arial" w:cs="Arial"/>
              </w:rPr>
              <w:t xml:space="preserve">The s.106 Agreement sets out a number of obligations to be met by the selected </w:t>
            </w:r>
            <w:r>
              <w:rPr>
                <w:rFonts w:ascii="Arial" w:hAnsi="Arial" w:cs="Arial"/>
              </w:rPr>
              <w:t>develope</w:t>
            </w:r>
            <w:r w:rsidRPr="00752617">
              <w:rPr>
                <w:rFonts w:ascii="Arial" w:hAnsi="Arial" w:cs="Arial"/>
              </w:rPr>
              <w:t xml:space="preserve">r for the Lord Mayor </w:t>
            </w:r>
            <w:proofErr w:type="spellStart"/>
            <w:r w:rsidRPr="00752617">
              <w:rPr>
                <w:rFonts w:ascii="Arial" w:hAnsi="Arial" w:cs="Arial"/>
              </w:rPr>
              <w:t>Treloar</w:t>
            </w:r>
            <w:proofErr w:type="spellEnd"/>
            <w:r w:rsidRPr="00752617">
              <w:rPr>
                <w:rFonts w:ascii="Arial" w:hAnsi="Arial" w:cs="Arial"/>
              </w:rPr>
              <w:t xml:space="preserve"> site</w:t>
            </w:r>
            <w:r>
              <w:rPr>
                <w:rFonts w:ascii="Arial" w:hAnsi="Arial" w:cs="Arial"/>
              </w:rPr>
              <w:t xml:space="preserve"> (and the developer of the neighbouring </w:t>
            </w:r>
            <w:proofErr w:type="spellStart"/>
            <w:r>
              <w:rPr>
                <w:rFonts w:ascii="Arial" w:hAnsi="Arial" w:cs="Arial"/>
              </w:rPr>
              <w:t>Selborne</w:t>
            </w:r>
            <w:proofErr w:type="spellEnd"/>
            <w:r>
              <w:rPr>
                <w:rFonts w:ascii="Arial" w:hAnsi="Arial" w:cs="Arial"/>
              </w:rPr>
              <w:t xml:space="preserve"> Road site)</w:t>
            </w:r>
            <w:r w:rsidR="00A716E8">
              <w:rPr>
                <w:rFonts w:ascii="Arial" w:hAnsi="Arial" w:cs="Arial"/>
              </w:rPr>
              <w:t xml:space="preserve">.  </w:t>
            </w:r>
            <w:r>
              <w:rPr>
                <w:rFonts w:ascii="Arial" w:hAnsi="Arial" w:cs="Arial"/>
              </w:rPr>
              <w:t>The s106 allows both developments to be brought forward independently, subject to the delivery of the infrastructure works.</w:t>
            </w:r>
            <w:r w:rsidR="009667F5">
              <w:rPr>
                <w:rFonts w:ascii="Arial" w:hAnsi="Arial" w:cs="Arial"/>
                <w:lang w:eastAsia="en-US"/>
              </w:rPr>
              <w:t xml:space="preserve"> It should be noted that the legal agreements clearly apportion the s106 responsibilities and cost of the infrastructure works between the Agency’s developer and </w:t>
            </w:r>
            <w:proofErr w:type="spellStart"/>
            <w:r w:rsidR="009667F5">
              <w:rPr>
                <w:rFonts w:ascii="Arial" w:hAnsi="Arial" w:cs="Arial"/>
                <w:lang w:eastAsia="en-US"/>
              </w:rPr>
              <w:t>Harvington</w:t>
            </w:r>
            <w:proofErr w:type="spellEnd"/>
            <w:r w:rsidR="009667F5">
              <w:rPr>
                <w:rFonts w:ascii="Arial" w:hAnsi="Arial" w:cs="Arial"/>
                <w:lang w:eastAsia="en-US"/>
              </w:rPr>
              <w:t xml:space="preserve"> Properties.</w:t>
            </w:r>
          </w:p>
          <w:p w:rsidR="00602D91" w:rsidRPr="00602D91" w:rsidRDefault="00602D91" w:rsidP="00602D91">
            <w:pPr>
              <w:tabs>
                <w:tab w:val="left" w:pos="709"/>
                <w:tab w:val="left" w:pos="7170"/>
              </w:tabs>
              <w:spacing w:after="165" w:line="260" w:lineRule="atLeast"/>
              <w:rPr>
                <w:rFonts w:ascii="Arial" w:hAnsi="Arial" w:cs="Arial"/>
                <w:u w:val="single"/>
              </w:rPr>
            </w:pPr>
            <w:r>
              <w:rPr>
                <w:rFonts w:ascii="Arial" w:hAnsi="Arial" w:cs="Arial"/>
                <w:u w:val="single"/>
              </w:rPr>
              <w:t>Collaboration Agreement w</w:t>
            </w:r>
            <w:r w:rsidRPr="00602D91">
              <w:rPr>
                <w:rFonts w:ascii="Arial" w:hAnsi="Arial" w:cs="Arial"/>
                <w:u w:val="single"/>
              </w:rPr>
              <w:t xml:space="preserve">ith </w:t>
            </w:r>
            <w:proofErr w:type="spellStart"/>
            <w:r w:rsidRPr="00602D91">
              <w:rPr>
                <w:rFonts w:ascii="Arial" w:hAnsi="Arial" w:cs="Arial"/>
                <w:u w:val="single"/>
              </w:rPr>
              <w:t>Harvington</w:t>
            </w:r>
            <w:proofErr w:type="spellEnd"/>
            <w:r w:rsidRPr="00602D91">
              <w:rPr>
                <w:rFonts w:ascii="Arial" w:hAnsi="Arial" w:cs="Arial"/>
                <w:u w:val="single"/>
              </w:rPr>
              <w:t xml:space="preserve"> Properties</w:t>
            </w:r>
          </w:p>
          <w:p w:rsidR="00602D91" w:rsidRDefault="00602D91" w:rsidP="00602D91">
            <w:pPr>
              <w:tabs>
                <w:tab w:val="left" w:pos="709"/>
                <w:tab w:val="left" w:pos="7170"/>
              </w:tabs>
              <w:spacing w:after="165" w:line="260" w:lineRule="atLeast"/>
              <w:rPr>
                <w:rFonts w:ascii="Arial" w:hAnsi="Arial" w:cs="Arial"/>
              </w:rPr>
            </w:pPr>
            <w:r>
              <w:rPr>
                <w:rFonts w:ascii="Arial" w:hAnsi="Arial" w:cs="Arial"/>
              </w:rPr>
              <w:t xml:space="preserve">This agreement outlines the cost sharing provisions for the infrastructure works. The agreement allows for either party to deliver the bridge works but </w:t>
            </w:r>
            <w:proofErr w:type="spellStart"/>
            <w:r>
              <w:rPr>
                <w:rFonts w:ascii="Arial" w:hAnsi="Arial" w:cs="Arial"/>
              </w:rPr>
              <w:t>Harvington</w:t>
            </w:r>
            <w:proofErr w:type="spellEnd"/>
            <w:r w:rsidR="009667F5">
              <w:rPr>
                <w:rFonts w:ascii="Arial" w:hAnsi="Arial" w:cs="Arial"/>
              </w:rPr>
              <w:t xml:space="preserve"> Properties</w:t>
            </w:r>
            <w:r>
              <w:rPr>
                <w:rFonts w:ascii="Arial" w:hAnsi="Arial" w:cs="Arial"/>
              </w:rPr>
              <w:t xml:space="preserve"> is close to appointing a developer and will be triggering the clause that they will deliver the bridge. The Agency’s developer will therefore need to reimburse </w:t>
            </w:r>
            <w:proofErr w:type="spellStart"/>
            <w:r>
              <w:rPr>
                <w:rFonts w:ascii="Arial" w:hAnsi="Arial" w:cs="Arial"/>
              </w:rPr>
              <w:t>Harvington</w:t>
            </w:r>
            <w:proofErr w:type="spellEnd"/>
            <w:r>
              <w:rPr>
                <w:rFonts w:ascii="Arial" w:hAnsi="Arial" w:cs="Arial"/>
              </w:rPr>
              <w:t xml:space="preserve"> Properties the proportionate share of the bridge costs. The agreement also provides for step-in rights to deliver the bridge works should they be needed. The selected developer will need to enter into an agreement to comply with the terms of the Collaboration Agreement.</w:t>
            </w:r>
          </w:p>
          <w:p w:rsidR="00602D91" w:rsidRPr="00602D91" w:rsidRDefault="00602D91" w:rsidP="00602D91">
            <w:pPr>
              <w:tabs>
                <w:tab w:val="left" w:pos="709"/>
                <w:tab w:val="left" w:pos="7170"/>
              </w:tabs>
              <w:spacing w:after="165" w:line="260" w:lineRule="atLeast"/>
              <w:rPr>
                <w:rFonts w:ascii="Arial" w:hAnsi="Arial" w:cs="Arial"/>
                <w:u w:val="single"/>
              </w:rPr>
            </w:pPr>
            <w:r w:rsidRPr="00602D91">
              <w:rPr>
                <w:rFonts w:ascii="Arial" w:hAnsi="Arial" w:cs="Arial"/>
                <w:u w:val="single"/>
              </w:rPr>
              <w:t>Mid Hants Railway Agreement</w:t>
            </w:r>
          </w:p>
          <w:p w:rsidR="00602D91" w:rsidRDefault="00602D91" w:rsidP="00602D91">
            <w:pPr>
              <w:tabs>
                <w:tab w:val="left" w:pos="709"/>
                <w:tab w:val="left" w:pos="7170"/>
              </w:tabs>
              <w:spacing w:after="165" w:line="260" w:lineRule="atLeast"/>
              <w:rPr>
                <w:rFonts w:ascii="Arial" w:hAnsi="Arial" w:cs="Arial"/>
                <w:b/>
                <w:lang w:eastAsia="en-US"/>
              </w:rPr>
            </w:pPr>
            <w:r>
              <w:rPr>
                <w:rFonts w:ascii="Arial" w:hAnsi="Arial" w:cs="Arial"/>
              </w:rPr>
              <w:t xml:space="preserve">This agreement </w:t>
            </w:r>
            <w:r w:rsidR="00461ADA">
              <w:rPr>
                <w:rFonts w:ascii="Arial" w:hAnsi="Arial" w:cs="Arial"/>
              </w:rPr>
              <w:t>outlines the cost of delivering</w:t>
            </w:r>
            <w:r>
              <w:rPr>
                <w:rFonts w:ascii="Arial" w:hAnsi="Arial" w:cs="Arial"/>
              </w:rPr>
              <w:t xml:space="preserve"> the bridge and the necessary access rights. Whilst it is expected that </w:t>
            </w:r>
            <w:proofErr w:type="spellStart"/>
            <w:r>
              <w:rPr>
                <w:rFonts w:ascii="Arial" w:hAnsi="Arial" w:cs="Arial"/>
              </w:rPr>
              <w:t>Harvington</w:t>
            </w:r>
            <w:proofErr w:type="spellEnd"/>
            <w:r>
              <w:rPr>
                <w:rFonts w:ascii="Arial" w:hAnsi="Arial" w:cs="Arial"/>
              </w:rPr>
              <w:t xml:space="preserve"> Properties’ developer </w:t>
            </w:r>
            <w:r w:rsidR="00445EE9">
              <w:rPr>
                <w:rFonts w:ascii="Arial" w:hAnsi="Arial" w:cs="Arial"/>
              </w:rPr>
              <w:t>will deliver the bridge works</w:t>
            </w:r>
            <w:r>
              <w:rPr>
                <w:rFonts w:ascii="Arial" w:hAnsi="Arial" w:cs="Arial"/>
              </w:rPr>
              <w:t xml:space="preserve"> under the Collaboration Agreement, the Agency’s selected developer will need to enter into an agreement to comply with its terms.</w:t>
            </w:r>
          </w:p>
          <w:p w:rsidR="00602D91" w:rsidRPr="00602D91" w:rsidRDefault="00602D91" w:rsidP="00602D91">
            <w:pPr>
              <w:tabs>
                <w:tab w:val="left" w:pos="709"/>
                <w:tab w:val="left" w:pos="7170"/>
              </w:tabs>
              <w:spacing w:after="165" w:line="260" w:lineRule="atLeast"/>
              <w:rPr>
                <w:rFonts w:ascii="Arial" w:hAnsi="Arial" w:cs="Arial"/>
                <w:u w:val="single"/>
                <w:lang w:eastAsia="en-US"/>
              </w:rPr>
            </w:pPr>
            <w:r w:rsidRPr="00602D91">
              <w:rPr>
                <w:rFonts w:ascii="Arial" w:hAnsi="Arial" w:cs="Arial"/>
                <w:u w:val="single"/>
                <w:lang w:eastAsia="en-US"/>
              </w:rPr>
              <w:lastRenderedPageBreak/>
              <w:t>Working with Partners</w:t>
            </w:r>
          </w:p>
          <w:p w:rsidR="00602D91" w:rsidRPr="00752617" w:rsidRDefault="00602D91" w:rsidP="002B0C98">
            <w:pPr>
              <w:spacing w:after="165" w:line="260" w:lineRule="atLeast"/>
              <w:rPr>
                <w:rFonts w:ascii="Arial" w:hAnsi="Arial" w:cs="Arial"/>
                <w:lang w:eastAsia="en-US"/>
              </w:rPr>
            </w:pPr>
            <w:r w:rsidRPr="008077D2">
              <w:rPr>
                <w:rFonts w:ascii="Arial" w:hAnsi="Arial" w:cs="Arial"/>
                <w:lang w:eastAsia="en-US"/>
              </w:rPr>
              <w:t xml:space="preserve">The conclusion of the legal agreements and achieving planning consent represents a significant milestone </w:t>
            </w:r>
            <w:r>
              <w:rPr>
                <w:rFonts w:ascii="Arial" w:hAnsi="Arial" w:cs="Arial"/>
                <w:lang w:eastAsia="en-US"/>
              </w:rPr>
              <w:t>in the project and HCA</w:t>
            </w:r>
            <w:r w:rsidRPr="008077D2">
              <w:rPr>
                <w:rFonts w:ascii="Arial" w:hAnsi="Arial" w:cs="Arial"/>
                <w:lang w:eastAsia="en-US"/>
              </w:rPr>
              <w:t xml:space="preserve"> is now able to dispose of the site on the open market. </w:t>
            </w:r>
            <w:r w:rsidR="00461ADA">
              <w:rPr>
                <w:rFonts w:ascii="Arial" w:hAnsi="Arial" w:cs="Arial"/>
                <w:lang w:eastAsia="en-US"/>
              </w:rPr>
              <w:t>The HCA is required</w:t>
            </w:r>
            <w:r w:rsidRPr="008077D2">
              <w:rPr>
                <w:rFonts w:ascii="Arial" w:hAnsi="Arial" w:cs="Arial"/>
                <w:lang w:eastAsia="en-US"/>
              </w:rPr>
              <w:t xml:space="preserve"> to undertake a full OJEU procurement </w:t>
            </w:r>
            <w:r>
              <w:rPr>
                <w:rFonts w:ascii="Arial" w:hAnsi="Arial" w:cs="Arial"/>
                <w:lang w:eastAsia="en-US"/>
              </w:rPr>
              <w:t>in order to comply with the terms of the various legal agreements</w:t>
            </w:r>
            <w:r w:rsidRPr="008077D2">
              <w:rPr>
                <w:rFonts w:ascii="Arial" w:hAnsi="Arial" w:cs="Arial"/>
                <w:lang w:eastAsia="en-US"/>
              </w:rPr>
              <w:t>.</w:t>
            </w:r>
          </w:p>
          <w:p w:rsidR="00E11816" w:rsidRPr="00E11816" w:rsidRDefault="00E11816" w:rsidP="00E11816">
            <w:pPr>
              <w:rPr>
                <w:rFonts w:ascii="Arial" w:hAnsi="Arial" w:cs="Arial"/>
              </w:rPr>
            </w:pPr>
          </w:p>
          <w:p w:rsidR="00E11816" w:rsidRPr="004E4CA1" w:rsidRDefault="00E11816" w:rsidP="004E4CA1">
            <w:pPr>
              <w:rPr>
                <w:rFonts w:ascii="Arial" w:hAnsi="Arial" w:cs="Arial"/>
                <w:b/>
                <w:i/>
              </w:rPr>
            </w:pPr>
            <w:r w:rsidRPr="004E4CA1">
              <w:rPr>
                <w:rFonts w:ascii="Arial" w:hAnsi="Arial" w:cs="Arial"/>
                <w:b/>
                <w:i/>
              </w:rPr>
              <w:t>THE SERVICES</w:t>
            </w:r>
          </w:p>
          <w:p w:rsidR="00E11816" w:rsidRPr="00E11816" w:rsidRDefault="00E11816" w:rsidP="00E11816">
            <w:pPr>
              <w:rPr>
                <w:rFonts w:ascii="Arial" w:hAnsi="Arial" w:cs="Arial"/>
                <w:b/>
                <w:i/>
              </w:rPr>
            </w:pPr>
          </w:p>
          <w:p w:rsidR="0045267A" w:rsidRDefault="00BD34B6" w:rsidP="00E11816">
            <w:pPr>
              <w:rPr>
                <w:rFonts w:ascii="Arial" w:hAnsi="Arial" w:cs="Arial"/>
                <w:bCs/>
                <w:iCs/>
              </w:rPr>
            </w:pPr>
            <w:r>
              <w:rPr>
                <w:rFonts w:ascii="Arial" w:hAnsi="Arial" w:cs="Arial"/>
                <w:bCs/>
                <w:iCs/>
              </w:rPr>
              <w:t>The scope of the commission will be as follows</w:t>
            </w:r>
            <w:r w:rsidR="0045267A">
              <w:rPr>
                <w:rFonts w:ascii="Arial" w:hAnsi="Arial" w:cs="Arial"/>
                <w:bCs/>
                <w:iCs/>
              </w:rPr>
              <w:t>. The HCA reserves the right to draw down services as required.</w:t>
            </w:r>
          </w:p>
          <w:p w:rsidR="0045267A" w:rsidRDefault="0045267A" w:rsidP="00E11816">
            <w:pPr>
              <w:rPr>
                <w:rFonts w:ascii="Arial" w:hAnsi="Arial" w:cs="Arial"/>
                <w:bCs/>
                <w:iCs/>
              </w:rPr>
            </w:pPr>
          </w:p>
          <w:p w:rsidR="00BC197F" w:rsidRDefault="00DA0570" w:rsidP="00BC197F">
            <w:pPr>
              <w:rPr>
                <w:rFonts w:ascii="Arial" w:hAnsi="Arial" w:cs="Arial"/>
                <w:bCs/>
                <w:iCs/>
              </w:rPr>
            </w:pPr>
            <w:r w:rsidRPr="00B37D39">
              <w:rPr>
                <w:rFonts w:ascii="Arial" w:hAnsi="Arial" w:cs="Arial"/>
                <w:b/>
                <w:bCs/>
                <w:iCs/>
              </w:rPr>
              <w:t>Task 1</w:t>
            </w:r>
            <w:r w:rsidR="00BC197F">
              <w:rPr>
                <w:rFonts w:ascii="Arial" w:hAnsi="Arial" w:cs="Arial"/>
                <w:bCs/>
                <w:iCs/>
              </w:rPr>
              <w:t xml:space="preserve"> </w:t>
            </w:r>
            <w:r w:rsidR="003658E3">
              <w:rPr>
                <w:rFonts w:ascii="Arial" w:hAnsi="Arial" w:cs="Arial"/>
                <w:bCs/>
                <w:iCs/>
              </w:rPr>
              <w:t>–</w:t>
            </w:r>
            <w:r w:rsidR="00BC197F">
              <w:rPr>
                <w:rFonts w:ascii="Arial" w:hAnsi="Arial" w:cs="Arial"/>
                <w:bCs/>
                <w:iCs/>
              </w:rPr>
              <w:t xml:space="preserve"> </w:t>
            </w:r>
            <w:r w:rsidR="003658E3">
              <w:rPr>
                <w:rFonts w:ascii="Arial" w:hAnsi="Arial" w:cs="Arial"/>
                <w:bCs/>
                <w:iCs/>
              </w:rPr>
              <w:t>Provide professional and commercial property advice to market the site. This work will include:</w:t>
            </w:r>
          </w:p>
          <w:p w:rsidR="003658E3" w:rsidRDefault="003658E3" w:rsidP="00BC197F">
            <w:pPr>
              <w:rPr>
                <w:rFonts w:ascii="Arial" w:hAnsi="Arial" w:cs="Arial"/>
                <w:bCs/>
                <w:iCs/>
              </w:rPr>
            </w:pPr>
          </w:p>
          <w:p w:rsidR="00E52BD4" w:rsidRPr="002B0C98" w:rsidRDefault="00DA0570" w:rsidP="00B424F7">
            <w:pPr>
              <w:pStyle w:val="ListParagraph"/>
              <w:numPr>
                <w:ilvl w:val="0"/>
                <w:numId w:val="6"/>
              </w:numPr>
              <w:rPr>
                <w:rFonts w:ascii="Arial" w:hAnsi="Arial" w:cs="Arial"/>
                <w:bCs/>
                <w:iCs/>
              </w:rPr>
            </w:pPr>
            <w:r w:rsidRPr="002B0C98">
              <w:rPr>
                <w:rFonts w:ascii="Arial" w:hAnsi="Arial" w:cs="Arial"/>
                <w:bCs/>
                <w:iCs/>
              </w:rPr>
              <w:t xml:space="preserve">To </w:t>
            </w:r>
            <w:r w:rsidR="007E4E5E" w:rsidRPr="002B0C98">
              <w:rPr>
                <w:rFonts w:ascii="Arial" w:hAnsi="Arial" w:cs="Arial"/>
                <w:bCs/>
                <w:iCs/>
              </w:rPr>
              <w:t xml:space="preserve">finalise all OJEU documentation, with reference to latest HCA guidance </w:t>
            </w:r>
            <w:r w:rsidR="004E4CA1" w:rsidRPr="002B0C98">
              <w:rPr>
                <w:rFonts w:ascii="Arial" w:hAnsi="Arial" w:cs="Arial"/>
                <w:bCs/>
                <w:iCs/>
              </w:rPr>
              <w:t xml:space="preserve">(current OJEU documents </w:t>
            </w:r>
            <w:r w:rsidRPr="002B0C98">
              <w:rPr>
                <w:rFonts w:ascii="Arial" w:hAnsi="Arial" w:cs="Arial"/>
                <w:bCs/>
                <w:iCs/>
              </w:rPr>
              <w:t>largely complete)</w:t>
            </w:r>
            <w:r w:rsidR="00E425A6" w:rsidRPr="002B0C98">
              <w:rPr>
                <w:rFonts w:ascii="Arial" w:hAnsi="Arial" w:cs="Arial"/>
                <w:bCs/>
                <w:iCs/>
              </w:rPr>
              <w:t>, and liaison with representatives of the Mid Hants Railway and SRL</w:t>
            </w:r>
          </w:p>
          <w:p w:rsidR="00B37D39" w:rsidRDefault="00B37D39" w:rsidP="00B424F7">
            <w:pPr>
              <w:pStyle w:val="ListParagraph"/>
              <w:numPr>
                <w:ilvl w:val="0"/>
                <w:numId w:val="6"/>
              </w:numPr>
              <w:rPr>
                <w:rFonts w:ascii="Arial" w:hAnsi="Arial" w:cs="Arial"/>
                <w:bCs/>
                <w:iCs/>
              </w:rPr>
            </w:pPr>
            <w:r>
              <w:rPr>
                <w:rFonts w:ascii="Arial" w:hAnsi="Arial" w:cs="Arial"/>
                <w:bCs/>
                <w:iCs/>
              </w:rPr>
              <w:t>To liaise with the HCA Procurement Team on the OJEU process and all necessary advertisements</w:t>
            </w:r>
          </w:p>
          <w:p w:rsidR="00B424F7" w:rsidRDefault="00B424F7" w:rsidP="00B424F7">
            <w:pPr>
              <w:pStyle w:val="ListParagraph"/>
              <w:numPr>
                <w:ilvl w:val="0"/>
                <w:numId w:val="6"/>
              </w:numPr>
              <w:rPr>
                <w:rFonts w:ascii="Arial" w:hAnsi="Arial" w:cs="Arial"/>
                <w:bCs/>
                <w:iCs/>
              </w:rPr>
            </w:pPr>
            <w:r>
              <w:rPr>
                <w:rFonts w:ascii="Arial" w:hAnsi="Arial" w:cs="Arial"/>
                <w:bCs/>
                <w:iCs/>
              </w:rPr>
              <w:t>The production of a marketing plan for client approval</w:t>
            </w:r>
            <w:r w:rsidR="004E4CA1">
              <w:rPr>
                <w:rFonts w:ascii="Arial" w:hAnsi="Arial" w:cs="Arial"/>
                <w:bCs/>
                <w:iCs/>
              </w:rPr>
              <w:t xml:space="preserve"> (to be prepared immediately upon appointment)</w:t>
            </w:r>
          </w:p>
          <w:p w:rsidR="003658E3" w:rsidRDefault="003658E3" w:rsidP="00B424F7">
            <w:pPr>
              <w:pStyle w:val="ListParagraph"/>
              <w:numPr>
                <w:ilvl w:val="0"/>
                <w:numId w:val="6"/>
              </w:numPr>
              <w:rPr>
                <w:rFonts w:ascii="Arial" w:hAnsi="Arial" w:cs="Arial"/>
                <w:bCs/>
                <w:iCs/>
              </w:rPr>
            </w:pPr>
            <w:r>
              <w:rPr>
                <w:rFonts w:ascii="Arial" w:hAnsi="Arial" w:cs="Arial"/>
                <w:bCs/>
                <w:iCs/>
              </w:rPr>
              <w:t>Produce all marketing material including literature, signage and advertising both on line and in selected publications.</w:t>
            </w:r>
          </w:p>
          <w:p w:rsidR="00E52BD4" w:rsidRDefault="00E52BD4" w:rsidP="00B424F7">
            <w:pPr>
              <w:pStyle w:val="ListParagraph"/>
              <w:numPr>
                <w:ilvl w:val="0"/>
                <w:numId w:val="6"/>
              </w:numPr>
              <w:rPr>
                <w:rFonts w:ascii="Arial" w:hAnsi="Arial" w:cs="Arial"/>
                <w:bCs/>
                <w:iCs/>
              </w:rPr>
            </w:pPr>
            <w:r>
              <w:rPr>
                <w:rFonts w:ascii="Arial" w:hAnsi="Arial" w:cs="Arial"/>
                <w:bCs/>
                <w:iCs/>
              </w:rPr>
              <w:t>To actively market the site at both a local and national level</w:t>
            </w:r>
          </w:p>
          <w:p w:rsidR="003658E3" w:rsidRDefault="003658E3" w:rsidP="00B424F7">
            <w:pPr>
              <w:pStyle w:val="ListParagraph"/>
              <w:numPr>
                <w:ilvl w:val="0"/>
                <w:numId w:val="6"/>
              </w:numPr>
              <w:rPr>
                <w:rFonts w:ascii="Arial" w:hAnsi="Arial" w:cs="Arial"/>
                <w:bCs/>
                <w:iCs/>
              </w:rPr>
            </w:pPr>
            <w:r>
              <w:rPr>
                <w:rFonts w:ascii="Arial" w:hAnsi="Arial" w:cs="Arial"/>
                <w:bCs/>
                <w:iCs/>
              </w:rPr>
              <w:t>Deal with all new enquiries and gather evidence and interest of known business and likely interested parties.</w:t>
            </w:r>
          </w:p>
          <w:p w:rsidR="00DB1C25" w:rsidRPr="00B424F7" w:rsidRDefault="00B424F7" w:rsidP="00DB1C25">
            <w:pPr>
              <w:numPr>
                <w:ilvl w:val="0"/>
                <w:numId w:val="6"/>
              </w:numPr>
              <w:spacing w:after="200" w:line="276" w:lineRule="auto"/>
              <w:rPr>
                <w:rFonts w:ascii="Arial" w:hAnsi="Arial" w:cs="Arial"/>
                <w:bCs/>
                <w:iCs/>
              </w:rPr>
            </w:pPr>
            <w:r w:rsidRPr="00B424F7">
              <w:rPr>
                <w:rFonts w:ascii="Arial" w:hAnsi="Arial" w:cs="Arial"/>
              </w:rPr>
              <w:t>Provid</w:t>
            </w:r>
            <w:r>
              <w:rPr>
                <w:rFonts w:ascii="Arial" w:hAnsi="Arial" w:cs="Arial"/>
              </w:rPr>
              <w:t xml:space="preserve">e the HCA </w:t>
            </w:r>
            <w:r w:rsidRPr="00B424F7">
              <w:rPr>
                <w:rFonts w:ascii="Arial" w:hAnsi="Arial" w:cs="Arial"/>
              </w:rPr>
              <w:t xml:space="preserve">with </w:t>
            </w:r>
            <w:r w:rsidR="002B0C98" w:rsidRPr="002B0C98">
              <w:rPr>
                <w:rFonts w:ascii="Arial" w:hAnsi="Arial" w:cs="Arial"/>
              </w:rPr>
              <w:t>weekly updates</w:t>
            </w:r>
            <w:r w:rsidRPr="002B0C98">
              <w:rPr>
                <w:rFonts w:ascii="Arial" w:hAnsi="Arial" w:cs="Arial"/>
              </w:rPr>
              <w:t xml:space="preserve"> on marketing activity</w:t>
            </w:r>
          </w:p>
          <w:p w:rsidR="00DB1C25" w:rsidRDefault="00DA0570" w:rsidP="00DB1C25">
            <w:pPr>
              <w:rPr>
                <w:rFonts w:ascii="Arial" w:hAnsi="Arial" w:cs="Arial"/>
                <w:bCs/>
                <w:iCs/>
              </w:rPr>
            </w:pPr>
            <w:r w:rsidRPr="00B37D39">
              <w:rPr>
                <w:rFonts w:ascii="Arial" w:hAnsi="Arial" w:cs="Arial"/>
                <w:b/>
                <w:bCs/>
                <w:iCs/>
              </w:rPr>
              <w:t xml:space="preserve">Task </w:t>
            </w:r>
            <w:r w:rsidR="008C0252" w:rsidRPr="00B37D39">
              <w:rPr>
                <w:rFonts w:ascii="Arial" w:hAnsi="Arial" w:cs="Arial"/>
                <w:b/>
                <w:bCs/>
                <w:iCs/>
              </w:rPr>
              <w:t>2</w:t>
            </w:r>
            <w:r>
              <w:rPr>
                <w:rFonts w:ascii="Arial" w:hAnsi="Arial" w:cs="Arial"/>
                <w:bCs/>
                <w:iCs/>
              </w:rPr>
              <w:t xml:space="preserve"> – To </w:t>
            </w:r>
            <w:r w:rsidR="006F7D30">
              <w:rPr>
                <w:rFonts w:ascii="Arial" w:hAnsi="Arial" w:cs="Arial"/>
                <w:bCs/>
                <w:iCs/>
              </w:rPr>
              <w:t xml:space="preserve">run the Competitive Dialogue process, </w:t>
            </w:r>
            <w:r w:rsidR="006F7D30" w:rsidRPr="00863609">
              <w:rPr>
                <w:rFonts w:ascii="Arial" w:hAnsi="Arial" w:cs="Arial"/>
                <w:bCs/>
                <w:iCs/>
              </w:rPr>
              <w:t xml:space="preserve">to include </w:t>
            </w:r>
            <w:r w:rsidR="00EB328D" w:rsidRPr="00863609">
              <w:rPr>
                <w:rFonts w:ascii="Arial" w:hAnsi="Arial" w:cs="Arial"/>
                <w:bCs/>
                <w:iCs/>
              </w:rPr>
              <w:t>a Bidders Day on-site,</w:t>
            </w:r>
            <w:r w:rsidR="00EB328D">
              <w:rPr>
                <w:rFonts w:ascii="Arial" w:hAnsi="Arial" w:cs="Arial"/>
                <w:bCs/>
                <w:iCs/>
              </w:rPr>
              <w:t xml:space="preserve"> </w:t>
            </w:r>
            <w:r w:rsidR="006F7D30">
              <w:rPr>
                <w:rFonts w:ascii="Arial" w:hAnsi="Arial" w:cs="Arial"/>
                <w:bCs/>
                <w:iCs/>
              </w:rPr>
              <w:t>3 dialogue meetings</w:t>
            </w:r>
            <w:r w:rsidR="00A716E8">
              <w:rPr>
                <w:rFonts w:ascii="Arial" w:hAnsi="Arial" w:cs="Arial"/>
                <w:bCs/>
                <w:iCs/>
              </w:rPr>
              <w:t xml:space="preserve"> (to be held at the Agent’s office)</w:t>
            </w:r>
            <w:r w:rsidR="006F7D30">
              <w:rPr>
                <w:rFonts w:ascii="Arial" w:hAnsi="Arial" w:cs="Arial"/>
                <w:bCs/>
                <w:iCs/>
              </w:rPr>
              <w:t xml:space="preserve"> and subsequent bidder presentations.</w:t>
            </w:r>
            <w:r>
              <w:rPr>
                <w:rFonts w:ascii="Arial" w:hAnsi="Arial" w:cs="Arial"/>
                <w:bCs/>
                <w:iCs/>
              </w:rPr>
              <w:t xml:space="preserve"> </w:t>
            </w:r>
            <w:r w:rsidR="007E4E5E">
              <w:rPr>
                <w:rFonts w:ascii="Arial" w:hAnsi="Arial" w:cs="Arial"/>
                <w:bCs/>
                <w:iCs/>
              </w:rPr>
              <w:t xml:space="preserve"> This task will </w:t>
            </w:r>
            <w:r w:rsidR="00DB1C25">
              <w:rPr>
                <w:rFonts w:ascii="Arial" w:hAnsi="Arial" w:cs="Arial"/>
                <w:bCs/>
                <w:iCs/>
              </w:rPr>
              <w:t>include:</w:t>
            </w:r>
            <w:r w:rsidR="00B37D39">
              <w:rPr>
                <w:rFonts w:ascii="Arial" w:hAnsi="Arial" w:cs="Arial"/>
                <w:bCs/>
                <w:iCs/>
              </w:rPr>
              <w:br/>
            </w:r>
          </w:p>
          <w:p w:rsidR="005D69DB" w:rsidRDefault="005D69DB" w:rsidP="00B424F7">
            <w:pPr>
              <w:pStyle w:val="ListParagraph"/>
              <w:numPr>
                <w:ilvl w:val="0"/>
                <w:numId w:val="6"/>
              </w:numPr>
              <w:rPr>
                <w:rFonts w:ascii="Arial" w:hAnsi="Arial" w:cs="Arial"/>
                <w:bCs/>
                <w:iCs/>
              </w:rPr>
            </w:pPr>
            <w:r>
              <w:rPr>
                <w:rFonts w:ascii="Arial" w:hAnsi="Arial" w:cs="Arial"/>
                <w:bCs/>
                <w:iCs/>
              </w:rPr>
              <w:t>To organise and host a</w:t>
            </w:r>
            <w:r w:rsidR="00A716E8">
              <w:rPr>
                <w:rFonts w:ascii="Arial" w:hAnsi="Arial" w:cs="Arial"/>
                <w:bCs/>
                <w:iCs/>
              </w:rPr>
              <w:t xml:space="preserve">ll meetings and presentations </w:t>
            </w:r>
          </w:p>
          <w:p w:rsidR="0014159D" w:rsidRPr="00863609" w:rsidRDefault="0014159D" w:rsidP="00B424F7">
            <w:pPr>
              <w:pStyle w:val="ListParagraph"/>
              <w:numPr>
                <w:ilvl w:val="0"/>
                <w:numId w:val="6"/>
              </w:numPr>
              <w:rPr>
                <w:rFonts w:ascii="Arial" w:hAnsi="Arial" w:cs="Arial"/>
                <w:bCs/>
                <w:iCs/>
              </w:rPr>
            </w:pPr>
            <w:r w:rsidRPr="00863609">
              <w:rPr>
                <w:rFonts w:ascii="Arial" w:hAnsi="Arial" w:cs="Arial"/>
              </w:rPr>
              <w:t xml:space="preserve">Plan </w:t>
            </w:r>
            <w:r w:rsidR="00EB328D" w:rsidRPr="00863609">
              <w:rPr>
                <w:rFonts w:ascii="Arial" w:hAnsi="Arial" w:cs="Arial"/>
              </w:rPr>
              <w:t>and implement a Bidders day on-s</w:t>
            </w:r>
            <w:r w:rsidR="00863609">
              <w:rPr>
                <w:rFonts w:ascii="Arial" w:hAnsi="Arial" w:cs="Arial"/>
              </w:rPr>
              <w:t>ite</w:t>
            </w:r>
          </w:p>
          <w:p w:rsidR="00DB1C25" w:rsidRDefault="007E4E5E" w:rsidP="00B424F7">
            <w:pPr>
              <w:pStyle w:val="ListParagraph"/>
              <w:numPr>
                <w:ilvl w:val="0"/>
                <w:numId w:val="6"/>
              </w:numPr>
              <w:rPr>
                <w:rFonts w:ascii="Arial" w:hAnsi="Arial" w:cs="Arial"/>
                <w:bCs/>
                <w:iCs/>
              </w:rPr>
            </w:pPr>
            <w:r>
              <w:rPr>
                <w:rFonts w:ascii="Arial" w:hAnsi="Arial" w:cs="Arial"/>
                <w:bCs/>
                <w:iCs/>
              </w:rPr>
              <w:t>The collation and recording of all responses and questions from bidders</w:t>
            </w:r>
          </w:p>
          <w:p w:rsidR="007E4E5E" w:rsidRDefault="005D69DB" w:rsidP="00B424F7">
            <w:pPr>
              <w:pStyle w:val="ListParagraph"/>
              <w:numPr>
                <w:ilvl w:val="0"/>
                <w:numId w:val="6"/>
              </w:numPr>
              <w:rPr>
                <w:rFonts w:ascii="Arial" w:hAnsi="Arial" w:cs="Arial"/>
                <w:bCs/>
                <w:iCs/>
              </w:rPr>
            </w:pPr>
            <w:r>
              <w:rPr>
                <w:rFonts w:ascii="Arial" w:hAnsi="Arial" w:cs="Arial"/>
                <w:bCs/>
                <w:iCs/>
              </w:rPr>
              <w:t>To provide full responses to all queries, circulated to all bidders in accordance with procurement regulations</w:t>
            </w:r>
          </w:p>
          <w:p w:rsidR="00484DD6" w:rsidRDefault="00484DD6" w:rsidP="00B424F7">
            <w:pPr>
              <w:pStyle w:val="ListParagraph"/>
              <w:numPr>
                <w:ilvl w:val="0"/>
                <w:numId w:val="6"/>
              </w:numPr>
              <w:rPr>
                <w:rFonts w:ascii="Arial" w:hAnsi="Arial" w:cs="Arial"/>
                <w:bCs/>
                <w:iCs/>
              </w:rPr>
            </w:pPr>
            <w:r>
              <w:rPr>
                <w:rFonts w:ascii="Arial" w:hAnsi="Arial" w:cs="Arial"/>
                <w:bCs/>
                <w:iCs/>
              </w:rPr>
              <w:t>To collate and check all submissions, once received from the HCA Procurement Team</w:t>
            </w:r>
          </w:p>
          <w:p w:rsidR="00C80368" w:rsidRDefault="00C80368" w:rsidP="00C80368">
            <w:pPr>
              <w:rPr>
                <w:rFonts w:ascii="Arial" w:hAnsi="Arial" w:cs="Arial"/>
                <w:bCs/>
                <w:iCs/>
              </w:rPr>
            </w:pPr>
          </w:p>
          <w:p w:rsidR="005D69DB" w:rsidRDefault="005D69DB" w:rsidP="00C80368">
            <w:pPr>
              <w:rPr>
                <w:rFonts w:ascii="Arial" w:hAnsi="Arial" w:cs="Arial"/>
                <w:bCs/>
                <w:iCs/>
              </w:rPr>
            </w:pPr>
            <w:r w:rsidRPr="005D69DB">
              <w:rPr>
                <w:rFonts w:ascii="Arial" w:hAnsi="Arial" w:cs="Arial"/>
                <w:b/>
                <w:bCs/>
                <w:iCs/>
              </w:rPr>
              <w:t>Task 3</w:t>
            </w:r>
            <w:r>
              <w:rPr>
                <w:rFonts w:ascii="Arial" w:hAnsi="Arial" w:cs="Arial"/>
                <w:bCs/>
                <w:iCs/>
              </w:rPr>
              <w:t xml:space="preserve"> – To </w:t>
            </w:r>
            <w:r w:rsidR="00484DD6">
              <w:rPr>
                <w:rFonts w:ascii="Arial" w:hAnsi="Arial" w:cs="Arial"/>
                <w:bCs/>
                <w:iCs/>
              </w:rPr>
              <w:t xml:space="preserve">sit on the Tender Panel, fully evaluate the financial proposals, and </w:t>
            </w:r>
            <w:r>
              <w:rPr>
                <w:rFonts w:ascii="Arial" w:hAnsi="Arial" w:cs="Arial"/>
                <w:bCs/>
                <w:iCs/>
              </w:rPr>
              <w:t>prepare a full Tender Report and recommendation to HCA</w:t>
            </w:r>
            <w:r w:rsidR="00A716E8">
              <w:rPr>
                <w:rFonts w:ascii="Arial" w:hAnsi="Arial" w:cs="Arial"/>
                <w:bCs/>
                <w:iCs/>
              </w:rPr>
              <w:t>. This will include inputting into the Agency’s decision making report on the preferred bidder.</w:t>
            </w:r>
          </w:p>
          <w:p w:rsidR="005D69DB" w:rsidRDefault="005D69DB" w:rsidP="00C80368">
            <w:pPr>
              <w:rPr>
                <w:rFonts w:ascii="Arial" w:hAnsi="Arial" w:cs="Arial"/>
                <w:bCs/>
                <w:iCs/>
              </w:rPr>
            </w:pPr>
          </w:p>
          <w:p w:rsidR="005D69DB" w:rsidRDefault="005D69DB" w:rsidP="00C80368">
            <w:pPr>
              <w:rPr>
                <w:rFonts w:ascii="Arial" w:hAnsi="Arial" w:cs="Arial"/>
                <w:bCs/>
                <w:iCs/>
              </w:rPr>
            </w:pPr>
            <w:r w:rsidRPr="005D69DB">
              <w:rPr>
                <w:rFonts w:ascii="Arial" w:hAnsi="Arial" w:cs="Arial"/>
                <w:b/>
                <w:bCs/>
                <w:iCs/>
              </w:rPr>
              <w:t>Task 4</w:t>
            </w:r>
            <w:r>
              <w:rPr>
                <w:rFonts w:ascii="Arial" w:hAnsi="Arial" w:cs="Arial"/>
                <w:bCs/>
                <w:iCs/>
              </w:rPr>
              <w:t xml:space="preserve"> – To </w:t>
            </w:r>
            <w:r w:rsidR="00484DD6">
              <w:rPr>
                <w:rFonts w:ascii="Arial" w:hAnsi="Arial" w:cs="Arial"/>
                <w:bCs/>
                <w:iCs/>
              </w:rPr>
              <w:t xml:space="preserve">provide commercial advice during the process of </w:t>
            </w:r>
            <w:r>
              <w:rPr>
                <w:rFonts w:ascii="Arial" w:hAnsi="Arial" w:cs="Arial"/>
                <w:bCs/>
                <w:iCs/>
              </w:rPr>
              <w:t xml:space="preserve">contracting </w:t>
            </w:r>
            <w:r w:rsidR="00484DD6">
              <w:rPr>
                <w:rFonts w:ascii="Arial" w:hAnsi="Arial" w:cs="Arial"/>
                <w:bCs/>
                <w:iCs/>
              </w:rPr>
              <w:t xml:space="preserve">with </w:t>
            </w:r>
            <w:r>
              <w:rPr>
                <w:rFonts w:ascii="Arial" w:hAnsi="Arial" w:cs="Arial"/>
                <w:bCs/>
                <w:iCs/>
              </w:rPr>
              <w:t xml:space="preserve">the selected developer </w:t>
            </w:r>
          </w:p>
          <w:p w:rsidR="00602D91" w:rsidRDefault="00602D91" w:rsidP="00C80368">
            <w:pPr>
              <w:rPr>
                <w:rFonts w:ascii="Arial" w:hAnsi="Arial" w:cs="Arial"/>
                <w:bCs/>
                <w:iCs/>
              </w:rPr>
            </w:pPr>
          </w:p>
          <w:p w:rsidR="00602D91" w:rsidRDefault="00602D91" w:rsidP="00602D91">
            <w:pPr>
              <w:rPr>
                <w:rFonts w:ascii="Arial" w:hAnsi="Arial" w:cs="Arial"/>
                <w:bCs/>
                <w:iCs/>
              </w:rPr>
            </w:pPr>
            <w:r w:rsidRPr="002F1A8A">
              <w:rPr>
                <w:rFonts w:ascii="Arial" w:hAnsi="Arial" w:cs="Arial"/>
                <w:b/>
                <w:bCs/>
                <w:iCs/>
              </w:rPr>
              <w:t>Task 5</w:t>
            </w:r>
            <w:r>
              <w:rPr>
                <w:rFonts w:ascii="Arial" w:hAnsi="Arial" w:cs="Arial"/>
                <w:bCs/>
                <w:iCs/>
              </w:rPr>
              <w:t xml:space="preserve"> – Any other tasks to ensure the successful completion of the Agency’s objective’s as identified in the tender response.</w:t>
            </w:r>
          </w:p>
          <w:p w:rsidR="00E52BD4" w:rsidRPr="00E52BD4" w:rsidRDefault="00E52BD4" w:rsidP="00A97B46">
            <w:pPr>
              <w:pStyle w:val="ListParagraph"/>
              <w:rPr>
                <w:rFonts w:ascii="Arial" w:hAnsi="Arial" w:cs="Arial"/>
                <w:bCs/>
                <w:iCs/>
              </w:rPr>
            </w:pPr>
          </w:p>
          <w:p w:rsidR="003B3CC5" w:rsidRPr="00E425A6" w:rsidRDefault="003B3CC5" w:rsidP="00E425A6">
            <w:pPr>
              <w:rPr>
                <w:rFonts w:ascii="Arial" w:hAnsi="Arial" w:cs="Arial"/>
                <w:b/>
                <w:i/>
              </w:rPr>
            </w:pPr>
            <w:r w:rsidRPr="00E425A6">
              <w:rPr>
                <w:rFonts w:ascii="Arial" w:hAnsi="Arial" w:cs="Arial"/>
                <w:b/>
                <w:i/>
              </w:rPr>
              <w:t>INDICATIVE PROGRAMME (please confirm timetable in Bid).</w:t>
            </w:r>
          </w:p>
          <w:p w:rsidR="003B3CC5" w:rsidRPr="00E11816" w:rsidRDefault="003B3CC5" w:rsidP="003B3CC5">
            <w:pPr>
              <w:rPr>
                <w:rFonts w:ascii="Arial" w:hAnsi="Arial" w:cs="Aria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34"/>
            </w:tblGrid>
            <w:tr w:rsidR="003B3CC5" w:rsidRPr="00E11816" w:rsidTr="00634D63">
              <w:tc>
                <w:tcPr>
                  <w:tcW w:w="4882" w:type="dxa"/>
                  <w:shd w:val="clear" w:color="auto" w:fill="auto"/>
                </w:tcPr>
                <w:p w:rsidR="003B3CC5" w:rsidRPr="00863609" w:rsidRDefault="003B3CC5" w:rsidP="00905DD8">
                  <w:pPr>
                    <w:rPr>
                      <w:rFonts w:ascii="Arial" w:hAnsi="Arial" w:cs="Arial"/>
                    </w:rPr>
                  </w:pPr>
                  <w:r w:rsidRPr="00863609">
                    <w:rPr>
                      <w:rFonts w:ascii="Arial" w:hAnsi="Arial" w:cs="Arial"/>
                    </w:rPr>
                    <w:t xml:space="preserve">HCA issues brief </w:t>
                  </w:r>
                </w:p>
              </w:tc>
              <w:tc>
                <w:tcPr>
                  <w:tcW w:w="4834" w:type="dxa"/>
                  <w:shd w:val="clear" w:color="auto" w:fill="auto"/>
                </w:tcPr>
                <w:p w:rsidR="003B3CC5" w:rsidRPr="00E11816" w:rsidRDefault="008F6E87" w:rsidP="00634D63">
                  <w:pPr>
                    <w:rPr>
                      <w:rFonts w:ascii="Arial" w:hAnsi="Arial" w:cs="Arial"/>
                    </w:rPr>
                  </w:pPr>
                  <w:r>
                    <w:rPr>
                      <w:rFonts w:ascii="Arial" w:hAnsi="Arial" w:cs="Arial"/>
                    </w:rPr>
                    <w:t>1</w:t>
                  </w:r>
                  <w:r w:rsidR="00F70B75">
                    <w:rPr>
                      <w:rFonts w:ascii="Arial" w:hAnsi="Arial" w:cs="Arial"/>
                    </w:rPr>
                    <w:t>3</w:t>
                  </w:r>
                  <w:r w:rsidRPr="008F6E87">
                    <w:rPr>
                      <w:rFonts w:ascii="Arial" w:hAnsi="Arial" w:cs="Arial"/>
                      <w:vertAlign w:val="superscript"/>
                    </w:rPr>
                    <w:t>th</w:t>
                  </w:r>
                  <w:r>
                    <w:rPr>
                      <w:rFonts w:ascii="Arial" w:hAnsi="Arial" w:cs="Arial"/>
                    </w:rPr>
                    <w:t xml:space="preserve"> July 2016</w:t>
                  </w:r>
                </w:p>
              </w:tc>
            </w:tr>
            <w:tr w:rsidR="003B3CC5" w:rsidRPr="00E11816" w:rsidTr="00634D63">
              <w:tc>
                <w:tcPr>
                  <w:tcW w:w="4882" w:type="dxa"/>
                  <w:shd w:val="clear" w:color="auto" w:fill="auto"/>
                </w:tcPr>
                <w:p w:rsidR="003B3CC5" w:rsidRPr="00863609" w:rsidRDefault="003B3CC5" w:rsidP="00634D63">
                  <w:pPr>
                    <w:rPr>
                      <w:rFonts w:ascii="Arial" w:hAnsi="Arial" w:cs="Arial"/>
                    </w:rPr>
                  </w:pPr>
                  <w:r w:rsidRPr="00863609">
                    <w:rPr>
                      <w:rFonts w:ascii="Arial" w:hAnsi="Arial" w:cs="Arial"/>
                    </w:rPr>
                    <w:t>Mini competition return</w:t>
                  </w:r>
                </w:p>
              </w:tc>
              <w:tc>
                <w:tcPr>
                  <w:tcW w:w="4834" w:type="dxa"/>
                  <w:shd w:val="clear" w:color="auto" w:fill="auto"/>
                </w:tcPr>
                <w:p w:rsidR="003B3CC5" w:rsidRPr="00E11816" w:rsidRDefault="00863609" w:rsidP="00634D63">
                  <w:pPr>
                    <w:rPr>
                      <w:rFonts w:ascii="Arial" w:hAnsi="Arial" w:cs="Arial"/>
                    </w:rPr>
                  </w:pPr>
                  <w:r>
                    <w:rPr>
                      <w:rFonts w:ascii="Arial" w:hAnsi="Arial" w:cs="Arial"/>
                    </w:rPr>
                    <w:t>2</w:t>
                  </w:r>
                  <w:r w:rsidR="00F70B75">
                    <w:rPr>
                      <w:rFonts w:ascii="Arial" w:hAnsi="Arial" w:cs="Arial"/>
                    </w:rPr>
                    <w:t>7</w:t>
                  </w:r>
                  <w:r w:rsidRPr="00863609">
                    <w:rPr>
                      <w:rFonts w:ascii="Arial" w:hAnsi="Arial" w:cs="Arial"/>
                      <w:vertAlign w:val="superscript"/>
                    </w:rPr>
                    <w:t>th</w:t>
                  </w:r>
                  <w:r>
                    <w:rPr>
                      <w:rFonts w:ascii="Arial" w:hAnsi="Arial" w:cs="Arial"/>
                    </w:rPr>
                    <w:t xml:space="preserve"> July </w:t>
                  </w:r>
                  <w:r w:rsidR="008F6E87">
                    <w:rPr>
                      <w:rFonts w:ascii="Arial" w:hAnsi="Arial" w:cs="Arial"/>
                    </w:rPr>
                    <w:t>2016</w:t>
                  </w:r>
                  <w:r w:rsidR="00F70B75">
                    <w:rPr>
                      <w:rFonts w:ascii="Arial" w:hAnsi="Arial" w:cs="Arial"/>
                    </w:rPr>
                    <w:t xml:space="preserve"> (10.00 </w:t>
                  </w:r>
                  <w:proofErr w:type="spellStart"/>
                  <w:r w:rsidR="00F70B75">
                    <w:rPr>
                      <w:rFonts w:ascii="Arial" w:hAnsi="Arial" w:cs="Arial"/>
                    </w:rPr>
                    <w:t>a</w:t>
                  </w:r>
                  <w:r>
                    <w:rPr>
                      <w:rFonts w:ascii="Arial" w:hAnsi="Arial" w:cs="Arial"/>
                    </w:rPr>
                    <w:t>.m</w:t>
                  </w:r>
                  <w:proofErr w:type="spellEnd"/>
                  <w:r>
                    <w:rPr>
                      <w:rFonts w:ascii="Arial" w:hAnsi="Arial" w:cs="Arial"/>
                    </w:rPr>
                    <w:t>)</w:t>
                  </w:r>
                </w:p>
              </w:tc>
            </w:tr>
            <w:tr w:rsidR="003B3CC5" w:rsidRPr="00E11816" w:rsidTr="00634D63">
              <w:tc>
                <w:tcPr>
                  <w:tcW w:w="4882" w:type="dxa"/>
                  <w:shd w:val="clear" w:color="auto" w:fill="auto"/>
                </w:tcPr>
                <w:p w:rsidR="003B3CC5" w:rsidRPr="00863609" w:rsidRDefault="00905DD8" w:rsidP="00634D63">
                  <w:pPr>
                    <w:rPr>
                      <w:rFonts w:ascii="Arial" w:hAnsi="Arial" w:cs="Arial"/>
                    </w:rPr>
                  </w:pPr>
                  <w:r w:rsidRPr="00863609">
                    <w:rPr>
                      <w:rFonts w:ascii="Arial" w:hAnsi="Arial" w:cs="Arial"/>
                    </w:rPr>
                    <w:t>Consultant interviews (if required)</w:t>
                  </w:r>
                </w:p>
              </w:tc>
              <w:tc>
                <w:tcPr>
                  <w:tcW w:w="4834" w:type="dxa"/>
                  <w:shd w:val="clear" w:color="auto" w:fill="auto"/>
                </w:tcPr>
                <w:p w:rsidR="003B3CC5" w:rsidRPr="00E11816" w:rsidRDefault="00863609" w:rsidP="0050747F">
                  <w:pPr>
                    <w:rPr>
                      <w:rFonts w:ascii="Arial" w:hAnsi="Arial" w:cs="Arial"/>
                    </w:rPr>
                  </w:pPr>
                  <w:r>
                    <w:rPr>
                      <w:rFonts w:ascii="Arial" w:hAnsi="Arial" w:cs="Arial"/>
                    </w:rPr>
                    <w:t>28</w:t>
                  </w:r>
                  <w:r w:rsidRPr="00863609">
                    <w:rPr>
                      <w:rFonts w:ascii="Arial" w:hAnsi="Arial" w:cs="Arial"/>
                      <w:vertAlign w:val="superscript"/>
                    </w:rPr>
                    <w:t>th</w:t>
                  </w:r>
                  <w:r>
                    <w:rPr>
                      <w:rFonts w:ascii="Arial" w:hAnsi="Arial" w:cs="Arial"/>
                    </w:rPr>
                    <w:t xml:space="preserve"> July</w:t>
                  </w:r>
                </w:p>
              </w:tc>
            </w:tr>
            <w:tr w:rsidR="003B3CC5" w:rsidRPr="00E11816" w:rsidTr="00634D63">
              <w:tc>
                <w:tcPr>
                  <w:tcW w:w="4882" w:type="dxa"/>
                  <w:shd w:val="clear" w:color="auto" w:fill="auto"/>
                </w:tcPr>
                <w:p w:rsidR="003B3CC5" w:rsidRPr="00863609" w:rsidRDefault="008F6E87" w:rsidP="00634D63">
                  <w:pPr>
                    <w:rPr>
                      <w:rFonts w:ascii="Arial" w:hAnsi="Arial" w:cs="Arial"/>
                    </w:rPr>
                  </w:pPr>
                  <w:r w:rsidRPr="00863609">
                    <w:rPr>
                      <w:rFonts w:ascii="Arial" w:hAnsi="Arial" w:cs="Arial"/>
                    </w:rPr>
                    <w:t>HCA appoints consultant</w:t>
                  </w:r>
                </w:p>
              </w:tc>
              <w:tc>
                <w:tcPr>
                  <w:tcW w:w="4834" w:type="dxa"/>
                  <w:shd w:val="clear" w:color="auto" w:fill="auto"/>
                </w:tcPr>
                <w:p w:rsidR="003B3CC5" w:rsidRPr="00E11816" w:rsidRDefault="00863609" w:rsidP="00634D63">
                  <w:pPr>
                    <w:rPr>
                      <w:rFonts w:ascii="Arial" w:hAnsi="Arial" w:cs="Arial"/>
                    </w:rPr>
                  </w:pPr>
                  <w:r>
                    <w:rPr>
                      <w:rFonts w:ascii="Arial" w:hAnsi="Arial" w:cs="Arial"/>
                    </w:rPr>
                    <w:t>2</w:t>
                  </w:r>
                  <w:r w:rsidRPr="00863609">
                    <w:rPr>
                      <w:rFonts w:ascii="Arial" w:hAnsi="Arial" w:cs="Arial"/>
                      <w:vertAlign w:val="superscript"/>
                    </w:rPr>
                    <w:t>nd</w:t>
                  </w:r>
                  <w:r w:rsidR="008F6E87">
                    <w:rPr>
                      <w:rFonts w:ascii="Arial" w:hAnsi="Arial" w:cs="Arial"/>
                    </w:rPr>
                    <w:t xml:space="preserve"> August 2016</w:t>
                  </w:r>
                </w:p>
              </w:tc>
            </w:tr>
            <w:tr w:rsidR="003B3CC5" w:rsidRPr="00E11816" w:rsidTr="00634D63">
              <w:tc>
                <w:tcPr>
                  <w:tcW w:w="4882" w:type="dxa"/>
                  <w:shd w:val="clear" w:color="auto" w:fill="auto"/>
                </w:tcPr>
                <w:p w:rsidR="003B3CC5" w:rsidRPr="00863609" w:rsidRDefault="00905DD8" w:rsidP="00634D63">
                  <w:pPr>
                    <w:rPr>
                      <w:rFonts w:ascii="Arial" w:hAnsi="Arial" w:cs="Arial"/>
                    </w:rPr>
                  </w:pPr>
                  <w:r w:rsidRPr="00863609">
                    <w:rPr>
                      <w:rFonts w:ascii="Arial" w:hAnsi="Arial" w:cs="Arial"/>
                    </w:rPr>
                    <w:t>Consultant to commence instruction</w:t>
                  </w:r>
                </w:p>
              </w:tc>
              <w:tc>
                <w:tcPr>
                  <w:tcW w:w="4834" w:type="dxa"/>
                  <w:shd w:val="clear" w:color="auto" w:fill="auto"/>
                </w:tcPr>
                <w:p w:rsidR="003B3CC5" w:rsidRDefault="00863609" w:rsidP="00863609">
                  <w:pPr>
                    <w:rPr>
                      <w:rFonts w:ascii="Arial" w:hAnsi="Arial" w:cs="Arial"/>
                    </w:rPr>
                  </w:pPr>
                  <w:r w:rsidRPr="00863609">
                    <w:rPr>
                      <w:rFonts w:ascii="Arial" w:hAnsi="Arial" w:cs="Arial"/>
                    </w:rPr>
                    <w:t>3</w:t>
                  </w:r>
                  <w:r w:rsidRPr="00863609">
                    <w:rPr>
                      <w:rFonts w:ascii="Arial" w:hAnsi="Arial" w:cs="Arial"/>
                      <w:vertAlign w:val="superscript"/>
                    </w:rPr>
                    <w:t>rd</w:t>
                  </w:r>
                  <w:r w:rsidRPr="00863609">
                    <w:rPr>
                      <w:rFonts w:ascii="Arial" w:hAnsi="Arial" w:cs="Arial"/>
                    </w:rPr>
                    <w:t xml:space="preserve"> </w:t>
                  </w:r>
                  <w:r w:rsidR="008F6E87" w:rsidRPr="00863609">
                    <w:rPr>
                      <w:rFonts w:ascii="Arial" w:hAnsi="Arial" w:cs="Arial"/>
                    </w:rPr>
                    <w:t xml:space="preserve">August 2016 </w:t>
                  </w:r>
                </w:p>
              </w:tc>
            </w:tr>
            <w:tr w:rsidR="00905DD8" w:rsidRPr="00E11816" w:rsidTr="00634D63">
              <w:tc>
                <w:tcPr>
                  <w:tcW w:w="4882" w:type="dxa"/>
                  <w:shd w:val="clear" w:color="auto" w:fill="auto"/>
                </w:tcPr>
                <w:p w:rsidR="00905DD8" w:rsidRDefault="008663F4" w:rsidP="00634D63">
                  <w:pPr>
                    <w:rPr>
                      <w:rFonts w:ascii="Arial" w:hAnsi="Arial" w:cs="Arial"/>
                    </w:rPr>
                  </w:pPr>
                  <w:r>
                    <w:rPr>
                      <w:rFonts w:ascii="Arial" w:hAnsi="Arial" w:cs="Arial"/>
                    </w:rPr>
                    <w:t>Commence marketing</w:t>
                  </w:r>
                </w:p>
              </w:tc>
              <w:tc>
                <w:tcPr>
                  <w:tcW w:w="4834" w:type="dxa"/>
                  <w:shd w:val="clear" w:color="auto" w:fill="auto"/>
                </w:tcPr>
                <w:p w:rsidR="00905DD8" w:rsidRPr="007F45AF" w:rsidRDefault="008663F4" w:rsidP="00863609">
                  <w:pPr>
                    <w:rPr>
                      <w:rFonts w:ascii="Arial" w:hAnsi="Arial" w:cs="Arial"/>
                      <w:highlight w:val="yellow"/>
                    </w:rPr>
                  </w:pPr>
                  <w:r w:rsidRPr="00863609">
                    <w:rPr>
                      <w:rFonts w:ascii="Arial" w:hAnsi="Arial" w:cs="Arial"/>
                    </w:rPr>
                    <w:t>Early September 16</w:t>
                  </w:r>
                  <w:r w:rsidR="007F45AF" w:rsidRPr="00863609">
                    <w:rPr>
                      <w:rFonts w:ascii="Arial" w:hAnsi="Arial" w:cs="Arial"/>
                    </w:rPr>
                    <w:t xml:space="preserve"> </w:t>
                  </w:r>
                </w:p>
              </w:tc>
            </w:tr>
            <w:tr w:rsidR="0050747F" w:rsidRPr="00E11816" w:rsidTr="00634D63">
              <w:tc>
                <w:tcPr>
                  <w:tcW w:w="4882" w:type="dxa"/>
                  <w:shd w:val="clear" w:color="auto" w:fill="auto"/>
                </w:tcPr>
                <w:p w:rsidR="0050747F" w:rsidRDefault="008663F4" w:rsidP="007A424A">
                  <w:pPr>
                    <w:rPr>
                      <w:rFonts w:ascii="Arial" w:hAnsi="Arial" w:cs="Arial"/>
                    </w:rPr>
                  </w:pPr>
                  <w:r>
                    <w:rPr>
                      <w:rFonts w:ascii="Arial" w:hAnsi="Arial" w:cs="Arial"/>
                    </w:rPr>
                    <w:t>PQQ’s returned</w:t>
                  </w:r>
                </w:p>
              </w:tc>
              <w:tc>
                <w:tcPr>
                  <w:tcW w:w="4834" w:type="dxa"/>
                  <w:shd w:val="clear" w:color="auto" w:fill="auto"/>
                </w:tcPr>
                <w:p w:rsidR="0050747F" w:rsidRPr="00863609" w:rsidRDefault="008663F4" w:rsidP="007A424A">
                  <w:pPr>
                    <w:rPr>
                      <w:rFonts w:ascii="Arial" w:hAnsi="Arial" w:cs="Arial"/>
                    </w:rPr>
                  </w:pPr>
                  <w:r w:rsidRPr="00863609">
                    <w:rPr>
                      <w:rFonts w:ascii="Arial" w:hAnsi="Arial" w:cs="Arial"/>
                    </w:rPr>
                    <w:t>End of October 16</w:t>
                  </w:r>
                </w:p>
              </w:tc>
            </w:tr>
            <w:tr w:rsidR="0050747F" w:rsidRPr="00E11816" w:rsidTr="00634D63">
              <w:tc>
                <w:tcPr>
                  <w:tcW w:w="4882" w:type="dxa"/>
                  <w:shd w:val="clear" w:color="auto" w:fill="auto"/>
                </w:tcPr>
                <w:p w:rsidR="0050747F" w:rsidRDefault="008663F4" w:rsidP="00634D63">
                  <w:pPr>
                    <w:rPr>
                      <w:rFonts w:ascii="Arial" w:hAnsi="Arial" w:cs="Arial"/>
                    </w:rPr>
                  </w:pPr>
                  <w:r>
                    <w:rPr>
                      <w:rFonts w:ascii="Arial" w:hAnsi="Arial" w:cs="Arial"/>
                    </w:rPr>
                    <w:t>Returns shortlisted and issue of ITPD</w:t>
                  </w:r>
                </w:p>
              </w:tc>
              <w:tc>
                <w:tcPr>
                  <w:tcW w:w="4834" w:type="dxa"/>
                  <w:shd w:val="clear" w:color="auto" w:fill="auto"/>
                </w:tcPr>
                <w:p w:rsidR="0050747F" w:rsidRPr="00863609" w:rsidRDefault="008663F4" w:rsidP="00634D63">
                  <w:pPr>
                    <w:rPr>
                      <w:rFonts w:ascii="Arial" w:hAnsi="Arial" w:cs="Arial"/>
                    </w:rPr>
                  </w:pPr>
                  <w:r w:rsidRPr="00863609">
                    <w:rPr>
                      <w:rFonts w:ascii="Arial" w:hAnsi="Arial" w:cs="Arial"/>
                    </w:rPr>
                    <w:t>End of December 16</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Tenders returned after dialogue (allowing for 3 dialogue meetings)</w:t>
                  </w:r>
                </w:p>
              </w:tc>
              <w:tc>
                <w:tcPr>
                  <w:tcW w:w="4834" w:type="dxa"/>
                  <w:shd w:val="clear" w:color="auto" w:fill="auto"/>
                </w:tcPr>
                <w:p w:rsidR="008663F4" w:rsidRPr="00863609" w:rsidRDefault="008663F4" w:rsidP="00634D63">
                  <w:pPr>
                    <w:rPr>
                      <w:rFonts w:ascii="Arial" w:hAnsi="Arial" w:cs="Arial"/>
                    </w:rPr>
                  </w:pPr>
                  <w:r w:rsidRPr="00863609">
                    <w:rPr>
                      <w:rFonts w:ascii="Arial" w:hAnsi="Arial" w:cs="Arial"/>
                    </w:rPr>
                    <w:t>Early March 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Evaluation completed</w:t>
                  </w:r>
                </w:p>
              </w:tc>
              <w:tc>
                <w:tcPr>
                  <w:tcW w:w="4834" w:type="dxa"/>
                  <w:shd w:val="clear" w:color="auto" w:fill="auto"/>
                </w:tcPr>
                <w:p w:rsidR="008663F4" w:rsidRPr="00863609" w:rsidRDefault="008663F4" w:rsidP="00634D63">
                  <w:pPr>
                    <w:rPr>
                      <w:rFonts w:ascii="Arial" w:hAnsi="Arial" w:cs="Arial"/>
                    </w:rPr>
                  </w:pPr>
                  <w:r w:rsidRPr="00863609">
                    <w:rPr>
                      <w:rFonts w:ascii="Arial" w:hAnsi="Arial" w:cs="Arial"/>
                    </w:rPr>
                    <w:t>End of March 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HCA approvals in place</w:t>
                  </w:r>
                </w:p>
              </w:tc>
              <w:tc>
                <w:tcPr>
                  <w:tcW w:w="4834" w:type="dxa"/>
                  <w:shd w:val="clear" w:color="auto" w:fill="auto"/>
                </w:tcPr>
                <w:p w:rsidR="008663F4" w:rsidRPr="00863609" w:rsidRDefault="008663F4" w:rsidP="00634D63">
                  <w:pPr>
                    <w:rPr>
                      <w:rFonts w:ascii="Arial" w:hAnsi="Arial" w:cs="Arial"/>
                    </w:rPr>
                  </w:pPr>
                  <w:r w:rsidRPr="00863609">
                    <w:rPr>
                      <w:rFonts w:ascii="Arial" w:hAnsi="Arial" w:cs="Arial"/>
                    </w:rPr>
                    <w:t>Mid May 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Issue tender letters and allowance for standstill period</w:t>
                  </w:r>
                </w:p>
              </w:tc>
              <w:tc>
                <w:tcPr>
                  <w:tcW w:w="4834" w:type="dxa"/>
                  <w:shd w:val="clear" w:color="auto" w:fill="auto"/>
                </w:tcPr>
                <w:p w:rsidR="008663F4" w:rsidRPr="00863609" w:rsidRDefault="008663F4" w:rsidP="00634D63">
                  <w:pPr>
                    <w:rPr>
                      <w:rFonts w:ascii="Arial" w:hAnsi="Arial" w:cs="Arial"/>
                    </w:rPr>
                  </w:pPr>
                  <w:r w:rsidRPr="00863609">
                    <w:rPr>
                      <w:rFonts w:ascii="Arial" w:hAnsi="Arial" w:cs="Arial"/>
                    </w:rPr>
                    <w:t>End May 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Conditional contracts exchanged allowing for 8 week period</w:t>
                  </w:r>
                </w:p>
              </w:tc>
              <w:tc>
                <w:tcPr>
                  <w:tcW w:w="4834" w:type="dxa"/>
                  <w:shd w:val="clear" w:color="auto" w:fill="auto"/>
                </w:tcPr>
                <w:p w:rsidR="008663F4" w:rsidRPr="00863609" w:rsidRDefault="008663F4" w:rsidP="00634D63">
                  <w:pPr>
                    <w:rPr>
                      <w:rFonts w:ascii="Arial" w:hAnsi="Arial" w:cs="Arial"/>
                    </w:rPr>
                  </w:pPr>
                  <w:r w:rsidRPr="00863609">
                    <w:rPr>
                      <w:rFonts w:ascii="Arial" w:hAnsi="Arial" w:cs="Arial"/>
                    </w:rPr>
                    <w:t>July 17</w:t>
                  </w:r>
                </w:p>
              </w:tc>
            </w:tr>
          </w:tbl>
          <w:p w:rsidR="003B3CC5" w:rsidRPr="00E11816" w:rsidRDefault="003B3CC5" w:rsidP="003B3CC5">
            <w:pPr>
              <w:rPr>
                <w:rFonts w:ascii="Arial" w:hAnsi="Arial" w:cs="Arial"/>
              </w:rPr>
            </w:pPr>
          </w:p>
          <w:p w:rsidR="0060103A" w:rsidRPr="00E11816" w:rsidRDefault="0060103A" w:rsidP="0060103A">
            <w:pPr>
              <w:rPr>
                <w:rFonts w:ascii="Arial" w:hAnsi="Arial" w:cs="Arial"/>
                <w:b/>
              </w:rPr>
            </w:pPr>
          </w:p>
          <w:p w:rsidR="00E11816" w:rsidRPr="00E425A6" w:rsidRDefault="00504A52" w:rsidP="00E425A6">
            <w:pPr>
              <w:rPr>
                <w:rFonts w:ascii="Arial" w:hAnsi="Arial" w:cs="Arial"/>
                <w:b/>
                <w:i/>
              </w:rPr>
            </w:pPr>
            <w:r w:rsidRPr="00E425A6">
              <w:rPr>
                <w:rFonts w:ascii="Arial" w:hAnsi="Arial" w:cs="Arial"/>
                <w:b/>
                <w:i/>
              </w:rPr>
              <w:t>THE CLIENT</w:t>
            </w:r>
          </w:p>
          <w:p w:rsidR="00E11816" w:rsidRPr="00E11816" w:rsidRDefault="00E11816" w:rsidP="00E11816">
            <w:pPr>
              <w:rPr>
                <w:rFonts w:ascii="Arial" w:hAnsi="Arial" w:cs="Arial"/>
              </w:rPr>
            </w:pPr>
          </w:p>
          <w:p w:rsidR="00E11816" w:rsidRDefault="00E11816" w:rsidP="00E11816">
            <w:pPr>
              <w:rPr>
                <w:rFonts w:ascii="Arial" w:hAnsi="Arial" w:cs="Arial"/>
              </w:rPr>
            </w:pPr>
            <w:r w:rsidRPr="00E11816">
              <w:rPr>
                <w:rFonts w:ascii="Arial" w:hAnsi="Arial" w:cs="Arial"/>
              </w:rPr>
              <w:t>The HCA is the client for this commission. Payments for services provided by this commission will be made by HCA. Invoices quoting relevant purchase order and Instruction to Proceed (ITP) numbers to</w:t>
            </w:r>
            <w:r w:rsidR="006C69F8">
              <w:rPr>
                <w:rFonts w:ascii="Arial" w:hAnsi="Arial" w:cs="Arial"/>
              </w:rPr>
              <w:t xml:space="preserve"> be submitted to </w:t>
            </w:r>
            <w:r w:rsidR="007F45AF">
              <w:rPr>
                <w:rFonts w:ascii="Arial" w:hAnsi="Arial" w:cs="Arial"/>
              </w:rPr>
              <w:t xml:space="preserve">HCA Creditors and </w:t>
            </w:r>
            <w:r w:rsidR="006379ED">
              <w:rPr>
                <w:rFonts w:ascii="Arial" w:hAnsi="Arial" w:cs="Arial"/>
              </w:rPr>
              <w:t>(Redacted).</w:t>
            </w:r>
          </w:p>
          <w:p w:rsidR="00E52BD4" w:rsidRDefault="00E52BD4" w:rsidP="00E11816">
            <w:pPr>
              <w:rPr>
                <w:rFonts w:ascii="Arial" w:hAnsi="Arial" w:cs="Arial"/>
              </w:rPr>
            </w:pPr>
          </w:p>
          <w:p w:rsidR="00E11816" w:rsidRPr="00E11816" w:rsidRDefault="00E11816" w:rsidP="00E11816">
            <w:pPr>
              <w:rPr>
                <w:rFonts w:ascii="Arial" w:hAnsi="Arial" w:cs="Arial"/>
                <w:b/>
                <w:i/>
              </w:rPr>
            </w:pPr>
            <w:r w:rsidRPr="00E11816">
              <w:rPr>
                <w:rFonts w:ascii="Arial" w:hAnsi="Arial" w:cs="Arial"/>
                <w:b/>
                <w:i/>
              </w:rPr>
              <w:t>Contact:</w:t>
            </w:r>
          </w:p>
          <w:p w:rsidR="00E11816" w:rsidRPr="00E11816" w:rsidRDefault="00E11816" w:rsidP="00E11816">
            <w:pPr>
              <w:rPr>
                <w:rFonts w:ascii="Arial" w:hAnsi="Arial" w:cs="Arial"/>
                <w:b/>
                <w:i/>
              </w:rPr>
            </w:pPr>
          </w:p>
          <w:p w:rsidR="00E11816" w:rsidRPr="00E11816" w:rsidRDefault="006379ED" w:rsidP="00E11816">
            <w:pPr>
              <w:rPr>
                <w:rFonts w:ascii="Arial" w:hAnsi="Arial" w:cs="Arial"/>
              </w:rPr>
            </w:pPr>
            <w:r>
              <w:rPr>
                <w:rFonts w:ascii="Arial" w:hAnsi="Arial" w:cs="Arial"/>
              </w:rPr>
              <w:t>(Redacted)</w:t>
            </w:r>
            <w:r w:rsidR="00E11816" w:rsidRPr="00E11816">
              <w:rPr>
                <w:rFonts w:ascii="Arial" w:hAnsi="Arial" w:cs="Arial"/>
              </w:rPr>
              <w:t xml:space="preserve">, Area Manager, Homes and Communities Agency, 2 </w:t>
            </w:r>
            <w:proofErr w:type="spellStart"/>
            <w:r w:rsidR="00E11816" w:rsidRPr="00E11816">
              <w:rPr>
                <w:rFonts w:ascii="Arial" w:hAnsi="Arial" w:cs="Arial"/>
              </w:rPr>
              <w:t>Rivergate</w:t>
            </w:r>
            <w:proofErr w:type="spellEnd"/>
            <w:r w:rsidR="00E11816" w:rsidRPr="00E11816">
              <w:rPr>
                <w:rFonts w:ascii="Arial" w:hAnsi="Arial" w:cs="Arial"/>
              </w:rPr>
              <w:t>, Temple Quay, Bristol, BS1 6EH.</w:t>
            </w:r>
          </w:p>
          <w:p w:rsidR="00E11816" w:rsidRPr="00E11816" w:rsidRDefault="00E11816" w:rsidP="00E11816">
            <w:pPr>
              <w:rPr>
                <w:rFonts w:ascii="Arial" w:hAnsi="Arial" w:cs="Arial"/>
              </w:rPr>
            </w:pPr>
          </w:p>
          <w:p w:rsidR="0070422C" w:rsidRDefault="0070422C" w:rsidP="00E11816">
            <w:pPr>
              <w:rPr>
                <w:rFonts w:ascii="Arial" w:hAnsi="Arial" w:cs="Arial"/>
              </w:rPr>
            </w:pPr>
            <w:r>
              <w:rPr>
                <w:rFonts w:ascii="Arial" w:hAnsi="Arial" w:cs="Arial"/>
              </w:rPr>
              <w:t xml:space="preserve">Office: </w:t>
            </w:r>
            <w:r w:rsidR="006379ED">
              <w:rPr>
                <w:rFonts w:ascii="Arial" w:hAnsi="Arial" w:cs="Arial"/>
              </w:rPr>
              <w:t>(Redacted)</w:t>
            </w:r>
          </w:p>
          <w:p w:rsidR="00E11816" w:rsidRPr="00E11816" w:rsidRDefault="0070422C" w:rsidP="00E11816">
            <w:pPr>
              <w:rPr>
                <w:rFonts w:ascii="Arial" w:hAnsi="Arial" w:cs="Arial"/>
              </w:rPr>
            </w:pPr>
            <w:r>
              <w:rPr>
                <w:rFonts w:ascii="Arial" w:hAnsi="Arial" w:cs="Arial"/>
              </w:rPr>
              <w:t xml:space="preserve">Mobile: </w:t>
            </w:r>
            <w:r w:rsidR="006379ED">
              <w:rPr>
                <w:rFonts w:ascii="Arial" w:hAnsi="Arial" w:cs="Arial"/>
              </w:rPr>
              <w:t>(Redacted)</w:t>
            </w:r>
          </w:p>
          <w:p w:rsidR="00E11816" w:rsidRPr="00E11816" w:rsidRDefault="006C69F8" w:rsidP="00E11816">
            <w:pPr>
              <w:rPr>
                <w:rFonts w:ascii="Arial" w:hAnsi="Arial" w:cs="Arial"/>
              </w:rPr>
            </w:pPr>
            <w:r>
              <w:rPr>
                <w:rFonts w:ascii="Arial" w:hAnsi="Arial" w:cs="Arial"/>
              </w:rPr>
              <w:t xml:space="preserve">Email: </w:t>
            </w:r>
            <w:r w:rsidR="00115BA7">
              <w:rPr>
                <w:rFonts w:ascii="Arial" w:hAnsi="Arial" w:cs="Arial"/>
              </w:rPr>
              <w:t xml:space="preserve"> </w:t>
            </w:r>
            <w:r w:rsidR="006379ED">
              <w:rPr>
                <w:rFonts w:ascii="Arial" w:hAnsi="Arial" w:cs="Arial"/>
              </w:rPr>
              <w:t>(Redacted)</w:t>
            </w:r>
          </w:p>
          <w:p w:rsidR="00E11816" w:rsidRPr="00E11816" w:rsidRDefault="00E11816" w:rsidP="00E11816">
            <w:pPr>
              <w:rPr>
                <w:rFonts w:ascii="Arial" w:hAnsi="Arial" w:cs="Arial"/>
              </w:rPr>
            </w:pPr>
          </w:p>
          <w:p w:rsidR="00E11816" w:rsidRDefault="006C69F8" w:rsidP="00E11816">
            <w:pPr>
              <w:rPr>
                <w:rFonts w:ascii="Arial" w:hAnsi="Arial" w:cs="Arial"/>
              </w:rPr>
            </w:pPr>
            <w:r>
              <w:rPr>
                <w:rFonts w:ascii="Arial" w:hAnsi="Arial" w:cs="Arial"/>
              </w:rPr>
              <w:t xml:space="preserve">Please contact </w:t>
            </w:r>
            <w:r w:rsidR="006379ED">
              <w:rPr>
                <w:rFonts w:ascii="Arial" w:hAnsi="Arial" w:cs="Arial"/>
              </w:rPr>
              <w:t>(Redacted)</w:t>
            </w:r>
            <w:r w:rsidR="006379ED">
              <w:rPr>
                <w:rFonts w:ascii="Arial" w:hAnsi="Arial" w:cs="Arial"/>
              </w:rPr>
              <w:t xml:space="preserve"> </w:t>
            </w:r>
            <w:r w:rsidR="00504A52">
              <w:rPr>
                <w:rFonts w:ascii="Arial" w:hAnsi="Arial" w:cs="Arial"/>
              </w:rPr>
              <w:t>if you have any queries in connection to this brief.</w:t>
            </w:r>
          </w:p>
          <w:p w:rsidR="00F52364" w:rsidRDefault="00F52364" w:rsidP="00E11816">
            <w:pPr>
              <w:rPr>
                <w:rFonts w:ascii="Arial" w:hAnsi="Arial" w:cs="Arial"/>
              </w:rPr>
            </w:pPr>
          </w:p>
          <w:p w:rsidR="00F52364" w:rsidRDefault="00F52364" w:rsidP="00E11816">
            <w:pPr>
              <w:rPr>
                <w:rFonts w:ascii="Arial" w:hAnsi="Arial" w:cs="Arial"/>
              </w:rPr>
            </w:pPr>
            <w:r>
              <w:rPr>
                <w:rFonts w:ascii="Arial" w:hAnsi="Arial" w:cs="Arial"/>
              </w:rPr>
              <w:t>If necessary, you are free to walk around the site unaccompanied</w:t>
            </w:r>
            <w:r w:rsidR="000B618E">
              <w:rPr>
                <w:rFonts w:ascii="Arial" w:hAnsi="Arial" w:cs="Arial"/>
              </w:rPr>
              <w:t>, but you must advise HCA at least 2 days in advance.</w:t>
            </w:r>
          </w:p>
          <w:p w:rsidR="0034687D" w:rsidRDefault="0034687D" w:rsidP="00E11816">
            <w:pPr>
              <w:rPr>
                <w:rFonts w:ascii="Arial" w:hAnsi="Arial" w:cs="Arial"/>
              </w:rPr>
            </w:pPr>
          </w:p>
          <w:p w:rsidR="0034687D" w:rsidRPr="00E11816" w:rsidRDefault="0034687D" w:rsidP="00E11816">
            <w:pPr>
              <w:rPr>
                <w:rFonts w:ascii="Arial" w:hAnsi="Arial" w:cs="Arial"/>
              </w:rPr>
            </w:pPr>
          </w:p>
          <w:p w:rsidR="00E11816" w:rsidRPr="00E11816" w:rsidRDefault="00E11816" w:rsidP="00E11816">
            <w:pPr>
              <w:rPr>
                <w:rFonts w:ascii="Arial" w:hAnsi="Arial" w:cs="Arial"/>
                <w:b/>
              </w:rPr>
            </w:pPr>
          </w:p>
          <w:p w:rsidR="009677E7" w:rsidRPr="004E3A85" w:rsidRDefault="009677E7" w:rsidP="004E3A85">
            <w:pPr>
              <w:rPr>
                <w:rFonts w:ascii="Arial" w:hAnsi="Arial" w:cs="Arial"/>
                <w:b/>
                <w:i/>
              </w:rPr>
            </w:pPr>
            <w:r w:rsidRPr="004E3A85">
              <w:rPr>
                <w:rFonts w:ascii="Arial" w:hAnsi="Arial" w:cs="Arial"/>
                <w:b/>
                <w:i/>
              </w:rPr>
              <w:t>FEES</w:t>
            </w:r>
          </w:p>
          <w:p w:rsidR="009677E7" w:rsidRPr="009677E7" w:rsidRDefault="009677E7" w:rsidP="009677E7">
            <w:pPr>
              <w:pStyle w:val="ListParagraph"/>
              <w:ind w:left="360"/>
              <w:rPr>
                <w:rFonts w:ascii="Arial" w:hAnsi="Arial" w:cs="Arial"/>
                <w:b/>
                <w:i/>
              </w:rPr>
            </w:pPr>
          </w:p>
          <w:p w:rsidR="00602D91" w:rsidRDefault="00602D91" w:rsidP="00602D91">
            <w:pPr>
              <w:rPr>
                <w:rFonts w:ascii="Arial" w:hAnsi="Arial" w:cs="Arial"/>
              </w:rPr>
            </w:pPr>
            <w:r w:rsidRPr="009677E7">
              <w:rPr>
                <w:rFonts w:ascii="Arial" w:hAnsi="Arial" w:cs="Arial"/>
              </w:rPr>
              <w:t>Please quote a fixed, lump sum fee for</w:t>
            </w:r>
            <w:r>
              <w:rPr>
                <w:rFonts w:ascii="Arial" w:hAnsi="Arial" w:cs="Arial"/>
              </w:rPr>
              <w:t xml:space="preserve"> each of the tasks listed above</w:t>
            </w:r>
            <w:r w:rsidRPr="009677E7">
              <w:rPr>
                <w:rFonts w:ascii="Arial" w:hAnsi="Arial" w:cs="Arial"/>
              </w:rPr>
              <w:t>, excluding VAT. Increases will only be accepted where this is an additional commission of tasks and not due to an underestimate of work hours by bidders.</w:t>
            </w:r>
            <w:r>
              <w:rPr>
                <w:rFonts w:ascii="Arial" w:hAnsi="Arial" w:cs="Arial"/>
              </w:rPr>
              <w:t xml:space="preserve"> Items priced under task 5 will not form part of the evaluation.</w:t>
            </w:r>
          </w:p>
          <w:p w:rsidR="008C0252" w:rsidRDefault="008C0252" w:rsidP="009677E7">
            <w:pPr>
              <w:rPr>
                <w:rFonts w:ascii="Arial" w:hAnsi="Arial" w:cs="Arial"/>
              </w:rPr>
            </w:pPr>
          </w:p>
          <w:p w:rsidR="00944B29" w:rsidRDefault="00944B29" w:rsidP="009677E7">
            <w:pPr>
              <w:rPr>
                <w:rFonts w:ascii="Arial" w:hAnsi="Arial" w:cs="Arial"/>
              </w:rPr>
            </w:pPr>
            <w:r>
              <w:rPr>
                <w:rFonts w:ascii="Arial" w:hAnsi="Arial" w:cs="Arial"/>
              </w:rPr>
              <w:lastRenderedPageBreak/>
              <w:t>A</w:t>
            </w:r>
            <w:r w:rsidRPr="00944B29">
              <w:rPr>
                <w:rFonts w:ascii="Arial" w:hAnsi="Arial" w:cs="Arial"/>
              </w:rPr>
              <w:t xml:space="preserve"> breakdown of hours </w:t>
            </w:r>
            <w:r>
              <w:rPr>
                <w:rFonts w:ascii="Arial" w:hAnsi="Arial" w:cs="Arial"/>
              </w:rPr>
              <w:t xml:space="preserve">needs to be provided </w:t>
            </w:r>
            <w:r w:rsidRPr="00944B29">
              <w:rPr>
                <w:rFonts w:ascii="Arial" w:hAnsi="Arial" w:cs="Arial"/>
              </w:rPr>
              <w:t xml:space="preserve">against agreed framework rates to indicate how the quotation has been determined. As part of their submission, tenderers should provide a schedule of their proposed work hours for each task </w:t>
            </w:r>
            <w:r w:rsidR="00882E1C">
              <w:rPr>
                <w:rFonts w:ascii="Arial" w:hAnsi="Arial" w:cs="Arial"/>
              </w:rPr>
              <w:t>(broken down as under A</w:t>
            </w:r>
            <w:r>
              <w:rPr>
                <w:rFonts w:ascii="Arial" w:hAnsi="Arial" w:cs="Arial"/>
              </w:rPr>
              <w:t xml:space="preserve">ppendix </w:t>
            </w:r>
            <w:r w:rsidR="00D80654">
              <w:rPr>
                <w:rFonts w:ascii="Arial" w:hAnsi="Arial" w:cs="Arial"/>
              </w:rPr>
              <w:t>C</w:t>
            </w:r>
            <w:r w:rsidRPr="00944B29">
              <w:rPr>
                <w:rFonts w:ascii="Arial" w:hAnsi="Arial" w:cs="Arial"/>
              </w:rPr>
              <w:t>) and the level of staff providing these.</w:t>
            </w:r>
          </w:p>
          <w:p w:rsidR="009677E7" w:rsidRDefault="009677E7" w:rsidP="009677E7">
            <w:pPr>
              <w:rPr>
                <w:rFonts w:ascii="Arial" w:hAnsi="Arial" w:cs="Arial"/>
              </w:rPr>
            </w:pPr>
          </w:p>
          <w:p w:rsidR="00095C9F" w:rsidRPr="00095C9F" w:rsidRDefault="009677E7" w:rsidP="00095C9F">
            <w:pPr>
              <w:rPr>
                <w:rFonts w:ascii="Arial" w:hAnsi="Arial" w:cs="Arial"/>
              </w:rPr>
            </w:pPr>
            <w:r>
              <w:rPr>
                <w:rFonts w:ascii="Arial" w:hAnsi="Arial" w:cs="Arial"/>
              </w:rPr>
              <w:t xml:space="preserve">If any of the anticipated work is ultimately not required, the HCA reserves the right to </w:t>
            </w:r>
            <w:r w:rsidR="00197A66">
              <w:rPr>
                <w:rFonts w:ascii="Arial" w:hAnsi="Arial" w:cs="Arial"/>
              </w:rPr>
              <w:t>amend or terminate the contract</w:t>
            </w:r>
            <w:r>
              <w:rPr>
                <w:rFonts w:ascii="Arial" w:hAnsi="Arial" w:cs="Arial"/>
              </w:rPr>
              <w:t>.</w:t>
            </w:r>
          </w:p>
          <w:p w:rsidR="009677E7" w:rsidRPr="009677E7" w:rsidRDefault="009677E7" w:rsidP="009677E7">
            <w:pPr>
              <w:rPr>
                <w:rFonts w:ascii="Arial" w:hAnsi="Arial" w:cs="Arial"/>
              </w:rPr>
            </w:pPr>
          </w:p>
          <w:p w:rsidR="009677E7" w:rsidRDefault="009677E7" w:rsidP="009677E7">
            <w:pPr>
              <w:rPr>
                <w:rFonts w:ascii="Arial" w:hAnsi="Arial" w:cs="Arial"/>
              </w:rPr>
            </w:pPr>
            <w:r w:rsidRPr="009677E7">
              <w:rPr>
                <w:rFonts w:ascii="Arial" w:hAnsi="Arial" w:cs="Arial"/>
              </w:rPr>
              <w:t>Travel costs and other expenses should also be included within your fixed fee proposal and will not be chargeable separately.</w:t>
            </w:r>
            <w:r w:rsidR="00197A66">
              <w:rPr>
                <w:rFonts w:ascii="Arial" w:hAnsi="Arial" w:cs="Arial"/>
              </w:rPr>
              <w:t xml:space="preserve"> </w:t>
            </w:r>
          </w:p>
          <w:p w:rsidR="009677E7" w:rsidRPr="009677E7" w:rsidRDefault="009677E7" w:rsidP="009677E7">
            <w:pPr>
              <w:rPr>
                <w:rFonts w:ascii="Arial" w:hAnsi="Arial" w:cs="Arial"/>
              </w:rPr>
            </w:pPr>
          </w:p>
          <w:p w:rsidR="00A503B1" w:rsidRDefault="009677E7" w:rsidP="009677E7">
            <w:pPr>
              <w:rPr>
                <w:rFonts w:ascii="Arial" w:hAnsi="Arial" w:cs="Arial"/>
              </w:rPr>
            </w:pPr>
            <w:r w:rsidRPr="009677E7">
              <w:rPr>
                <w:rFonts w:ascii="Arial" w:hAnsi="Arial" w:cs="Arial"/>
              </w:rPr>
              <w:t>The consultant’s fees will be paid at staged interval</w:t>
            </w:r>
            <w:r w:rsidR="00115BA7">
              <w:rPr>
                <w:rFonts w:ascii="Arial" w:hAnsi="Arial" w:cs="Arial"/>
              </w:rPr>
              <w:t>s</w:t>
            </w:r>
            <w:r w:rsidRPr="009677E7">
              <w:rPr>
                <w:rFonts w:ascii="Arial" w:hAnsi="Arial" w:cs="Arial"/>
              </w:rPr>
              <w:t xml:space="preserve"> throughout the commission.</w:t>
            </w:r>
          </w:p>
          <w:p w:rsidR="00E11816" w:rsidRPr="00E11816" w:rsidRDefault="00E11816" w:rsidP="00E11816">
            <w:pPr>
              <w:rPr>
                <w:rFonts w:ascii="Arial" w:hAnsi="Arial" w:cs="Arial"/>
              </w:rPr>
            </w:pPr>
          </w:p>
          <w:p w:rsidR="00D9752B" w:rsidRPr="004E3A85" w:rsidRDefault="00D9752B" w:rsidP="004E3A85">
            <w:pPr>
              <w:rPr>
                <w:rFonts w:ascii="Arial" w:hAnsi="Arial" w:cs="Arial"/>
                <w:b/>
                <w:bCs/>
                <w:i/>
                <w:iCs/>
              </w:rPr>
            </w:pPr>
            <w:r w:rsidRPr="004E3A85">
              <w:rPr>
                <w:rFonts w:ascii="Arial" w:hAnsi="Arial" w:cs="Arial"/>
                <w:b/>
                <w:bCs/>
                <w:i/>
                <w:iCs/>
              </w:rPr>
              <w:t>SKILLS, EXPERIENCE AND KNOWLEDGE REQUIRED</w:t>
            </w:r>
          </w:p>
          <w:p w:rsidR="00D9752B" w:rsidRDefault="00D9752B" w:rsidP="00D9752B">
            <w:pPr>
              <w:rPr>
                <w:rFonts w:ascii="Arial" w:hAnsi="Arial" w:cs="Arial"/>
                <w:bCs/>
                <w:iCs/>
              </w:rPr>
            </w:pPr>
          </w:p>
          <w:p w:rsidR="00D9752B" w:rsidRDefault="00D9752B" w:rsidP="00D9752B">
            <w:pPr>
              <w:rPr>
                <w:rFonts w:ascii="Arial" w:hAnsi="Arial" w:cs="Arial"/>
                <w:bCs/>
                <w:iCs/>
              </w:rPr>
            </w:pPr>
            <w:r>
              <w:rPr>
                <w:rFonts w:ascii="Arial" w:hAnsi="Arial" w:cs="Arial"/>
                <w:bCs/>
                <w:iCs/>
              </w:rPr>
              <w:t>In order to undertake this commission, the panel member must demonstrate that it has the skills, knowledge and experience in the following areas. This will be assessed as part of the submission return</w:t>
            </w:r>
            <w:r w:rsidR="005E3209">
              <w:rPr>
                <w:rFonts w:ascii="Arial" w:hAnsi="Arial" w:cs="Arial"/>
                <w:bCs/>
                <w:iCs/>
              </w:rPr>
              <w:t xml:space="preserve"> to be comple</w:t>
            </w:r>
            <w:r w:rsidR="003B45ED">
              <w:rPr>
                <w:rFonts w:ascii="Arial" w:hAnsi="Arial" w:cs="Arial"/>
                <w:bCs/>
                <w:iCs/>
              </w:rPr>
              <w:t>ted using template in Appendix B</w:t>
            </w:r>
            <w:r>
              <w:rPr>
                <w:rFonts w:ascii="Arial" w:hAnsi="Arial" w:cs="Arial"/>
                <w:bCs/>
                <w:iCs/>
              </w:rPr>
              <w:t>.</w:t>
            </w:r>
            <w:r w:rsidR="00D56B4D">
              <w:rPr>
                <w:rFonts w:ascii="Arial" w:hAnsi="Arial" w:cs="Arial"/>
                <w:bCs/>
                <w:iCs/>
              </w:rPr>
              <w:t xml:space="preserve"> Please answer th</w:t>
            </w:r>
            <w:r w:rsidR="003B45ED">
              <w:rPr>
                <w:rFonts w:ascii="Arial" w:hAnsi="Arial" w:cs="Arial"/>
                <w:bCs/>
                <w:iCs/>
              </w:rPr>
              <w:t>e prompt questions in Appendix B</w:t>
            </w:r>
            <w:r w:rsidR="00D56B4D">
              <w:rPr>
                <w:rFonts w:ascii="Arial" w:hAnsi="Arial" w:cs="Arial"/>
                <w:bCs/>
                <w:iCs/>
              </w:rPr>
              <w:t xml:space="preserve"> but in particular highlight:</w:t>
            </w:r>
          </w:p>
          <w:p w:rsidR="00D9752B" w:rsidRDefault="00D9752B" w:rsidP="00D9752B">
            <w:pPr>
              <w:rPr>
                <w:rFonts w:ascii="Arial" w:hAnsi="Arial" w:cs="Arial"/>
                <w:bCs/>
                <w:iCs/>
              </w:rPr>
            </w:pPr>
          </w:p>
          <w:p w:rsidR="00602D91" w:rsidRDefault="00602D91" w:rsidP="00602D91">
            <w:pPr>
              <w:pStyle w:val="ListParagraph"/>
              <w:numPr>
                <w:ilvl w:val="0"/>
                <w:numId w:val="6"/>
              </w:numPr>
              <w:rPr>
                <w:rFonts w:ascii="Arial" w:hAnsi="Arial" w:cs="Arial"/>
                <w:bCs/>
                <w:iCs/>
              </w:rPr>
            </w:pPr>
            <w:r>
              <w:rPr>
                <w:rFonts w:ascii="Arial" w:hAnsi="Arial" w:cs="Arial"/>
                <w:bCs/>
                <w:iCs/>
              </w:rPr>
              <w:t>Experience of working on similar scale projects using the OJEU procurement process and any other experience relevant to the commission</w:t>
            </w:r>
          </w:p>
          <w:p w:rsidR="00602D91" w:rsidRDefault="00602D91" w:rsidP="00602D91">
            <w:pPr>
              <w:pStyle w:val="ListParagraph"/>
              <w:numPr>
                <w:ilvl w:val="0"/>
                <w:numId w:val="6"/>
              </w:numPr>
              <w:rPr>
                <w:rFonts w:ascii="Arial" w:hAnsi="Arial" w:cs="Arial"/>
                <w:bCs/>
                <w:iCs/>
              </w:rPr>
            </w:pPr>
            <w:r>
              <w:rPr>
                <w:rFonts w:ascii="Arial" w:hAnsi="Arial" w:cs="Arial"/>
                <w:bCs/>
                <w:iCs/>
              </w:rPr>
              <w:t>Experience of working in residential markets</w:t>
            </w:r>
          </w:p>
          <w:p w:rsidR="00602D91" w:rsidRDefault="00602D91" w:rsidP="00602D91">
            <w:pPr>
              <w:pStyle w:val="ListParagraph"/>
              <w:numPr>
                <w:ilvl w:val="0"/>
                <w:numId w:val="6"/>
              </w:numPr>
              <w:rPr>
                <w:rFonts w:ascii="Arial" w:hAnsi="Arial" w:cs="Arial"/>
                <w:bCs/>
                <w:iCs/>
              </w:rPr>
            </w:pPr>
            <w:r>
              <w:rPr>
                <w:rFonts w:ascii="Arial" w:hAnsi="Arial" w:cs="Arial"/>
                <w:bCs/>
                <w:iCs/>
              </w:rPr>
              <w:t>Experience of working for public sector clients</w:t>
            </w:r>
          </w:p>
          <w:p w:rsidR="00602D91" w:rsidRDefault="00602D91" w:rsidP="00602D91">
            <w:pPr>
              <w:pStyle w:val="ListParagraph"/>
              <w:numPr>
                <w:ilvl w:val="0"/>
                <w:numId w:val="6"/>
              </w:numPr>
              <w:rPr>
                <w:rFonts w:ascii="Arial" w:hAnsi="Arial" w:cs="Arial"/>
                <w:bCs/>
                <w:iCs/>
              </w:rPr>
            </w:pPr>
            <w:r>
              <w:rPr>
                <w:rFonts w:ascii="Arial" w:hAnsi="Arial" w:cs="Arial"/>
                <w:bCs/>
                <w:iCs/>
              </w:rPr>
              <w:t>Experience of marketing residential sites of a similar size to LMT on a national basis. National agents with no local knowledge/local presence should not apply unless they show a clear arrangement for local marketing.</w:t>
            </w:r>
          </w:p>
          <w:p w:rsidR="00602D91" w:rsidRDefault="00602D91" w:rsidP="00602D91">
            <w:pPr>
              <w:pStyle w:val="ListParagraph"/>
              <w:numPr>
                <w:ilvl w:val="0"/>
                <w:numId w:val="6"/>
              </w:numPr>
              <w:rPr>
                <w:rFonts w:ascii="Arial" w:hAnsi="Arial" w:cs="Arial"/>
                <w:bCs/>
                <w:iCs/>
              </w:rPr>
            </w:pPr>
            <w:r>
              <w:rPr>
                <w:rFonts w:ascii="Arial" w:hAnsi="Arial" w:cs="Arial"/>
                <w:bCs/>
                <w:iCs/>
              </w:rPr>
              <w:t xml:space="preserve">Ability to demonstrate a pro-active approach to the marketing and disposal of residential land </w:t>
            </w:r>
          </w:p>
          <w:p w:rsidR="00F52364" w:rsidRDefault="00F52364" w:rsidP="00F52364">
            <w:pPr>
              <w:rPr>
                <w:rFonts w:ascii="Arial" w:hAnsi="Arial" w:cs="Arial"/>
                <w:bCs/>
                <w:iCs/>
              </w:rPr>
            </w:pPr>
          </w:p>
          <w:p w:rsidR="003B3CC5" w:rsidRPr="004E3A85" w:rsidRDefault="003B3CC5" w:rsidP="004E3A85">
            <w:pPr>
              <w:rPr>
                <w:rFonts w:ascii="Arial" w:hAnsi="Arial" w:cs="Arial"/>
                <w:b/>
                <w:i/>
              </w:rPr>
            </w:pPr>
            <w:r w:rsidRPr="004E3A85">
              <w:rPr>
                <w:rFonts w:ascii="Arial" w:hAnsi="Arial" w:cs="Arial"/>
                <w:b/>
                <w:i/>
              </w:rPr>
              <w:t>SUBMISSION REQUIREMENTS</w:t>
            </w:r>
          </w:p>
          <w:p w:rsidR="003B3CC5" w:rsidRPr="003B3CC5" w:rsidRDefault="003B3CC5" w:rsidP="003B3CC5">
            <w:pPr>
              <w:rPr>
                <w:rFonts w:ascii="Arial" w:hAnsi="Arial" w:cs="Arial"/>
                <w:b/>
                <w:i/>
              </w:rPr>
            </w:pPr>
          </w:p>
          <w:p w:rsidR="003B3CC5" w:rsidRDefault="003B3CC5" w:rsidP="003B3CC5">
            <w:pPr>
              <w:rPr>
                <w:rFonts w:ascii="Arial" w:hAnsi="Arial" w:cs="Arial"/>
              </w:rPr>
            </w:pPr>
            <w:r w:rsidRPr="003B3CC5">
              <w:rPr>
                <w:rFonts w:ascii="Arial" w:hAnsi="Arial" w:cs="Arial"/>
              </w:rPr>
              <w:t xml:space="preserve">The Consultant will be appointed under the HCA </w:t>
            </w:r>
            <w:r w:rsidR="00860F9A">
              <w:rPr>
                <w:rFonts w:ascii="Arial" w:hAnsi="Arial" w:cs="Arial"/>
              </w:rPr>
              <w:t>Property Panel</w:t>
            </w:r>
            <w:r w:rsidRPr="003B3CC5">
              <w:rPr>
                <w:rFonts w:ascii="Arial" w:hAnsi="Arial" w:cs="Arial"/>
              </w:rPr>
              <w:t>. The Framework Terms and Conditions will apply.</w:t>
            </w:r>
          </w:p>
          <w:p w:rsidR="003B3CC5" w:rsidRPr="003B3CC5" w:rsidRDefault="003B3CC5" w:rsidP="003B3CC5">
            <w:pPr>
              <w:rPr>
                <w:rFonts w:ascii="Arial" w:hAnsi="Arial" w:cs="Arial"/>
              </w:rPr>
            </w:pPr>
          </w:p>
          <w:p w:rsidR="003B3CC5" w:rsidRDefault="00213664" w:rsidP="003B3CC5">
            <w:pPr>
              <w:rPr>
                <w:rFonts w:ascii="Arial" w:hAnsi="Arial" w:cs="Arial"/>
                <w:bCs/>
                <w:i/>
                <w:iCs/>
                <w:lang w:val="en-US"/>
              </w:rPr>
            </w:pPr>
            <w:r>
              <w:rPr>
                <w:rFonts w:ascii="Arial" w:hAnsi="Arial" w:cs="Arial"/>
                <w:bCs/>
                <w:i/>
                <w:iCs/>
                <w:lang w:val="en-US"/>
              </w:rPr>
              <w:t xml:space="preserve">An electronic copy of your submission should be emailed by </w:t>
            </w:r>
            <w:r w:rsidR="003B3CC5" w:rsidRPr="00EE42A0">
              <w:rPr>
                <w:rFonts w:ascii="Arial" w:hAnsi="Arial" w:cs="Arial"/>
                <w:bCs/>
                <w:i/>
                <w:iCs/>
                <w:lang w:val="en-US"/>
              </w:rPr>
              <w:t xml:space="preserve">no later than </w:t>
            </w:r>
            <w:r w:rsidR="00F70B75" w:rsidRPr="00F70B75">
              <w:rPr>
                <w:rFonts w:ascii="Arial" w:hAnsi="Arial" w:cs="Arial"/>
                <w:bCs/>
                <w:i/>
                <w:iCs/>
                <w:lang w:val="en-US"/>
              </w:rPr>
              <w:t>10</w:t>
            </w:r>
            <w:r w:rsidR="003B3CC5" w:rsidRPr="00F70B75">
              <w:rPr>
                <w:rFonts w:ascii="Arial" w:hAnsi="Arial" w:cs="Arial"/>
                <w:bCs/>
                <w:i/>
                <w:iCs/>
                <w:lang w:val="en-US"/>
              </w:rPr>
              <w:t xml:space="preserve">.00 </w:t>
            </w:r>
            <w:r w:rsidR="00F70B75" w:rsidRPr="00F70B75">
              <w:rPr>
                <w:rFonts w:ascii="Arial" w:hAnsi="Arial" w:cs="Arial"/>
                <w:bCs/>
                <w:i/>
                <w:iCs/>
                <w:lang w:val="en-US"/>
              </w:rPr>
              <w:t>a</w:t>
            </w:r>
            <w:r w:rsidR="007A0DB4" w:rsidRPr="00F70B75">
              <w:rPr>
                <w:rFonts w:ascii="Arial" w:hAnsi="Arial" w:cs="Arial"/>
                <w:bCs/>
                <w:i/>
                <w:iCs/>
                <w:lang w:val="en-US"/>
              </w:rPr>
              <w:t>.m.</w:t>
            </w:r>
            <w:r w:rsidR="003B3CC5" w:rsidRPr="00F70B75">
              <w:rPr>
                <w:rFonts w:ascii="Arial" w:hAnsi="Arial" w:cs="Arial"/>
                <w:bCs/>
                <w:i/>
                <w:iCs/>
                <w:lang w:val="en-US"/>
              </w:rPr>
              <w:t xml:space="preserve"> on</w:t>
            </w:r>
            <w:r w:rsidR="0050747F" w:rsidRPr="00F70B75">
              <w:rPr>
                <w:rFonts w:ascii="Arial" w:hAnsi="Arial" w:cs="Arial"/>
                <w:bCs/>
                <w:i/>
                <w:iCs/>
                <w:lang w:val="en-US"/>
              </w:rPr>
              <w:t xml:space="preserve"> </w:t>
            </w:r>
            <w:r w:rsidR="00F70B75" w:rsidRPr="00F70B75">
              <w:rPr>
                <w:rFonts w:ascii="Arial" w:hAnsi="Arial" w:cs="Arial"/>
                <w:bCs/>
                <w:i/>
                <w:iCs/>
                <w:lang w:val="en-US"/>
              </w:rPr>
              <w:t>Wednesday</w:t>
            </w:r>
            <w:r w:rsidR="00863609" w:rsidRPr="00F70B75">
              <w:rPr>
                <w:rFonts w:ascii="Arial" w:hAnsi="Arial" w:cs="Arial"/>
                <w:bCs/>
                <w:i/>
                <w:iCs/>
                <w:lang w:val="en-US"/>
              </w:rPr>
              <w:t xml:space="preserve"> 2</w:t>
            </w:r>
            <w:r w:rsidR="00F70B75" w:rsidRPr="00F70B75">
              <w:rPr>
                <w:rFonts w:ascii="Arial" w:hAnsi="Arial" w:cs="Arial"/>
                <w:bCs/>
                <w:i/>
                <w:iCs/>
                <w:lang w:val="en-US"/>
              </w:rPr>
              <w:t>7</w:t>
            </w:r>
            <w:r w:rsidR="00863609" w:rsidRPr="00F70B75">
              <w:rPr>
                <w:rFonts w:ascii="Arial" w:hAnsi="Arial" w:cs="Arial"/>
                <w:bCs/>
                <w:i/>
                <w:iCs/>
                <w:vertAlign w:val="superscript"/>
                <w:lang w:val="en-US"/>
              </w:rPr>
              <w:t xml:space="preserve">th </w:t>
            </w:r>
            <w:r w:rsidR="00863609" w:rsidRPr="00F70B75">
              <w:rPr>
                <w:rFonts w:ascii="Arial" w:hAnsi="Arial" w:cs="Arial"/>
                <w:bCs/>
                <w:i/>
                <w:iCs/>
                <w:lang w:val="en-US"/>
              </w:rPr>
              <w:t xml:space="preserve">July </w:t>
            </w:r>
            <w:r w:rsidR="00F328C4" w:rsidRPr="00F70B75">
              <w:rPr>
                <w:rFonts w:ascii="Arial" w:hAnsi="Arial" w:cs="Arial"/>
                <w:bCs/>
                <w:i/>
                <w:iCs/>
                <w:lang w:val="en-US"/>
              </w:rPr>
              <w:t>2016</w:t>
            </w:r>
            <w:r w:rsidRPr="00F70B75">
              <w:rPr>
                <w:rFonts w:ascii="Arial" w:hAnsi="Arial" w:cs="Arial"/>
                <w:bCs/>
                <w:i/>
                <w:iCs/>
                <w:lang w:val="en-US"/>
              </w:rPr>
              <w:t xml:space="preserve"> to </w:t>
            </w:r>
            <w:r w:rsidR="006379ED">
              <w:rPr>
                <w:rFonts w:ascii="Arial" w:hAnsi="Arial" w:cs="Arial"/>
              </w:rPr>
              <w:t>(Redacted)</w:t>
            </w:r>
            <w:bookmarkStart w:id="0" w:name="_GoBack"/>
            <w:bookmarkEnd w:id="0"/>
            <w:r>
              <w:rPr>
                <w:rFonts w:ascii="Arial" w:hAnsi="Arial" w:cs="Arial"/>
                <w:bCs/>
                <w:i/>
                <w:iCs/>
                <w:lang w:val="en-US"/>
              </w:rPr>
              <w:t xml:space="preserve"> </w:t>
            </w:r>
          </w:p>
          <w:p w:rsidR="00F328C4" w:rsidRPr="00EE42A0" w:rsidRDefault="00F328C4" w:rsidP="003B3CC5">
            <w:pPr>
              <w:rPr>
                <w:rFonts w:ascii="Arial" w:hAnsi="Arial" w:cs="Arial"/>
                <w:i/>
                <w:lang w:val="en-US"/>
              </w:rPr>
            </w:pPr>
          </w:p>
          <w:p w:rsidR="003B3CC5" w:rsidRDefault="003B3CC5" w:rsidP="003B3CC5">
            <w:pPr>
              <w:rPr>
                <w:rFonts w:ascii="Arial" w:hAnsi="Arial" w:cs="Arial"/>
              </w:rPr>
            </w:pPr>
            <w:r w:rsidRPr="003B3CC5">
              <w:rPr>
                <w:rFonts w:ascii="Arial" w:hAnsi="Arial" w:cs="Arial"/>
              </w:rPr>
              <w:t>Using the HCA’s template tender response</w:t>
            </w:r>
            <w:r w:rsidR="007B3323">
              <w:rPr>
                <w:rFonts w:ascii="Arial" w:hAnsi="Arial" w:cs="Arial"/>
              </w:rPr>
              <w:t xml:space="preserve"> (</w:t>
            </w:r>
            <w:r w:rsidR="00D96061">
              <w:rPr>
                <w:rFonts w:ascii="Arial" w:hAnsi="Arial" w:cs="Arial"/>
              </w:rPr>
              <w:t>A</w:t>
            </w:r>
            <w:r w:rsidR="003B45ED">
              <w:rPr>
                <w:rFonts w:ascii="Arial" w:hAnsi="Arial" w:cs="Arial"/>
              </w:rPr>
              <w:t>ppendix B</w:t>
            </w:r>
            <w:r w:rsidR="007B3323">
              <w:rPr>
                <w:rFonts w:ascii="Arial" w:hAnsi="Arial" w:cs="Arial"/>
              </w:rPr>
              <w:t>)</w:t>
            </w:r>
            <w:r w:rsidRPr="003B3CC5">
              <w:rPr>
                <w:rFonts w:ascii="Arial" w:hAnsi="Arial" w:cs="Arial"/>
              </w:rPr>
              <w:t xml:space="preserve"> and Resource Schedule (</w:t>
            </w:r>
            <w:r w:rsidR="00D96061">
              <w:rPr>
                <w:rFonts w:ascii="Arial" w:hAnsi="Arial" w:cs="Arial"/>
              </w:rPr>
              <w:t xml:space="preserve">Appendix </w:t>
            </w:r>
            <w:r w:rsidR="003B45ED">
              <w:rPr>
                <w:rFonts w:ascii="Arial" w:hAnsi="Arial" w:cs="Arial"/>
              </w:rPr>
              <w:t>C</w:t>
            </w:r>
            <w:r w:rsidRPr="003B3CC5">
              <w:rPr>
                <w:rFonts w:ascii="Arial" w:hAnsi="Arial" w:cs="Arial"/>
              </w:rPr>
              <w:t xml:space="preserve">), the submission </w:t>
            </w:r>
            <w:r w:rsidR="00D9752B">
              <w:rPr>
                <w:rFonts w:ascii="Arial" w:hAnsi="Arial" w:cs="Arial"/>
              </w:rPr>
              <w:t>should</w:t>
            </w:r>
            <w:r w:rsidRPr="003B3CC5">
              <w:rPr>
                <w:rFonts w:ascii="Arial" w:hAnsi="Arial" w:cs="Arial"/>
              </w:rPr>
              <w:t xml:space="preserve"> include the following: -</w:t>
            </w:r>
          </w:p>
          <w:p w:rsidR="00D96061" w:rsidRPr="003B3CC5" w:rsidRDefault="00D96061" w:rsidP="003B3CC5">
            <w:pPr>
              <w:rPr>
                <w:rFonts w:ascii="Arial" w:hAnsi="Arial" w:cs="Arial"/>
              </w:rPr>
            </w:pPr>
          </w:p>
          <w:p w:rsidR="00747447" w:rsidRDefault="00747447" w:rsidP="00747447">
            <w:pPr>
              <w:numPr>
                <w:ilvl w:val="0"/>
                <w:numId w:val="6"/>
              </w:numPr>
              <w:rPr>
                <w:rFonts w:ascii="Arial" w:hAnsi="Arial" w:cs="Arial"/>
              </w:rPr>
            </w:pPr>
            <w:r>
              <w:rPr>
                <w:rFonts w:ascii="Arial" w:hAnsi="Arial" w:cs="Arial"/>
              </w:rPr>
              <w:t>Two clear examples of relevant experience of your organisation in delivering similar commissions, up to a maximum of 1 A4 side each. This should include the nature of the work, your organisation’s role and value of work.</w:t>
            </w:r>
          </w:p>
          <w:p w:rsidR="00747447" w:rsidRDefault="00747447" w:rsidP="00747447">
            <w:pPr>
              <w:numPr>
                <w:ilvl w:val="0"/>
                <w:numId w:val="6"/>
              </w:numPr>
              <w:rPr>
                <w:rFonts w:ascii="Arial" w:hAnsi="Arial" w:cs="Arial"/>
              </w:rPr>
            </w:pPr>
            <w:r w:rsidRPr="003B3CC5">
              <w:rPr>
                <w:rFonts w:ascii="Arial" w:hAnsi="Arial" w:cs="Arial"/>
              </w:rPr>
              <w:t xml:space="preserve">Confirmation of named </w:t>
            </w:r>
            <w:r>
              <w:rPr>
                <w:rFonts w:ascii="Arial" w:hAnsi="Arial" w:cs="Arial"/>
              </w:rPr>
              <w:t>consultant team</w:t>
            </w:r>
            <w:r w:rsidRPr="003B3CC5">
              <w:rPr>
                <w:rFonts w:ascii="Arial" w:hAnsi="Arial" w:cs="Arial"/>
              </w:rPr>
              <w:t xml:space="preserve"> and description of experience and skills</w:t>
            </w:r>
            <w:r>
              <w:rPr>
                <w:rFonts w:ascii="Arial" w:hAnsi="Arial" w:cs="Arial"/>
              </w:rPr>
              <w:t>. This should be relevant to the examples given above. It should be noted that the HCA expect to have a lead consultant and first point of contact at the Director level (or equivalent) for this project</w:t>
            </w:r>
          </w:p>
          <w:p w:rsidR="00747447" w:rsidRPr="00095C9F" w:rsidRDefault="00747447" w:rsidP="00747447">
            <w:pPr>
              <w:numPr>
                <w:ilvl w:val="0"/>
                <w:numId w:val="6"/>
              </w:numPr>
              <w:rPr>
                <w:rFonts w:ascii="Arial" w:hAnsi="Arial" w:cs="Arial"/>
              </w:rPr>
            </w:pPr>
            <w:r w:rsidRPr="00095C9F">
              <w:rPr>
                <w:rFonts w:ascii="Arial" w:hAnsi="Arial" w:cs="Arial"/>
              </w:rPr>
              <w:t>CVs will be in addition of up to a maximum of one A4 side;</w:t>
            </w:r>
          </w:p>
          <w:p w:rsidR="00747447" w:rsidRPr="003B3CC5" w:rsidRDefault="00747447" w:rsidP="00747447">
            <w:pPr>
              <w:numPr>
                <w:ilvl w:val="0"/>
                <w:numId w:val="6"/>
              </w:numPr>
              <w:rPr>
                <w:rFonts w:ascii="Arial" w:hAnsi="Arial" w:cs="Arial"/>
              </w:rPr>
            </w:pPr>
            <w:r>
              <w:rPr>
                <w:rFonts w:ascii="Arial" w:hAnsi="Arial" w:cs="Arial"/>
              </w:rPr>
              <w:t>A clear presentation of the structure of the team and reporting lines, including how this will include liaising with the Area Manager at the HCA and other consultants.</w:t>
            </w:r>
          </w:p>
          <w:p w:rsidR="00747447" w:rsidRPr="003B3CC5" w:rsidRDefault="00747447" w:rsidP="00747447">
            <w:pPr>
              <w:numPr>
                <w:ilvl w:val="0"/>
                <w:numId w:val="6"/>
              </w:numPr>
              <w:rPr>
                <w:rFonts w:ascii="Arial" w:hAnsi="Arial" w:cs="Arial"/>
              </w:rPr>
            </w:pPr>
            <w:r w:rsidRPr="003B3CC5">
              <w:rPr>
                <w:rFonts w:ascii="Arial" w:hAnsi="Arial" w:cs="Arial"/>
              </w:rPr>
              <w:lastRenderedPageBreak/>
              <w:t>Brief introduction and understanding of the commission</w:t>
            </w:r>
            <w:r>
              <w:rPr>
                <w:rFonts w:ascii="Arial" w:hAnsi="Arial" w:cs="Arial"/>
              </w:rPr>
              <w:t>. Consultants will be expected to show that they have an understanding of the local residential market along with an understanding of the key issues for the project ;</w:t>
            </w:r>
          </w:p>
          <w:p w:rsidR="00747447" w:rsidRPr="003B3CC5" w:rsidRDefault="00747447" w:rsidP="00747447">
            <w:pPr>
              <w:numPr>
                <w:ilvl w:val="0"/>
                <w:numId w:val="6"/>
              </w:numPr>
              <w:rPr>
                <w:rFonts w:ascii="Arial" w:hAnsi="Arial" w:cs="Arial"/>
              </w:rPr>
            </w:pPr>
            <w:r w:rsidRPr="003B3CC5">
              <w:rPr>
                <w:rFonts w:ascii="Arial" w:hAnsi="Arial" w:cs="Arial"/>
              </w:rPr>
              <w:t>Methodology for undertaking the commission;</w:t>
            </w:r>
          </w:p>
          <w:p w:rsidR="00747447" w:rsidRPr="003B3CC5" w:rsidRDefault="00747447" w:rsidP="00747447">
            <w:pPr>
              <w:numPr>
                <w:ilvl w:val="0"/>
                <w:numId w:val="6"/>
              </w:numPr>
              <w:rPr>
                <w:rFonts w:ascii="Arial" w:hAnsi="Arial" w:cs="Arial"/>
              </w:rPr>
            </w:pPr>
            <w:r>
              <w:rPr>
                <w:rFonts w:ascii="Arial" w:hAnsi="Arial" w:cs="Arial"/>
              </w:rPr>
              <w:t>A statement on how your organisation would get up to speed with all current site and planning/legal issues, including an estimate time for achieving this.</w:t>
            </w:r>
          </w:p>
          <w:p w:rsidR="00747447" w:rsidRPr="003B3CC5" w:rsidRDefault="00747447" w:rsidP="00747447">
            <w:pPr>
              <w:numPr>
                <w:ilvl w:val="0"/>
                <w:numId w:val="6"/>
              </w:numPr>
              <w:rPr>
                <w:rFonts w:ascii="Arial" w:hAnsi="Arial" w:cs="Arial"/>
              </w:rPr>
            </w:pPr>
            <w:r w:rsidRPr="003B3CC5">
              <w:rPr>
                <w:rFonts w:ascii="Arial" w:hAnsi="Arial" w:cs="Arial"/>
              </w:rPr>
              <w:t>Anticipated programme for delivering the commission, including key milestones and the specific deliverables detailed in this brief;</w:t>
            </w:r>
            <w:r>
              <w:rPr>
                <w:rFonts w:ascii="Arial" w:hAnsi="Arial" w:cs="Arial"/>
              </w:rPr>
              <w:t xml:space="preserve"> this should reflect the </w:t>
            </w:r>
            <w:r w:rsidRPr="003B3CC5">
              <w:rPr>
                <w:rFonts w:ascii="Arial" w:hAnsi="Arial" w:cs="Arial"/>
              </w:rPr>
              <w:t>programme supplied</w:t>
            </w:r>
          </w:p>
          <w:p w:rsidR="00747447" w:rsidRPr="003B3CC5" w:rsidRDefault="00747447" w:rsidP="00747447">
            <w:pPr>
              <w:numPr>
                <w:ilvl w:val="0"/>
                <w:numId w:val="6"/>
              </w:numPr>
              <w:rPr>
                <w:rFonts w:ascii="Arial" w:hAnsi="Arial" w:cs="Arial"/>
              </w:rPr>
            </w:pPr>
            <w:r w:rsidRPr="003B3CC5">
              <w:rPr>
                <w:rFonts w:ascii="Arial" w:hAnsi="Arial" w:cs="Arial"/>
              </w:rPr>
              <w:t>Resource Plan, breaking down the project by daily fee rates for the PM and any support staff attributable to the tasks outlined above under Key Deliverables. This must be inclusive of all expenses and travel costs. The HCA requires a fixed cost and further extensions by way of daily rates is only acceptable where additional tasks are commissioned in writing by the HCA’s Area Manager</w:t>
            </w:r>
            <w:r>
              <w:rPr>
                <w:rFonts w:ascii="Arial" w:hAnsi="Arial" w:cs="Arial"/>
              </w:rPr>
              <w:t>. Note that tasks under section 5 will not form part of the Price evaluation but will support your response on understanding the nature of the project.</w:t>
            </w:r>
            <w:r w:rsidRPr="003B3CC5">
              <w:rPr>
                <w:rFonts w:ascii="Arial" w:hAnsi="Arial" w:cs="Arial"/>
              </w:rPr>
              <w:t xml:space="preserve"> </w:t>
            </w:r>
          </w:p>
          <w:p w:rsidR="00747447" w:rsidRPr="003B3CC5" w:rsidRDefault="00747447" w:rsidP="00747447">
            <w:pPr>
              <w:numPr>
                <w:ilvl w:val="0"/>
                <w:numId w:val="6"/>
              </w:numPr>
              <w:rPr>
                <w:rFonts w:ascii="Arial" w:hAnsi="Arial" w:cs="Arial"/>
              </w:rPr>
            </w:pPr>
            <w:r w:rsidRPr="003B3CC5">
              <w:rPr>
                <w:rFonts w:ascii="Arial" w:hAnsi="Arial" w:cs="Arial"/>
              </w:rPr>
              <w:t>Clear identification of any contingency fees that the consultant considers necessary; and</w:t>
            </w:r>
          </w:p>
          <w:p w:rsidR="00747447" w:rsidRPr="003B3CC5" w:rsidRDefault="00747447" w:rsidP="00747447">
            <w:pPr>
              <w:numPr>
                <w:ilvl w:val="0"/>
                <w:numId w:val="6"/>
              </w:numPr>
              <w:rPr>
                <w:rFonts w:ascii="Arial" w:hAnsi="Arial" w:cs="Arial"/>
              </w:rPr>
            </w:pPr>
            <w:r w:rsidRPr="003B3CC5">
              <w:rPr>
                <w:rFonts w:ascii="Arial" w:hAnsi="Arial" w:cs="Arial"/>
              </w:rPr>
              <w:t>Details of any instruction that the consultant may already be handling, or anticipates to be handling in the near future, that may be considered a conflict of interest.</w:t>
            </w:r>
          </w:p>
          <w:p w:rsidR="00747447" w:rsidRPr="003B3CC5" w:rsidRDefault="00747447" w:rsidP="00747447">
            <w:pPr>
              <w:numPr>
                <w:ilvl w:val="0"/>
                <w:numId w:val="6"/>
              </w:numPr>
              <w:rPr>
                <w:rFonts w:ascii="Arial" w:hAnsi="Arial" w:cs="Arial"/>
              </w:rPr>
            </w:pPr>
            <w:r w:rsidRPr="003B3CC5">
              <w:rPr>
                <w:rFonts w:ascii="Arial" w:hAnsi="Arial" w:cs="Arial"/>
              </w:rPr>
              <w:t>A summary of key risks identified and how these will be mitigated.</w:t>
            </w:r>
          </w:p>
          <w:p w:rsidR="00E11816" w:rsidRPr="00D96061" w:rsidRDefault="00E11816" w:rsidP="00E11816">
            <w:pPr>
              <w:rPr>
                <w:rFonts w:ascii="Arial" w:hAnsi="Arial" w:cs="Arial"/>
              </w:rPr>
            </w:pPr>
          </w:p>
          <w:p w:rsidR="00E11816" w:rsidRDefault="00E11816" w:rsidP="00E11816">
            <w:pPr>
              <w:rPr>
                <w:rFonts w:ascii="Arial" w:hAnsi="Arial" w:cs="Arial"/>
                <w:b/>
                <w:bCs/>
                <w:lang w:val="en-US"/>
              </w:rPr>
            </w:pPr>
            <w:r w:rsidRPr="00E11816">
              <w:rPr>
                <w:rFonts w:ascii="Arial" w:hAnsi="Arial" w:cs="Arial"/>
                <w:b/>
                <w:bCs/>
                <w:lang w:val="en-US"/>
              </w:rPr>
              <w:t>SUPPORTING DOCUMENTS</w:t>
            </w:r>
          </w:p>
          <w:p w:rsidR="00F625A9" w:rsidRPr="00E11816" w:rsidRDefault="00F625A9" w:rsidP="00E11816">
            <w:pPr>
              <w:rPr>
                <w:rFonts w:ascii="Arial" w:hAnsi="Arial" w:cs="Arial"/>
                <w:b/>
                <w:bCs/>
                <w:lang w:val="en-US"/>
              </w:rPr>
            </w:pPr>
          </w:p>
          <w:p w:rsidR="00E11816" w:rsidRDefault="00F328C4" w:rsidP="00E11816">
            <w:pPr>
              <w:rPr>
                <w:rFonts w:ascii="Arial" w:hAnsi="Arial" w:cs="Arial"/>
                <w:lang w:val="en-US"/>
              </w:rPr>
            </w:pPr>
            <w:r>
              <w:rPr>
                <w:rFonts w:ascii="Arial" w:hAnsi="Arial" w:cs="Arial"/>
                <w:lang w:val="en-US"/>
              </w:rPr>
              <w:t>Appendix A</w:t>
            </w:r>
            <w:r>
              <w:rPr>
                <w:rFonts w:ascii="Arial" w:hAnsi="Arial" w:cs="Arial"/>
                <w:lang w:val="en-US"/>
              </w:rPr>
              <w:tab/>
              <w:t>Plans and photographs</w:t>
            </w:r>
          </w:p>
          <w:p w:rsidR="007B3323" w:rsidRDefault="003B45ED" w:rsidP="00E11816">
            <w:pPr>
              <w:rPr>
                <w:rFonts w:ascii="Arial" w:hAnsi="Arial" w:cs="Arial"/>
                <w:lang w:val="en-US"/>
              </w:rPr>
            </w:pPr>
            <w:r>
              <w:rPr>
                <w:rFonts w:ascii="Arial" w:hAnsi="Arial" w:cs="Arial"/>
                <w:lang w:val="en-US"/>
              </w:rPr>
              <w:t>Appendix B</w:t>
            </w:r>
            <w:r w:rsidR="00EC53BA">
              <w:rPr>
                <w:rFonts w:ascii="Arial" w:hAnsi="Arial" w:cs="Arial"/>
                <w:lang w:val="en-US"/>
              </w:rPr>
              <w:tab/>
              <w:t>Tender response template</w:t>
            </w:r>
          </w:p>
          <w:p w:rsidR="007B3323" w:rsidRDefault="003B45ED" w:rsidP="00E11816">
            <w:pPr>
              <w:rPr>
                <w:rFonts w:ascii="Arial" w:hAnsi="Arial" w:cs="Arial"/>
                <w:lang w:val="en-US"/>
              </w:rPr>
            </w:pPr>
            <w:r>
              <w:rPr>
                <w:rFonts w:ascii="Arial" w:hAnsi="Arial" w:cs="Arial"/>
                <w:lang w:val="en-US"/>
              </w:rPr>
              <w:t>Appendix C</w:t>
            </w:r>
            <w:r w:rsidR="007B3323">
              <w:rPr>
                <w:rFonts w:ascii="Arial" w:hAnsi="Arial" w:cs="Arial"/>
                <w:lang w:val="en-US"/>
              </w:rPr>
              <w:tab/>
            </w:r>
            <w:r w:rsidR="00EC53BA">
              <w:rPr>
                <w:rFonts w:ascii="Arial" w:hAnsi="Arial" w:cs="Arial"/>
                <w:lang w:val="en-US"/>
              </w:rPr>
              <w:t>Resource schedule</w:t>
            </w:r>
          </w:p>
          <w:p w:rsidR="00F52364" w:rsidRDefault="003B45ED" w:rsidP="00E11816">
            <w:pPr>
              <w:rPr>
                <w:rFonts w:ascii="Arial" w:hAnsi="Arial" w:cs="Arial"/>
                <w:lang w:val="en-US"/>
              </w:rPr>
            </w:pPr>
            <w:r>
              <w:rPr>
                <w:rFonts w:ascii="Arial" w:hAnsi="Arial" w:cs="Arial"/>
                <w:lang w:val="en-US"/>
              </w:rPr>
              <w:t>Appendix D</w:t>
            </w:r>
            <w:r w:rsidR="00EC53BA">
              <w:rPr>
                <w:rFonts w:ascii="Arial" w:hAnsi="Arial" w:cs="Arial"/>
                <w:lang w:val="en-US"/>
              </w:rPr>
              <w:tab/>
              <w:t>Evaluation form</w:t>
            </w:r>
          </w:p>
          <w:p w:rsidR="00F625A9" w:rsidRPr="00E11816" w:rsidRDefault="00F625A9" w:rsidP="00213664">
            <w:pPr>
              <w:rPr>
                <w:rFonts w:ascii="Arial" w:hAnsi="Arial" w:cs="Arial"/>
                <w:lang w:val="en-US"/>
              </w:rPr>
            </w:pPr>
          </w:p>
        </w:tc>
      </w:tr>
      <w:tr w:rsidR="00E11816" w:rsidRPr="00E11816" w:rsidTr="00691B22">
        <w:trPr>
          <w:trHeight w:val="70"/>
        </w:trPr>
        <w:tc>
          <w:tcPr>
            <w:tcW w:w="10915" w:type="dxa"/>
          </w:tcPr>
          <w:p w:rsidR="00E11816" w:rsidRPr="00E11816" w:rsidRDefault="00E11816" w:rsidP="00E11816">
            <w:pPr>
              <w:rPr>
                <w:rFonts w:ascii="Arial" w:hAnsi="Arial" w:cs="Arial"/>
                <w:b/>
                <w:bCs/>
                <w:lang w:val="en-US"/>
              </w:rPr>
            </w:pPr>
          </w:p>
          <w:p w:rsidR="00E11816" w:rsidRPr="00E11816" w:rsidRDefault="00E11816" w:rsidP="00E11816">
            <w:pPr>
              <w:rPr>
                <w:rFonts w:ascii="Arial" w:hAnsi="Arial" w:cs="Arial"/>
                <w:b/>
              </w:rPr>
            </w:pPr>
            <w:r w:rsidRPr="00E11816">
              <w:rPr>
                <w:rFonts w:ascii="Arial" w:hAnsi="Arial" w:cs="Arial"/>
                <w:b/>
              </w:rPr>
              <w:t>Evaluation Criteria &amp; Submission</w:t>
            </w:r>
          </w:p>
          <w:p w:rsidR="00E11816" w:rsidRPr="00E11816" w:rsidRDefault="00E11816" w:rsidP="00E11816">
            <w:pPr>
              <w:rPr>
                <w:rFonts w:ascii="Arial" w:hAnsi="Arial" w:cs="Arial"/>
              </w:rPr>
            </w:pPr>
          </w:p>
          <w:p w:rsidR="00D0724F" w:rsidRDefault="00E11816" w:rsidP="00E11816">
            <w:pPr>
              <w:rPr>
                <w:rFonts w:ascii="Arial" w:hAnsi="Arial" w:cs="Arial"/>
              </w:rPr>
            </w:pPr>
            <w:r w:rsidRPr="00E11816">
              <w:rPr>
                <w:rFonts w:ascii="Arial" w:hAnsi="Arial" w:cs="Arial"/>
              </w:rPr>
              <w:t xml:space="preserve">Submissions for </w:t>
            </w:r>
            <w:r w:rsidR="000F3A2D">
              <w:rPr>
                <w:rFonts w:ascii="Arial" w:hAnsi="Arial" w:cs="Arial"/>
              </w:rPr>
              <w:t xml:space="preserve">this appointment will be evaluated against </w:t>
            </w:r>
            <w:r w:rsidR="000F3A2D" w:rsidRPr="00F52364">
              <w:rPr>
                <w:rFonts w:ascii="Arial" w:hAnsi="Arial" w:cs="Arial"/>
              </w:rPr>
              <w:t>50% quality and 5</w:t>
            </w:r>
            <w:r w:rsidRPr="00F52364">
              <w:rPr>
                <w:rFonts w:ascii="Arial" w:hAnsi="Arial" w:cs="Arial"/>
              </w:rPr>
              <w:t>0% price.</w:t>
            </w:r>
            <w:r w:rsidRPr="00E11816">
              <w:rPr>
                <w:rFonts w:ascii="Arial" w:hAnsi="Arial" w:cs="Arial"/>
              </w:rPr>
              <w:t xml:space="preserve"> </w:t>
            </w:r>
          </w:p>
          <w:p w:rsidR="00D0724F" w:rsidRDefault="00D0724F" w:rsidP="00E11816">
            <w:pPr>
              <w:rPr>
                <w:rFonts w:ascii="Arial" w:hAnsi="Arial" w:cs="Arial"/>
              </w:rPr>
            </w:pPr>
          </w:p>
          <w:p w:rsidR="003D099C" w:rsidRDefault="00D0724F" w:rsidP="00E11816">
            <w:pPr>
              <w:rPr>
                <w:rFonts w:ascii="Arial" w:hAnsi="Arial" w:cs="Arial"/>
              </w:rPr>
            </w:pPr>
            <w:r w:rsidRPr="00E11816">
              <w:rPr>
                <w:rFonts w:ascii="Arial" w:hAnsi="Arial" w:cs="Arial"/>
              </w:rPr>
              <w:t xml:space="preserve">The </w:t>
            </w:r>
            <w:r w:rsidR="007A0DB4">
              <w:rPr>
                <w:rFonts w:ascii="Arial" w:hAnsi="Arial" w:cs="Arial"/>
              </w:rPr>
              <w:t xml:space="preserve">proposal </w:t>
            </w:r>
            <w:r w:rsidRPr="00E11816">
              <w:rPr>
                <w:rFonts w:ascii="Arial" w:hAnsi="Arial" w:cs="Arial"/>
              </w:rPr>
              <w:t xml:space="preserve">should not exceed </w:t>
            </w:r>
            <w:r w:rsidR="007842CD">
              <w:rPr>
                <w:rFonts w:ascii="Arial" w:hAnsi="Arial" w:cs="Arial"/>
              </w:rPr>
              <w:t>10</w:t>
            </w:r>
            <w:r w:rsidRPr="00E11816">
              <w:rPr>
                <w:rFonts w:ascii="Arial" w:hAnsi="Arial" w:cs="Arial"/>
              </w:rPr>
              <w:t xml:space="preserve"> sides of A4 paper when printed</w:t>
            </w:r>
            <w:r>
              <w:rPr>
                <w:rFonts w:ascii="Arial" w:hAnsi="Arial" w:cs="Arial"/>
              </w:rPr>
              <w:t>.</w:t>
            </w:r>
            <w:r w:rsidRPr="00E11816">
              <w:rPr>
                <w:rFonts w:ascii="Arial" w:hAnsi="Arial" w:cs="Arial"/>
              </w:rPr>
              <w:t xml:space="preserve"> </w:t>
            </w:r>
            <w:r w:rsidR="00686F83">
              <w:rPr>
                <w:rFonts w:ascii="Arial" w:hAnsi="Arial" w:cs="Arial"/>
              </w:rPr>
              <w:t xml:space="preserve"> This excludes CVs (which can be a maximum of 1 A4 side per person</w:t>
            </w:r>
            <w:r w:rsidR="00D96061">
              <w:rPr>
                <w:rFonts w:ascii="Arial" w:hAnsi="Arial" w:cs="Arial"/>
              </w:rPr>
              <w:t>). Any</w:t>
            </w:r>
            <w:r>
              <w:rPr>
                <w:rFonts w:ascii="Arial" w:hAnsi="Arial" w:cs="Arial"/>
              </w:rPr>
              <w:t xml:space="preserve"> additional pages or appendices </w:t>
            </w:r>
            <w:r w:rsidR="005B4C33">
              <w:rPr>
                <w:rFonts w:ascii="Arial" w:hAnsi="Arial" w:cs="Arial"/>
              </w:rPr>
              <w:t xml:space="preserve">may </w:t>
            </w:r>
            <w:r>
              <w:rPr>
                <w:rFonts w:ascii="Arial" w:hAnsi="Arial" w:cs="Arial"/>
              </w:rPr>
              <w:t>be ignored</w:t>
            </w:r>
            <w:r w:rsidR="005B4C33">
              <w:rPr>
                <w:rFonts w:ascii="Arial" w:hAnsi="Arial" w:cs="Arial"/>
              </w:rPr>
              <w:t xml:space="preserve"> or result in a deduction of scoring</w:t>
            </w:r>
            <w:r>
              <w:rPr>
                <w:rFonts w:ascii="Arial" w:hAnsi="Arial" w:cs="Arial"/>
              </w:rPr>
              <w:t>.</w:t>
            </w:r>
          </w:p>
          <w:p w:rsidR="004E0351" w:rsidRDefault="004E0351" w:rsidP="00E11816">
            <w:pPr>
              <w:rPr>
                <w:rFonts w:ascii="Arial" w:hAnsi="Arial" w:cs="Arial"/>
              </w:rPr>
            </w:pPr>
          </w:p>
          <w:p w:rsidR="004E0351" w:rsidRDefault="004E0351" w:rsidP="004E0351">
            <w:pPr>
              <w:rPr>
                <w:rFonts w:ascii="Arial" w:hAnsi="Arial" w:cs="Arial"/>
              </w:rPr>
            </w:pPr>
            <w:r w:rsidRPr="004E0351">
              <w:rPr>
                <w:rFonts w:ascii="Arial" w:hAnsi="Arial" w:cs="Arial"/>
              </w:rPr>
              <w:t>The ‘quality’ elements of the tender submissions in relation to the work up to the completion of commission will be marked against the following criteria:</w:t>
            </w:r>
          </w:p>
          <w:p w:rsidR="004E0351" w:rsidRDefault="004E0351" w:rsidP="004E0351">
            <w:pPr>
              <w:rPr>
                <w:rFonts w:ascii="Arial" w:hAnsi="Arial" w:cs="Arial"/>
              </w:rPr>
            </w:pPr>
          </w:p>
          <w:p w:rsidR="004E0351" w:rsidRDefault="004E0351" w:rsidP="00BC278C">
            <w:pPr>
              <w:pStyle w:val="ListParagraph"/>
              <w:numPr>
                <w:ilvl w:val="0"/>
                <w:numId w:val="4"/>
              </w:numPr>
              <w:rPr>
                <w:rFonts w:ascii="Arial" w:hAnsi="Arial" w:cs="Arial"/>
              </w:rPr>
            </w:pPr>
            <w:r>
              <w:rPr>
                <w:rFonts w:ascii="Arial" w:hAnsi="Arial" w:cs="Arial"/>
              </w:rPr>
              <w:t xml:space="preserve">Quality of </w:t>
            </w:r>
            <w:r w:rsidR="009C47AA">
              <w:rPr>
                <w:rFonts w:ascii="Arial" w:hAnsi="Arial" w:cs="Arial"/>
              </w:rPr>
              <w:t>Proposals (25</w:t>
            </w:r>
            <w:r w:rsidR="00D56B4D">
              <w:rPr>
                <w:rFonts w:ascii="Arial" w:hAnsi="Arial" w:cs="Arial"/>
              </w:rPr>
              <w:t>%</w:t>
            </w:r>
            <w:r w:rsidRPr="004E0351">
              <w:rPr>
                <w:rFonts w:ascii="Arial" w:hAnsi="Arial" w:cs="Arial"/>
              </w:rPr>
              <w:t>)</w:t>
            </w:r>
            <w:r w:rsidR="00D56B4D">
              <w:rPr>
                <w:rFonts w:ascii="Arial" w:hAnsi="Arial" w:cs="Arial"/>
              </w:rPr>
              <w:t xml:space="preserve">. Note that a minimum of 7 out of 10 </w:t>
            </w:r>
            <w:r w:rsidR="00BC160E">
              <w:rPr>
                <w:rFonts w:ascii="Arial" w:hAnsi="Arial" w:cs="Arial"/>
              </w:rPr>
              <w:t>must be scored to be considered</w:t>
            </w:r>
          </w:p>
          <w:p w:rsidR="004E0351" w:rsidRDefault="00D56B4D" w:rsidP="00BC278C">
            <w:pPr>
              <w:pStyle w:val="ListParagraph"/>
              <w:numPr>
                <w:ilvl w:val="0"/>
                <w:numId w:val="4"/>
              </w:numPr>
              <w:rPr>
                <w:rFonts w:ascii="Arial" w:hAnsi="Arial" w:cs="Arial"/>
              </w:rPr>
            </w:pPr>
            <w:r>
              <w:rPr>
                <w:rFonts w:ascii="Arial" w:hAnsi="Arial" w:cs="Arial"/>
              </w:rPr>
              <w:t>Proposed Staff (1</w:t>
            </w:r>
            <w:r w:rsidR="00952E4D">
              <w:rPr>
                <w:rFonts w:ascii="Arial" w:hAnsi="Arial" w:cs="Arial"/>
              </w:rPr>
              <w:t>0</w:t>
            </w:r>
            <w:r w:rsidR="004E0351" w:rsidRPr="004E0351">
              <w:rPr>
                <w:rFonts w:ascii="Arial" w:hAnsi="Arial" w:cs="Arial"/>
              </w:rPr>
              <w:t>%)</w:t>
            </w:r>
          </w:p>
          <w:p w:rsidR="009C47AA" w:rsidRDefault="00084D3A" w:rsidP="00BC278C">
            <w:pPr>
              <w:pStyle w:val="ListParagraph"/>
              <w:numPr>
                <w:ilvl w:val="0"/>
                <w:numId w:val="4"/>
              </w:numPr>
              <w:rPr>
                <w:rFonts w:ascii="Arial" w:hAnsi="Arial" w:cs="Arial"/>
              </w:rPr>
            </w:pPr>
            <w:r>
              <w:rPr>
                <w:rFonts w:ascii="Arial" w:hAnsi="Arial" w:cs="Arial"/>
              </w:rPr>
              <w:t>Management and Communication (10</w:t>
            </w:r>
            <w:r w:rsidR="009C47AA">
              <w:rPr>
                <w:rFonts w:ascii="Arial" w:hAnsi="Arial" w:cs="Arial"/>
              </w:rPr>
              <w:t>%)</w:t>
            </w:r>
          </w:p>
          <w:p w:rsidR="004E0351" w:rsidRDefault="00D56B4D" w:rsidP="00BC278C">
            <w:pPr>
              <w:pStyle w:val="ListParagraph"/>
              <w:numPr>
                <w:ilvl w:val="0"/>
                <w:numId w:val="4"/>
              </w:numPr>
              <w:rPr>
                <w:rFonts w:ascii="Arial" w:hAnsi="Arial" w:cs="Arial"/>
              </w:rPr>
            </w:pPr>
            <w:r>
              <w:rPr>
                <w:rFonts w:ascii="Arial" w:hAnsi="Arial" w:cs="Arial"/>
              </w:rPr>
              <w:t>Timescales</w:t>
            </w:r>
            <w:r w:rsidR="004E0351">
              <w:rPr>
                <w:rFonts w:ascii="Arial" w:hAnsi="Arial" w:cs="Arial"/>
              </w:rPr>
              <w:t xml:space="preserve"> (</w:t>
            </w:r>
            <w:r>
              <w:rPr>
                <w:rFonts w:ascii="Arial" w:hAnsi="Arial" w:cs="Arial"/>
              </w:rPr>
              <w:t>5</w:t>
            </w:r>
            <w:r w:rsidR="004E0351" w:rsidRPr="004E0351">
              <w:rPr>
                <w:rFonts w:ascii="Arial" w:hAnsi="Arial" w:cs="Arial"/>
              </w:rPr>
              <w:t>%)</w:t>
            </w:r>
          </w:p>
          <w:p w:rsidR="004E0351" w:rsidRPr="004E0351" w:rsidRDefault="004E0351" w:rsidP="004E0351">
            <w:pPr>
              <w:rPr>
                <w:rFonts w:ascii="Arial" w:hAnsi="Arial" w:cs="Arial"/>
              </w:rPr>
            </w:pPr>
          </w:p>
          <w:p w:rsidR="004E0351" w:rsidRDefault="004E0351" w:rsidP="004E0351">
            <w:pPr>
              <w:rPr>
                <w:rFonts w:ascii="Arial" w:hAnsi="Arial" w:cs="Arial"/>
              </w:rPr>
            </w:pPr>
            <w:r w:rsidRPr="004E0351">
              <w:rPr>
                <w:rFonts w:ascii="Arial" w:hAnsi="Arial" w:cs="Arial"/>
              </w:rPr>
              <w:t>An example copy of the Submission Evaluation Matrix that will be used to asses</w:t>
            </w:r>
            <w:r w:rsidR="00490F9F">
              <w:rPr>
                <w:rFonts w:ascii="Arial" w:hAnsi="Arial" w:cs="Arial"/>
              </w:rPr>
              <w:t xml:space="preserve">s the submissions against these </w:t>
            </w:r>
            <w:r w:rsidRPr="004E0351">
              <w:rPr>
                <w:rFonts w:ascii="Arial" w:hAnsi="Arial" w:cs="Arial"/>
              </w:rPr>
              <w:t>cri</w:t>
            </w:r>
            <w:r>
              <w:rPr>
                <w:rFonts w:ascii="Arial" w:hAnsi="Arial" w:cs="Arial"/>
              </w:rPr>
              <w:t xml:space="preserve">teria can be found in Appendix </w:t>
            </w:r>
            <w:r w:rsidR="003B45ED">
              <w:rPr>
                <w:rFonts w:ascii="Arial" w:hAnsi="Arial" w:cs="Arial"/>
              </w:rPr>
              <w:t>D</w:t>
            </w:r>
            <w:r w:rsidRPr="004E0351">
              <w:rPr>
                <w:rFonts w:ascii="Arial" w:hAnsi="Arial" w:cs="Arial"/>
              </w:rPr>
              <w:t>.</w:t>
            </w:r>
          </w:p>
          <w:p w:rsidR="003D099C" w:rsidRDefault="003D099C" w:rsidP="00E11816">
            <w:pPr>
              <w:rPr>
                <w:rFonts w:ascii="Arial" w:hAnsi="Arial" w:cs="Arial"/>
              </w:rPr>
            </w:pPr>
          </w:p>
          <w:p w:rsidR="008815DC" w:rsidRPr="00B46043" w:rsidRDefault="008815DC" w:rsidP="008815DC">
            <w:pPr>
              <w:rPr>
                <w:rFonts w:ascii="Arial" w:hAnsi="Arial" w:cs="Arial"/>
                <w:b/>
                <w:i/>
                <w:lang w:val="en-US"/>
              </w:rPr>
            </w:pPr>
            <w:r>
              <w:rPr>
                <w:rFonts w:ascii="Arial" w:hAnsi="Arial" w:cs="Arial"/>
                <w:b/>
                <w:i/>
                <w:lang w:val="en-US"/>
              </w:rPr>
              <w:t>The Agency may request interviews (at its full discretion) to seek clarifications on any points on 28</w:t>
            </w:r>
            <w:r w:rsidRPr="008815DC">
              <w:rPr>
                <w:rFonts w:ascii="Arial" w:hAnsi="Arial" w:cs="Arial"/>
                <w:b/>
                <w:i/>
                <w:vertAlign w:val="superscript"/>
                <w:lang w:val="en-US"/>
              </w:rPr>
              <w:t>th</w:t>
            </w:r>
            <w:r>
              <w:rPr>
                <w:rFonts w:ascii="Arial" w:hAnsi="Arial" w:cs="Arial"/>
                <w:b/>
                <w:i/>
                <w:lang w:val="en-US"/>
              </w:rPr>
              <w:t xml:space="preserve"> July 2016.</w:t>
            </w:r>
          </w:p>
          <w:p w:rsidR="00E11816" w:rsidRPr="00E11816" w:rsidRDefault="00E11816" w:rsidP="00F52364">
            <w:pPr>
              <w:rPr>
                <w:rFonts w:ascii="Arial" w:hAnsi="Arial" w:cs="Arial"/>
                <w:lang w:val="en-US"/>
              </w:rPr>
            </w:pPr>
          </w:p>
        </w:tc>
      </w:tr>
    </w:tbl>
    <w:p w:rsidR="00E11816" w:rsidRPr="00E11816" w:rsidRDefault="00E11816" w:rsidP="00E11816">
      <w:pPr>
        <w:rPr>
          <w:rFonts w:ascii="Arial" w:hAnsi="Arial" w:cs="Arial"/>
        </w:rPr>
      </w:pPr>
    </w:p>
    <w:p w:rsidR="00F33357" w:rsidRDefault="00F33357" w:rsidP="00F33357">
      <w:pPr>
        <w:rPr>
          <w:rFonts w:ascii="Arial" w:hAnsi="Arial" w:cs="Arial"/>
          <w:bCs/>
        </w:rPr>
      </w:pPr>
    </w:p>
    <w:p w:rsidR="00F33357" w:rsidRDefault="00F33357" w:rsidP="00F33357">
      <w:pPr>
        <w:rPr>
          <w:rFonts w:ascii="Arial" w:hAnsi="Arial" w:cs="Arial"/>
          <w:bCs/>
        </w:rPr>
      </w:pPr>
    </w:p>
    <w:p w:rsidR="00B37620" w:rsidRPr="000E3CC1" w:rsidRDefault="00B37620">
      <w:pPr>
        <w:rPr>
          <w:rFonts w:ascii="Arial" w:hAnsi="Arial" w:cs="Arial"/>
        </w:rPr>
      </w:pPr>
    </w:p>
    <w:sectPr w:rsidR="00B37620" w:rsidRPr="000E3CC1" w:rsidSect="001C17A2">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B1" w:rsidRDefault="00503DB1" w:rsidP="00E11816">
      <w:r>
        <w:separator/>
      </w:r>
    </w:p>
  </w:endnote>
  <w:endnote w:type="continuationSeparator" w:id="0">
    <w:p w:rsidR="00503DB1" w:rsidRDefault="00503DB1" w:rsidP="00E1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82" w:rsidRDefault="00421782" w:rsidP="00691B22">
    <w:pPr>
      <w:pStyle w:val="Footer"/>
      <w:jc w:val="center"/>
      <w:rPr>
        <w:rFonts w:ascii="Arial" w:hAnsi="Arial" w:cs="Arial"/>
        <w:b/>
        <w:color w:val="FF0000"/>
        <w:sz w:val="20"/>
      </w:rPr>
    </w:pPr>
    <w:bookmarkStart w:id="1" w:name="aliashOfficialSensitive1FooterEvenPages"/>
    <w:r>
      <w:rPr>
        <w:rFonts w:ascii="Arial" w:hAnsi="Arial" w:cs="Arial"/>
        <w:b/>
        <w:color w:val="FF0000"/>
        <w:sz w:val="20"/>
      </w:rPr>
      <w:t>OFFICIAL SENSITIVE - COMMERCIAL</w:t>
    </w:r>
  </w:p>
  <w:p w:rsidR="005B4C33" w:rsidRDefault="005B4C33" w:rsidP="00461ADA">
    <w:pPr>
      <w:pStyle w:val="Footer"/>
      <w:jc w:val="center"/>
    </w:pPr>
    <w:bookmarkStart w:id="2" w:name="aliashAdvancedFooterprot1FooterEvenPages"/>
    <w:bookmarkEnd w:id="1"/>
  </w:p>
  <w:bookmarkEnd w:id="2"/>
  <w:p w:rsidR="00421782" w:rsidRDefault="00421782" w:rsidP="00691B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C33" w:rsidRDefault="005B4C33" w:rsidP="00461ADA">
    <w:pPr>
      <w:pStyle w:val="Footer"/>
      <w:jc w:val="center"/>
    </w:pPr>
    <w:bookmarkStart w:id="3" w:name="aliashAdvancedFooterprotec1FooterPrimary"/>
  </w:p>
  <w:bookmarkEnd w:id="3" w:displacedByCustomXml="next"/>
  <w:sdt>
    <w:sdtPr>
      <w:id w:val="-1707948752"/>
      <w:docPartObj>
        <w:docPartGallery w:val="Page Numbers (Bottom of Page)"/>
        <w:docPartUnique/>
      </w:docPartObj>
    </w:sdtPr>
    <w:sdtEndPr>
      <w:rPr>
        <w:noProof/>
      </w:rPr>
    </w:sdtEndPr>
    <w:sdtContent>
      <w:p w:rsidR="00421782" w:rsidRDefault="00421782">
        <w:pPr>
          <w:pStyle w:val="Footer"/>
          <w:jc w:val="center"/>
        </w:pPr>
        <w:r>
          <w:fldChar w:fldCharType="begin"/>
        </w:r>
        <w:r>
          <w:instrText xml:space="preserve"> PAGE   \* MERGEFORMAT </w:instrText>
        </w:r>
        <w:r>
          <w:fldChar w:fldCharType="separate"/>
        </w:r>
        <w:r w:rsidR="006379ED">
          <w:rPr>
            <w:noProof/>
          </w:rPr>
          <w:t>1</w:t>
        </w:r>
        <w:r>
          <w:rPr>
            <w:noProof/>
          </w:rPr>
          <w:fldChar w:fldCharType="end"/>
        </w:r>
      </w:p>
    </w:sdtContent>
  </w:sdt>
  <w:p w:rsidR="00421782" w:rsidRDefault="00421782" w:rsidP="00691B2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82" w:rsidRDefault="00421782" w:rsidP="00691B22">
    <w:pPr>
      <w:pStyle w:val="Footer"/>
      <w:jc w:val="center"/>
      <w:rPr>
        <w:rFonts w:ascii="Arial" w:hAnsi="Arial" w:cs="Arial"/>
        <w:b/>
        <w:color w:val="FF0000"/>
        <w:sz w:val="20"/>
      </w:rPr>
    </w:pPr>
    <w:bookmarkStart w:id="4" w:name="aliashOfficialSensitive1FooterFirstPage"/>
    <w:r>
      <w:rPr>
        <w:rFonts w:ascii="Arial" w:hAnsi="Arial" w:cs="Arial"/>
        <w:b/>
        <w:color w:val="FF0000"/>
        <w:sz w:val="20"/>
      </w:rPr>
      <w:t>OFFICIAL SENSITIVE - COMMERCIAL</w:t>
    </w:r>
  </w:p>
  <w:p w:rsidR="005B4C33" w:rsidRDefault="005B4C33" w:rsidP="00461ADA">
    <w:pPr>
      <w:pStyle w:val="Footer"/>
      <w:jc w:val="center"/>
    </w:pPr>
    <w:bookmarkStart w:id="5" w:name="aliashAdvancedFooterprot1FooterFirstPage"/>
    <w:bookmarkEnd w:id="4"/>
  </w:p>
  <w:bookmarkEnd w:id="5"/>
  <w:p w:rsidR="00421782" w:rsidRDefault="00421782" w:rsidP="00691B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B1" w:rsidRDefault="00503DB1" w:rsidP="00E11816">
      <w:r>
        <w:separator/>
      </w:r>
    </w:p>
  </w:footnote>
  <w:footnote w:type="continuationSeparator" w:id="0">
    <w:p w:rsidR="00503DB1" w:rsidRDefault="00503DB1" w:rsidP="00E11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F5" w:rsidRDefault="00966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F5" w:rsidRDefault="009667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F5" w:rsidRDefault="009667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B7D"/>
    <w:multiLevelType w:val="hybridMultilevel"/>
    <w:tmpl w:val="438CB718"/>
    <w:lvl w:ilvl="0" w:tplc="08090011">
      <w:start w:val="1"/>
      <w:numFmt w:val="decimal"/>
      <w:lvlText w:val="%1)"/>
      <w:lvlJc w:val="left"/>
      <w:pPr>
        <w:ind w:left="720" w:hanging="360"/>
      </w:pPr>
    </w:lvl>
    <w:lvl w:ilvl="1" w:tplc="505E8F48">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42F2F8C"/>
    <w:multiLevelType w:val="hybridMultilevel"/>
    <w:tmpl w:val="B9BA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94F30"/>
    <w:multiLevelType w:val="hybridMultilevel"/>
    <w:tmpl w:val="579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610A63"/>
    <w:multiLevelType w:val="hybridMultilevel"/>
    <w:tmpl w:val="5076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F4305"/>
    <w:multiLevelType w:val="hybridMultilevel"/>
    <w:tmpl w:val="B238A5B6"/>
    <w:lvl w:ilvl="0" w:tplc="39A4C452">
      <w:start w:val="1"/>
      <w:numFmt w:val="decimal"/>
      <w:lvlText w:val="1.%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F52A04"/>
    <w:multiLevelType w:val="multilevel"/>
    <w:tmpl w:val="B7A498E8"/>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4D4E2C"/>
    <w:multiLevelType w:val="hybridMultilevel"/>
    <w:tmpl w:val="670A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056D7"/>
    <w:multiLevelType w:val="hybridMultilevel"/>
    <w:tmpl w:val="9B94F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4842317"/>
    <w:multiLevelType w:val="hybridMultilevel"/>
    <w:tmpl w:val="CB52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5F0743A"/>
    <w:multiLevelType w:val="hybridMultilevel"/>
    <w:tmpl w:val="6CFE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64223F"/>
    <w:multiLevelType w:val="hybridMultilevel"/>
    <w:tmpl w:val="0CF2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0B15DE"/>
    <w:multiLevelType w:val="hybridMultilevel"/>
    <w:tmpl w:val="494C4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1860BA"/>
    <w:multiLevelType w:val="hybridMultilevel"/>
    <w:tmpl w:val="2A74287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4DFE537B"/>
    <w:multiLevelType w:val="hybridMultilevel"/>
    <w:tmpl w:val="AAA85EBE"/>
    <w:lvl w:ilvl="0" w:tplc="39A4C452">
      <w:start w:val="1"/>
      <w:numFmt w:val="decimal"/>
      <w:lvlText w:val="1.%1."/>
      <w:lvlJc w:val="left"/>
      <w:pPr>
        <w:ind w:left="360" w:hanging="360"/>
      </w:pPr>
      <w:rPr>
        <w:rFonts w:hint="default"/>
        <w:color w:val="auto"/>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04A7976"/>
    <w:multiLevelType w:val="hybridMultilevel"/>
    <w:tmpl w:val="FED00C64"/>
    <w:lvl w:ilvl="0" w:tplc="55D05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93A6B"/>
    <w:multiLevelType w:val="hybridMultilevel"/>
    <w:tmpl w:val="D042FAC8"/>
    <w:lvl w:ilvl="0" w:tplc="04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4090001">
      <w:start w:val="1"/>
      <w:numFmt w:val="bullet"/>
      <w:lvlText w:val=""/>
      <w:lvlJc w:val="left"/>
      <w:pPr>
        <w:ind w:left="3011" w:hanging="360"/>
      </w:pPr>
      <w:rPr>
        <w:rFonts w:ascii="Symbol" w:hAnsi="Symbol"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59FB4894"/>
    <w:multiLevelType w:val="hybridMultilevel"/>
    <w:tmpl w:val="17DE1824"/>
    <w:lvl w:ilvl="0" w:tplc="0809001B">
      <w:start w:val="1"/>
      <w:numFmt w:val="lowerRoman"/>
      <w:lvlText w:val="%1."/>
      <w:lvlJc w:val="right"/>
      <w:pPr>
        <w:ind w:left="1571" w:hanging="360"/>
      </w:pPr>
    </w:lvl>
    <w:lvl w:ilvl="1" w:tplc="0809001B">
      <w:start w:val="1"/>
      <w:numFmt w:val="lowerRoman"/>
      <w:lvlText w:val="%2."/>
      <w:lvlJc w:val="right"/>
      <w:pPr>
        <w:ind w:left="2291" w:hanging="360"/>
      </w:pPr>
    </w:lvl>
    <w:lvl w:ilvl="2" w:tplc="7BD66550">
      <w:start w:val="5"/>
      <w:numFmt w:val="bullet"/>
      <w:lvlText w:val="•"/>
      <w:lvlJc w:val="left"/>
      <w:pPr>
        <w:ind w:left="9146" w:hanging="6315"/>
      </w:pPr>
      <w:rPr>
        <w:rFonts w:ascii="Arial" w:eastAsia="Calibri" w:hAnsi="Arial" w:cs="Arial" w:hint="default"/>
      </w:r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7">
    <w:nsid w:val="5E64669A"/>
    <w:multiLevelType w:val="hybridMultilevel"/>
    <w:tmpl w:val="9F8436F4"/>
    <w:lvl w:ilvl="0" w:tplc="4E7C3D66">
      <w:start w:val="4"/>
      <w:numFmt w:val="lowerLetter"/>
      <w:lvlText w:val="%1)"/>
      <w:lvlJc w:val="left"/>
      <w:pPr>
        <w:ind w:left="720" w:hanging="360"/>
      </w:pPr>
    </w:lvl>
    <w:lvl w:ilvl="1" w:tplc="A1C48246">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DD43F12"/>
    <w:multiLevelType w:val="hybridMultilevel"/>
    <w:tmpl w:val="EB88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B43CF2"/>
    <w:multiLevelType w:val="hybridMultilevel"/>
    <w:tmpl w:val="C336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6C7B23"/>
    <w:multiLevelType w:val="hybridMultilevel"/>
    <w:tmpl w:val="A5B0E158"/>
    <w:lvl w:ilvl="0" w:tplc="08090011">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1">
    <w:nsid w:val="7AB95677"/>
    <w:multiLevelType w:val="hybridMultilevel"/>
    <w:tmpl w:val="C52222C0"/>
    <w:lvl w:ilvl="0" w:tplc="08090017">
      <w:start w:val="1"/>
      <w:numFmt w:val="lowerLetter"/>
      <w:lvlText w:val="%1)"/>
      <w:lvlJc w:val="left"/>
      <w:pPr>
        <w:ind w:left="1571" w:hanging="360"/>
      </w:pPr>
    </w:lvl>
    <w:lvl w:ilvl="1" w:tplc="08090017">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num w:numId="1">
    <w:abstractNumId w:val="5"/>
  </w:num>
  <w:num w:numId="2">
    <w:abstractNumId w:val="18"/>
  </w:num>
  <w:num w:numId="3">
    <w:abstractNumId w:val="14"/>
  </w:num>
  <w:num w:numId="4">
    <w:abstractNumId w:val="6"/>
  </w:num>
  <w:num w:numId="5">
    <w:abstractNumId w:val="9"/>
  </w:num>
  <w:num w:numId="6">
    <w:abstractNumId w:val="11"/>
  </w:num>
  <w:num w:numId="7">
    <w:abstractNumId w:val="19"/>
  </w:num>
  <w:num w:numId="8">
    <w:abstractNumId w:val="2"/>
  </w:num>
  <w:num w:numId="9">
    <w:abstractNumId w:val="10"/>
  </w:num>
  <w:num w:numId="10">
    <w:abstractNumId w:val="4"/>
  </w:num>
  <w:num w:numId="11">
    <w:abstractNumId w:val="13"/>
  </w:num>
  <w:num w:numId="12">
    <w:abstractNumId w:val="3"/>
  </w:num>
  <w:num w:numId="13">
    <w:abstractNumId w:val="12"/>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0"/>
  </w:num>
  <w:num w:numId="21">
    <w:abstractNumId w:val="0"/>
  </w:num>
  <w:num w:numId="22">
    <w:abstractNumId w:val="21"/>
  </w:num>
  <w:num w:numId="23">
    <w:abstractNumId w:val="1"/>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16"/>
    <w:rsid w:val="000028C7"/>
    <w:rsid w:val="00010219"/>
    <w:rsid w:val="00015070"/>
    <w:rsid w:val="00031AA5"/>
    <w:rsid w:val="0003378F"/>
    <w:rsid w:val="00040FB5"/>
    <w:rsid w:val="000420EF"/>
    <w:rsid w:val="00044655"/>
    <w:rsid w:val="00047F6F"/>
    <w:rsid w:val="00056B13"/>
    <w:rsid w:val="00074E9E"/>
    <w:rsid w:val="00077778"/>
    <w:rsid w:val="00084D3A"/>
    <w:rsid w:val="00084FAE"/>
    <w:rsid w:val="00085F64"/>
    <w:rsid w:val="00091854"/>
    <w:rsid w:val="00093D5F"/>
    <w:rsid w:val="00095C9F"/>
    <w:rsid w:val="00097697"/>
    <w:rsid w:val="000A6100"/>
    <w:rsid w:val="000B618E"/>
    <w:rsid w:val="000B63E7"/>
    <w:rsid w:val="000B729E"/>
    <w:rsid w:val="000C0448"/>
    <w:rsid w:val="000C1C90"/>
    <w:rsid w:val="000C4E90"/>
    <w:rsid w:val="000C5A00"/>
    <w:rsid w:val="000C6A6B"/>
    <w:rsid w:val="000E3CC1"/>
    <w:rsid w:val="000F1478"/>
    <w:rsid w:val="000F22F3"/>
    <w:rsid w:val="000F3A2D"/>
    <w:rsid w:val="001047B3"/>
    <w:rsid w:val="00105CA7"/>
    <w:rsid w:val="00110131"/>
    <w:rsid w:val="001106DE"/>
    <w:rsid w:val="00115981"/>
    <w:rsid w:val="00115BA7"/>
    <w:rsid w:val="0012379F"/>
    <w:rsid w:val="00131205"/>
    <w:rsid w:val="00136280"/>
    <w:rsid w:val="00136C57"/>
    <w:rsid w:val="00137023"/>
    <w:rsid w:val="0014159D"/>
    <w:rsid w:val="001424B9"/>
    <w:rsid w:val="00151DBC"/>
    <w:rsid w:val="00153036"/>
    <w:rsid w:val="00161E36"/>
    <w:rsid w:val="00163484"/>
    <w:rsid w:val="0017512B"/>
    <w:rsid w:val="001757B7"/>
    <w:rsid w:val="00180CA7"/>
    <w:rsid w:val="00185D6F"/>
    <w:rsid w:val="00187CC2"/>
    <w:rsid w:val="00197A66"/>
    <w:rsid w:val="001C17A2"/>
    <w:rsid w:val="001C4846"/>
    <w:rsid w:val="001C4BF7"/>
    <w:rsid w:val="001C6F05"/>
    <w:rsid w:val="001D0C45"/>
    <w:rsid w:val="001D2EAC"/>
    <w:rsid w:val="001D4B4B"/>
    <w:rsid w:val="001D61DA"/>
    <w:rsid w:val="001E1AEA"/>
    <w:rsid w:val="001F15D9"/>
    <w:rsid w:val="001F216C"/>
    <w:rsid w:val="001F3AD7"/>
    <w:rsid w:val="001F6CE9"/>
    <w:rsid w:val="00201A75"/>
    <w:rsid w:val="00213664"/>
    <w:rsid w:val="002210A5"/>
    <w:rsid w:val="002216CD"/>
    <w:rsid w:val="0022437F"/>
    <w:rsid w:val="002279E9"/>
    <w:rsid w:val="00227E55"/>
    <w:rsid w:val="002318B9"/>
    <w:rsid w:val="00250B9C"/>
    <w:rsid w:val="00256824"/>
    <w:rsid w:val="00256CFF"/>
    <w:rsid w:val="0025775B"/>
    <w:rsid w:val="002611E5"/>
    <w:rsid w:val="00264BB6"/>
    <w:rsid w:val="00270BFA"/>
    <w:rsid w:val="00272B08"/>
    <w:rsid w:val="00281158"/>
    <w:rsid w:val="00284C93"/>
    <w:rsid w:val="00284DDD"/>
    <w:rsid w:val="00290F42"/>
    <w:rsid w:val="00296B7A"/>
    <w:rsid w:val="0029758F"/>
    <w:rsid w:val="002A2308"/>
    <w:rsid w:val="002B0622"/>
    <w:rsid w:val="002B0C98"/>
    <w:rsid w:val="002C4D4A"/>
    <w:rsid w:val="002D2576"/>
    <w:rsid w:val="002D2895"/>
    <w:rsid w:val="002D47A6"/>
    <w:rsid w:val="002E3045"/>
    <w:rsid w:val="002E5D3C"/>
    <w:rsid w:val="002F57FF"/>
    <w:rsid w:val="003100DD"/>
    <w:rsid w:val="003148A1"/>
    <w:rsid w:val="00317B56"/>
    <w:rsid w:val="00320AEE"/>
    <w:rsid w:val="00320C7E"/>
    <w:rsid w:val="003211EA"/>
    <w:rsid w:val="0032322B"/>
    <w:rsid w:val="00325066"/>
    <w:rsid w:val="00326437"/>
    <w:rsid w:val="003268F1"/>
    <w:rsid w:val="003319D7"/>
    <w:rsid w:val="00345A78"/>
    <w:rsid w:val="0034687D"/>
    <w:rsid w:val="003501D0"/>
    <w:rsid w:val="00350EB8"/>
    <w:rsid w:val="0035196F"/>
    <w:rsid w:val="00355ADE"/>
    <w:rsid w:val="003658E3"/>
    <w:rsid w:val="003720A6"/>
    <w:rsid w:val="0037592A"/>
    <w:rsid w:val="0037681E"/>
    <w:rsid w:val="00376D10"/>
    <w:rsid w:val="00392D00"/>
    <w:rsid w:val="00392EB4"/>
    <w:rsid w:val="00393E84"/>
    <w:rsid w:val="003A3182"/>
    <w:rsid w:val="003A73E6"/>
    <w:rsid w:val="003B3412"/>
    <w:rsid w:val="003B3CC5"/>
    <w:rsid w:val="003B45ED"/>
    <w:rsid w:val="003B6E3F"/>
    <w:rsid w:val="003C2FE1"/>
    <w:rsid w:val="003C3AEA"/>
    <w:rsid w:val="003C6430"/>
    <w:rsid w:val="003D099C"/>
    <w:rsid w:val="003D7725"/>
    <w:rsid w:val="003E0DFE"/>
    <w:rsid w:val="003E20DF"/>
    <w:rsid w:val="003E3E19"/>
    <w:rsid w:val="003E74A6"/>
    <w:rsid w:val="003F25E7"/>
    <w:rsid w:val="003F6449"/>
    <w:rsid w:val="003F69E5"/>
    <w:rsid w:val="00403503"/>
    <w:rsid w:val="00404583"/>
    <w:rsid w:val="00406E9C"/>
    <w:rsid w:val="00407610"/>
    <w:rsid w:val="00407F5F"/>
    <w:rsid w:val="0041223D"/>
    <w:rsid w:val="00412E07"/>
    <w:rsid w:val="00413433"/>
    <w:rsid w:val="00416D60"/>
    <w:rsid w:val="00421782"/>
    <w:rsid w:val="004266D7"/>
    <w:rsid w:val="00426BD7"/>
    <w:rsid w:val="00427992"/>
    <w:rsid w:val="00430F6A"/>
    <w:rsid w:val="00433559"/>
    <w:rsid w:val="00441B4D"/>
    <w:rsid w:val="00444FDD"/>
    <w:rsid w:val="00445EE9"/>
    <w:rsid w:val="0045267A"/>
    <w:rsid w:val="00456780"/>
    <w:rsid w:val="00456C9B"/>
    <w:rsid w:val="00456D7B"/>
    <w:rsid w:val="0046130D"/>
    <w:rsid w:val="00461ADA"/>
    <w:rsid w:val="00463D21"/>
    <w:rsid w:val="00467AD5"/>
    <w:rsid w:val="004800C8"/>
    <w:rsid w:val="00484DD6"/>
    <w:rsid w:val="00490244"/>
    <w:rsid w:val="00490CD0"/>
    <w:rsid w:val="00490F9F"/>
    <w:rsid w:val="00491894"/>
    <w:rsid w:val="0049255A"/>
    <w:rsid w:val="0049285D"/>
    <w:rsid w:val="00496171"/>
    <w:rsid w:val="004A4386"/>
    <w:rsid w:val="004A68CF"/>
    <w:rsid w:val="004B098B"/>
    <w:rsid w:val="004B2564"/>
    <w:rsid w:val="004B3EF2"/>
    <w:rsid w:val="004C0AA3"/>
    <w:rsid w:val="004C4BB8"/>
    <w:rsid w:val="004D01B7"/>
    <w:rsid w:val="004D1EF3"/>
    <w:rsid w:val="004D3D2D"/>
    <w:rsid w:val="004E0351"/>
    <w:rsid w:val="004E1FE3"/>
    <w:rsid w:val="004E3A85"/>
    <w:rsid w:val="004E3F7E"/>
    <w:rsid w:val="004E4828"/>
    <w:rsid w:val="004E4CA1"/>
    <w:rsid w:val="004E72ED"/>
    <w:rsid w:val="00500A17"/>
    <w:rsid w:val="00503DB1"/>
    <w:rsid w:val="00504A52"/>
    <w:rsid w:val="005054ED"/>
    <w:rsid w:val="0050747F"/>
    <w:rsid w:val="0052425C"/>
    <w:rsid w:val="00535DF8"/>
    <w:rsid w:val="0054559F"/>
    <w:rsid w:val="0055065D"/>
    <w:rsid w:val="005515AD"/>
    <w:rsid w:val="005552DC"/>
    <w:rsid w:val="00557C37"/>
    <w:rsid w:val="00560B15"/>
    <w:rsid w:val="00573A25"/>
    <w:rsid w:val="00573AA6"/>
    <w:rsid w:val="00576897"/>
    <w:rsid w:val="00577D64"/>
    <w:rsid w:val="0058637E"/>
    <w:rsid w:val="005B30F1"/>
    <w:rsid w:val="005B4C33"/>
    <w:rsid w:val="005C580F"/>
    <w:rsid w:val="005D002D"/>
    <w:rsid w:val="005D11D1"/>
    <w:rsid w:val="005D6405"/>
    <w:rsid w:val="005D69DB"/>
    <w:rsid w:val="005D6CD0"/>
    <w:rsid w:val="005E0E50"/>
    <w:rsid w:val="005E3209"/>
    <w:rsid w:val="005F11F5"/>
    <w:rsid w:val="0060103A"/>
    <w:rsid w:val="00602D91"/>
    <w:rsid w:val="0061514E"/>
    <w:rsid w:val="006160E2"/>
    <w:rsid w:val="00617BB7"/>
    <w:rsid w:val="0062001C"/>
    <w:rsid w:val="006264BC"/>
    <w:rsid w:val="006273AA"/>
    <w:rsid w:val="006323EE"/>
    <w:rsid w:val="00634CF3"/>
    <w:rsid w:val="00634D63"/>
    <w:rsid w:val="006379ED"/>
    <w:rsid w:val="006454E6"/>
    <w:rsid w:val="006472CF"/>
    <w:rsid w:val="00655960"/>
    <w:rsid w:val="00663C25"/>
    <w:rsid w:val="00686F83"/>
    <w:rsid w:val="00687012"/>
    <w:rsid w:val="00691B22"/>
    <w:rsid w:val="006A39CE"/>
    <w:rsid w:val="006A3B60"/>
    <w:rsid w:val="006A66BA"/>
    <w:rsid w:val="006B2D93"/>
    <w:rsid w:val="006C2698"/>
    <w:rsid w:val="006C69F8"/>
    <w:rsid w:val="006D03B0"/>
    <w:rsid w:val="006D0667"/>
    <w:rsid w:val="006D1654"/>
    <w:rsid w:val="006D1D61"/>
    <w:rsid w:val="006D2812"/>
    <w:rsid w:val="006E3B3D"/>
    <w:rsid w:val="006F4FF3"/>
    <w:rsid w:val="006F7D30"/>
    <w:rsid w:val="0070422C"/>
    <w:rsid w:val="00704E48"/>
    <w:rsid w:val="00705FC9"/>
    <w:rsid w:val="0071032C"/>
    <w:rsid w:val="007151D9"/>
    <w:rsid w:val="00715421"/>
    <w:rsid w:val="00722458"/>
    <w:rsid w:val="007229E8"/>
    <w:rsid w:val="00725628"/>
    <w:rsid w:val="007304F5"/>
    <w:rsid w:val="00731136"/>
    <w:rsid w:val="00731B80"/>
    <w:rsid w:val="00733135"/>
    <w:rsid w:val="00747447"/>
    <w:rsid w:val="00752617"/>
    <w:rsid w:val="0076656A"/>
    <w:rsid w:val="00774769"/>
    <w:rsid w:val="00774FB6"/>
    <w:rsid w:val="007810A9"/>
    <w:rsid w:val="007842CD"/>
    <w:rsid w:val="007865D0"/>
    <w:rsid w:val="007871BF"/>
    <w:rsid w:val="00792DB8"/>
    <w:rsid w:val="00794D84"/>
    <w:rsid w:val="007A0092"/>
    <w:rsid w:val="007A0DB4"/>
    <w:rsid w:val="007A1396"/>
    <w:rsid w:val="007A423F"/>
    <w:rsid w:val="007A77D1"/>
    <w:rsid w:val="007B3315"/>
    <w:rsid w:val="007B3323"/>
    <w:rsid w:val="007C498F"/>
    <w:rsid w:val="007C68EE"/>
    <w:rsid w:val="007D4288"/>
    <w:rsid w:val="007D5EB3"/>
    <w:rsid w:val="007E1D13"/>
    <w:rsid w:val="007E4E5E"/>
    <w:rsid w:val="007F02A6"/>
    <w:rsid w:val="007F45AF"/>
    <w:rsid w:val="007F619A"/>
    <w:rsid w:val="00806A03"/>
    <w:rsid w:val="008077D2"/>
    <w:rsid w:val="0081201C"/>
    <w:rsid w:val="00812775"/>
    <w:rsid w:val="0082720F"/>
    <w:rsid w:val="00836E66"/>
    <w:rsid w:val="008429D0"/>
    <w:rsid w:val="008457C5"/>
    <w:rsid w:val="008526DD"/>
    <w:rsid w:val="008601A3"/>
    <w:rsid w:val="00860F9A"/>
    <w:rsid w:val="0086336B"/>
    <w:rsid w:val="00863609"/>
    <w:rsid w:val="00865B35"/>
    <w:rsid w:val="008663F4"/>
    <w:rsid w:val="008701E8"/>
    <w:rsid w:val="00870797"/>
    <w:rsid w:val="00871756"/>
    <w:rsid w:val="008725AF"/>
    <w:rsid w:val="00877E10"/>
    <w:rsid w:val="00880D05"/>
    <w:rsid w:val="008815DC"/>
    <w:rsid w:val="00881661"/>
    <w:rsid w:val="00882E1C"/>
    <w:rsid w:val="00893FF5"/>
    <w:rsid w:val="00895D31"/>
    <w:rsid w:val="008A3B72"/>
    <w:rsid w:val="008A4A9F"/>
    <w:rsid w:val="008A5780"/>
    <w:rsid w:val="008B3F8F"/>
    <w:rsid w:val="008C0252"/>
    <w:rsid w:val="008C5150"/>
    <w:rsid w:val="008D2327"/>
    <w:rsid w:val="008D3F52"/>
    <w:rsid w:val="008D6AAA"/>
    <w:rsid w:val="008D6AF9"/>
    <w:rsid w:val="008E6F28"/>
    <w:rsid w:val="008E7009"/>
    <w:rsid w:val="008F3C2E"/>
    <w:rsid w:val="008F4472"/>
    <w:rsid w:val="008F63B7"/>
    <w:rsid w:val="008F6E87"/>
    <w:rsid w:val="008F71AF"/>
    <w:rsid w:val="00901263"/>
    <w:rsid w:val="00905DD8"/>
    <w:rsid w:val="0090768D"/>
    <w:rsid w:val="009144BB"/>
    <w:rsid w:val="00920C6A"/>
    <w:rsid w:val="0092714D"/>
    <w:rsid w:val="009317C5"/>
    <w:rsid w:val="00937377"/>
    <w:rsid w:val="009406D6"/>
    <w:rsid w:val="00942B53"/>
    <w:rsid w:val="009440C3"/>
    <w:rsid w:val="00944B29"/>
    <w:rsid w:val="00952E4D"/>
    <w:rsid w:val="00955BBB"/>
    <w:rsid w:val="00960D5C"/>
    <w:rsid w:val="00962739"/>
    <w:rsid w:val="0096486D"/>
    <w:rsid w:val="009667F5"/>
    <w:rsid w:val="009677E7"/>
    <w:rsid w:val="00971D7F"/>
    <w:rsid w:val="00973FA5"/>
    <w:rsid w:val="009761B8"/>
    <w:rsid w:val="0099483E"/>
    <w:rsid w:val="009A66BB"/>
    <w:rsid w:val="009A7428"/>
    <w:rsid w:val="009A7B22"/>
    <w:rsid w:val="009C47AA"/>
    <w:rsid w:val="009C5098"/>
    <w:rsid w:val="009C6150"/>
    <w:rsid w:val="009C653B"/>
    <w:rsid w:val="009D0001"/>
    <w:rsid w:val="009D0B64"/>
    <w:rsid w:val="009D1B6E"/>
    <w:rsid w:val="009D6975"/>
    <w:rsid w:val="009E26D6"/>
    <w:rsid w:val="009E33EA"/>
    <w:rsid w:val="009F355F"/>
    <w:rsid w:val="009F4267"/>
    <w:rsid w:val="009F42A0"/>
    <w:rsid w:val="00A00B63"/>
    <w:rsid w:val="00A024FA"/>
    <w:rsid w:val="00A02BA3"/>
    <w:rsid w:val="00A032B1"/>
    <w:rsid w:val="00A13345"/>
    <w:rsid w:val="00A13E08"/>
    <w:rsid w:val="00A164E5"/>
    <w:rsid w:val="00A2038B"/>
    <w:rsid w:val="00A2351C"/>
    <w:rsid w:val="00A251CE"/>
    <w:rsid w:val="00A3096B"/>
    <w:rsid w:val="00A32531"/>
    <w:rsid w:val="00A35FA2"/>
    <w:rsid w:val="00A43E42"/>
    <w:rsid w:val="00A503B1"/>
    <w:rsid w:val="00A53EB7"/>
    <w:rsid w:val="00A56B03"/>
    <w:rsid w:val="00A60EB0"/>
    <w:rsid w:val="00A614FB"/>
    <w:rsid w:val="00A716E8"/>
    <w:rsid w:val="00A85651"/>
    <w:rsid w:val="00A866CC"/>
    <w:rsid w:val="00A9106A"/>
    <w:rsid w:val="00A947DE"/>
    <w:rsid w:val="00A97B46"/>
    <w:rsid w:val="00AA09A6"/>
    <w:rsid w:val="00AB1A6A"/>
    <w:rsid w:val="00AB2F88"/>
    <w:rsid w:val="00AB4620"/>
    <w:rsid w:val="00AC747B"/>
    <w:rsid w:val="00AE0B03"/>
    <w:rsid w:val="00AE1196"/>
    <w:rsid w:val="00AE6ACE"/>
    <w:rsid w:val="00AF0B84"/>
    <w:rsid w:val="00AF0CAB"/>
    <w:rsid w:val="00AF19C4"/>
    <w:rsid w:val="00AF1C0B"/>
    <w:rsid w:val="00AF412F"/>
    <w:rsid w:val="00B0068A"/>
    <w:rsid w:val="00B06290"/>
    <w:rsid w:val="00B07952"/>
    <w:rsid w:val="00B12D27"/>
    <w:rsid w:val="00B20B20"/>
    <w:rsid w:val="00B31137"/>
    <w:rsid w:val="00B35D73"/>
    <w:rsid w:val="00B37620"/>
    <w:rsid w:val="00B37D39"/>
    <w:rsid w:val="00B424F7"/>
    <w:rsid w:val="00B43731"/>
    <w:rsid w:val="00B46043"/>
    <w:rsid w:val="00B46198"/>
    <w:rsid w:val="00B47164"/>
    <w:rsid w:val="00B609AC"/>
    <w:rsid w:val="00B669EA"/>
    <w:rsid w:val="00B77B97"/>
    <w:rsid w:val="00B80FFF"/>
    <w:rsid w:val="00B82B33"/>
    <w:rsid w:val="00B86E9E"/>
    <w:rsid w:val="00B95E37"/>
    <w:rsid w:val="00BA2A58"/>
    <w:rsid w:val="00BA3BF2"/>
    <w:rsid w:val="00BA67BF"/>
    <w:rsid w:val="00BC160E"/>
    <w:rsid w:val="00BC197F"/>
    <w:rsid w:val="00BC278C"/>
    <w:rsid w:val="00BC27EC"/>
    <w:rsid w:val="00BD34B6"/>
    <w:rsid w:val="00BE0DB2"/>
    <w:rsid w:val="00BE20A0"/>
    <w:rsid w:val="00BF5D31"/>
    <w:rsid w:val="00C01041"/>
    <w:rsid w:val="00C05C91"/>
    <w:rsid w:val="00C063C0"/>
    <w:rsid w:val="00C21A5D"/>
    <w:rsid w:val="00C269B0"/>
    <w:rsid w:val="00C31490"/>
    <w:rsid w:val="00C70932"/>
    <w:rsid w:val="00C70B34"/>
    <w:rsid w:val="00C70F7F"/>
    <w:rsid w:val="00C73AE8"/>
    <w:rsid w:val="00C80368"/>
    <w:rsid w:val="00C82264"/>
    <w:rsid w:val="00C87133"/>
    <w:rsid w:val="00C926DD"/>
    <w:rsid w:val="00CA065A"/>
    <w:rsid w:val="00CA4D14"/>
    <w:rsid w:val="00CA6DB3"/>
    <w:rsid w:val="00CB623D"/>
    <w:rsid w:val="00CC1CD1"/>
    <w:rsid w:val="00CE00E9"/>
    <w:rsid w:val="00CF11D8"/>
    <w:rsid w:val="00CF3334"/>
    <w:rsid w:val="00D01964"/>
    <w:rsid w:val="00D0700D"/>
    <w:rsid w:val="00D0722A"/>
    <w:rsid w:val="00D0724F"/>
    <w:rsid w:val="00D30D12"/>
    <w:rsid w:val="00D3217A"/>
    <w:rsid w:val="00D337BD"/>
    <w:rsid w:val="00D46B67"/>
    <w:rsid w:val="00D5118D"/>
    <w:rsid w:val="00D555CA"/>
    <w:rsid w:val="00D56B4D"/>
    <w:rsid w:val="00D61BC6"/>
    <w:rsid w:val="00D71969"/>
    <w:rsid w:val="00D73676"/>
    <w:rsid w:val="00D80654"/>
    <w:rsid w:val="00D82520"/>
    <w:rsid w:val="00D84AAF"/>
    <w:rsid w:val="00D95041"/>
    <w:rsid w:val="00D96061"/>
    <w:rsid w:val="00D9752B"/>
    <w:rsid w:val="00DA0570"/>
    <w:rsid w:val="00DA56F0"/>
    <w:rsid w:val="00DB1C25"/>
    <w:rsid w:val="00DB41EA"/>
    <w:rsid w:val="00DC39F8"/>
    <w:rsid w:val="00DC5766"/>
    <w:rsid w:val="00DD75D3"/>
    <w:rsid w:val="00DE0FCA"/>
    <w:rsid w:val="00DF1082"/>
    <w:rsid w:val="00DF35D5"/>
    <w:rsid w:val="00DF3876"/>
    <w:rsid w:val="00DF5571"/>
    <w:rsid w:val="00DF64EE"/>
    <w:rsid w:val="00DF6F57"/>
    <w:rsid w:val="00E072EE"/>
    <w:rsid w:val="00E11816"/>
    <w:rsid w:val="00E2585C"/>
    <w:rsid w:val="00E313E2"/>
    <w:rsid w:val="00E40F03"/>
    <w:rsid w:val="00E41107"/>
    <w:rsid w:val="00E425A6"/>
    <w:rsid w:val="00E52BD4"/>
    <w:rsid w:val="00E56A3D"/>
    <w:rsid w:val="00E64B47"/>
    <w:rsid w:val="00E73C3D"/>
    <w:rsid w:val="00E776F8"/>
    <w:rsid w:val="00E830BD"/>
    <w:rsid w:val="00E9548A"/>
    <w:rsid w:val="00EA0BF0"/>
    <w:rsid w:val="00EA45AD"/>
    <w:rsid w:val="00EB328D"/>
    <w:rsid w:val="00EC03D5"/>
    <w:rsid w:val="00EC1267"/>
    <w:rsid w:val="00EC53BA"/>
    <w:rsid w:val="00EC5F1B"/>
    <w:rsid w:val="00EC7541"/>
    <w:rsid w:val="00ED2219"/>
    <w:rsid w:val="00ED2FA1"/>
    <w:rsid w:val="00ED729C"/>
    <w:rsid w:val="00EE123C"/>
    <w:rsid w:val="00EE3FC8"/>
    <w:rsid w:val="00EE42A0"/>
    <w:rsid w:val="00EF2ED2"/>
    <w:rsid w:val="00EF32B5"/>
    <w:rsid w:val="00EF78C8"/>
    <w:rsid w:val="00F02447"/>
    <w:rsid w:val="00F156DC"/>
    <w:rsid w:val="00F27D91"/>
    <w:rsid w:val="00F328C4"/>
    <w:rsid w:val="00F33357"/>
    <w:rsid w:val="00F36F19"/>
    <w:rsid w:val="00F479A9"/>
    <w:rsid w:val="00F5209C"/>
    <w:rsid w:val="00F52364"/>
    <w:rsid w:val="00F614EC"/>
    <w:rsid w:val="00F625A9"/>
    <w:rsid w:val="00F64A4B"/>
    <w:rsid w:val="00F70713"/>
    <w:rsid w:val="00F70B75"/>
    <w:rsid w:val="00F71223"/>
    <w:rsid w:val="00F716B5"/>
    <w:rsid w:val="00F73911"/>
    <w:rsid w:val="00F8201F"/>
    <w:rsid w:val="00F869C0"/>
    <w:rsid w:val="00F87893"/>
    <w:rsid w:val="00F908C2"/>
    <w:rsid w:val="00F9208D"/>
    <w:rsid w:val="00F93356"/>
    <w:rsid w:val="00F978AA"/>
    <w:rsid w:val="00FA5F1B"/>
    <w:rsid w:val="00FB20C4"/>
    <w:rsid w:val="00FD1A58"/>
    <w:rsid w:val="00FD4E42"/>
    <w:rsid w:val="00FD6385"/>
    <w:rsid w:val="00FD6539"/>
    <w:rsid w:val="00FE751B"/>
    <w:rsid w:val="00FF3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105CA7"/>
    <w:pPr>
      <w:keepNext/>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1816"/>
    <w:pPr>
      <w:tabs>
        <w:tab w:val="center" w:pos="4513"/>
        <w:tab w:val="right" w:pos="9026"/>
      </w:tabs>
    </w:pPr>
    <w:rPr>
      <w:lang w:eastAsia="en-US"/>
    </w:rPr>
  </w:style>
  <w:style w:type="character" w:customStyle="1" w:styleId="HeaderChar">
    <w:name w:val="Header Char"/>
    <w:basedOn w:val="DefaultParagraphFont"/>
    <w:link w:val="Header"/>
    <w:rsid w:val="00E11816"/>
    <w:rPr>
      <w:sz w:val="24"/>
      <w:szCs w:val="24"/>
      <w:lang w:eastAsia="en-US"/>
    </w:rPr>
  </w:style>
  <w:style w:type="paragraph" w:styleId="Footer">
    <w:name w:val="footer"/>
    <w:basedOn w:val="Normal"/>
    <w:link w:val="FooterChar"/>
    <w:uiPriority w:val="99"/>
    <w:rsid w:val="00E11816"/>
    <w:pPr>
      <w:tabs>
        <w:tab w:val="center" w:pos="4513"/>
        <w:tab w:val="right" w:pos="9026"/>
      </w:tabs>
    </w:pPr>
    <w:rPr>
      <w:lang w:eastAsia="en-US"/>
    </w:rPr>
  </w:style>
  <w:style w:type="character" w:customStyle="1" w:styleId="FooterChar">
    <w:name w:val="Footer Char"/>
    <w:basedOn w:val="DefaultParagraphFont"/>
    <w:link w:val="Footer"/>
    <w:uiPriority w:val="99"/>
    <w:rsid w:val="00E11816"/>
    <w:rPr>
      <w:sz w:val="24"/>
      <w:szCs w:val="24"/>
      <w:lang w:eastAsia="en-US"/>
    </w:rPr>
  </w:style>
  <w:style w:type="character" w:styleId="Hyperlink">
    <w:name w:val="Hyperlink"/>
    <w:basedOn w:val="DefaultParagraphFont"/>
    <w:rsid w:val="00E11816"/>
    <w:rPr>
      <w:color w:val="0000FF" w:themeColor="hyperlink"/>
      <w:u w:val="single"/>
    </w:rPr>
  </w:style>
  <w:style w:type="character" w:styleId="FollowedHyperlink">
    <w:name w:val="FollowedHyperlink"/>
    <w:basedOn w:val="DefaultParagraphFont"/>
    <w:rsid w:val="00E11816"/>
    <w:rPr>
      <w:color w:val="800080" w:themeColor="followedHyperlink"/>
      <w:u w:val="single"/>
    </w:rPr>
  </w:style>
  <w:style w:type="paragraph" w:styleId="ListParagraph">
    <w:name w:val="List Paragraph"/>
    <w:basedOn w:val="Normal"/>
    <w:uiPriority w:val="99"/>
    <w:qFormat/>
    <w:rsid w:val="00FE751B"/>
    <w:pPr>
      <w:ind w:left="720"/>
      <w:contextualSpacing/>
    </w:pPr>
  </w:style>
  <w:style w:type="paragraph" w:styleId="BalloonText">
    <w:name w:val="Balloon Text"/>
    <w:basedOn w:val="Normal"/>
    <w:link w:val="BalloonTextChar"/>
    <w:rsid w:val="00BA3BF2"/>
    <w:rPr>
      <w:rFonts w:ascii="Tahoma" w:hAnsi="Tahoma" w:cs="Tahoma"/>
      <w:sz w:val="16"/>
      <w:szCs w:val="16"/>
    </w:rPr>
  </w:style>
  <w:style w:type="character" w:customStyle="1" w:styleId="BalloonTextChar">
    <w:name w:val="Balloon Text Char"/>
    <w:basedOn w:val="DefaultParagraphFont"/>
    <w:link w:val="BalloonText"/>
    <w:rsid w:val="00BA3BF2"/>
    <w:rPr>
      <w:rFonts w:ascii="Tahoma" w:hAnsi="Tahoma" w:cs="Tahoma"/>
      <w:sz w:val="16"/>
      <w:szCs w:val="16"/>
    </w:rPr>
  </w:style>
  <w:style w:type="character" w:styleId="CommentReference">
    <w:name w:val="annotation reference"/>
    <w:basedOn w:val="DefaultParagraphFont"/>
    <w:rsid w:val="00686F83"/>
    <w:rPr>
      <w:sz w:val="16"/>
      <w:szCs w:val="16"/>
    </w:rPr>
  </w:style>
  <w:style w:type="paragraph" w:styleId="CommentText">
    <w:name w:val="annotation text"/>
    <w:basedOn w:val="Normal"/>
    <w:link w:val="CommentTextChar"/>
    <w:rsid w:val="00686F83"/>
    <w:rPr>
      <w:sz w:val="20"/>
      <w:szCs w:val="20"/>
    </w:rPr>
  </w:style>
  <w:style w:type="character" w:customStyle="1" w:styleId="CommentTextChar">
    <w:name w:val="Comment Text Char"/>
    <w:basedOn w:val="DefaultParagraphFont"/>
    <w:link w:val="CommentText"/>
    <w:rsid w:val="00686F83"/>
  </w:style>
  <w:style w:type="paragraph" w:styleId="CommentSubject">
    <w:name w:val="annotation subject"/>
    <w:basedOn w:val="CommentText"/>
    <w:next w:val="CommentText"/>
    <w:link w:val="CommentSubjectChar"/>
    <w:rsid w:val="00686F83"/>
    <w:rPr>
      <w:b/>
      <w:bCs/>
    </w:rPr>
  </w:style>
  <w:style w:type="character" w:customStyle="1" w:styleId="CommentSubjectChar">
    <w:name w:val="Comment Subject Char"/>
    <w:basedOn w:val="CommentTextChar"/>
    <w:link w:val="CommentSubject"/>
    <w:rsid w:val="00686F83"/>
    <w:rPr>
      <w:b/>
      <w:bCs/>
    </w:rPr>
  </w:style>
  <w:style w:type="character" w:customStyle="1" w:styleId="Heading3Char">
    <w:name w:val="Heading 3 Char"/>
    <w:basedOn w:val="DefaultParagraphFont"/>
    <w:link w:val="Heading3"/>
    <w:uiPriority w:val="99"/>
    <w:rsid w:val="00105CA7"/>
    <w:rPr>
      <w:rFonts w:ascii="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105CA7"/>
    <w:pPr>
      <w:keepNext/>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1816"/>
    <w:pPr>
      <w:tabs>
        <w:tab w:val="center" w:pos="4513"/>
        <w:tab w:val="right" w:pos="9026"/>
      </w:tabs>
    </w:pPr>
    <w:rPr>
      <w:lang w:eastAsia="en-US"/>
    </w:rPr>
  </w:style>
  <w:style w:type="character" w:customStyle="1" w:styleId="HeaderChar">
    <w:name w:val="Header Char"/>
    <w:basedOn w:val="DefaultParagraphFont"/>
    <w:link w:val="Header"/>
    <w:rsid w:val="00E11816"/>
    <w:rPr>
      <w:sz w:val="24"/>
      <w:szCs w:val="24"/>
      <w:lang w:eastAsia="en-US"/>
    </w:rPr>
  </w:style>
  <w:style w:type="paragraph" w:styleId="Footer">
    <w:name w:val="footer"/>
    <w:basedOn w:val="Normal"/>
    <w:link w:val="FooterChar"/>
    <w:uiPriority w:val="99"/>
    <w:rsid w:val="00E11816"/>
    <w:pPr>
      <w:tabs>
        <w:tab w:val="center" w:pos="4513"/>
        <w:tab w:val="right" w:pos="9026"/>
      </w:tabs>
    </w:pPr>
    <w:rPr>
      <w:lang w:eastAsia="en-US"/>
    </w:rPr>
  </w:style>
  <w:style w:type="character" w:customStyle="1" w:styleId="FooterChar">
    <w:name w:val="Footer Char"/>
    <w:basedOn w:val="DefaultParagraphFont"/>
    <w:link w:val="Footer"/>
    <w:uiPriority w:val="99"/>
    <w:rsid w:val="00E11816"/>
    <w:rPr>
      <w:sz w:val="24"/>
      <w:szCs w:val="24"/>
      <w:lang w:eastAsia="en-US"/>
    </w:rPr>
  </w:style>
  <w:style w:type="character" w:styleId="Hyperlink">
    <w:name w:val="Hyperlink"/>
    <w:basedOn w:val="DefaultParagraphFont"/>
    <w:rsid w:val="00E11816"/>
    <w:rPr>
      <w:color w:val="0000FF" w:themeColor="hyperlink"/>
      <w:u w:val="single"/>
    </w:rPr>
  </w:style>
  <w:style w:type="character" w:styleId="FollowedHyperlink">
    <w:name w:val="FollowedHyperlink"/>
    <w:basedOn w:val="DefaultParagraphFont"/>
    <w:rsid w:val="00E11816"/>
    <w:rPr>
      <w:color w:val="800080" w:themeColor="followedHyperlink"/>
      <w:u w:val="single"/>
    </w:rPr>
  </w:style>
  <w:style w:type="paragraph" w:styleId="ListParagraph">
    <w:name w:val="List Paragraph"/>
    <w:basedOn w:val="Normal"/>
    <w:uiPriority w:val="99"/>
    <w:qFormat/>
    <w:rsid w:val="00FE751B"/>
    <w:pPr>
      <w:ind w:left="720"/>
      <w:contextualSpacing/>
    </w:pPr>
  </w:style>
  <w:style w:type="paragraph" w:styleId="BalloonText">
    <w:name w:val="Balloon Text"/>
    <w:basedOn w:val="Normal"/>
    <w:link w:val="BalloonTextChar"/>
    <w:rsid w:val="00BA3BF2"/>
    <w:rPr>
      <w:rFonts w:ascii="Tahoma" w:hAnsi="Tahoma" w:cs="Tahoma"/>
      <w:sz w:val="16"/>
      <w:szCs w:val="16"/>
    </w:rPr>
  </w:style>
  <w:style w:type="character" w:customStyle="1" w:styleId="BalloonTextChar">
    <w:name w:val="Balloon Text Char"/>
    <w:basedOn w:val="DefaultParagraphFont"/>
    <w:link w:val="BalloonText"/>
    <w:rsid w:val="00BA3BF2"/>
    <w:rPr>
      <w:rFonts w:ascii="Tahoma" w:hAnsi="Tahoma" w:cs="Tahoma"/>
      <w:sz w:val="16"/>
      <w:szCs w:val="16"/>
    </w:rPr>
  </w:style>
  <w:style w:type="character" w:styleId="CommentReference">
    <w:name w:val="annotation reference"/>
    <w:basedOn w:val="DefaultParagraphFont"/>
    <w:rsid w:val="00686F83"/>
    <w:rPr>
      <w:sz w:val="16"/>
      <w:szCs w:val="16"/>
    </w:rPr>
  </w:style>
  <w:style w:type="paragraph" w:styleId="CommentText">
    <w:name w:val="annotation text"/>
    <w:basedOn w:val="Normal"/>
    <w:link w:val="CommentTextChar"/>
    <w:rsid w:val="00686F83"/>
    <w:rPr>
      <w:sz w:val="20"/>
      <w:szCs w:val="20"/>
    </w:rPr>
  </w:style>
  <w:style w:type="character" w:customStyle="1" w:styleId="CommentTextChar">
    <w:name w:val="Comment Text Char"/>
    <w:basedOn w:val="DefaultParagraphFont"/>
    <w:link w:val="CommentText"/>
    <w:rsid w:val="00686F83"/>
  </w:style>
  <w:style w:type="paragraph" w:styleId="CommentSubject">
    <w:name w:val="annotation subject"/>
    <w:basedOn w:val="CommentText"/>
    <w:next w:val="CommentText"/>
    <w:link w:val="CommentSubjectChar"/>
    <w:rsid w:val="00686F83"/>
    <w:rPr>
      <w:b/>
      <w:bCs/>
    </w:rPr>
  </w:style>
  <w:style w:type="character" w:customStyle="1" w:styleId="CommentSubjectChar">
    <w:name w:val="Comment Subject Char"/>
    <w:basedOn w:val="CommentTextChar"/>
    <w:link w:val="CommentSubject"/>
    <w:rsid w:val="00686F83"/>
    <w:rPr>
      <w:b/>
      <w:bCs/>
    </w:rPr>
  </w:style>
  <w:style w:type="character" w:customStyle="1" w:styleId="Heading3Char">
    <w:name w:val="Heading 3 Char"/>
    <w:basedOn w:val="DefaultParagraphFont"/>
    <w:link w:val="Heading3"/>
    <w:uiPriority w:val="99"/>
    <w:rsid w:val="00105CA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A845-EA74-4D83-A359-EEFB0B19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B3747A2</Template>
  <TotalTime>0</TotalTime>
  <Pages>9</Pages>
  <Words>2440</Words>
  <Characters>13908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Turner</dc:creator>
  <cp:lastModifiedBy>Sangetha Rajasingham</cp:lastModifiedBy>
  <cp:revision>2</cp:revision>
  <cp:lastPrinted>2016-07-13T12:06:00Z</cp:lastPrinted>
  <dcterms:created xsi:type="dcterms:W3CDTF">2016-09-05T13:47:00Z</dcterms:created>
  <dcterms:modified xsi:type="dcterms:W3CDTF">2016-09-05T13:47:00Z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0dfaf2f7-e7d9-4070-8372-d554a274c742</vt:lpwstr>
  </property>
  <property fmtid="{D5CDD505-2E9C-101B-9397-08002B2CF9AE}" pid="3" name="HCAGPMS">
    <vt:lpwstr>OFFICIAL</vt:lpwstr>
  </property>
</Properties>
</file>