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EF2A4D" w14:textId="6F6D3079" w:rsidR="00E71B0C" w:rsidRPr="00457068" w:rsidRDefault="00FA4B00" w:rsidP="00457068">
      <w:pPr>
        <w:pStyle w:val="TSNumberedParagraph11"/>
        <w:numPr>
          <w:ilvl w:val="0"/>
          <w:numId w:val="0"/>
        </w:numPr>
        <w:tabs>
          <w:tab w:val="left" w:pos="2724"/>
          <w:tab w:val="center" w:pos="5233"/>
        </w:tabs>
        <w:ind w:left="567" w:hanging="567"/>
        <w:rPr>
          <w:rFonts w:asciiTheme="minorHAnsi" w:hAnsiTheme="minorHAnsi" w:cstheme="minorHAnsi"/>
          <w:b/>
          <w:sz w:val="28"/>
          <w:szCs w:val="28"/>
        </w:rPr>
      </w:pPr>
      <w:bookmarkStart w:id="0" w:name="_GoBack"/>
      <w:bookmarkEnd w:id="0"/>
      <w:r>
        <w:rPr>
          <w:rFonts w:asciiTheme="minorHAnsi" w:hAnsiTheme="minorHAnsi" w:cstheme="minorHAnsi"/>
          <w:b/>
          <w:sz w:val="24"/>
        </w:rPr>
        <w:t xml:space="preserve">                                                                                                                                                                                                                                                                                                                                                                                                                                                 </w:t>
      </w:r>
      <w:r w:rsidR="00457068">
        <w:rPr>
          <w:rFonts w:asciiTheme="minorHAnsi" w:hAnsiTheme="minorHAnsi" w:cstheme="minorHAnsi"/>
          <w:b/>
          <w:sz w:val="24"/>
        </w:rPr>
        <w:tab/>
      </w:r>
      <w:r w:rsidR="00457068">
        <w:rPr>
          <w:rFonts w:asciiTheme="minorHAnsi" w:hAnsiTheme="minorHAnsi" w:cstheme="minorHAnsi"/>
          <w:b/>
          <w:sz w:val="24"/>
        </w:rPr>
        <w:tab/>
      </w:r>
      <w:r w:rsidR="00AF4C0F" w:rsidRPr="00457068">
        <w:rPr>
          <w:rFonts w:asciiTheme="minorHAnsi" w:hAnsiTheme="minorHAnsi" w:cstheme="minorHAnsi"/>
          <w:b/>
          <w:sz w:val="28"/>
          <w:szCs w:val="28"/>
        </w:rPr>
        <w:t xml:space="preserve">Technical Support </w:t>
      </w:r>
      <w:r w:rsidR="00842FD6" w:rsidRPr="00457068">
        <w:rPr>
          <w:rFonts w:asciiTheme="minorHAnsi" w:hAnsiTheme="minorHAnsi" w:cstheme="minorHAnsi"/>
          <w:b/>
          <w:sz w:val="28"/>
          <w:szCs w:val="28"/>
        </w:rPr>
        <w:t>–</w:t>
      </w:r>
      <w:r w:rsidR="00AF4C0F" w:rsidRPr="00457068">
        <w:rPr>
          <w:rFonts w:asciiTheme="minorHAnsi" w:hAnsiTheme="minorHAnsi" w:cstheme="minorHAnsi"/>
          <w:b/>
          <w:sz w:val="28"/>
          <w:szCs w:val="28"/>
        </w:rPr>
        <w:t xml:space="preserve"> </w:t>
      </w:r>
      <w:r w:rsidR="00842FD6" w:rsidRPr="00457068">
        <w:rPr>
          <w:rFonts w:asciiTheme="minorHAnsi" w:hAnsiTheme="minorHAnsi" w:cstheme="minorHAnsi"/>
          <w:b/>
          <w:sz w:val="28"/>
          <w:szCs w:val="28"/>
        </w:rPr>
        <w:t xml:space="preserve">Work Order </w:t>
      </w:r>
      <w:r w:rsidR="00AF4C0F" w:rsidRPr="00457068">
        <w:rPr>
          <w:rFonts w:asciiTheme="minorHAnsi" w:hAnsiTheme="minorHAnsi" w:cstheme="minorHAnsi"/>
          <w:b/>
          <w:sz w:val="28"/>
          <w:szCs w:val="28"/>
        </w:rPr>
        <w:t>Specification</w:t>
      </w:r>
    </w:p>
    <w:tbl>
      <w:tblPr>
        <w:tblStyle w:val="TableGrid"/>
        <w:tblW w:w="0" w:type="auto"/>
        <w:jc w:val="center"/>
        <w:tblLook w:val="04A0" w:firstRow="1" w:lastRow="0" w:firstColumn="1" w:lastColumn="0" w:noHBand="0" w:noVBand="1"/>
      </w:tblPr>
      <w:tblGrid>
        <w:gridCol w:w="9709"/>
      </w:tblGrid>
      <w:tr w:rsidR="00AF4C0F" w:rsidRPr="003F1457" w14:paraId="41C15095" w14:textId="77777777" w:rsidTr="00971BA8">
        <w:trPr>
          <w:jc w:val="center"/>
        </w:trPr>
        <w:tc>
          <w:tcPr>
            <w:tcW w:w="9709" w:type="dxa"/>
            <w:shd w:val="clear" w:color="auto" w:fill="006D68"/>
          </w:tcPr>
          <w:p w14:paraId="2C367F60" w14:textId="77777777" w:rsidR="00AF4C0F" w:rsidRPr="002C62C2" w:rsidRDefault="00AF4C0F" w:rsidP="00147750">
            <w:pPr>
              <w:pStyle w:val="Header"/>
              <w:tabs>
                <w:tab w:val="left" w:pos="0"/>
              </w:tabs>
              <w:spacing w:before="120" w:after="120"/>
              <w:jc w:val="both"/>
              <w:rPr>
                <w:rFonts w:asciiTheme="minorHAnsi" w:hAnsiTheme="minorHAnsi" w:cstheme="minorHAnsi"/>
                <w:b/>
                <w:iCs/>
                <w:color w:val="FFFFFF" w:themeColor="background1"/>
                <w:sz w:val="24"/>
              </w:rPr>
            </w:pPr>
            <w:r w:rsidRPr="002C62C2">
              <w:rPr>
                <w:rFonts w:asciiTheme="minorHAnsi" w:hAnsiTheme="minorHAnsi" w:cstheme="minorHAnsi"/>
                <w:b/>
                <w:iCs/>
                <w:color w:val="FFFFFF" w:themeColor="background1"/>
                <w:sz w:val="24"/>
              </w:rPr>
              <w:t xml:space="preserve">Title:  Provision of </w:t>
            </w:r>
            <w:r w:rsidR="00C733A6">
              <w:rPr>
                <w:rFonts w:asciiTheme="minorHAnsi" w:hAnsiTheme="minorHAnsi" w:cstheme="minorHAnsi"/>
                <w:b/>
                <w:iCs/>
                <w:color w:val="FFFFFF" w:themeColor="background1"/>
                <w:sz w:val="24"/>
              </w:rPr>
              <w:t xml:space="preserve">Embedded </w:t>
            </w:r>
            <w:r w:rsidR="00BA7C51" w:rsidRPr="00BA7C51">
              <w:rPr>
                <w:rFonts w:asciiTheme="minorHAnsi" w:hAnsiTheme="minorHAnsi" w:cstheme="minorHAnsi"/>
                <w:b/>
                <w:iCs/>
                <w:color w:val="FFFFFF" w:themeColor="background1"/>
                <w:sz w:val="24"/>
              </w:rPr>
              <w:t xml:space="preserve">Technical </w:t>
            </w:r>
            <w:r w:rsidR="00147750">
              <w:rPr>
                <w:rFonts w:asciiTheme="minorHAnsi" w:hAnsiTheme="minorHAnsi" w:cstheme="minorHAnsi"/>
                <w:b/>
                <w:iCs/>
                <w:color w:val="FFFFFF" w:themeColor="background1"/>
                <w:sz w:val="24"/>
              </w:rPr>
              <w:t>Support to Assist with ONR’s Step 4 Chemistry Assessment in the Generic Design Assessment (GDA) of UK HPR1000</w:t>
            </w:r>
          </w:p>
        </w:tc>
      </w:tr>
      <w:tr w:rsidR="00AF4C0F" w14:paraId="691C9AB0" w14:textId="77777777" w:rsidTr="00971BA8">
        <w:trPr>
          <w:jc w:val="center"/>
        </w:trPr>
        <w:tc>
          <w:tcPr>
            <w:tcW w:w="9709" w:type="dxa"/>
          </w:tcPr>
          <w:p w14:paraId="303D3248"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Background to the project</w:t>
            </w:r>
          </w:p>
          <w:p w14:paraId="36BEB8F1" w14:textId="77777777" w:rsidR="003A6A70" w:rsidRPr="003A6A70" w:rsidRDefault="003A6A70" w:rsidP="003A6A70">
            <w:pPr>
              <w:pStyle w:val="TSNumberedParagraph11"/>
              <w:rPr>
                <w:rFonts w:asciiTheme="minorHAnsi" w:hAnsiTheme="minorHAnsi"/>
                <w:szCs w:val="22"/>
              </w:rPr>
            </w:pPr>
            <w:r w:rsidRPr="00DE0E73">
              <w:rPr>
                <w:rFonts w:asciiTheme="minorHAnsi" w:hAnsiTheme="minorHAnsi"/>
                <w:szCs w:val="22"/>
              </w:rPr>
              <w:t xml:space="preserve">In January 2017 the UK Government formally asked ONR and EA to begin the </w:t>
            </w:r>
            <w:r>
              <w:rPr>
                <w:rFonts w:asciiTheme="minorHAnsi" w:hAnsiTheme="minorHAnsi"/>
                <w:szCs w:val="22"/>
              </w:rPr>
              <w:t>Generic Design Assessment (</w:t>
            </w:r>
            <w:r w:rsidRPr="00DE0E73">
              <w:rPr>
                <w:rFonts w:asciiTheme="minorHAnsi" w:hAnsiTheme="minorHAnsi"/>
                <w:szCs w:val="22"/>
              </w:rPr>
              <w:t>GDA</w:t>
            </w:r>
            <w:r>
              <w:rPr>
                <w:rFonts w:asciiTheme="minorHAnsi" w:hAnsiTheme="minorHAnsi"/>
                <w:szCs w:val="22"/>
              </w:rPr>
              <w:t>)</w:t>
            </w:r>
            <w:r w:rsidRPr="00DE0E73">
              <w:rPr>
                <w:rFonts w:asciiTheme="minorHAnsi" w:hAnsiTheme="minorHAnsi"/>
                <w:szCs w:val="22"/>
              </w:rPr>
              <w:t xml:space="preserve"> of the UK HPR1000. The UK HPR1000 is a reactor design proposed for deployment at </w:t>
            </w:r>
            <w:r>
              <w:rPr>
                <w:rFonts w:asciiTheme="minorHAnsi" w:hAnsiTheme="minorHAnsi"/>
                <w:szCs w:val="22"/>
              </w:rPr>
              <w:t>Brad</w:t>
            </w:r>
            <w:r w:rsidRPr="00DE0E73">
              <w:rPr>
                <w:rFonts w:asciiTheme="minorHAnsi" w:hAnsiTheme="minorHAnsi"/>
                <w:szCs w:val="22"/>
              </w:rPr>
              <w:t>well-on-Sea, Essex. General Nuclear System LTD (GNS) is a UK-registered company that was established as the Requesting Party (RP) to implement the GDA o</w:t>
            </w:r>
            <w:r>
              <w:rPr>
                <w:rFonts w:asciiTheme="minorHAnsi" w:hAnsiTheme="minorHAnsi"/>
                <w:szCs w:val="22"/>
              </w:rPr>
              <w:t>f</w:t>
            </w:r>
            <w:r w:rsidRPr="00DE0E73">
              <w:rPr>
                <w:rFonts w:asciiTheme="minorHAnsi" w:hAnsiTheme="minorHAnsi"/>
                <w:szCs w:val="22"/>
              </w:rPr>
              <w:t xml:space="preserve"> the UK HPR1000 reactor on behalf of three joint requesting parties, i.e. China General Nuclear Power Corporation (CGN), EDF and General Nuclear International (GNI).</w:t>
            </w:r>
          </w:p>
          <w:p w14:paraId="4DC9C5A6" w14:textId="77777777" w:rsidR="00FA5466" w:rsidRDefault="00FA5466" w:rsidP="00FA5466">
            <w:pPr>
              <w:pStyle w:val="TSNumberedParagraph11"/>
              <w:rPr>
                <w:rFonts w:asciiTheme="minorHAnsi" w:hAnsiTheme="minorHAnsi"/>
                <w:szCs w:val="22"/>
              </w:rPr>
            </w:pPr>
            <w:r w:rsidRPr="00DE0E73">
              <w:rPr>
                <w:rFonts w:asciiTheme="minorHAnsi" w:hAnsiTheme="minorHAnsi"/>
                <w:szCs w:val="22"/>
              </w:rPr>
              <w:t>The GDA process calls for a s</w:t>
            </w:r>
            <w:r>
              <w:rPr>
                <w:rFonts w:asciiTheme="minorHAnsi" w:hAnsiTheme="minorHAnsi"/>
                <w:szCs w:val="22"/>
              </w:rPr>
              <w:t xml:space="preserve">tep-wise assessment of the RP’s </w:t>
            </w:r>
            <w:r w:rsidRPr="00DE0E73">
              <w:rPr>
                <w:rFonts w:asciiTheme="minorHAnsi" w:hAnsiTheme="minorHAnsi"/>
                <w:szCs w:val="22"/>
              </w:rPr>
              <w:t>safety and security submissions with the assessments increasing in detail as the project progresses. Step 1 of the UK HPR1000 GDA commenced in January 2017 and Step 2 finished in November 2018. Step 3 commenced on 15 November 2</w:t>
            </w:r>
            <w:r>
              <w:rPr>
                <w:rFonts w:asciiTheme="minorHAnsi" w:hAnsiTheme="minorHAnsi"/>
                <w:szCs w:val="22"/>
              </w:rPr>
              <w:t>018 and complete</w:t>
            </w:r>
            <w:r w:rsidR="00147750">
              <w:rPr>
                <w:rFonts w:asciiTheme="minorHAnsi" w:hAnsiTheme="minorHAnsi"/>
                <w:szCs w:val="22"/>
              </w:rPr>
              <w:t>d</w:t>
            </w:r>
            <w:r>
              <w:rPr>
                <w:rFonts w:asciiTheme="minorHAnsi" w:hAnsiTheme="minorHAnsi"/>
                <w:szCs w:val="22"/>
              </w:rPr>
              <w:t xml:space="preserve"> </w:t>
            </w:r>
            <w:r w:rsidR="00147750">
              <w:rPr>
                <w:rFonts w:asciiTheme="minorHAnsi" w:hAnsiTheme="minorHAnsi"/>
                <w:szCs w:val="22"/>
              </w:rPr>
              <w:t>in</w:t>
            </w:r>
            <w:r>
              <w:rPr>
                <w:rFonts w:asciiTheme="minorHAnsi" w:hAnsiTheme="minorHAnsi"/>
                <w:szCs w:val="22"/>
              </w:rPr>
              <w:t xml:space="preserve"> February 2020</w:t>
            </w:r>
            <w:r w:rsidR="003308F9">
              <w:rPr>
                <w:rFonts w:asciiTheme="minorHAnsi" w:hAnsiTheme="minorHAnsi"/>
                <w:szCs w:val="22"/>
              </w:rPr>
              <w:t xml:space="preserve"> with entry to Step 4</w:t>
            </w:r>
            <w:r w:rsidRPr="00DE0E73">
              <w:rPr>
                <w:rFonts w:asciiTheme="minorHAnsi" w:hAnsiTheme="minorHAnsi"/>
                <w:szCs w:val="22"/>
              </w:rPr>
              <w:t>.</w:t>
            </w:r>
            <w:r>
              <w:rPr>
                <w:rFonts w:asciiTheme="minorHAnsi" w:hAnsiTheme="minorHAnsi"/>
                <w:szCs w:val="22"/>
              </w:rPr>
              <w:t xml:space="preserve">  The ONR</w:t>
            </w:r>
            <w:r w:rsidR="00247A67">
              <w:rPr>
                <w:rFonts w:asciiTheme="minorHAnsi" w:hAnsiTheme="minorHAnsi"/>
                <w:szCs w:val="22"/>
              </w:rPr>
              <w:t xml:space="preserve"> </w:t>
            </w:r>
            <w:r w:rsidR="00147750">
              <w:rPr>
                <w:rFonts w:asciiTheme="minorHAnsi" w:hAnsiTheme="minorHAnsi"/>
                <w:szCs w:val="22"/>
              </w:rPr>
              <w:t>Chemistry</w:t>
            </w:r>
            <w:r>
              <w:rPr>
                <w:rFonts w:asciiTheme="minorHAnsi" w:hAnsiTheme="minorHAnsi"/>
                <w:szCs w:val="22"/>
              </w:rPr>
              <w:t xml:space="preserve"> </w:t>
            </w:r>
            <w:r w:rsidRPr="00DE0E73">
              <w:rPr>
                <w:rFonts w:asciiTheme="minorHAnsi" w:hAnsiTheme="minorHAnsi"/>
                <w:szCs w:val="22"/>
              </w:rPr>
              <w:t>Assessment Report for Step 2 of the</w:t>
            </w:r>
            <w:r w:rsidR="00247A67">
              <w:rPr>
                <w:rFonts w:asciiTheme="minorHAnsi" w:hAnsiTheme="minorHAnsi"/>
                <w:szCs w:val="22"/>
              </w:rPr>
              <w:t xml:space="preserve"> UK HPR1000 GDA is available at</w:t>
            </w:r>
            <w:r w:rsidRPr="00DE0E73">
              <w:rPr>
                <w:rFonts w:asciiTheme="minorHAnsi" w:hAnsiTheme="minorHAnsi"/>
                <w:szCs w:val="22"/>
              </w:rPr>
              <w:t xml:space="preserve">:  </w:t>
            </w:r>
          </w:p>
          <w:p w14:paraId="50B051D0" w14:textId="77777777" w:rsidR="005B2491" w:rsidRPr="00DE0E73" w:rsidRDefault="00D26C98" w:rsidP="00622BCA">
            <w:pPr>
              <w:pStyle w:val="TSNumberedParagraph11"/>
              <w:numPr>
                <w:ilvl w:val="0"/>
                <w:numId w:val="0"/>
              </w:numPr>
              <w:ind w:left="720"/>
              <w:rPr>
                <w:rFonts w:asciiTheme="minorHAnsi" w:hAnsiTheme="minorHAnsi"/>
                <w:szCs w:val="22"/>
              </w:rPr>
            </w:pPr>
            <w:hyperlink r:id="rId11" w:history="1">
              <w:r w:rsidR="005B2491" w:rsidRPr="00924835">
                <w:rPr>
                  <w:rStyle w:val="Hyperlink"/>
                  <w:rFonts w:asciiTheme="minorHAnsi" w:hAnsiTheme="minorHAnsi"/>
                  <w:szCs w:val="22"/>
                </w:rPr>
                <w:t>http://www.onr.org.uk/new-reactors/uk-hpr1000/reports.htm</w:t>
              </w:r>
            </w:hyperlink>
            <w:r w:rsidR="005B2491">
              <w:rPr>
                <w:rFonts w:asciiTheme="minorHAnsi" w:hAnsiTheme="minorHAnsi"/>
                <w:szCs w:val="22"/>
              </w:rPr>
              <w:t xml:space="preserve"> </w:t>
            </w:r>
          </w:p>
          <w:p w14:paraId="173F709B" w14:textId="77777777" w:rsidR="00FA5466" w:rsidRDefault="00247A67" w:rsidP="00147750">
            <w:pPr>
              <w:pStyle w:val="TSNumberedParagraph11"/>
              <w:rPr>
                <w:rFonts w:asciiTheme="minorHAnsi" w:hAnsiTheme="minorHAnsi"/>
                <w:szCs w:val="22"/>
              </w:rPr>
            </w:pPr>
            <w:r>
              <w:rPr>
                <w:rFonts w:asciiTheme="minorHAnsi" w:hAnsiTheme="minorHAnsi" w:cstheme="minorHAnsi"/>
              </w:rPr>
              <w:t xml:space="preserve">In undertaking assessment activities, </w:t>
            </w:r>
            <w:r w:rsidR="00FA5466" w:rsidRPr="00DE0E73">
              <w:rPr>
                <w:rFonts w:asciiTheme="minorHAnsi" w:hAnsiTheme="minorHAnsi"/>
                <w:szCs w:val="22"/>
              </w:rPr>
              <w:t>ONR often calls upon technical support contractors (TSCs) to provide expert, independent advice in specialised areas, in support of its overall judgements regarding the acceptability of the design or supporting safety case presented by an RP during GDA.  ONR have identified that such support</w:t>
            </w:r>
            <w:r w:rsidR="00FA5466">
              <w:rPr>
                <w:rFonts w:asciiTheme="minorHAnsi" w:hAnsiTheme="minorHAnsi"/>
                <w:szCs w:val="22"/>
              </w:rPr>
              <w:t xml:space="preserve"> is required for Step 4</w:t>
            </w:r>
            <w:r w:rsidR="00FA5466" w:rsidRPr="00DE0E73">
              <w:rPr>
                <w:rFonts w:asciiTheme="minorHAnsi" w:hAnsiTheme="minorHAnsi"/>
                <w:szCs w:val="22"/>
              </w:rPr>
              <w:t xml:space="preserve"> of GDA</w:t>
            </w:r>
            <w:r>
              <w:rPr>
                <w:rFonts w:asciiTheme="minorHAnsi" w:hAnsiTheme="minorHAnsi"/>
                <w:szCs w:val="22"/>
              </w:rPr>
              <w:t xml:space="preserve"> in the </w:t>
            </w:r>
            <w:r w:rsidR="00147750">
              <w:rPr>
                <w:rFonts w:asciiTheme="minorHAnsi" w:hAnsiTheme="minorHAnsi"/>
                <w:szCs w:val="22"/>
              </w:rPr>
              <w:t>chemistry</w:t>
            </w:r>
            <w:r w:rsidR="00FA5466">
              <w:rPr>
                <w:rFonts w:asciiTheme="minorHAnsi" w:hAnsiTheme="minorHAnsi"/>
                <w:szCs w:val="22"/>
              </w:rPr>
              <w:t xml:space="preserve"> topic, to </w:t>
            </w:r>
            <w:r w:rsidR="00147750">
              <w:rPr>
                <w:rFonts w:asciiTheme="minorHAnsi" w:hAnsiTheme="minorHAnsi"/>
                <w:szCs w:val="22"/>
              </w:rPr>
              <w:t>assist with a sampling assessment</w:t>
            </w:r>
            <w:r w:rsidR="00FA5466">
              <w:rPr>
                <w:rFonts w:asciiTheme="minorHAnsi" w:hAnsiTheme="minorHAnsi"/>
                <w:szCs w:val="22"/>
              </w:rPr>
              <w:t xml:space="preserve"> of </w:t>
            </w:r>
            <w:r w:rsidR="00147750">
              <w:rPr>
                <w:rFonts w:asciiTheme="minorHAnsi" w:hAnsiTheme="minorHAnsi"/>
                <w:szCs w:val="22"/>
              </w:rPr>
              <w:t>chemistry-related submissions provided to ONR.</w:t>
            </w:r>
          </w:p>
          <w:p w14:paraId="77CFAE31" w14:textId="77777777" w:rsidR="003308F9" w:rsidRPr="001D637F" w:rsidRDefault="003308F9" w:rsidP="003308F9">
            <w:pPr>
              <w:pStyle w:val="TSNumberedParagraph11"/>
              <w:rPr>
                <w:rFonts w:asciiTheme="minorHAnsi" w:hAnsiTheme="minorHAnsi"/>
              </w:rPr>
            </w:pPr>
            <w:r>
              <w:rPr>
                <w:rFonts w:asciiTheme="minorHAnsi" w:hAnsiTheme="minorHAnsi"/>
                <w:szCs w:val="22"/>
              </w:rPr>
              <w:t xml:space="preserve">More detail on the exact nature of the scope of the services required is provided in Section 2 below, however the main </w:t>
            </w:r>
            <w:r w:rsidRPr="00FA5466">
              <w:rPr>
                <w:rFonts w:asciiTheme="minorHAnsi" w:hAnsiTheme="minorHAnsi"/>
                <w:szCs w:val="22"/>
              </w:rPr>
              <w:t>purpose</w:t>
            </w:r>
            <w:r>
              <w:rPr>
                <w:rFonts w:asciiTheme="minorHAnsi" w:hAnsiTheme="minorHAnsi"/>
                <w:szCs w:val="22"/>
              </w:rPr>
              <w:t xml:space="preserve"> of </w:t>
            </w:r>
            <w:r w:rsidRPr="00FA5466">
              <w:rPr>
                <w:rFonts w:asciiTheme="minorHAnsi" w:hAnsiTheme="minorHAnsi"/>
                <w:szCs w:val="22"/>
              </w:rPr>
              <w:t>this contract</w:t>
            </w:r>
            <w:r>
              <w:rPr>
                <w:rFonts w:asciiTheme="minorHAnsi" w:hAnsiTheme="minorHAnsi"/>
                <w:szCs w:val="22"/>
              </w:rPr>
              <w:t xml:space="preserve"> is to provide embedded technical support to ONR in the chemistry topic during Step 4 of the GDA of UK HPR1000.</w:t>
            </w:r>
          </w:p>
          <w:p w14:paraId="755A7D5E" w14:textId="77777777" w:rsidR="003308F9" w:rsidRDefault="00A40EB1" w:rsidP="003308F9">
            <w:pPr>
              <w:pStyle w:val="TSNumberedParagraph11"/>
              <w:rPr>
                <w:rFonts w:asciiTheme="minorHAnsi" w:hAnsiTheme="minorHAnsi"/>
                <w:szCs w:val="22"/>
              </w:rPr>
            </w:pPr>
            <w:r>
              <w:rPr>
                <w:rFonts w:asciiTheme="minorHAnsi" w:hAnsiTheme="minorHAnsi"/>
                <w:szCs w:val="22"/>
              </w:rPr>
              <w:t xml:space="preserve">This </w:t>
            </w:r>
            <w:r w:rsidR="003308F9">
              <w:rPr>
                <w:rFonts w:asciiTheme="minorHAnsi" w:hAnsiTheme="minorHAnsi"/>
                <w:szCs w:val="22"/>
              </w:rPr>
              <w:t>purpose will input into the basis of ONR’s Step 4 chemistry assessment of the UK HPR1000 design. ONR will therefore use the outputs of this contract to:</w:t>
            </w:r>
          </w:p>
          <w:p w14:paraId="2B886AD2" w14:textId="77777777" w:rsidR="003308F9" w:rsidRPr="001D637F" w:rsidRDefault="00A40EB1" w:rsidP="003308F9">
            <w:pPr>
              <w:pStyle w:val="TSBullet1Square"/>
              <w:spacing w:after="120"/>
              <w:contextualSpacing w:val="0"/>
              <w:rPr>
                <w:rFonts w:asciiTheme="minorHAnsi" w:hAnsiTheme="minorHAnsi"/>
              </w:rPr>
            </w:pPr>
            <w:r>
              <w:rPr>
                <w:rFonts w:asciiTheme="minorHAnsi" w:hAnsiTheme="minorHAnsi"/>
              </w:rPr>
              <w:t>J</w:t>
            </w:r>
            <w:r w:rsidR="003308F9" w:rsidRPr="001D637F">
              <w:rPr>
                <w:rFonts w:asciiTheme="minorHAnsi" w:hAnsiTheme="minorHAnsi"/>
              </w:rPr>
              <w:t xml:space="preserve">udge if the claims and arguments </w:t>
            </w:r>
            <w:r w:rsidR="006D72C3">
              <w:rPr>
                <w:rFonts w:asciiTheme="minorHAnsi" w:hAnsiTheme="minorHAnsi"/>
              </w:rPr>
              <w:t xml:space="preserve">presented in the RP’s Step 4 chemistry submissions </w:t>
            </w:r>
            <w:r w:rsidR="003308F9" w:rsidRPr="001D637F">
              <w:rPr>
                <w:rFonts w:asciiTheme="minorHAnsi" w:hAnsiTheme="minorHAnsi"/>
              </w:rPr>
              <w:t>are adequate and to judge whether suitable and sufficient evidence has been provided by the RP to substantiate them;</w:t>
            </w:r>
          </w:p>
          <w:p w14:paraId="2B76D4E1" w14:textId="77777777" w:rsidR="003308F9" w:rsidRPr="001D637F" w:rsidRDefault="00A40EB1" w:rsidP="003308F9">
            <w:pPr>
              <w:pStyle w:val="TSBullet1Square"/>
              <w:spacing w:after="120"/>
              <w:contextualSpacing w:val="0"/>
              <w:rPr>
                <w:rFonts w:asciiTheme="minorHAnsi" w:hAnsiTheme="minorHAnsi"/>
              </w:rPr>
            </w:pPr>
            <w:r>
              <w:rPr>
                <w:rFonts w:asciiTheme="minorHAnsi" w:hAnsiTheme="minorHAnsi"/>
              </w:rPr>
              <w:t>D</w:t>
            </w:r>
            <w:r w:rsidR="003308F9" w:rsidRPr="001D637F">
              <w:rPr>
                <w:rFonts w:asciiTheme="minorHAnsi" w:hAnsiTheme="minorHAnsi"/>
              </w:rPr>
              <w:t>etermine if the RP ha</w:t>
            </w:r>
            <w:r w:rsidR="00A75DE6">
              <w:rPr>
                <w:rFonts w:asciiTheme="minorHAnsi" w:hAnsiTheme="minorHAnsi"/>
              </w:rPr>
              <w:t>s</w:t>
            </w:r>
            <w:r w:rsidR="003308F9" w:rsidRPr="001D637F">
              <w:rPr>
                <w:rFonts w:asciiTheme="minorHAnsi" w:hAnsiTheme="minorHAnsi"/>
              </w:rPr>
              <w:t xml:space="preserve"> identified the most safety significant aspects concerned with making the “</w:t>
            </w:r>
            <w:r w:rsidR="003308F9">
              <w:rPr>
                <w:rFonts w:asciiTheme="minorHAnsi" w:hAnsiTheme="minorHAnsi"/>
              </w:rPr>
              <w:t>chemistry</w:t>
            </w:r>
            <w:r w:rsidR="003308F9" w:rsidRPr="001D637F">
              <w:rPr>
                <w:rFonts w:asciiTheme="minorHAnsi" w:hAnsiTheme="minorHAnsi"/>
              </w:rPr>
              <w:t xml:space="preserve"> safety case” for UK HPR1000;</w:t>
            </w:r>
          </w:p>
          <w:p w14:paraId="3ABBCD4E" w14:textId="77777777" w:rsidR="003308F9" w:rsidRDefault="00A40EB1" w:rsidP="003F1BBC">
            <w:pPr>
              <w:pStyle w:val="TSBullet1Square"/>
              <w:spacing w:after="120"/>
              <w:contextualSpacing w:val="0"/>
              <w:rPr>
                <w:rFonts w:asciiTheme="minorHAnsi" w:hAnsiTheme="minorHAnsi"/>
              </w:rPr>
            </w:pPr>
            <w:r>
              <w:rPr>
                <w:rFonts w:asciiTheme="minorHAnsi" w:hAnsiTheme="minorHAnsi"/>
              </w:rPr>
              <w:t>B</w:t>
            </w:r>
            <w:r w:rsidR="003308F9" w:rsidRPr="001D637F">
              <w:rPr>
                <w:rFonts w:asciiTheme="minorHAnsi" w:hAnsiTheme="minorHAnsi"/>
              </w:rPr>
              <w:t>e satisfied the RP’s approach to making the “</w:t>
            </w:r>
            <w:r>
              <w:rPr>
                <w:rFonts w:asciiTheme="minorHAnsi" w:hAnsiTheme="minorHAnsi"/>
              </w:rPr>
              <w:t>chemistry</w:t>
            </w:r>
            <w:r w:rsidR="003308F9" w:rsidRPr="001D637F">
              <w:rPr>
                <w:rFonts w:asciiTheme="minorHAnsi" w:hAnsiTheme="minorHAnsi"/>
              </w:rPr>
              <w:t xml:space="preserve"> safety case” for UK HPR1000 meets relevant good practice when judged against comparable reactor technologies and the expectations of ONR’s relevant Technical Assessment Guides (TAGs), Safety Assessment Principles (SAPs) and other relevant standards</w:t>
            </w:r>
            <w:r>
              <w:rPr>
                <w:rFonts w:asciiTheme="minorHAnsi" w:hAnsiTheme="minorHAnsi"/>
              </w:rPr>
              <w:t>.</w:t>
            </w:r>
          </w:p>
          <w:p w14:paraId="08D1865F" w14:textId="40669701" w:rsidR="00445DFA" w:rsidRPr="00A40EB1" w:rsidRDefault="00445DFA" w:rsidP="00445DFA">
            <w:pPr>
              <w:pStyle w:val="TSBullet1Square"/>
              <w:numPr>
                <w:ilvl w:val="0"/>
                <w:numId w:val="0"/>
              </w:numPr>
              <w:spacing w:after="120"/>
              <w:ind w:left="1440"/>
              <w:contextualSpacing w:val="0"/>
              <w:rPr>
                <w:rFonts w:asciiTheme="minorHAnsi" w:hAnsiTheme="minorHAnsi"/>
              </w:rPr>
            </w:pPr>
          </w:p>
        </w:tc>
      </w:tr>
      <w:tr w:rsidR="00AF4C0F" w14:paraId="381F6224" w14:textId="77777777" w:rsidTr="00971BA8">
        <w:trPr>
          <w:jc w:val="center"/>
        </w:trPr>
        <w:tc>
          <w:tcPr>
            <w:tcW w:w="9709" w:type="dxa"/>
          </w:tcPr>
          <w:p w14:paraId="09674A47" w14:textId="77777777" w:rsidR="00AF4C0F" w:rsidRPr="009764AF" w:rsidRDefault="00AF4C0F" w:rsidP="00971BA8">
            <w:pPr>
              <w:pStyle w:val="TSHeadingNumbered1"/>
              <w:tabs>
                <w:tab w:val="left" w:pos="0"/>
              </w:tabs>
              <w:ind w:left="0" w:firstLine="0"/>
              <w:rPr>
                <w:rFonts w:asciiTheme="minorHAnsi" w:hAnsiTheme="minorHAnsi" w:cstheme="minorHAnsi"/>
              </w:rPr>
            </w:pPr>
            <w:r w:rsidRPr="009764AF">
              <w:rPr>
                <w:rFonts w:asciiTheme="minorHAnsi" w:hAnsiTheme="minorHAnsi" w:cstheme="minorHAnsi"/>
              </w:rPr>
              <w:lastRenderedPageBreak/>
              <w:t>SCOPE OF THE SERVICES REQUIRED</w:t>
            </w:r>
          </w:p>
          <w:p w14:paraId="5A992E54" w14:textId="77777777" w:rsidR="004316D2" w:rsidRPr="005202D4" w:rsidRDefault="004316D2" w:rsidP="004316D2">
            <w:pPr>
              <w:pStyle w:val="TSHeadingNumbered1"/>
              <w:numPr>
                <w:ilvl w:val="0"/>
                <w:numId w:val="0"/>
              </w:numPr>
              <w:ind w:left="131"/>
              <w:rPr>
                <w:rFonts w:ascii="Calibri" w:hAnsi="Calibri"/>
              </w:rPr>
            </w:pPr>
            <w:r>
              <w:rPr>
                <w:rFonts w:ascii="Calibri" w:hAnsi="Calibri"/>
              </w:rPr>
              <w:t>Work breakdown</w:t>
            </w:r>
          </w:p>
          <w:p w14:paraId="4193309F" w14:textId="6F85A94D" w:rsidR="008C691F" w:rsidRPr="008C691F" w:rsidRDefault="008C691F" w:rsidP="008C691F">
            <w:pPr>
              <w:pStyle w:val="TSNumberedParagraph11"/>
              <w:rPr>
                <w:rFonts w:asciiTheme="minorHAnsi" w:hAnsiTheme="minorHAnsi" w:cstheme="minorHAnsi"/>
              </w:rPr>
            </w:pPr>
            <w:r w:rsidRPr="008C691F">
              <w:rPr>
                <w:rFonts w:asciiTheme="minorHAnsi" w:hAnsiTheme="minorHAnsi" w:cstheme="minorHAnsi"/>
              </w:rPr>
              <w:t xml:space="preserve">ONR is seeking to engage one individual, on a </w:t>
            </w:r>
            <w:r w:rsidR="003774BB">
              <w:rPr>
                <w:rFonts w:asciiTheme="minorHAnsi" w:hAnsiTheme="minorHAnsi" w:cstheme="minorHAnsi"/>
              </w:rPr>
              <w:t>0</w:t>
            </w:r>
            <w:r w:rsidR="003308F9">
              <w:rPr>
                <w:rFonts w:asciiTheme="minorHAnsi" w:hAnsiTheme="minorHAnsi" w:cstheme="minorHAnsi"/>
              </w:rPr>
              <w:t>.</w:t>
            </w:r>
            <w:r w:rsidR="00742539">
              <w:rPr>
                <w:rFonts w:asciiTheme="minorHAnsi" w:hAnsiTheme="minorHAnsi" w:cstheme="minorHAnsi"/>
              </w:rPr>
              <w:t>4</w:t>
            </w:r>
            <w:r w:rsidR="003308F9">
              <w:rPr>
                <w:rFonts w:asciiTheme="minorHAnsi" w:hAnsiTheme="minorHAnsi" w:cstheme="minorHAnsi"/>
              </w:rPr>
              <w:t xml:space="preserve"> Full Time Equivalent</w:t>
            </w:r>
            <w:r w:rsidR="003774BB">
              <w:rPr>
                <w:rFonts w:asciiTheme="minorHAnsi" w:hAnsiTheme="minorHAnsi" w:cstheme="minorHAnsi"/>
              </w:rPr>
              <w:t xml:space="preserve"> (FTE)</w:t>
            </w:r>
            <w:r w:rsidRPr="008C691F">
              <w:rPr>
                <w:rFonts w:asciiTheme="minorHAnsi" w:hAnsiTheme="minorHAnsi" w:cstheme="minorHAnsi"/>
              </w:rPr>
              <w:t xml:space="preserve"> basis</w:t>
            </w:r>
            <w:r w:rsidR="000118EF">
              <w:rPr>
                <w:rFonts w:asciiTheme="minorHAnsi" w:hAnsiTheme="minorHAnsi" w:cstheme="minorHAnsi"/>
              </w:rPr>
              <w:t xml:space="preserve"> (i.e. two 7.4 hour days per week)</w:t>
            </w:r>
            <w:r w:rsidR="006B27A4">
              <w:rPr>
                <w:rFonts w:asciiTheme="minorHAnsi" w:hAnsiTheme="minorHAnsi" w:cstheme="minorHAnsi"/>
              </w:rPr>
              <w:t>,</w:t>
            </w:r>
            <w:r w:rsidRPr="008C691F">
              <w:rPr>
                <w:rFonts w:asciiTheme="minorHAnsi" w:hAnsiTheme="minorHAnsi" w:cstheme="minorHAnsi"/>
              </w:rPr>
              <w:t xml:space="preserve"> </w:t>
            </w:r>
            <w:r w:rsidR="00E00D48">
              <w:rPr>
                <w:rFonts w:asciiTheme="minorHAnsi" w:hAnsiTheme="minorHAnsi" w:cstheme="minorHAnsi"/>
              </w:rPr>
              <w:t>during</w:t>
            </w:r>
            <w:r w:rsidRPr="008C691F">
              <w:rPr>
                <w:rFonts w:asciiTheme="minorHAnsi" w:hAnsiTheme="minorHAnsi" w:cstheme="minorHAnsi"/>
              </w:rPr>
              <w:t xml:space="preserve"> </w:t>
            </w:r>
            <w:r w:rsidR="00805C52" w:rsidRPr="008C691F">
              <w:rPr>
                <w:rFonts w:asciiTheme="minorHAnsi" w:hAnsiTheme="minorHAnsi" w:cstheme="minorHAnsi"/>
              </w:rPr>
              <w:t>Step 4</w:t>
            </w:r>
            <w:r w:rsidR="00805C52">
              <w:rPr>
                <w:rFonts w:asciiTheme="minorHAnsi" w:hAnsiTheme="minorHAnsi" w:cstheme="minorHAnsi"/>
              </w:rPr>
              <w:t xml:space="preserve"> of the GDA of </w:t>
            </w:r>
            <w:r w:rsidR="003308F9">
              <w:rPr>
                <w:rFonts w:asciiTheme="minorHAnsi" w:hAnsiTheme="minorHAnsi" w:cstheme="minorHAnsi"/>
              </w:rPr>
              <w:t>the UK HPR1000</w:t>
            </w:r>
            <w:r w:rsidRPr="008C691F">
              <w:rPr>
                <w:rFonts w:asciiTheme="minorHAnsi" w:hAnsiTheme="minorHAnsi" w:cstheme="minorHAnsi"/>
              </w:rPr>
              <w:t xml:space="preserve">.  At present, it is anticipated that the engagement will last until </w:t>
            </w:r>
            <w:r w:rsidR="00E00D48">
              <w:rPr>
                <w:rFonts w:asciiTheme="minorHAnsi" w:hAnsiTheme="minorHAnsi" w:cstheme="minorHAnsi"/>
              </w:rPr>
              <w:t>April</w:t>
            </w:r>
            <w:r w:rsidRPr="008C691F">
              <w:rPr>
                <w:rFonts w:asciiTheme="minorHAnsi" w:hAnsiTheme="minorHAnsi" w:cstheme="minorHAnsi"/>
              </w:rPr>
              <w:t xml:space="preserve"> 20</w:t>
            </w:r>
            <w:r w:rsidR="003774BB">
              <w:rPr>
                <w:rFonts w:asciiTheme="minorHAnsi" w:hAnsiTheme="minorHAnsi" w:cstheme="minorHAnsi"/>
              </w:rPr>
              <w:t>21</w:t>
            </w:r>
            <w:r w:rsidR="003308F9">
              <w:rPr>
                <w:rFonts w:asciiTheme="minorHAnsi" w:hAnsiTheme="minorHAnsi" w:cstheme="minorHAnsi"/>
              </w:rPr>
              <w:t>.</w:t>
            </w:r>
          </w:p>
          <w:p w14:paraId="46BD1103" w14:textId="44FD0781" w:rsidR="008C691F" w:rsidRPr="003308F9" w:rsidRDefault="003774BB" w:rsidP="003308F9">
            <w:pPr>
              <w:pStyle w:val="TSNumberedParagraph11"/>
              <w:rPr>
                <w:rFonts w:asciiTheme="minorHAnsi" w:hAnsiTheme="minorHAnsi"/>
              </w:rPr>
            </w:pPr>
            <w:r w:rsidRPr="003308F9">
              <w:rPr>
                <w:rFonts w:asciiTheme="minorHAnsi" w:hAnsiTheme="minorHAnsi"/>
              </w:rPr>
              <w:t>The person</w:t>
            </w:r>
            <w:r w:rsidR="008C691F" w:rsidRPr="003308F9">
              <w:rPr>
                <w:rFonts w:asciiTheme="minorHAnsi" w:hAnsiTheme="minorHAnsi"/>
              </w:rPr>
              <w:t xml:space="preserve"> engaged will work as an integral member of the ONR GDA </w:t>
            </w:r>
            <w:r w:rsidRPr="003308F9">
              <w:rPr>
                <w:rFonts w:asciiTheme="minorHAnsi" w:hAnsiTheme="minorHAnsi"/>
              </w:rPr>
              <w:t>chemistry</w:t>
            </w:r>
            <w:r w:rsidR="008C691F" w:rsidRPr="003308F9">
              <w:rPr>
                <w:rFonts w:asciiTheme="minorHAnsi" w:hAnsiTheme="minorHAnsi"/>
              </w:rPr>
              <w:t xml:space="preserve"> assessment team. It is expected that they will spend </w:t>
            </w:r>
            <w:r w:rsidRPr="003308F9">
              <w:rPr>
                <w:rFonts w:asciiTheme="minorHAnsi" w:hAnsiTheme="minorHAnsi"/>
              </w:rPr>
              <w:t>two days per week</w:t>
            </w:r>
            <w:r w:rsidR="003308F9" w:rsidRPr="003308F9">
              <w:rPr>
                <w:rFonts w:asciiTheme="minorHAnsi" w:hAnsiTheme="minorHAnsi"/>
              </w:rPr>
              <w:t xml:space="preserve"> working at </w:t>
            </w:r>
            <w:r w:rsidR="008C691F" w:rsidRPr="003308F9">
              <w:rPr>
                <w:rFonts w:asciiTheme="minorHAnsi" w:hAnsiTheme="minorHAnsi"/>
              </w:rPr>
              <w:t>ONR’s Redgrave Court office in Bootle</w:t>
            </w:r>
            <w:r w:rsidR="003308F9" w:rsidRPr="003308F9">
              <w:rPr>
                <w:rFonts w:asciiTheme="minorHAnsi" w:hAnsiTheme="minorHAnsi"/>
              </w:rPr>
              <w:t xml:space="preserve"> (preferred option) or at its </w:t>
            </w:r>
            <w:r w:rsidR="003308F9" w:rsidRPr="003308F9">
              <w:rPr>
                <w:rFonts w:asciiTheme="minorHAnsi" w:hAnsiTheme="minorHAnsi" w:cstheme="minorHAnsi"/>
              </w:rPr>
              <w:t>St</w:t>
            </w:r>
            <w:r w:rsidR="000A401E">
              <w:rPr>
                <w:rFonts w:asciiTheme="minorHAnsi" w:hAnsiTheme="minorHAnsi" w:cstheme="minorHAnsi"/>
              </w:rPr>
              <w:t>.</w:t>
            </w:r>
            <w:r w:rsidR="003308F9" w:rsidRPr="003308F9">
              <w:rPr>
                <w:rFonts w:asciiTheme="minorHAnsi" w:hAnsiTheme="minorHAnsi" w:cstheme="minorHAnsi"/>
              </w:rPr>
              <w:t xml:space="preserve"> James House office in Cheltenham</w:t>
            </w:r>
            <w:r w:rsidR="003308F9">
              <w:rPr>
                <w:rFonts w:asciiTheme="minorHAnsi" w:hAnsiTheme="minorHAnsi" w:cstheme="minorHAnsi"/>
              </w:rPr>
              <w:t>;</w:t>
            </w:r>
            <w:r w:rsidR="008C691F" w:rsidRPr="003308F9">
              <w:rPr>
                <w:rFonts w:asciiTheme="minorHAnsi" w:hAnsiTheme="minorHAnsi"/>
              </w:rPr>
              <w:t xml:space="preserve"> however ONR </w:t>
            </w:r>
            <w:r w:rsidR="000A401E">
              <w:rPr>
                <w:rFonts w:asciiTheme="minorHAnsi" w:hAnsiTheme="minorHAnsi"/>
              </w:rPr>
              <w:t xml:space="preserve">is </w:t>
            </w:r>
            <w:r w:rsidR="008C691F" w:rsidRPr="003308F9">
              <w:rPr>
                <w:rFonts w:asciiTheme="minorHAnsi" w:hAnsiTheme="minorHAnsi"/>
              </w:rPr>
              <w:t xml:space="preserve">prepared to consider </w:t>
            </w:r>
            <w:r w:rsidR="00E95863">
              <w:rPr>
                <w:rFonts w:asciiTheme="minorHAnsi" w:hAnsiTheme="minorHAnsi"/>
              </w:rPr>
              <w:t xml:space="preserve">alternative and/or </w:t>
            </w:r>
            <w:r w:rsidR="008C691F" w:rsidRPr="003308F9">
              <w:rPr>
                <w:rFonts w:asciiTheme="minorHAnsi" w:hAnsiTheme="minorHAnsi"/>
              </w:rPr>
              <w:t>flexible arrangements around this bas</w:t>
            </w:r>
            <w:r w:rsidR="00E95863">
              <w:rPr>
                <w:rFonts w:asciiTheme="minorHAnsi" w:hAnsiTheme="minorHAnsi"/>
              </w:rPr>
              <w:t>eline</w:t>
            </w:r>
            <w:r w:rsidR="008C691F" w:rsidRPr="003308F9">
              <w:rPr>
                <w:rFonts w:asciiTheme="minorHAnsi" w:hAnsiTheme="minorHAnsi"/>
              </w:rPr>
              <w:t xml:space="preserve"> expectation.</w:t>
            </w:r>
            <w:r w:rsidR="00805C52">
              <w:rPr>
                <w:rFonts w:asciiTheme="minorHAnsi" w:hAnsiTheme="minorHAnsi"/>
              </w:rPr>
              <w:t xml:space="preserve"> </w:t>
            </w:r>
          </w:p>
          <w:p w14:paraId="4359319E" w14:textId="50C0370F" w:rsidR="008C691F" w:rsidRPr="003308F9" w:rsidRDefault="00805C52" w:rsidP="003308F9">
            <w:pPr>
              <w:pStyle w:val="TSNumberedParagraph11"/>
              <w:rPr>
                <w:rFonts w:asciiTheme="minorHAnsi" w:hAnsiTheme="minorHAnsi"/>
              </w:rPr>
            </w:pPr>
            <w:r w:rsidRPr="00A75DE6">
              <w:rPr>
                <w:rFonts w:asciiTheme="minorHAnsi" w:hAnsiTheme="minorHAnsi"/>
              </w:rPr>
              <w:t>A</w:t>
            </w:r>
            <w:r w:rsidR="00E95863">
              <w:rPr>
                <w:rFonts w:asciiTheme="minorHAnsi" w:hAnsiTheme="minorHAnsi"/>
              </w:rPr>
              <w:t>n a</w:t>
            </w:r>
            <w:r w:rsidRPr="00A75DE6">
              <w:rPr>
                <w:rFonts w:asciiTheme="minorHAnsi" w:hAnsiTheme="minorHAnsi"/>
              </w:rPr>
              <w:t xml:space="preserve">llowance should </w:t>
            </w:r>
            <w:r w:rsidR="00E95863">
              <w:rPr>
                <w:rFonts w:asciiTheme="minorHAnsi" w:hAnsiTheme="minorHAnsi"/>
              </w:rPr>
              <w:t xml:space="preserve">also </w:t>
            </w:r>
            <w:r w:rsidRPr="00A75DE6">
              <w:rPr>
                <w:rFonts w:asciiTheme="minorHAnsi" w:hAnsiTheme="minorHAnsi"/>
              </w:rPr>
              <w:t xml:space="preserve">be made </w:t>
            </w:r>
            <w:r w:rsidR="00A75DE6">
              <w:rPr>
                <w:rFonts w:asciiTheme="minorHAnsi" w:hAnsiTheme="minorHAnsi"/>
              </w:rPr>
              <w:t xml:space="preserve">in the contract </w:t>
            </w:r>
            <w:r w:rsidRPr="00A75DE6">
              <w:rPr>
                <w:rFonts w:asciiTheme="minorHAnsi" w:hAnsiTheme="minorHAnsi"/>
              </w:rPr>
              <w:t xml:space="preserve">for the individual </w:t>
            </w:r>
            <w:r w:rsidR="00E95863">
              <w:rPr>
                <w:rFonts w:asciiTheme="minorHAnsi" w:hAnsiTheme="minorHAnsi"/>
              </w:rPr>
              <w:t xml:space="preserve">embedded into ONR’s chemistry assessment team </w:t>
            </w:r>
            <w:r w:rsidRPr="00A75DE6">
              <w:rPr>
                <w:rFonts w:asciiTheme="minorHAnsi" w:hAnsiTheme="minorHAnsi"/>
              </w:rPr>
              <w:t xml:space="preserve">to </w:t>
            </w:r>
            <w:r w:rsidR="00E95863">
              <w:rPr>
                <w:rFonts w:asciiTheme="minorHAnsi" w:hAnsiTheme="minorHAnsi"/>
              </w:rPr>
              <w:t xml:space="preserve">be able to “reach back” into their parent organisation, to </w:t>
            </w:r>
            <w:r w:rsidRPr="00A75DE6">
              <w:rPr>
                <w:rFonts w:asciiTheme="minorHAnsi" w:hAnsiTheme="minorHAnsi"/>
              </w:rPr>
              <w:t>obtain</w:t>
            </w:r>
            <w:r w:rsidR="00E95863">
              <w:rPr>
                <w:rFonts w:asciiTheme="minorHAnsi" w:hAnsiTheme="minorHAnsi"/>
              </w:rPr>
              <w:t xml:space="preserve"> </w:t>
            </w:r>
            <w:r w:rsidRPr="00A75DE6">
              <w:rPr>
                <w:rFonts w:asciiTheme="minorHAnsi" w:hAnsiTheme="minorHAnsi"/>
              </w:rPr>
              <w:t xml:space="preserve">advice </w:t>
            </w:r>
            <w:r w:rsidR="00A75DE6" w:rsidRPr="00A75DE6">
              <w:rPr>
                <w:rFonts w:asciiTheme="minorHAnsi" w:hAnsiTheme="minorHAnsi"/>
              </w:rPr>
              <w:t xml:space="preserve">on </w:t>
            </w:r>
            <w:r w:rsidR="00E95863">
              <w:rPr>
                <w:rFonts w:asciiTheme="minorHAnsi" w:hAnsiTheme="minorHAnsi"/>
              </w:rPr>
              <w:t xml:space="preserve">various chemistry-related </w:t>
            </w:r>
            <w:r w:rsidR="00A75DE6" w:rsidRPr="00A75DE6">
              <w:rPr>
                <w:rFonts w:asciiTheme="minorHAnsi" w:hAnsiTheme="minorHAnsi"/>
              </w:rPr>
              <w:t>technical topics</w:t>
            </w:r>
            <w:r w:rsidR="000A401E">
              <w:rPr>
                <w:rFonts w:asciiTheme="minorHAnsi" w:hAnsiTheme="minorHAnsi"/>
              </w:rPr>
              <w:t>, on an-</w:t>
            </w:r>
            <w:r w:rsidR="00E95863">
              <w:rPr>
                <w:rFonts w:asciiTheme="minorHAnsi" w:hAnsiTheme="minorHAnsi"/>
              </w:rPr>
              <w:t xml:space="preserve">ad hoc basis, </w:t>
            </w:r>
            <w:r w:rsidR="00A75DE6">
              <w:rPr>
                <w:rFonts w:asciiTheme="minorHAnsi" w:hAnsiTheme="minorHAnsi"/>
              </w:rPr>
              <w:t>from other specialists</w:t>
            </w:r>
            <w:r w:rsidRPr="00A75DE6">
              <w:rPr>
                <w:rFonts w:asciiTheme="minorHAnsi" w:hAnsiTheme="minorHAnsi"/>
              </w:rPr>
              <w:t xml:space="preserve"> within the TSC organisation</w:t>
            </w:r>
            <w:r w:rsidR="003F1BBC" w:rsidRPr="00A75DE6">
              <w:rPr>
                <w:rFonts w:asciiTheme="minorHAnsi" w:hAnsiTheme="minorHAnsi"/>
              </w:rPr>
              <w:t>.</w:t>
            </w:r>
            <w:r w:rsidR="00E95863">
              <w:rPr>
                <w:rFonts w:asciiTheme="minorHAnsi" w:hAnsiTheme="minorHAnsi"/>
              </w:rPr>
              <w:t xml:space="preserve"> This aspect of the work would not require any other individuals from the parent TSC organisation to attend meetings with the RP, </w:t>
            </w:r>
            <w:r w:rsidR="00491740">
              <w:rPr>
                <w:rFonts w:asciiTheme="minorHAnsi" w:hAnsiTheme="minorHAnsi"/>
              </w:rPr>
              <w:t xml:space="preserve">attend </w:t>
            </w:r>
            <w:r w:rsidR="000A401E">
              <w:rPr>
                <w:rFonts w:asciiTheme="minorHAnsi" w:hAnsiTheme="minorHAnsi"/>
              </w:rPr>
              <w:t xml:space="preserve">ONR offices, </w:t>
            </w:r>
            <w:r w:rsidR="00E95863">
              <w:rPr>
                <w:rFonts w:asciiTheme="minorHAnsi" w:hAnsiTheme="minorHAnsi"/>
              </w:rPr>
              <w:t xml:space="preserve">nor assess any </w:t>
            </w:r>
            <w:r w:rsidR="000A401E">
              <w:rPr>
                <w:rFonts w:asciiTheme="minorHAnsi" w:hAnsiTheme="minorHAnsi"/>
              </w:rPr>
              <w:t>of the RP’s</w:t>
            </w:r>
            <w:r w:rsidR="00C066A9">
              <w:rPr>
                <w:rFonts w:asciiTheme="minorHAnsi" w:hAnsiTheme="minorHAnsi"/>
              </w:rPr>
              <w:t xml:space="preserve"> submissions in detail.</w:t>
            </w:r>
            <w:r w:rsidR="00E95863">
              <w:rPr>
                <w:rFonts w:asciiTheme="minorHAnsi" w:hAnsiTheme="minorHAnsi"/>
              </w:rPr>
              <w:t xml:space="preserve"> </w:t>
            </w:r>
          </w:p>
          <w:p w14:paraId="1698E8A8" w14:textId="6B389CF1" w:rsidR="00CF34FB" w:rsidRPr="002B79C6" w:rsidRDefault="003308F9" w:rsidP="008C691F">
            <w:pPr>
              <w:pStyle w:val="TSNumberedParagraph11"/>
              <w:rPr>
                <w:rFonts w:asciiTheme="minorHAnsi" w:hAnsiTheme="minorHAnsi" w:cstheme="minorHAnsi"/>
              </w:rPr>
            </w:pPr>
            <w:r>
              <w:rPr>
                <w:rFonts w:asciiTheme="minorHAnsi" w:hAnsiTheme="minorHAnsi" w:cstheme="minorHAnsi"/>
              </w:rPr>
              <w:t xml:space="preserve">The overall objective of this work is to provide embedded technical support to ONR </w:t>
            </w:r>
            <w:r w:rsidR="005202D4">
              <w:rPr>
                <w:rFonts w:asciiTheme="minorHAnsi" w:hAnsiTheme="minorHAnsi" w:cstheme="minorHAnsi"/>
              </w:rPr>
              <w:t xml:space="preserve">in its </w:t>
            </w:r>
            <w:r w:rsidR="005202D4" w:rsidRPr="009764AF">
              <w:rPr>
                <w:rFonts w:asciiTheme="minorHAnsi" w:hAnsiTheme="minorHAnsi" w:cstheme="minorHAnsi"/>
              </w:rPr>
              <w:t>in-depth assessment o</w:t>
            </w:r>
            <w:r w:rsidR="005202D4">
              <w:rPr>
                <w:rFonts w:asciiTheme="minorHAnsi" w:hAnsiTheme="minorHAnsi" w:cstheme="minorHAnsi"/>
              </w:rPr>
              <w:t xml:space="preserve">f the RP’s </w:t>
            </w:r>
            <w:r w:rsidR="00C066A9">
              <w:rPr>
                <w:rFonts w:asciiTheme="minorHAnsi" w:hAnsiTheme="minorHAnsi" w:cstheme="minorHAnsi"/>
              </w:rPr>
              <w:t>‘</w:t>
            </w:r>
            <w:r w:rsidR="005202D4">
              <w:rPr>
                <w:rFonts w:asciiTheme="minorHAnsi" w:hAnsiTheme="minorHAnsi" w:cstheme="minorHAnsi"/>
              </w:rPr>
              <w:t>chemistry safety case</w:t>
            </w:r>
            <w:r w:rsidR="00C066A9">
              <w:rPr>
                <w:rFonts w:asciiTheme="minorHAnsi" w:hAnsiTheme="minorHAnsi" w:cstheme="minorHAnsi"/>
              </w:rPr>
              <w:t>’</w:t>
            </w:r>
            <w:r w:rsidR="005202D4">
              <w:rPr>
                <w:rFonts w:asciiTheme="minorHAnsi" w:hAnsiTheme="minorHAnsi" w:cstheme="minorHAnsi"/>
              </w:rPr>
              <w:t xml:space="preserve"> evidence </w:t>
            </w:r>
            <w:r>
              <w:rPr>
                <w:rFonts w:asciiTheme="minorHAnsi" w:hAnsiTheme="minorHAnsi" w:cstheme="minorHAnsi"/>
              </w:rPr>
              <w:t xml:space="preserve">during Step 4 of </w:t>
            </w:r>
            <w:r w:rsidR="005202D4">
              <w:rPr>
                <w:rFonts w:asciiTheme="minorHAnsi" w:hAnsiTheme="minorHAnsi" w:cstheme="minorHAnsi"/>
              </w:rPr>
              <w:t xml:space="preserve">the </w:t>
            </w:r>
            <w:r>
              <w:rPr>
                <w:rFonts w:asciiTheme="minorHAnsi" w:hAnsiTheme="minorHAnsi" w:cstheme="minorHAnsi"/>
              </w:rPr>
              <w:t>GDA</w:t>
            </w:r>
            <w:r w:rsidR="005202D4">
              <w:rPr>
                <w:rFonts w:asciiTheme="minorHAnsi" w:hAnsiTheme="minorHAnsi" w:cstheme="minorHAnsi"/>
              </w:rPr>
              <w:t xml:space="preserve"> of UK HPR1000</w:t>
            </w:r>
            <w:r>
              <w:rPr>
                <w:rFonts w:asciiTheme="minorHAnsi" w:hAnsiTheme="minorHAnsi" w:cstheme="minorHAnsi"/>
              </w:rPr>
              <w:t xml:space="preserve">. </w:t>
            </w:r>
            <w:r w:rsidR="00147C1B">
              <w:rPr>
                <w:rFonts w:asciiTheme="minorHAnsi" w:hAnsiTheme="minorHAnsi" w:cstheme="minorHAnsi"/>
              </w:rPr>
              <w:t>At this stage, the</w:t>
            </w:r>
            <w:r w:rsidR="008C691F" w:rsidRPr="008C691F">
              <w:rPr>
                <w:rFonts w:asciiTheme="minorHAnsi" w:hAnsiTheme="minorHAnsi" w:cstheme="minorHAnsi"/>
              </w:rPr>
              <w:t xml:space="preserve"> </w:t>
            </w:r>
            <w:r w:rsidR="005F2BBB">
              <w:rPr>
                <w:rFonts w:asciiTheme="minorHAnsi" w:hAnsiTheme="minorHAnsi" w:cstheme="minorHAnsi"/>
              </w:rPr>
              <w:t>pri</w:t>
            </w:r>
            <w:r w:rsidR="00147C1B">
              <w:rPr>
                <w:rFonts w:asciiTheme="minorHAnsi" w:hAnsiTheme="minorHAnsi" w:cstheme="minorHAnsi"/>
              </w:rPr>
              <w:t xml:space="preserve">ncipal </w:t>
            </w:r>
            <w:r w:rsidR="008C691F" w:rsidRPr="008C691F">
              <w:rPr>
                <w:rFonts w:asciiTheme="minorHAnsi" w:hAnsiTheme="minorHAnsi" w:cstheme="minorHAnsi"/>
              </w:rPr>
              <w:t>area</w:t>
            </w:r>
            <w:r w:rsidR="00147C1B">
              <w:rPr>
                <w:rFonts w:asciiTheme="minorHAnsi" w:hAnsiTheme="minorHAnsi" w:cstheme="minorHAnsi"/>
              </w:rPr>
              <w:t>s</w:t>
            </w:r>
            <w:r w:rsidR="008C691F" w:rsidRPr="008C691F">
              <w:rPr>
                <w:rFonts w:asciiTheme="minorHAnsi" w:hAnsiTheme="minorHAnsi" w:cstheme="minorHAnsi"/>
              </w:rPr>
              <w:t xml:space="preserve"> of work will be </w:t>
            </w:r>
            <w:r w:rsidR="00B6561E">
              <w:rPr>
                <w:rFonts w:asciiTheme="minorHAnsi" w:hAnsiTheme="minorHAnsi" w:cstheme="minorHAnsi"/>
              </w:rPr>
              <w:t>to support ONR’s</w:t>
            </w:r>
            <w:r w:rsidR="008C691F" w:rsidRPr="008C691F">
              <w:rPr>
                <w:rFonts w:asciiTheme="minorHAnsi" w:hAnsiTheme="minorHAnsi" w:cstheme="minorHAnsi"/>
              </w:rPr>
              <w:t xml:space="preserve"> assessment of </w:t>
            </w:r>
            <w:r w:rsidR="005202D4" w:rsidRPr="00DD69B1">
              <w:rPr>
                <w:rFonts w:asciiTheme="minorHAnsi" w:hAnsiTheme="minorHAnsi" w:cs="Arial"/>
                <w:iCs/>
                <w:szCs w:val="22"/>
              </w:rPr>
              <w:t xml:space="preserve">the </w:t>
            </w:r>
            <w:r w:rsidR="005202D4">
              <w:rPr>
                <w:rFonts w:asciiTheme="minorHAnsi" w:hAnsiTheme="minorHAnsi" w:cs="Arial"/>
                <w:iCs/>
                <w:szCs w:val="22"/>
              </w:rPr>
              <w:t xml:space="preserve">chemistry-related </w:t>
            </w:r>
            <w:r w:rsidR="00A75DE6">
              <w:rPr>
                <w:rFonts w:asciiTheme="minorHAnsi" w:hAnsiTheme="minorHAnsi" w:cs="Arial"/>
                <w:iCs/>
                <w:szCs w:val="22"/>
              </w:rPr>
              <w:t>aspects of</w:t>
            </w:r>
            <w:r w:rsidR="005202D4">
              <w:rPr>
                <w:rFonts w:asciiTheme="minorHAnsi" w:hAnsiTheme="minorHAnsi" w:cs="Arial"/>
                <w:iCs/>
                <w:szCs w:val="22"/>
              </w:rPr>
              <w:t xml:space="preserve"> materials degradation threats</w:t>
            </w:r>
            <w:r w:rsidR="00147C1B">
              <w:rPr>
                <w:rFonts w:asciiTheme="minorHAnsi" w:hAnsiTheme="minorHAnsi" w:cstheme="minorHAnsi"/>
              </w:rPr>
              <w:t xml:space="preserve">, </w:t>
            </w:r>
            <w:r w:rsidR="00E00D48">
              <w:rPr>
                <w:rFonts w:asciiTheme="minorHAnsi" w:hAnsiTheme="minorHAnsi" w:cstheme="minorHAnsi"/>
              </w:rPr>
              <w:t>start-up and shutdown chemistry and commissioning chemistry</w:t>
            </w:r>
            <w:r w:rsidR="00147C1B">
              <w:rPr>
                <w:rFonts w:asciiTheme="minorHAnsi" w:hAnsiTheme="minorHAnsi" w:cstheme="minorHAnsi"/>
              </w:rPr>
              <w:t>.</w:t>
            </w:r>
            <w:r w:rsidR="000A4800">
              <w:rPr>
                <w:rFonts w:asciiTheme="minorHAnsi" w:hAnsiTheme="minorHAnsi" w:cstheme="minorHAnsi"/>
              </w:rPr>
              <w:t xml:space="preserve"> </w:t>
            </w:r>
            <w:r w:rsidR="007A5430">
              <w:rPr>
                <w:rFonts w:asciiTheme="minorHAnsi" w:hAnsiTheme="minorHAnsi" w:cstheme="minorHAnsi"/>
              </w:rPr>
              <w:t>As well as possessing skills and experience in these areas, ONR would expect the embedded TSC to have a broader range of knowledge and experience in the field of reactor chemistry assessment</w:t>
            </w:r>
            <w:r w:rsidR="001E50F0">
              <w:rPr>
                <w:rFonts w:asciiTheme="minorHAnsi" w:hAnsiTheme="minorHAnsi" w:cstheme="minorHAnsi"/>
              </w:rPr>
              <w:t>, as applied to Pressurised Water Reactors (PWRs)</w:t>
            </w:r>
            <w:r w:rsidR="00CF34FB">
              <w:rPr>
                <w:rFonts w:asciiTheme="minorHAnsi" w:hAnsiTheme="minorHAnsi" w:cstheme="minorHAnsi"/>
              </w:rPr>
              <w:t xml:space="preserve">. For example, some skills, knowledge and </w:t>
            </w:r>
            <w:r w:rsidR="00CF34FB" w:rsidRPr="00CF34FB">
              <w:rPr>
                <w:rFonts w:asciiTheme="minorHAnsi" w:hAnsiTheme="minorHAnsi" w:cstheme="minorHAnsi"/>
              </w:rPr>
              <w:t xml:space="preserve">experience </w:t>
            </w:r>
            <w:r w:rsidR="00CF34FB" w:rsidRPr="002B79C6">
              <w:rPr>
                <w:rFonts w:asciiTheme="minorHAnsi" w:hAnsiTheme="minorHAnsi" w:cstheme="minorHAnsi"/>
              </w:rPr>
              <w:t>in the following areas</w:t>
            </w:r>
            <w:r w:rsidR="002B79C6">
              <w:rPr>
                <w:rFonts w:asciiTheme="minorHAnsi" w:hAnsiTheme="minorHAnsi" w:cstheme="minorHAnsi"/>
              </w:rPr>
              <w:t xml:space="preserve"> would be expected</w:t>
            </w:r>
            <w:r w:rsidR="000A401E">
              <w:rPr>
                <w:rFonts w:asciiTheme="minorHAnsi" w:hAnsiTheme="minorHAnsi" w:cstheme="minorHAnsi"/>
              </w:rPr>
              <w:t>/advantageous</w:t>
            </w:r>
            <w:r w:rsidR="00CF34FB" w:rsidRPr="002B79C6">
              <w:rPr>
                <w:rFonts w:asciiTheme="minorHAnsi" w:hAnsiTheme="minorHAnsi" w:cstheme="minorHAnsi"/>
              </w:rPr>
              <w:t>:</w:t>
            </w:r>
          </w:p>
          <w:p w14:paraId="03223519" w14:textId="77777777" w:rsidR="002B79C6" w:rsidRPr="00491740" w:rsidRDefault="002B79C6" w:rsidP="00491740">
            <w:pPr>
              <w:pStyle w:val="TSBullet1Square"/>
              <w:rPr>
                <w:rFonts w:asciiTheme="minorHAnsi" w:hAnsiTheme="minorHAnsi"/>
              </w:rPr>
            </w:pPr>
            <w:r w:rsidRPr="00491740">
              <w:rPr>
                <w:rFonts w:asciiTheme="minorHAnsi" w:hAnsiTheme="minorHAnsi"/>
              </w:rPr>
              <w:t>Primary and secondary circuit chemistry control during normal operations;</w:t>
            </w:r>
          </w:p>
          <w:p w14:paraId="525BBF2C" w14:textId="77777777" w:rsidR="002B79C6" w:rsidRDefault="002B79C6" w:rsidP="00491740">
            <w:pPr>
              <w:pStyle w:val="TSBullet1Square"/>
              <w:rPr>
                <w:rFonts w:asciiTheme="minorHAnsi" w:hAnsiTheme="minorHAnsi"/>
              </w:rPr>
            </w:pPr>
            <w:r w:rsidRPr="00491740">
              <w:rPr>
                <w:rFonts w:asciiTheme="minorHAnsi" w:hAnsiTheme="minorHAnsi"/>
              </w:rPr>
              <w:t xml:space="preserve">The influence of </w:t>
            </w:r>
            <w:r w:rsidR="00952872">
              <w:rPr>
                <w:rFonts w:asciiTheme="minorHAnsi" w:hAnsiTheme="minorHAnsi"/>
              </w:rPr>
              <w:t xml:space="preserve">the operating </w:t>
            </w:r>
            <w:r w:rsidRPr="00491740">
              <w:rPr>
                <w:rFonts w:asciiTheme="minorHAnsi" w:hAnsiTheme="minorHAnsi"/>
              </w:rPr>
              <w:t>chemistry on the generation and transport of radioactivity;</w:t>
            </w:r>
          </w:p>
          <w:p w14:paraId="24C1D294" w14:textId="77777777" w:rsidR="001E50F0" w:rsidRPr="00491740" w:rsidRDefault="001E50F0" w:rsidP="00491740">
            <w:pPr>
              <w:pStyle w:val="TSBullet1Square"/>
              <w:rPr>
                <w:rFonts w:asciiTheme="minorHAnsi" w:hAnsiTheme="minorHAnsi"/>
              </w:rPr>
            </w:pPr>
            <w:r>
              <w:rPr>
                <w:rFonts w:asciiTheme="minorHAnsi" w:hAnsiTheme="minorHAnsi"/>
              </w:rPr>
              <w:t xml:space="preserve">The influence of </w:t>
            </w:r>
            <w:r w:rsidR="00952872">
              <w:rPr>
                <w:rFonts w:asciiTheme="minorHAnsi" w:hAnsiTheme="minorHAnsi"/>
              </w:rPr>
              <w:t xml:space="preserve">the operating </w:t>
            </w:r>
            <w:r>
              <w:rPr>
                <w:rFonts w:asciiTheme="minorHAnsi" w:hAnsiTheme="minorHAnsi"/>
              </w:rPr>
              <w:t xml:space="preserve">chemistry on materials selection, relevant degradation threats and through-life degradation; </w:t>
            </w:r>
          </w:p>
          <w:p w14:paraId="3AB84F35" w14:textId="77777777" w:rsidR="002B79C6" w:rsidRPr="00491740" w:rsidRDefault="002B79C6" w:rsidP="00491740">
            <w:pPr>
              <w:pStyle w:val="TSBullet1Square"/>
              <w:rPr>
                <w:rFonts w:asciiTheme="minorHAnsi" w:hAnsiTheme="minorHAnsi"/>
              </w:rPr>
            </w:pPr>
            <w:r w:rsidRPr="00491740">
              <w:rPr>
                <w:rFonts w:asciiTheme="minorHAnsi" w:hAnsiTheme="minorHAnsi"/>
              </w:rPr>
              <w:t>The influence of primary circuit chemistry on fuel reliability and performance;</w:t>
            </w:r>
          </w:p>
          <w:p w14:paraId="4BC37D1E" w14:textId="77777777" w:rsidR="001E50F0" w:rsidRPr="00491740" w:rsidRDefault="002B79C6" w:rsidP="00491740">
            <w:pPr>
              <w:pStyle w:val="TSBullet1Square"/>
              <w:rPr>
                <w:rFonts w:asciiTheme="minorHAnsi" w:hAnsiTheme="minorHAnsi"/>
              </w:rPr>
            </w:pPr>
            <w:r w:rsidRPr="00491740">
              <w:rPr>
                <w:rFonts w:asciiTheme="minorHAnsi" w:hAnsiTheme="minorHAnsi"/>
              </w:rPr>
              <w:t xml:space="preserve">Sampling and monitoring; </w:t>
            </w:r>
          </w:p>
          <w:p w14:paraId="25A3D213" w14:textId="77777777" w:rsidR="002B79C6" w:rsidRPr="00491740" w:rsidRDefault="001E50F0" w:rsidP="00491740">
            <w:pPr>
              <w:pStyle w:val="TSBullet1Square"/>
              <w:rPr>
                <w:rFonts w:asciiTheme="minorHAnsi" w:hAnsiTheme="minorHAnsi"/>
              </w:rPr>
            </w:pPr>
            <w:r w:rsidRPr="00491740">
              <w:rPr>
                <w:rFonts w:asciiTheme="minorHAnsi" w:hAnsiTheme="minorHAnsi"/>
              </w:rPr>
              <w:t xml:space="preserve">Combustible gas behaviour and control; </w:t>
            </w:r>
            <w:r w:rsidR="002B79C6" w:rsidRPr="00491740">
              <w:rPr>
                <w:rFonts w:asciiTheme="minorHAnsi" w:hAnsiTheme="minorHAnsi"/>
              </w:rPr>
              <w:t>and</w:t>
            </w:r>
          </w:p>
          <w:p w14:paraId="18BEE524" w14:textId="75E9BBBD" w:rsidR="00CF34FB" w:rsidRPr="00491740" w:rsidRDefault="002B79C6" w:rsidP="00491740">
            <w:pPr>
              <w:pStyle w:val="TSBullet1Square"/>
              <w:rPr>
                <w:rFonts w:asciiTheme="minorHAnsi" w:hAnsiTheme="minorHAnsi"/>
              </w:rPr>
            </w:pPr>
            <w:r w:rsidRPr="00491740">
              <w:rPr>
                <w:rFonts w:asciiTheme="minorHAnsi" w:hAnsiTheme="minorHAnsi"/>
              </w:rPr>
              <w:t>Chemistry aspects of the design and operation of rad</w:t>
            </w:r>
            <w:r w:rsidR="00491740">
              <w:rPr>
                <w:rFonts w:asciiTheme="minorHAnsi" w:hAnsiTheme="minorHAnsi"/>
              </w:rPr>
              <w:t xml:space="preserve">ioactive </w:t>
            </w:r>
            <w:r w:rsidRPr="00491740">
              <w:rPr>
                <w:rFonts w:asciiTheme="minorHAnsi" w:hAnsiTheme="minorHAnsi"/>
              </w:rPr>
              <w:t>waste treatment systems.</w:t>
            </w:r>
          </w:p>
          <w:p w14:paraId="6E695F6E" w14:textId="22D43AF9" w:rsidR="00B6561E" w:rsidRPr="00491740" w:rsidRDefault="00B6561E" w:rsidP="008C691F">
            <w:pPr>
              <w:pStyle w:val="TSNumberedParagraph11"/>
              <w:rPr>
                <w:rFonts w:asciiTheme="minorHAnsi" w:hAnsiTheme="minorHAnsi" w:cstheme="minorHAnsi"/>
              </w:rPr>
            </w:pPr>
            <w:r w:rsidRPr="00491740">
              <w:rPr>
                <w:rFonts w:asciiTheme="minorHAnsi" w:hAnsiTheme="minorHAnsi"/>
              </w:rPr>
              <w:t xml:space="preserve">As well as materials, start-up and shutdown </w:t>
            </w:r>
            <w:r w:rsidR="000A401E" w:rsidRPr="00491740">
              <w:rPr>
                <w:rFonts w:asciiTheme="minorHAnsi" w:hAnsiTheme="minorHAnsi"/>
              </w:rPr>
              <w:t xml:space="preserve">chemistry </w:t>
            </w:r>
            <w:r w:rsidRPr="00491740">
              <w:rPr>
                <w:rFonts w:asciiTheme="minorHAnsi" w:hAnsiTheme="minorHAnsi"/>
              </w:rPr>
              <w:t xml:space="preserve">and commissioning chemistry, </w:t>
            </w:r>
            <w:r w:rsidRPr="00491740">
              <w:rPr>
                <w:rFonts w:asciiTheme="minorHAnsi" w:hAnsiTheme="minorHAnsi" w:cstheme="minorHAnsi"/>
              </w:rPr>
              <w:t>the embedded</w:t>
            </w:r>
            <w:r w:rsidR="001E50F0" w:rsidRPr="00491740">
              <w:rPr>
                <w:rFonts w:asciiTheme="minorHAnsi" w:hAnsiTheme="minorHAnsi" w:cstheme="minorHAnsi"/>
              </w:rPr>
              <w:t xml:space="preserve"> </w:t>
            </w:r>
            <w:r w:rsidRPr="00491740">
              <w:rPr>
                <w:rFonts w:asciiTheme="minorHAnsi" w:hAnsiTheme="minorHAnsi" w:cstheme="minorHAnsi"/>
              </w:rPr>
              <w:t xml:space="preserve">TSC may also be asked </w:t>
            </w:r>
            <w:r w:rsidR="002B79C6" w:rsidRPr="00491740">
              <w:rPr>
                <w:rFonts w:asciiTheme="minorHAnsi" w:hAnsiTheme="minorHAnsi" w:cstheme="minorHAnsi"/>
              </w:rPr>
              <w:t>to assess other R</w:t>
            </w:r>
            <w:r w:rsidRPr="00491740">
              <w:rPr>
                <w:rFonts w:asciiTheme="minorHAnsi" w:hAnsiTheme="minorHAnsi" w:cstheme="minorHAnsi"/>
              </w:rPr>
              <w:t>P submissions covering some, or all of, the additional areas described above</w:t>
            </w:r>
            <w:r w:rsidR="002B79C6" w:rsidRPr="00491740">
              <w:rPr>
                <w:rFonts w:asciiTheme="minorHAnsi" w:hAnsiTheme="minorHAnsi" w:cstheme="minorHAnsi"/>
              </w:rPr>
              <w:t>.</w:t>
            </w:r>
            <w:r w:rsidRPr="00491740">
              <w:rPr>
                <w:rFonts w:asciiTheme="minorHAnsi" w:hAnsiTheme="minorHAnsi" w:cstheme="minorHAnsi"/>
              </w:rPr>
              <w:t xml:space="preserve"> ONR is not seeking an individual judged to be expert in all of these areas – the requirement is to identify an embedded TSC with a relatively broad knowledge of civil PWR design and </w:t>
            </w:r>
            <w:r w:rsidR="000A401E" w:rsidRPr="00491740">
              <w:rPr>
                <w:rFonts w:asciiTheme="minorHAnsi" w:hAnsiTheme="minorHAnsi" w:cstheme="minorHAnsi"/>
              </w:rPr>
              <w:t xml:space="preserve">skill set in </w:t>
            </w:r>
            <w:r w:rsidRPr="00491740">
              <w:rPr>
                <w:rFonts w:asciiTheme="minorHAnsi" w:hAnsiTheme="minorHAnsi" w:cstheme="minorHAnsi"/>
              </w:rPr>
              <w:t xml:space="preserve">chemistry. </w:t>
            </w:r>
            <w:r w:rsidR="002B79C6" w:rsidRPr="00491740">
              <w:rPr>
                <w:rFonts w:asciiTheme="minorHAnsi" w:hAnsiTheme="minorHAnsi" w:cstheme="minorHAnsi"/>
              </w:rPr>
              <w:t xml:space="preserve"> </w:t>
            </w:r>
          </w:p>
          <w:p w14:paraId="5B7EF87E" w14:textId="77777777" w:rsidR="00147C1B" w:rsidRPr="00FC1CC4" w:rsidRDefault="00B6561E" w:rsidP="008C691F">
            <w:pPr>
              <w:pStyle w:val="TSNumberedParagraph11"/>
              <w:rPr>
                <w:rFonts w:asciiTheme="minorHAnsi" w:hAnsiTheme="minorHAnsi" w:cstheme="minorHAnsi"/>
              </w:rPr>
            </w:pPr>
            <w:r w:rsidRPr="00491740">
              <w:rPr>
                <w:rFonts w:asciiTheme="minorHAnsi" w:hAnsiTheme="minorHAnsi" w:cstheme="minorHAnsi"/>
              </w:rPr>
              <w:t>To compliment the individual’s technical knowledge, skills and experience, ONR would also expect the embedded TSC to have a good working knowledge of UK context nuclear safety cases. For example, an understanding of safety case characteristics, architecture, how limits and conditions in the interest of safety are derived and justified etc.</w:t>
            </w:r>
          </w:p>
          <w:p w14:paraId="5E428458" w14:textId="68D33B99" w:rsidR="00AD3738" w:rsidRDefault="00B6561E" w:rsidP="008C691F">
            <w:pPr>
              <w:pStyle w:val="TSNumberedParagraph11"/>
              <w:rPr>
                <w:rFonts w:asciiTheme="minorHAnsi" w:hAnsiTheme="minorHAnsi" w:cstheme="minorHAnsi"/>
              </w:rPr>
            </w:pPr>
            <w:r>
              <w:rPr>
                <w:rFonts w:asciiTheme="minorHAnsi" w:hAnsiTheme="minorHAnsi" w:cstheme="minorHAnsi"/>
                <w:iCs/>
                <w:szCs w:val="22"/>
              </w:rPr>
              <w:t>T</w:t>
            </w:r>
            <w:r w:rsidR="00041C7E" w:rsidRPr="00DE0E73">
              <w:rPr>
                <w:rFonts w:asciiTheme="minorHAnsi" w:hAnsiTheme="minorHAnsi" w:cstheme="minorHAnsi"/>
                <w:iCs/>
                <w:szCs w:val="22"/>
              </w:rPr>
              <w:t xml:space="preserve">he TSC </w:t>
            </w:r>
            <w:r w:rsidR="00041C7E">
              <w:rPr>
                <w:rFonts w:asciiTheme="minorHAnsi" w:hAnsiTheme="minorHAnsi" w:cstheme="minorHAnsi"/>
                <w:iCs/>
                <w:szCs w:val="22"/>
              </w:rPr>
              <w:t>assessment</w:t>
            </w:r>
            <w:r w:rsidR="00041C7E" w:rsidRPr="00DE0E73">
              <w:rPr>
                <w:rFonts w:asciiTheme="minorHAnsi" w:hAnsiTheme="minorHAnsi" w:cstheme="minorHAnsi"/>
                <w:iCs/>
                <w:szCs w:val="22"/>
              </w:rPr>
              <w:t xml:space="preserve"> </w:t>
            </w:r>
            <w:r>
              <w:rPr>
                <w:rFonts w:asciiTheme="minorHAnsi" w:hAnsiTheme="minorHAnsi" w:cstheme="minorHAnsi"/>
                <w:iCs/>
                <w:szCs w:val="22"/>
              </w:rPr>
              <w:t xml:space="preserve">will be based on the application of </w:t>
            </w:r>
            <w:r w:rsidR="002B79C6">
              <w:rPr>
                <w:rFonts w:asciiTheme="minorHAnsi" w:hAnsiTheme="minorHAnsi" w:cstheme="minorHAnsi"/>
                <w:iCs/>
                <w:szCs w:val="22"/>
              </w:rPr>
              <w:t xml:space="preserve">relevant </w:t>
            </w:r>
            <w:r w:rsidR="00041C7E" w:rsidRPr="00DE0E73">
              <w:rPr>
                <w:rFonts w:asciiTheme="minorHAnsi" w:hAnsiTheme="minorHAnsi" w:cstheme="minorHAnsi"/>
                <w:iCs/>
                <w:szCs w:val="22"/>
              </w:rPr>
              <w:t>ONR standards and guidance</w:t>
            </w:r>
            <w:r w:rsidR="00041C7E">
              <w:rPr>
                <w:rFonts w:asciiTheme="minorHAnsi" w:hAnsiTheme="minorHAnsi" w:cstheme="minorHAnsi"/>
              </w:rPr>
              <w:t>. Additionally</w:t>
            </w:r>
            <w:r w:rsidR="00952872">
              <w:rPr>
                <w:rFonts w:asciiTheme="minorHAnsi" w:hAnsiTheme="minorHAnsi" w:cstheme="minorHAnsi"/>
              </w:rPr>
              <w:t>,</w:t>
            </w:r>
            <w:r w:rsidR="00041C7E">
              <w:rPr>
                <w:rFonts w:asciiTheme="minorHAnsi" w:hAnsiTheme="minorHAnsi" w:cstheme="minorHAnsi"/>
              </w:rPr>
              <w:t xml:space="preserve"> the TSC will be expected </w:t>
            </w:r>
            <w:r w:rsidR="000A4800" w:rsidRPr="009764AF">
              <w:rPr>
                <w:rFonts w:asciiTheme="minorHAnsi" w:hAnsiTheme="minorHAnsi" w:cstheme="minorHAnsi"/>
              </w:rPr>
              <w:t xml:space="preserve">to draw upon their own expert knowledge, skills and experience in the field, to form </w:t>
            </w:r>
            <w:r w:rsidR="00952872">
              <w:rPr>
                <w:rFonts w:asciiTheme="minorHAnsi" w:hAnsiTheme="minorHAnsi" w:cstheme="minorHAnsi"/>
              </w:rPr>
              <w:t>a</w:t>
            </w:r>
            <w:r w:rsidR="000A4800" w:rsidRPr="009764AF">
              <w:rPr>
                <w:rFonts w:asciiTheme="minorHAnsi" w:hAnsiTheme="minorHAnsi" w:cstheme="minorHAnsi"/>
              </w:rPr>
              <w:t xml:space="preserve"> benchmark of what constitutes good practice and inform the judgement of whether the RP has met th</w:t>
            </w:r>
            <w:r>
              <w:rPr>
                <w:rFonts w:asciiTheme="minorHAnsi" w:hAnsiTheme="minorHAnsi" w:cstheme="minorHAnsi"/>
              </w:rPr>
              <w:t>at</w:t>
            </w:r>
            <w:r w:rsidR="000A4800" w:rsidRPr="009764AF">
              <w:rPr>
                <w:rFonts w:asciiTheme="minorHAnsi" w:hAnsiTheme="minorHAnsi" w:cstheme="minorHAnsi"/>
              </w:rPr>
              <w:t xml:space="preserve"> standard or not.</w:t>
            </w:r>
          </w:p>
          <w:p w14:paraId="38DBFF28" w14:textId="0AA242A3" w:rsidR="00AD3738" w:rsidRDefault="005F2BBB" w:rsidP="008C691F">
            <w:pPr>
              <w:pStyle w:val="TSNumberedParagraph11"/>
              <w:rPr>
                <w:rFonts w:asciiTheme="minorHAnsi" w:hAnsiTheme="minorHAnsi" w:cstheme="minorHAnsi"/>
              </w:rPr>
            </w:pPr>
            <w:r>
              <w:rPr>
                <w:rFonts w:asciiTheme="minorHAnsi" w:hAnsiTheme="minorHAnsi" w:cstheme="minorHAnsi"/>
              </w:rPr>
              <w:t>In order to meet the objectives set out above</w:t>
            </w:r>
            <w:r w:rsidR="004316D2">
              <w:rPr>
                <w:rFonts w:asciiTheme="minorHAnsi" w:hAnsiTheme="minorHAnsi" w:cstheme="minorHAnsi"/>
              </w:rPr>
              <w:t xml:space="preserve">, the individual </w:t>
            </w:r>
            <w:r w:rsidR="00B6561E">
              <w:rPr>
                <w:rFonts w:asciiTheme="minorHAnsi" w:hAnsiTheme="minorHAnsi" w:cstheme="minorHAnsi"/>
              </w:rPr>
              <w:t>be expected to</w:t>
            </w:r>
            <w:r w:rsidR="004316D2">
              <w:rPr>
                <w:rFonts w:asciiTheme="minorHAnsi" w:hAnsiTheme="minorHAnsi" w:cstheme="minorHAnsi"/>
              </w:rPr>
              <w:t xml:space="preserve"> have</w:t>
            </w:r>
            <w:r w:rsidR="00AD3738">
              <w:rPr>
                <w:rFonts w:asciiTheme="minorHAnsi" w:hAnsiTheme="minorHAnsi" w:cstheme="minorHAnsi"/>
              </w:rPr>
              <w:t>:</w:t>
            </w:r>
          </w:p>
          <w:p w14:paraId="71BD8C5D" w14:textId="0927FF49" w:rsidR="00AD3738" w:rsidRDefault="00AD3738" w:rsidP="00AD3738">
            <w:pPr>
              <w:pStyle w:val="TSBullet1Square"/>
              <w:rPr>
                <w:rFonts w:asciiTheme="minorHAnsi" w:hAnsiTheme="minorHAnsi"/>
              </w:rPr>
            </w:pPr>
            <w:r w:rsidRPr="00AD3738">
              <w:rPr>
                <w:rFonts w:asciiTheme="minorHAnsi" w:hAnsiTheme="minorHAnsi"/>
              </w:rPr>
              <w:lastRenderedPageBreak/>
              <w:t>A</w:t>
            </w:r>
            <w:r>
              <w:rPr>
                <w:rFonts w:asciiTheme="minorHAnsi" w:hAnsiTheme="minorHAnsi"/>
              </w:rPr>
              <w:t>n a</w:t>
            </w:r>
            <w:r w:rsidRPr="00AD3738">
              <w:rPr>
                <w:rFonts w:asciiTheme="minorHAnsi" w:hAnsiTheme="minorHAnsi"/>
              </w:rPr>
              <w:t>wareness of ONR</w:t>
            </w:r>
            <w:r>
              <w:rPr>
                <w:rFonts w:asciiTheme="minorHAnsi" w:hAnsiTheme="minorHAnsi"/>
              </w:rPr>
              <w:t>’s</w:t>
            </w:r>
            <w:r w:rsidRPr="00AD3738">
              <w:rPr>
                <w:rFonts w:asciiTheme="minorHAnsi" w:hAnsiTheme="minorHAnsi"/>
              </w:rPr>
              <w:t xml:space="preserve"> regulatory </w:t>
            </w:r>
            <w:r w:rsidR="00952872">
              <w:rPr>
                <w:rFonts w:asciiTheme="minorHAnsi" w:hAnsiTheme="minorHAnsi"/>
              </w:rPr>
              <w:t>philosophy and approach to undertaking assessment of nuclear safety cases;</w:t>
            </w:r>
          </w:p>
          <w:p w14:paraId="7B85C5DE" w14:textId="77777777" w:rsidR="00952872" w:rsidRDefault="00952872" w:rsidP="00AD3738">
            <w:pPr>
              <w:pStyle w:val="TSBullet1Square"/>
              <w:rPr>
                <w:rFonts w:asciiTheme="minorHAnsi" w:hAnsiTheme="minorHAnsi"/>
              </w:rPr>
            </w:pPr>
            <w:r>
              <w:rPr>
                <w:rFonts w:asciiTheme="minorHAnsi" w:hAnsiTheme="minorHAnsi"/>
              </w:rPr>
              <w:t>A working knowledge of the GDA process;</w:t>
            </w:r>
          </w:p>
          <w:p w14:paraId="0FBED236" w14:textId="5E79365C" w:rsidR="00AD3738" w:rsidRPr="00AD3738" w:rsidRDefault="00AD3738" w:rsidP="00AD3738">
            <w:pPr>
              <w:pStyle w:val="TSBullet1Square"/>
              <w:rPr>
                <w:rFonts w:asciiTheme="minorHAnsi" w:hAnsiTheme="minorHAnsi"/>
              </w:rPr>
            </w:pPr>
            <w:r>
              <w:rPr>
                <w:rFonts w:asciiTheme="minorHAnsi" w:hAnsiTheme="minorHAnsi"/>
              </w:rPr>
              <w:t>K</w:t>
            </w:r>
            <w:r w:rsidRPr="00AD3738">
              <w:rPr>
                <w:rFonts w:asciiTheme="minorHAnsi" w:hAnsiTheme="minorHAnsi"/>
              </w:rPr>
              <w:t>nowledge of ONR</w:t>
            </w:r>
            <w:r>
              <w:rPr>
                <w:rFonts w:asciiTheme="minorHAnsi" w:hAnsiTheme="minorHAnsi"/>
              </w:rPr>
              <w:t>’s</w:t>
            </w:r>
            <w:r w:rsidRPr="00AD3738">
              <w:rPr>
                <w:rFonts w:asciiTheme="minorHAnsi" w:hAnsiTheme="minorHAnsi"/>
              </w:rPr>
              <w:t xml:space="preserve"> </w:t>
            </w:r>
            <w:r>
              <w:rPr>
                <w:rFonts w:asciiTheme="minorHAnsi" w:hAnsiTheme="minorHAnsi"/>
              </w:rPr>
              <w:t>SAPs and</w:t>
            </w:r>
            <w:r w:rsidRPr="00AD3738">
              <w:rPr>
                <w:rFonts w:asciiTheme="minorHAnsi" w:hAnsiTheme="minorHAnsi"/>
              </w:rPr>
              <w:t xml:space="preserve"> </w:t>
            </w:r>
            <w:r>
              <w:rPr>
                <w:rFonts w:asciiTheme="minorHAnsi" w:hAnsiTheme="minorHAnsi"/>
              </w:rPr>
              <w:t>TAGs</w:t>
            </w:r>
            <w:r w:rsidRPr="00AD3738">
              <w:rPr>
                <w:rFonts w:asciiTheme="minorHAnsi" w:hAnsiTheme="minorHAnsi"/>
              </w:rPr>
              <w:t xml:space="preserve"> and </w:t>
            </w:r>
            <w:r w:rsidR="00575968">
              <w:rPr>
                <w:rFonts w:asciiTheme="minorHAnsi" w:hAnsiTheme="minorHAnsi"/>
              </w:rPr>
              <w:t>of relevant international</w:t>
            </w:r>
            <w:r w:rsidRPr="00AD3738">
              <w:rPr>
                <w:rFonts w:asciiTheme="minorHAnsi" w:hAnsiTheme="minorHAnsi"/>
              </w:rPr>
              <w:t xml:space="preserve"> standards</w:t>
            </w:r>
            <w:r w:rsidR="00952872">
              <w:rPr>
                <w:rFonts w:asciiTheme="minorHAnsi" w:hAnsiTheme="minorHAnsi"/>
              </w:rPr>
              <w:t xml:space="preserve"> and guidance</w:t>
            </w:r>
            <w:r w:rsidR="000A401E">
              <w:rPr>
                <w:rFonts w:asciiTheme="minorHAnsi" w:hAnsiTheme="minorHAnsi"/>
              </w:rPr>
              <w:t xml:space="preserve"> (i.e. the Electric Power Research Institute (EPRI) Water Chemistry Guidelines etc.)</w:t>
            </w:r>
            <w:r>
              <w:rPr>
                <w:rFonts w:asciiTheme="minorHAnsi" w:hAnsiTheme="minorHAnsi"/>
              </w:rPr>
              <w:t>;</w:t>
            </w:r>
            <w:r w:rsidR="00952872">
              <w:rPr>
                <w:rFonts w:asciiTheme="minorHAnsi" w:hAnsiTheme="minorHAnsi"/>
              </w:rPr>
              <w:t xml:space="preserve"> and</w:t>
            </w:r>
          </w:p>
          <w:p w14:paraId="26930FDA" w14:textId="09B057BE" w:rsidR="00AD3738" w:rsidRDefault="00952872" w:rsidP="00AD3738">
            <w:pPr>
              <w:pStyle w:val="TSBullet1Square"/>
              <w:rPr>
                <w:rFonts w:asciiTheme="minorHAnsi" w:hAnsiTheme="minorHAnsi"/>
              </w:rPr>
            </w:pPr>
            <w:r>
              <w:rPr>
                <w:rFonts w:asciiTheme="minorHAnsi" w:hAnsiTheme="minorHAnsi"/>
              </w:rPr>
              <w:t>E</w:t>
            </w:r>
            <w:r w:rsidR="00AD3738">
              <w:rPr>
                <w:rFonts w:asciiTheme="minorHAnsi" w:hAnsiTheme="minorHAnsi"/>
              </w:rPr>
              <w:t>xperience in the a</w:t>
            </w:r>
            <w:r w:rsidR="00AD3738" w:rsidRPr="00AD3738">
              <w:rPr>
                <w:rFonts w:asciiTheme="minorHAnsi" w:hAnsiTheme="minorHAnsi"/>
              </w:rPr>
              <w:t xml:space="preserve">pplication of these </w:t>
            </w:r>
            <w:r w:rsidR="00B6561E">
              <w:rPr>
                <w:rFonts w:asciiTheme="minorHAnsi" w:hAnsiTheme="minorHAnsi"/>
              </w:rPr>
              <w:t>p</w:t>
            </w:r>
            <w:r w:rsidR="00AD3738" w:rsidRPr="00AD3738">
              <w:rPr>
                <w:rFonts w:asciiTheme="minorHAnsi" w:hAnsiTheme="minorHAnsi"/>
              </w:rPr>
              <w:t xml:space="preserve">rinciples, </w:t>
            </w:r>
            <w:r w:rsidR="00B6561E">
              <w:rPr>
                <w:rFonts w:asciiTheme="minorHAnsi" w:hAnsiTheme="minorHAnsi"/>
              </w:rPr>
              <w:t>g</w:t>
            </w:r>
            <w:r w:rsidR="00AD3738" w:rsidRPr="00AD3738">
              <w:rPr>
                <w:rFonts w:asciiTheme="minorHAnsi" w:hAnsiTheme="minorHAnsi"/>
              </w:rPr>
              <w:t xml:space="preserve">uides and standards </w:t>
            </w:r>
            <w:r w:rsidR="00AD3738">
              <w:rPr>
                <w:rFonts w:asciiTheme="minorHAnsi" w:hAnsiTheme="minorHAnsi"/>
              </w:rPr>
              <w:t xml:space="preserve">to the assessment of </w:t>
            </w:r>
            <w:r w:rsidR="00B6561E">
              <w:rPr>
                <w:rFonts w:asciiTheme="minorHAnsi" w:hAnsiTheme="minorHAnsi"/>
              </w:rPr>
              <w:t>‘</w:t>
            </w:r>
            <w:r w:rsidR="00AD3738">
              <w:rPr>
                <w:rFonts w:asciiTheme="minorHAnsi" w:hAnsiTheme="minorHAnsi"/>
              </w:rPr>
              <w:t xml:space="preserve">chemistry </w:t>
            </w:r>
            <w:r w:rsidR="00AD3738" w:rsidRPr="00AD3738">
              <w:rPr>
                <w:rFonts w:asciiTheme="minorHAnsi" w:hAnsiTheme="minorHAnsi"/>
              </w:rPr>
              <w:t>safety cases</w:t>
            </w:r>
            <w:r w:rsidR="00B6561E">
              <w:rPr>
                <w:rFonts w:asciiTheme="minorHAnsi" w:hAnsiTheme="minorHAnsi"/>
              </w:rPr>
              <w:t>’</w:t>
            </w:r>
            <w:r w:rsidR="00AD3738" w:rsidRPr="00AD3738">
              <w:rPr>
                <w:rFonts w:asciiTheme="minorHAnsi" w:hAnsiTheme="minorHAnsi"/>
              </w:rPr>
              <w:t>, ideally for nuclear power plants</w:t>
            </w:r>
            <w:r w:rsidR="00AD3738">
              <w:rPr>
                <w:rFonts w:asciiTheme="minorHAnsi" w:hAnsiTheme="minorHAnsi"/>
              </w:rPr>
              <w:t>.</w:t>
            </w:r>
          </w:p>
          <w:p w14:paraId="72D3D471" w14:textId="77777777" w:rsidR="000A4800" w:rsidRPr="00147750" w:rsidRDefault="000A4800" w:rsidP="000A4800">
            <w:pPr>
              <w:pStyle w:val="TSNumberedParagraph11"/>
              <w:tabs>
                <w:tab w:val="clear" w:pos="-31680"/>
              </w:tabs>
              <w:rPr>
                <w:rFonts w:asciiTheme="minorHAnsi" w:hAnsiTheme="minorHAnsi" w:cstheme="minorHAnsi"/>
              </w:rPr>
            </w:pPr>
            <w:r w:rsidRPr="00147750">
              <w:rPr>
                <w:rFonts w:asciiTheme="minorHAnsi" w:hAnsiTheme="minorHAnsi" w:cstheme="minorHAnsi"/>
              </w:rPr>
              <w:t xml:space="preserve">To be able to deliver the scope of services required for this contract, the successful TSC will need to </w:t>
            </w:r>
            <w:r w:rsidR="00185E3F">
              <w:rPr>
                <w:rFonts w:asciiTheme="minorHAnsi" w:hAnsiTheme="minorHAnsi" w:cstheme="minorHAnsi"/>
              </w:rPr>
              <w:t>develop</w:t>
            </w:r>
            <w:r w:rsidRPr="00147750">
              <w:rPr>
                <w:rFonts w:asciiTheme="minorHAnsi" w:hAnsiTheme="minorHAnsi" w:cstheme="minorHAnsi"/>
              </w:rPr>
              <w:t xml:space="preserve"> an adequate understanding of the UK HPR1000 generic design and safety case. This will involve the TSC reviewing a sample of the RP’s submissions which provide general UK HPR1000 design information and information most pertinent to the “</w:t>
            </w:r>
            <w:r>
              <w:rPr>
                <w:rFonts w:asciiTheme="minorHAnsi" w:hAnsiTheme="minorHAnsi" w:cstheme="minorHAnsi"/>
              </w:rPr>
              <w:t xml:space="preserve">chemistry </w:t>
            </w:r>
            <w:r w:rsidRPr="00147750">
              <w:rPr>
                <w:rFonts w:asciiTheme="minorHAnsi" w:hAnsiTheme="minorHAnsi" w:cstheme="minorHAnsi"/>
              </w:rPr>
              <w:t xml:space="preserve">safety case”. </w:t>
            </w:r>
            <w:r w:rsidR="00D626B7" w:rsidRPr="009764AF">
              <w:rPr>
                <w:rFonts w:asciiTheme="minorHAnsi" w:hAnsiTheme="minorHAnsi" w:cstheme="minorHAnsi"/>
              </w:rPr>
              <w:t>ONR would not expect a significant amount of time to be spent on this part of the work.</w:t>
            </w:r>
            <w:r w:rsidR="00D626B7">
              <w:rPr>
                <w:rFonts w:asciiTheme="minorHAnsi" w:hAnsiTheme="minorHAnsi" w:cstheme="minorHAnsi"/>
              </w:rPr>
              <w:t xml:space="preserve"> </w:t>
            </w:r>
            <w:r w:rsidRPr="00147750">
              <w:rPr>
                <w:rFonts w:asciiTheme="minorHAnsi" w:hAnsiTheme="minorHAnsi" w:cstheme="minorHAnsi"/>
              </w:rPr>
              <w:t xml:space="preserve">ONR will advise the successful TSC which documents to review to gain design familiarisation. However, the TSC should be aware a public version of the UK HPR1000 Safety Security and Environmental Report (SSER) is available on the RP’s website: </w:t>
            </w:r>
          </w:p>
          <w:p w14:paraId="4389E05F" w14:textId="77777777" w:rsidR="000A4800" w:rsidRPr="009764AF" w:rsidRDefault="000A4800" w:rsidP="000A4800">
            <w:pPr>
              <w:pStyle w:val="TSNumberedParagraph11"/>
              <w:numPr>
                <w:ilvl w:val="0"/>
                <w:numId w:val="0"/>
              </w:numPr>
              <w:rPr>
                <w:rStyle w:val="Hyperlink"/>
                <w:rFonts w:asciiTheme="minorHAnsi" w:hAnsiTheme="minorHAnsi" w:cstheme="minorHAnsi"/>
                <w:color w:val="auto"/>
                <w:u w:val="none"/>
              </w:rPr>
            </w:pPr>
            <w:r w:rsidRPr="009764AF">
              <w:tab/>
            </w:r>
            <w:hyperlink r:id="rId12" w:history="1">
              <w:r w:rsidRPr="009764AF">
                <w:rPr>
                  <w:rStyle w:val="Hyperlink"/>
                  <w:rFonts w:asciiTheme="minorHAnsi" w:hAnsiTheme="minorHAnsi" w:cs="Arial"/>
                  <w:iCs/>
                  <w:szCs w:val="22"/>
                </w:rPr>
                <w:t>http://www.ukhpr1000.co.uk/documents-library/step-3/</w:t>
              </w:r>
            </w:hyperlink>
          </w:p>
          <w:p w14:paraId="1B7176F4" w14:textId="77777777" w:rsidR="00805C52" w:rsidRPr="00805C52" w:rsidRDefault="00805C52" w:rsidP="00805C52">
            <w:pPr>
              <w:pStyle w:val="TSNumberedParagraph11"/>
              <w:rPr>
                <w:rFonts w:asciiTheme="minorHAnsi" w:hAnsiTheme="minorHAnsi" w:cstheme="minorHAnsi"/>
              </w:rPr>
            </w:pPr>
            <w:r w:rsidRPr="00805C52">
              <w:rPr>
                <w:rFonts w:asciiTheme="minorHAnsi" w:hAnsiTheme="minorHAnsi" w:cstheme="minorHAnsi"/>
              </w:rPr>
              <w:t xml:space="preserve">Activities </w:t>
            </w:r>
            <w:r w:rsidR="00943C03">
              <w:rPr>
                <w:rFonts w:asciiTheme="minorHAnsi" w:hAnsiTheme="minorHAnsi" w:cstheme="minorHAnsi"/>
              </w:rPr>
              <w:t xml:space="preserve">required of the TSC </w:t>
            </w:r>
            <w:r w:rsidRPr="00805C52">
              <w:rPr>
                <w:rFonts w:asciiTheme="minorHAnsi" w:hAnsiTheme="minorHAnsi" w:cstheme="minorHAnsi"/>
              </w:rPr>
              <w:t>to deliver th</w:t>
            </w:r>
            <w:r w:rsidR="0090068C">
              <w:rPr>
                <w:rFonts w:asciiTheme="minorHAnsi" w:hAnsiTheme="minorHAnsi" w:cstheme="minorHAnsi"/>
              </w:rPr>
              <w:t xml:space="preserve">e main </w:t>
            </w:r>
            <w:r w:rsidR="00285A54">
              <w:rPr>
                <w:rFonts w:asciiTheme="minorHAnsi" w:hAnsiTheme="minorHAnsi" w:cstheme="minorHAnsi"/>
              </w:rPr>
              <w:t>aspect</w:t>
            </w:r>
            <w:r w:rsidR="0090068C">
              <w:rPr>
                <w:rFonts w:asciiTheme="minorHAnsi" w:hAnsiTheme="minorHAnsi" w:cstheme="minorHAnsi"/>
              </w:rPr>
              <w:t xml:space="preserve"> of the</w:t>
            </w:r>
            <w:r w:rsidRPr="00805C52">
              <w:rPr>
                <w:rFonts w:asciiTheme="minorHAnsi" w:hAnsiTheme="minorHAnsi" w:cstheme="minorHAnsi"/>
              </w:rPr>
              <w:t xml:space="preserve"> work will include, but not be limited to:</w:t>
            </w:r>
          </w:p>
          <w:p w14:paraId="6AED2B55" w14:textId="78A77FF0" w:rsidR="00F36AB9" w:rsidRDefault="001F12DA" w:rsidP="002A76D3">
            <w:pPr>
              <w:pStyle w:val="TSBullet1Square"/>
              <w:rPr>
                <w:rFonts w:ascii="Calibri" w:hAnsi="Calibri"/>
              </w:rPr>
            </w:pPr>
            <w:r>
              <w:rPr>
                <w:rFonts w:ascii="Calibri" w:hAnsi="Calibri"/>
              </w:rPr>
              <w:t>Performing an assessment of the RP’s choice of primary circuit materials</w:t>
            </w:r>
            <w:r w:rsidR="00952872">
              <w:rPr>
                <w:rFonts w:ascii="Calibri" w:hAnsi="Calibri"/>
              </w:rPr>
              <w:t>,</w:t>
            </w:r>
            <w:r>
              <w:rPr>
                <w:rFonts w:ascii="Calibri" w:hAnsi="Calibri"/>
              </w:rPr>
              <w:t xml:space="preserve"> with regard to the minimisation of radioactivity and the </w:t>
            </w:r>
            <w:r w:rsidR="00952872">
              <w:rPr>
                <w:rFonts w:ascii="Calibri" w:hAnsi="Calibri"/>
              </w:rPr>
              <w:t>avoidance/</w:t>
            </w:r>
            <w:r>
              <w:rPr>
                <w:rFonts w:ascii="Calibri" w:hAnsi="Calibri"/>
              </w:rPr>
              <w:t xml:space="preserve">mitigation of </w:t>
            </w:r>
            <w:r w:rsidR="000A401E">
              <w:rPr>
                <w:rFonts w:ascii="Calibri" w:hAnsi="Calibri"/>
              </w:rPr>
              <w:t xml:space="preserve">chemistry-related </w:t>
            </w:r>
            <w:r>
              <w:rPr>
                <w:rFonts w:ascii="Calibri" w:hAnsi="Calibri"/>
              </w:rPr>
              <w:t xml:space="preserve">materials degradation threats, taking into account the proposed </w:t>
            </w:r>
            <w:r w:rsidR="00F36AB9">
              <w:rPr>
                <w:rFonts w:ascii="Calibri" w:hAnsi="Calibri"/>
              </w:rPr>
              <w:t xml:space="preserve">primary circuit </w:t>
            </w:r>
            <w:r w:rsidR="00952872">
              <w:rPr>
                <w:rFonts w:ascii="Calibri" w:hAnsi="Calibri"/>
              </w:rPr>
              <w:t>operating chemistry.</w:t>
            </w:r>
            <w:r>
              <w:rPr>
                <w:rFonts w:ascii="Calibri" w:hAnsi="Calibri"/>
              </w:rPr>
              <w:t xml:space="preserve"> The assessment </w:t>
            </w:r>
            <w:r w:rsidR="000A401E">
              <w:rPr>
                <w:rFonts w:ascii="Calibri" w:hAnsi="Calibri"/>
              </w:rPr>
              <w:t>should also focus on proposed manufacturing techniques and surface finishing techniques, for components where there is judged to be significant i.e. the Steam Generator tubing;</w:t>
            </w:r>
          </w:p>
          <w:p w14:paraId="27A43AAA" w14:textId="775F036E" w:rsidR="000C1560" w:rsidRPr="000C1560" w:rsidRDefault="000C1560" w:rsidP="000C1560">
            <w:pPr>
              <w:pStyle w:val="TSBullet1Square"/>
              <w:rPr>
                <w:rFonts w:ascii="Calibri" w:hAnsi="Calibri"/>
              </w:rPr>
            </w:pPr>
            <w:r w:rsidRPr="000C1560">
              <w:rPr>
                <w:rFonts w:ascii="Calibri" w:hAnsi="Calibri"/>
              </w:rPr>
              <w:t>Performing an assessment of the adequacy of the RP’s approach to start-up and shutdown</w:t>
            </w:r>
            <w:r w:rsidR="00752EEE" w:rsidRPr="000C1560">
              <w:rPr>
                <w:rFonts w:ascii="Calibri" w:hAnsi="Calibri"/>
              </w:rPr>
              <w:t xml:space="preserve"> </w:t>
            </w:r>
            <w:r w:rsidR="000A401E">
              <w:rPr>
                <w:rFonts w:ascii="Calibri" w:hAnsi="Calibri"/>
              </w:rPr>
              <w:t xml:space="preserve">chemistry control </w:t>
            </w:r>
            <w:r w:rsidR="00752EEE" w:rsidRPr="000C1560">
              <w:rPr>
                <w:rFonts w:ascii="Calibri" w:hAnsi="Calibri"/>
              </w:rPr>
              <w:t>in UK HPR1000</w:t>
            </w:r>
            <w:r w:rsidRPr="000C1560">
              <w:rPr>
                <w:rFonts w:ascii="Calibri" w:hAnsi="Calibri"/>
              </w:rPr>
              <w:t xml:space="preserve">, </w:t>
            </w:r>
            <w:r w:rsidR="00752EEE">
              <w:rPr>
                <w:rFonts w:ascii="Calibri" w:hAnsi="Calibri"/>
              </w:rPr>
              <w:t>focussing on</w:t>
            </w:r>
            <w:r w:rsidRPr="000C1560">
              <w:rPr>
                <w:rFonts w:ascii="Calibri" w:hAnsi="Calibri"/>
              </w:rPr>
              <w:t xml:space="preserve"> the control of primary circuit chemistry, r</w:t>
            </w:r>
            <w:r w:rsidR="00752EEE">
              <w:rPr>
                <w:rFonts w:ascii="Calibri" w:hAnsi="Calibri"/>
              </w:rPr>
              <w:t>adioactivity and purification</w:t>
            </w:r>
            <w:r w:rsidR="00A3081D">
              <w:rPr>
                <w:rFonts w:ascii="Calibri" w:hAnsi="Calibri"/>
              </w:rPr>
              <w:t xml:space="preserve"> during these modes of operation</w:t>
            </w:r>
            <w:r w:rsidRPr="000C1560">
              <w:rPr>
                <w:rFonts w:ascii="Calibri" w:hAnsi="Calibri"/>
              </w:rPr>
              <w:t>. Additionally</w:t>
            </w:r>
            <w:r w:rsidR="00FC1CC4">
              <w:rPr>
                <w:rFonts w:ascii="Calibri" w:hAnsi="Calibri"/>
              </w:rPr>
              <w:t>,</w:t>
            </w:r>
            <w:r w:rsidRPr="000C1560">
              <w:rPr>
                <w:rFonts w:ascii="Calibri" w:hAnsi="Calibri"/>
              </w:rPr>
              <w:t xml:space="preserve"> the TSC will </w:t>
            </w:r>
            <w:r w:rsidR="00FC1CC4">
              <w:rPr>
                <w:rFonts w:ascii="Calibri" w:hAnsi="Calibri"/>
              </w:rPr>
              <w:t>also be expected to</w:t>
            </w:r>
            <w:r w:rsidRPr="000C1560">
              <w:rPr>
                <w:rFonts w:ascii="Calibri" w:hAnsi="Calibri"/>
              </w:rPr>
              <w:t xml:space="preserve"> review the adequacy of secondary circuit chemistry control during start-up and shutdown</w:t>
            </w:r>
            <w:r w:rsidR="00A140D6">
              <w:rPr>
                <w:rFonts w:ascii="Calibri" w:hAnsi="Calibri"/>
              </w:rPr>
              <w:t>,</w:t>
            </w:r>
            <w:r w:rsidRPr="000C1560">
              <w:rPr>
                <w:rFonts w:ascii="Calibri" w:hAnsi="Calibri"/>
              </w:rPr>
              <w:t xml:space="preserve"> and </w:t>
            </w:r>
            <w:r>
              <w:rPr>
                <w:rFonts w:ascii="Calibri" w:hAnsi="Calibri"/>
              </w:rPr>
              <w:t xml:space="preserve">of </w:t>
            </w:r>
            <w:r w:rsidRPr="000C1560">
              <w:rPr>
                <w:rFonts w:ascii="Calibri" w:hAnsi="Calibri"/>
              </w:rPr>
              <w:t>secondary circuit storage and lay-up</w:t>
            </w:r>
            <w:r w:rsidR="00A140D6">
              <w:rPr>
                <w:rFonts w:ascii="Calibri" w:hAnsi="Calibri"/>
              </w:rPr>
              <w:t>;</w:t>
            </w:r>
          </w:p>
          <w:p w14:paraId="626B5D0E" w14:textId="1AE7B314" w:rsidR="000C1560" w:rsidRPr="00A140D6" w:rsidRDefault="00A140D6" w:rsidP="002A76D3">
            <w:pPr>
              <w:pStyle w:val="TSBullet1Square"/>
              <w:tabs>
                <w:tab w:val="clear" w:pos="-31680"/>
              </w:tabs>
              <w:rPr>
                <w:rFonts w:ascii="Calibri" w:hAnsi="Calibri"/>
              </w:rPr>
            </w:pPr>
            <w:r w:rsidRPr="00A140D6">
              <w:rPr>
                <w:rFonts w:ascii="Calibri" w:hAnsi="Calibri"/>
              </w:rPr>
              <w:t xml:space="preserve">Performing an assessment of the adequacy of the RP’s </w:t>
            </w:r>
            <w:r w:rsidR="00FC1CC4">
              <w:rPr>
                <w:rFonts w:ascii="Calibri" w:hAnsi="Calibri"/>
              </w:rPr>
              <w:t xml:space="preserve">proposed </w:t>
            </w:r>
            <w:r w:rsidRPr="00A140D6">
              <w:rPr>
                <w:rFonts w:ascii="Calibri" w:hAnsi="Calibri"/>
              </w:rPr>
              <w:t xml:space="preserve">approach to </w:t>
            </w:r>
            <w:r w:rsidR="00FC1CC4">
              <w:rPr>
                <w:rFonts w:ascii="Calibri" w:hAnsi="Calibri"/>
              </w:rPr>
              <w:t>chemistry control during</w:t>
            </w:r>
            <w:r w:rsidRPr="00A140D6">
              <w:rPr>
                <w:rFonts w:ascii="Calibri" w:hAnsi="Calibri"/>
              </w:rPr>
              <w:t xml:space="preserve"> </w:t>
            </w:r>
            <w:r w:rsidR="000C1560" w:rsidRPr="00A140D6">
              <w:rPr>
                <w:rFonts w:ascii="Calibri" w:hAnsi="Calibri"/>
              </w:rPr>
              <w:t>Hot Functional Testing</w:t>
            </w:r>
            <w:r>
              <w:rPr>
                <w:rFonts w:ascii="Calibri" w:hAnsi="Calibri"/>
              </w:rPr>
              <w:t>;</w:t>
            </w:r>
          </w:p>
          <w:p w14:paraId="4BDDBEFF" w14:textId="77777777" w:rsidR="00805C52" w:rsidRDefault="005856E7" w:rsidP="002A76D3">
            <w:pPr>
              <w:pStyle w:val="TSBullet1Square"/>
              <w:rPr>
                <w:rFonts w:ascii="Calibri" w:hAnsi="Calibri"/>
              </w:rPr>
            </w:pPr>
            <w:r>
              <w:rPr>
                <w:rFonts w:ascii="Calibri" w:hAnsi="Calibri"/>
              </w:rPr>
              <w:t>Performing a r</w:t>
            </w:r>
            <w:r w:rsidR="00805C52" w:rsidRPr="00805C52">
              <w:rPr>
                <w:rFonts w:ascii="Calibri" w:hAnsi="Calibri"/>
              </w:rPr>
              <w:t xml:space="preserve">eview of </w:t>
            </w:r>
            <w:r w:rsidR="00DF72D4">
              <w:rPr>
                <w:rFonts w:ascii="Calibri" w:hAnsi="Calibri"/>
              </w:rPr>
              <w:t xml:space="preserve">a sample of </w:t>
            </w:r>
            <w:r w:rsidR="00805C52" w:rsidRPr="00805C52">
              <w:rPr>
                <w:rFonts w:ascii="Calibri" w:hAnsi="Calibri"/>
              </w:rPr>
              <w:t xml:space="preserve">the </w:t>
            </w:r>
            <w:r w:rsidR="00943C03">
              <w:rPr>
                <w:rFonts w:ascii="Calibri" w:hAnsi="Calibri"/>
              </w:rPr>
              <w:t>RP</w:t>
            </w:r>
            <w:r w:rsidR="00805C52" w:rsidRPr="00805C52">
              <w:rPr>
                <w:rFonts w:ascii="Calibri" w:hAnsi="Calibri"/>
              </w:rPr>
              <w:t>’s submissions</w:t>
            </w:r>
            <w:r w:rsidR="00AF7A2F">
              <w:rPr>
                <w:rFonts w:ascii="Calibri" w:hAnsi="Calibri"/>
              </w:rPr>
              <w:t>, relating to the technical areas specified above,</w:t>
            </w:r>
            <w:r w:rsidR="00805C52" w:rsidRPr="00805C52">
              <w:rPr>
                <w:rFonts w:ascii="Calibri" w:hAnsi="Calibri"/>
              </w:rPr>
              <w:t xml:space="preserve"> </w:t>
            </w:r>
            <w:r w:rsidR="00805C52">
              <w:rPr>
                <w:rFonts w:ascii="Calibri" w:hAnsi="Calibri"/>
              </w:rPr>
              <w:t>against ONR’</w:t>
            </w:r>
            <w:r w:rsidR="00805C52" w:rsidRPr="00805C52">
              <w:rPr>
                <w:rFonts w:ascii="Calibri" w:hAnsi="Calibri"/>
              </w:rPr>
              <w:t>s SAPs</w:t>
            </w:r>
            <w:r w:rsidR="00805C52">
              <w:rPr>
                <w:rFonts w:ascii="Calibri" w:hAnsi="Calibri"/>
              </w:rPr>
              <w:t xml:space="preserve"> and TAGs</w:t>
            </w:r>
            <w:r w:rsidR="002A76D3">
              <w:rPr>
                <w:rFonts w:ascii="Calibri" w:hAnsi="Calibri"/>
              </w:rPr>
              <w:t xml:space="preserve"> (</w:t>
            </w:r>
            <w:r w:rsidR="002A76D3" w:rsidRPr="002A76D3">
              <w:rPr>
                <w:rFonts w:ascii="Calibri" w:hAnsi="Calibri"/>
              </w:rPr>
              <w:t>in par</w:t>
            </w:r>
            <w:r w:rsidR="00281C4F">
              <w:rPr>
                <w:rFonts w:ascii="Calibri" w:hAnsi="Calibri"/>
              </w:rPr>
              <w:t xml:space="preserve">ticular the chemistry SAPs (ECH 1 – </w:t>
            </w:r>
            <w:r w:rsidR="002A76D3" w:rsidRPr="002A76D3">
              <w:rPr>
                <w:rFonts w:ascii="Calibri" w:hAnsi="Calibri"/>
              </w:rPr>
              <w:t xml:space="preserve">4) and associated </w:t>
            </w:r>
            <w:r>
              <w:rPr>
                <w:rFonts w:ascii="Calibri" w:hAnsi="Calibri"/>
              </w:rPr>
              <w:t>TAGs</w:t>
            </w:r>
            <w:r w:rsidR="002A76D3">
              <w:rPr>
                <w:rFonts w:ascii="Calibri" w:hAnsi="Calibri"/>
              </w:rPr>
              <w:t xml:space="preserve"> NS-TAST-GD-088 and -089)</w:t>
            </w:r>
            <w:r w:rsidR="00943C03">
              <w:rPr>
                <w:rFonts w:ascii="Calibri" w:hAnsi="Calibri"/>
              </w:rPr>
              <w:t>, international standards, and other RGP</w:t>
            </w:r>
            <w:r w:rsidR="00752EEE">
              <w:rPr>
                <w:rFonts w:ascii="Calibri" w:hAnsi="Calibri"/>
              </w:rPr>
              <w:t>;</w:t>
            </w:r>
          </w:p>
          <w:p w14:paraId="14F51F78" w14:textId="27FAFC78" w:rsidR="00805C52" w:rsidRPr="00805C52" w:rsidRDefault="00805C52" w:rsidP="00805C52">
            <w:pPr>
              <w:pStyle w:val="TSBullet1Square"/>
              <w:rPr>
                <w:rFonts w:ascii="Calibri" w:hAnsi="Calibri"/>
              </w:rPr>
            </w:pPr>
            <w:r w:rsidRPr="00805C52">
              <w:rPr>
                <w:rFonts w:ascii="Calibri" w:hAnsi="Calibri"/>
              </w:rPr>
              <w:t>Support</w:t>
            </w:r>
            <w:r w:rsidR="005F2BBB">
              <w:rPr>
                <w:rFonts w:ascii="Calibri" w:hAnsi="Calibri"/>
              </w:rPr>
              <w:t>ing</w:t>
            </w:r>
            <w:r w:rsidRPr="00805C52">
              <w:rPr>
                <w:rFonts w:ascii="Calibri" w:hAnsi="Calibri"/>
              </w:rPr>
              <w:t xml:space="preserve"> ONR during teleconferences, videoconferences </w:t>
            </w:r>
            <w:r w:rsidR="00F64B8F">
              <w:rPr>
                <w:rFonts w:ascii="Calibri" w:hAnsi="Calibri"/>
              </w:rPr>
              <w:t xml:space="preserve">and/or face-to-face meetings </w:t>
            </w:r>
            <w:r w:rsidRPr="00805C52">
              <w:rPr>
                <w:rFonts w:ascii="Calibri" w:hAnsi="Calibri"/>
              </w:rPr>
              <w:t xml:space="preserve">in the UK with the </w:t>
            </w:r>
            <w:r w:rsidR="00FF2121">
              <w:rPr>
                <w:rFonts w:ascii="Calibri" w:hAnsi="Calibri"/>
              </w:rPr>
              <w:t>RP</w:t>
            </w:r>
            <w:r w:rsidRPr="00805C52">
              <w:rPr>
                <w:rFonts w:ascii="Calibri" w:hAnsi="Calibri"/>
              </w:rPr>
              <w:t xml:space="preserve"> to discuss </w:t>
            </w:r>
            <w:r w:rsidR="005856E7">
              <w:rPr>
                <w:rFonts w:ascii="Calibri" w:hAnsi="Calibri"/>
              </w:rPr>
              <w:t>assessment progress</w:t>
            </w:r>
            <w:r w:rsidRPr="00805C52">
              <w:rPr>
                <w:rFonts w:ascii="Calibri" w:hAnsi="Calibri"/>
              </w:rPr>
              <w:t xml:space="preserve">, findings </w:t>
            </w:r>
            <w:r w:rsidR="00FF2121">
              <w:rPr>
                <w:rFonts w:ascii="Calibri" w:hAnsi="Calibri"/>
              </w:rPr>
              <w:t xml:space="preserve">and </w:t>
            </w:r>
            <w:r w:rsidRPr="00805C52">
              <w:rPr>
                <w:rFonts w:ascii="Calibri" w:hAnsi="Calibri"/>
              </w:rPr>
              <w:t>emerging issues</w:t>
            </w:r>
            <w:r w:rsidR="00FC1CC4">
              <w:rPr>
                <w:rFonts w:ascii="Calibri" w:hAnsi="Calibri"/>
              </w:rPr>
              <w:t xml:space="preserve">. These meetings </w:t>
            </w:r>
            <w:r w:rsidR="005F46B6">
              <w:rPr>
                <w:rFonts w:ascii="Calibri" w:hAnsi="Calibri"/>
              </w:rPr>
              <w:t xml:space="preserve">will </w:t>
            </w:r>
            <w:r w:rsidR="00FC1CC4">
              <w:rPr>
                <w:rFonts w:ascii="Calibri" w:hAnsi="Calibri"/>
              </w:rPr>
              <w:t>either be in Liverpool or London.  T</w:t>
            </w:r>
            <w:r w:rsidR="00281C4F">
              <w:rPr>
                <w:rFonts w:ascii="Calibri" w:hAnsi="Calibri"/>
              </w:rPr>
              <w:t>here</w:t>
            </w:r>
            <w:r w:rsidR="00281C4F" w:rsidRPr="00026425">
              <w:rPr>
                <w:rFonts w:asciiTheme="minorHAnsi" w:hAnsiTheme="minorHAnsi" w:cstheme="minorHAnsi"/>
                <w:iCs/>
                <w:szCs w:val="22"/>
              </w:rPr>
              <w:t xml:space="preserve"> is </w:t>
            </w:r>
            <w:r w:rsidR="00FC1CC4">
              <w:rPr>
                <w:rFonts w:asciiTheme="minorHAnsi" w:hAnsiTheme="minorHAnsi" w:cstheme="minorHAnsi"/>
                <w:iCs/>
                <w:szCs w:val="22"/>
              </w:rPr>
              <w:t xml:space="preserve">also </w:t>
            </w:r>
            <w:r w:rsidR="00281C4F" w:rsidRPr="00026425">
              <w:rPr>
                <w:rFonts w:asciiTheme="minorHAnsi" w:hAnsiTheme="minorHAnsi" w:cstheme="minorHAnsi"/>
                <w:iCs/>
                <w:szCs w:val="22"/>
              </w:rPr>
              <w:t>the poss</w:t>
            </w:r>
            <w:r w:rsidR="00281C4F">
              <w:rPr>
                <w:rFonts w:asciiTheme="minorHAnsi" w:hAnsiTheme="minorHAnsi" w:cstheme="minorHAnsi"/>
                <w:iCs/>
                <w:szCs w:val="22"/>
              </w:rPr>
              <w:t xml:space="preserve">ibility of travel to China </w:t>
            </w:r>
            <w:r w:rsidR="00FC1CC4">
              <w:rPr>
                <w:rFonts w:asciiTheme="minorHAnsi" w:hAnsiTheme="minorHAnsi" w:cstheme="minorHAnsi"/>
                <w:iCs/>
                <w:szCs w:val="22"/>
              </w:rPr>
              <w:t xml:space="preserve">being required </w:t>
            </w:r>
            <w:r w:rsidR="00281C4F">
              <w:rPr>
                <w:rFonts w:asciiTheme="minorHAnsi" w:hAnsiTheme="minorHAnsi" w:cstheme="minorHAnsi"/>
                <w:iCs/>
                <w:szCs w:val="22"/>
              </w:rPr>
              <w:t>for</w:t>
            </w:r>
            <w:r w:rsidR="00281C4F" w:rsidRPr="00026425">
              <w:rPr>
                <w:rFonts w:asciiTheme="minorHAnsi" w:hAnsiTheme="minorHAnsi" w:cstheme="minorHAnsi"/>
                <w:iCs/>
                <w:szCs w:val="22"/>
              </w:rPr>
              <w:t xml:space="preserve"> </w:t>
            </w:r>
            <w:r w:rsidR="00FC1CC4">
              <w:rPr>
                <w:rFonts w:asciiTheme="minorHAnsi" w:hAnsiTheme="minorHAnsi" w:cstheme="minorHAnsi"/>
                <w:iCs/>
                <w:szCs w:val="22"/>
              </w:rPr>
              <w:t>technical workshops</w:t>
            </w:r>
            <w:r w:rsidR="00281C4F" w:rsidRPr="00026425">
              <w:rPr>
                <w:rFonts w:asciiTheme="minorHAnsi" w:hAnsiTheme="minorHAnsi" w:cstheme="minorHAnsi"/>
                <w:iCs/>
                <w:szCs w:val="22"/>
              </w:rPr>
              <w:t xml:space="preserve"> with the RP</w:t>
            </w:r>
            <w:r w:rsidR="00FC1CC4">
              <w:rPr>
                <w:rFonts w:asciiTheme="minorHAnsi" w:hAnsiTheme="minorHAnsi" w:cstheme="minorHAnsi"/>
                <w:iCs/>
                <w:szCs w:val="22"/>
              </w:rPr>
              <w:t>. Up to two</w:t>
            </w:r>
            <w:r w:rsidR="005F46B6">
              <w:rPr>
                <w:rFonts w:asciiTheme="minorHAnsi" w:hAnsiTheme="minorHAnsi" w:cstheme="minorHAnsi"/>
                <w:iCs/>
                <w:szCs w:val="22"/>
              </w:rPr>
              <w:t>,</w:t>
            </w:r>
            <w:r w:rsidR="00FC1CC4">
              <w:rPr>
                <w:rFonts w:asciiTheme="minorHAnsi" w:hAnsiTheme="minorHAnsi" w:cstheme="minorHAnsi"/>
                <w:iCs/>
                <w:szCs w:val="22"/>
              </w:rPr>
              <w:t xml:space="preserve"> 1 week long trips may be required;</w:t>
            </w:r>
          </w:p>
          <w:p w14:paraId="1AC5087A" w14:textId="62B45C30" w:rsidR="00DF72D4" w:rsidRPr="00DF72D4" w:rsidRDefault="005856E7" w:rsidP="00DF72D4">
            <w:pPr>
              <w:pStyle w:val="TSBullet1Square"/>
              <w:rPr>
                <w:rFonts w:asciiTheme="minorHAnsi" w:hAnsiTheme="minorHAnsi"/>
              </w:rPr>
            </w:pPr>
            <w:r w:rsidRPr="00DF72D4">
              <w:rPr>
                <w:rFonts w:asciiTheme="minorHAnsi" w:hAnsiTheme="minorHAnsi"/>
              </w:rPr>
              <w:t>Identify</w:t>
            </w:r>
            <w:r w:rsidR="005F2BBB" w:rsidRPr="00DF72D4">
              <w:rPr>
                <w:rFonts w:asciiTheme="minorHAnsi" w:hAnsiTheme="minorHAnsi"/>
              </w:rPr>
              <w:t>ing</w:t>
            </w:r>
            <w:r w:rsidRPr="00DF72D4">
              <w:rPr>
                <w:rFonts w:asciiTheme="minorHAnsi" w:hAnsiTheme="minorHAnsi"/>
              </w:rPr>
              <w:t xml:space="preserve"> any necessary UK</w:t>
            </w:r>
            <w:r w:rsidR="00FC1CC4">
              <w:rPr>
                <w:rFonts w:asciiTheme="minorHAnsi" w:hAnsiTheme="minorHAnsi"/>
              </w:rPr>
              <w:t xml:space="preserve"> </w:t>
            </w:r>
            <w:r w:rsidRPr="00DF72D4">
              <w:rPr>
                <w:rFonts w:asciiTheme="minorHAnsi" w:hAnsiTheme="minorHAnsi"/>
              </w:rPr>
              <w:t>HPR1000 information required from the RP and review</w:t>
            </w:r>
            <w:r w:rsidR="005F2BBB" w:rsidRPr="00DF72D4">
              <w:rPr>
                <w:rFonts w:asciiTheme="minorHAnsi" w:hAnsiTheme="minorHAnsi"/>
              </w:rPr>
              <w:t>ing</w:t>
            </w:r>
            <w:r w:rsidRPr="00DF72D4">
              <w:rPr>
                <w:rFonts w:asciiTheme="minorHAnsi" w:hAnsiTheme="minorHAnsi"/>
              </w:rPr>
              <w:t xml:space="preserve"> the RP’s responses. ONR will formally submit these requests to the RP as Regulatory Queries (RQs), but the contractor is expected to identify the information required and be involved in drafting the RQs</w:t>
            </w:r>
            <w:r w:rsidR="00FF2121" w:rsidRPr="00DF72D4">
              <w:rPr>
                <w:rFonts w:asciiTheme="minorHAnsi" w:hAnsiTheme="minorHAnsi"/>
              </w:rPr>
              <w:t>;</w:t>
            </w:r>
          </w:p>
          <w:p w14:paraId="13E2E78C" w14:textId="36F40BAE" w:rsidR="00805C52" w:rsidRPr="00DF72D4" w:rsidRDefault="00805C52" w:rsidP="00DF72D4">
            <w:pPr>
              <w:pStyle w:val="TSBullet1Square"/>
              <w:rPr>
                <w:rFonts w:asciiTheme="minorHAnsi" w:hAnsiTheme="minorHAnsi"/>
              </w:rPr>
            </w:pPr>
            <w:r w:rsidRPr="00DF72D4">
              <w:rPr>
                <w:rFonts w:asciiTheme="minorHAnsi" w:hAnsiTheme="minorHAnsi"/>
              </w:rPr>
              <w:t>Report</w:t>
            </w:r>
            <w:r w:rsidR="005F2BBB" w:rsidRPr="00DF72D4">
              <w:rPr>
                <w:rFonts w:asciiTheme="minorHAnsi" w:hAnsiTheme="minorHAnsi"/>
              </w:rPr>
              <w:t>ing</w:t>
            </w:r>
            <w:r w:rsidRPr="00DF72D4">
              <w:rPr>
                <w:rFonts w:asciiTheme="minorHAnsi" w:hAnsiTheme="minorHAnsi"/>
              </w:rPr>
              <w:t xml:space="preserve"> to ONR any shortfalls identified during the </w:t>
            </w:r>
            <w:r w:rsidR="00FC1CC4">
              <w:rPr>
                <w:rFonts w:asciiTheme="minorHAnsi" w:hAnsiTheme="minorHAnsi"/>
              </w:rPr>
              <w:t>assessment</w:t>
            </w:r>
            <w:r w:rsidRPr="00DF72D4">
              <w:rPr>
                <w:rFonts w:asciiTheme="minorHAnsi" w:hAnsiTheme="minorHAnsi"/>
              </w:rPr>
              <w:t xml:space="preserve"> of submission</w:t>
            </w:r>
            <w:r w:rsidR="00FC1CC4">
              <w:rPr>
                <w:rFonts w:asciiTheme="minorHAnsi" w:hAnsiTheme="minorHAnsi"/>
              </w:rPr>
              <w:t>s</w:t>
            </w:r>
            <w:r w:rsidRPr="00DF72D4">
              <w:rPr>
                <w:rFonts w:asciiTheme="minorHAnsi" w:hAnsiTheme="minorHAnsi"/>
              </w:rPr>
              <w:t xml:space="preserve"> and comment</w:t>
            </w:r>
            <w:r w:rsidR="005F2BBB" w:rsidRPr="00DF72D4">
              <w:rPr>
                <w:rFonts w:asciiTheme="minorHAnsi" w:hAnsiTheme="minorHAnsi"/>
              </w:rPr>
              <w:t xml:space="preserve"> on their significance. Additionally</w:t>
            </w:r>
            <w:r w:rsidR="00FC1CC4">
              <w:rPr>
                <w:rFonts w:asciiTheme="minorHAnsi" w:hAnsiTheme="minorHAnsi"/>
              </w:rPr>
              <w:t>,</w:t>
            </w:r>
            <w:r w:rsidR="005F2BBB" w:rsidRPr="00DF72D4">
              <w:rPr>
                <w:rFonts w:asciiTheme="minorHAnsi" w:hAnsiTheme="minorHAnsi"/>
              </w:rPr>
              <w:t xml:space="preserve"> the TSC should evaluate</w:t>
            </w:r>
            <w:r w:rsidRPr="00DF72D4">
              <w:rPr>
                <w:rFonts w:asciiTheme="minorHAnsi" w:hAnsiTheme="minorHAnsi"/>
              </w:rPr>
              <w:t xml:space="preserve"> the importance of the review findings and their potential impact on the various </w:t>
            </w:r>
            <w:r w:rsidR="006E57A7" w:rsidRPr="00DF72D4">
              <w:rPr>
                <w:rFonts w:asciiTheme="minorHAnsi" w:hAnsiTheme="minorHAnsi"/>
              </w:rPr>
              <w:t>chemistry</w:t>
            </w:r>
            <w:r w:rsidRPr="00DF72D4">
              <w:rPr>
                <w:rFonts w:asciiTheme="minorHAnsi" w:hAnsiTheme="minorHAnsi"/>
              </w:rPr>
              <w:t xml:space="preserve"> </w:t>
            </w:r>
            <w:r w:rsidR="00DF72D4">
              <w:rPr>
                <w:rFonts w:asciiTheme="minorHAnsi" w:hAnsiTheme="minorHAnsi"/>
              </w:rPr>
              <w:t xml:space="preserve">(and other) </w:t>
            </w:r>
            <w:r w:rsidRPr="00DF72D4">
              <w:rPr>
                <w:rFonts w:asciiTheme="minorHAnsi" w:hAnsiTheme="minorHAnsi"/>
              </w:rPr>
              <w:t>technical areas</w:t>
            </w:r>
            <w:r w:rsidR="006E57A7" w:rsidRPr="00DF72D4">
              <w:rPr>
                <w:rFonts w:asciiTheme="minorHAnsi" w:hAnsiTheme="minorHAnsi"/>
              </w:rPr>
              <w:t>;</w:t>
            </w:r>
          </w:p>
          <w:p w14:paraId="02D99452" w14:textId="6B2B5267" w:rsidR="00F64B8F" w:rsidRPr="00805C52" w:rsidRDefault="00F64B8F" w:rsidP="00805C52">
            <w:pPr>
              <w:pStyle w:val="TSBullet1Square"/>
              <w:rPr>
                <w:rFonts w:ascii="Calibri" w:hAnsi="Calibri"/>
              </w:rPr>
            </w:pPr>
            <w:r>
              <w:rPr>
                <w:rFonts w:asciiTheme="minorHAnsi" w:hAnsiTheme="minorHAnsi"/>
              </w:rPr>
              <w:t>O</w:t>
            </w:r>
            <w:r w:rsidRPr="00A75DE6">
              <w:rPr>
                <w:rFonts w:asciiTheme="minorHAnsi" w:hAnsiTheme="minorHAnsi"/>
              </w:rPr>
              <w:t>btain</w:t>
            </w:r>
            <w:r w:rsidR="005F2BBB">
              <w:rPr>
                <w:rFonts w:asciiTheme="minorHAnsi" w:hAnsiTheme="minorHAnsi"/>
              </w:rPr>
              <w:t>ing</w:t>
            </w:r>
            <w:r w:rsidRPr="00A75DE6">
              <w:rPr>
                <w:rFonts w:asciiTheme="minorHAnsi" w:hAnsiTheme="minorHAnsi"/>
              </w:rPr>
              <w:t xml:space="preserve"> </w:t>
            </w:r>
            <w:r w:rsidR="00FC1CC4">
              <w:rPr>
                <w:rFonts w:asciiTheme="minorHAnsi" w:hAnsiTheme="minorHAnsi"/>
              </w:rPr>
              <w:t>ad-hoc</w:t>
            </w:r>
            <w:r w:rsidRPr="00A75DE6">
              <w:rPr>
                <w:rFonts w:asciiTheme="minorHAnsi" w:hAnsiTheme="minorHAnsi"/>
              </w:rPr>
              <w:t xml:space="preserve"> advice on technical topics </w:t>
            </w:r>
            <w:r>
              <w:rPr>
                <w:rFonts w:asciiTheme="minorHAnsi" w:hAnsiTheme="minorHAnsi"/>
              </w:rPr>
              <w:t>from other specialists</w:t>
            </w:r>
            <w:r w:rsidRPr="00A75DE6">
              <w:rPr>
                <w:rFonts w:asciiTheme="minorHAnsi" w:hAnsiTheme="minorHAnsi"/>
              </w:rPr>
              <w:t xml:space="preserve"> within the TSC organisation where required</w:t>
            </w:r>
            <w:r>
              <w:rPr>
                <w:rFonts w:asciiTheme="minorHAnsi" w:hAnsiTheme="minorHAnsi"/>
              </w:rPr>
              <w:t xml:space="preserve"> to support the assessment;</w:t>
            </w:r>
          </w:p>
          <w:p w14:paraId="701BB294" w14:textId="4B70EC93" w:rsidR="00805C52" w:rsidRPr="006E57A7" w:rsidRDefault="00805C52" w:rsidP="006E57A7">
            <w:pPr>
              <w:pStyle w:val="TSBullet1Square"/>
              <w:tabs>
                <w:tab w:val="clear" w:pos="-31680"/>
              </w:tabs>
              <w:rPr>
                <w:rFonts w:ascii="Calibri" w:hAnsi="Calibri"/>
              </w:rPr>
            </w:pPr>
            <w:r w:rsidRPr="006E57A7">
              <w:rPr>
                <w:rFonts w:ascii="Calibri" w:hAnsi="Calibri"/>
              </w:rPr>
              <w:t>Document</w:t>
            </w:r>
            <w:r w:rsidR="005F2BBB">
              <w:rPr>
                <w:rFonts w:ascii="Calibri" w:hAnsi="Calibri"/>
              </w:rPr>
              <w:t>ing</w:t>
            </w:r>
            <w:r w:rsidRPr="006E57A7">
              <w:rPr>
                <w:rFonts w:ascii="Calibri" w:hAnsi="Calibri"/>
              </w:rPr>
              <w:t xml:space="preserve"> </w:t>
            </w:r>
            <w:r w:rsidR="006E57A7" w:rsidRPr="006E57A7">
              <w:rPr>
                <w:rFonts w:ascii="Calibri" w:hAnsi="Calibri"/>
              </w:rPr>
              <w:t>all work done including findings</w:t>
            </w:r>
            <w:r w:rsidR="00FC1CC4">
              <w:rPr>
                <w:rFonts w:ascii="Calibri" w:hAnsi="Calibri"/>
              </w:rPr>
              <w:t>. T</w:t>
            </w:r>
            <w:r w:rsidRPr="006E57A7">
              <w:rPr>
                <w:rFonts w:ascii="Calibri" w:hAnsi="Calibri"/>
              </w:rPr>
              <w:t>he TSC will be required to produce</w:t>
            </w:r>
            <w:r w:rsidR="006E57A7">
              <w:rPr>
                <w:rFonts w:ascii="Calibri" w:hAnsi="Calibri"/>
              </w:rPr>
              <w:t xml:space="preserve"> a</w:t>
            </w:r>
            <w:r w:rsidR="00752EEE">
              <w:rPr>
                <w:rFonts w:ascii="Calibri" w:hAnsi="Calibri"/>
              </w:rPr>
              <w:t xml:space="preserve"> </w:t>
            </w:r>
            <w:r w:rsidR="00752EEE">
              <w:rPr>
                <w:rFonts w:ascii="Calibri" w:hAnsi="Calibri"/>
              </w:rPr>
              <w:lastRenderedPageBreak/>
              <w:t>report/reports covering</w:t>
            </w:r>
            <w:r w:rsidRPr="006E57A7">
              <w:rPr>
                <w:rFonts w:ascii="Calibri" w:hAnsi="Calibri"/>
              </w:rPr>
              <w:t xml:space="preserve"> each area</w:t>
            </w:r>
            <w:r w:rsidR="006E57A7">
              <w:rPr>
                <w:rFonts w:ascii="Calibri" w:hAnsi="Calibri"/>
              </w:rPr>
              <w:t xml:space="preserve"> assessed during Step 4,</w:t>
            </w:r>
            <w:r w:rsidR="00752EEE">
              <w:rPr>
                <w:rFonts w:ascii="Calibri" w:hAnsi="Calibri"/>
              </w:rPr>
              <w:t xml:space="preserve"> and</w:t>
            </w:r>
            <w:r w:rsidR="006E57A7" w:rsidRPr="00805C52">
              <w:rPr>
                <w:rFonts w:ascii="Calibri" w:hAnsi="Calibri"/>
              </w:rPr>
              <w:t xml:space="preserve"> documenting the overall conclusions from the review</w:t>
            </w:r>
            <w:r w:rsidR="006E57A7">
              <w:rPr>
                <w:rFonts w:ascii="Calibri" w:hAnsi="Calibri"/>
              </w:rPr>
              <w:t xml:space="preserve"> of the safety submissions.</w:t>
            </w:r>
            <w:r w:rsidR="00752EEE">
              <w:rPr>
                <w:rFonts w:ascii="Calibri" w:hAnsi="Calibri"/>
              </w:rPr>
              <w:t xml:space="preserve"> The report/reports should be written in a format that can be incorporated in to, or directly referenced from, ONR’s Step 4 chemistry assessment report;</w:t>
            </w:r>
          </w:p>
          <w:p w14:paraId="719EB8B9" w14:textId="77777777" w:rsidR="00805C52" w:rsidRPr="00805C52" w:rsidRDefault="00752EEE" w:rsidP="00805C52">
            <w:pPr>
              <w:pStyle w:val="TSBullet1Square"/>
              <w:rPr>
                <w:rFonts w:ascii="Calibri" w:hAnsi="Calibri"/>
              </w:rPr>
            </w:pPr>
            <w:r>
              <w:rPr>
                <w:rFonts w:ascii="Calibri" w:hAnsi="Calibri"/>
              </w:rPr>
              <w:t>R</w:t>
            </w:r>
            <w:r w:rsidR="006E57A7">
              <w:rPr>
                <w:rFonts w:ascii="Calibri" w:hAnsi="Calibri"/>
              </w:rPr>
              <w:t>eport</w:t>
            </w:r>
            <w:r w:rsidR="005F2BBB">
              <w:rPr>
                <w:rFonts w:ascii="Calibri" w:hAnsi="Calibri"/>
              </w:rPr>
              <w:t>ing of</w:t>
            </w:r>
            <w:r w:rsidR="006E57A7">
              <w:rPr>
                <w:rFonts w:ascii="Calibri" w:hAnsi="Calibri"/>
              </w:rPr>
              <w:t xml:space="preserve"> monthly progress in a </w:t>
            </w:r>
            <w:r w:rsidR="00805C52" w:rsidRPr="00805C52">
              <w:rPr>
                <w:rFonts w:ascii="Calibri" w:hAnsi="Calibri"/>
              </w:rPr>
              <w:t>short summar</w:t>
            </w:r>
            <w:r w:rsidR="006E57A7">
              <w:rPr>
                <w:rFonts w:ascii="Calibri" w:hAnsi="Calibri"/>
              </w:rPr>
              <w:t xml:space="preserve">y of </w:t>
            </w:r>
            <w:r w:rsidR="00DF72D4">
              <w:rPr>
                <w:rFonts w:ascii="Calibri" w:hAnsi="Calibri"/>
              </w:rPr>
              <w:t>work completed</w:t>
            </w:r>
            <w:r w:rsidR="006E57A7">
              <w:rPr>
                <w:rFonts w:ascii="Calibri" w:hAnsi="Calibri"/>
              </w:rPr>
              <w:t xml:space="preserve"> and expenditure</w:t>
            </w:r>
            <w:r w:rsidR="00805C52" w:rsidRPr="00805C52">
              <w:rPr>
                <w:rFonts w:ascii="Calibri" w:hAnsi="Calibri"/>
              </w:rPr>
              <w:t>.</w:t>
            </w:r>
          </w:p>
          <w:p w14:paraId="7121839F" w14:textId="77777777" w:rsidR="00805C52" w:rsidRPr="00C26F61" w:rsidRDefault="00C26F61" w:rsidP="00C26F61">
            <w:pPr>
              <w:pStyle w:val="TSHeadingNumbered1"/>
              <w:numPr>
                <w:ilvl w:val="0"/>
                <w:numId w:val="0"/>
              </w:numPr>
              <w:ind w:left="862" w:hanging="720"/>
              <w:rPr>
                <w:rFonts w:asciiTheme="minorHAnsi" w:hAnsiTheme="minorHAnsi"/>
              </w:rPr>
            </w:pPr>
            <w:r w:rsidRPr="00C26F61">
              <w:rPr>
                <w:rFonts w:asciiTheme="minorHAnsi" w:hAnsiTheme="minorHAnsi"/>
              </w:rPr>
              <w:t>Inputs</w:t>
            </w:r>
          </w:p>
          <w:p w14:paraId="2DC352B0" w14:textId="77777777" w:rsidR="002A76D3" w:rsidRPr="00DF72D4" w:rsidRDefault="002A76D3" w:rsidP="00DF72D4">
            <w:pPr>
              <w:pStyle w:val="TSNumberedParagraph11"/>
              <w:tabs>
                <w:tab w:val="clear" w:pos="-31680"/>
              </w:tabs>
              <w:rPr>
                <w:rFonts w:ascii="Calibri" w:hAnsi="Calibri"/>
              </w:rPr>
            </w:pPr>
            <w:r w:rsidRPr="002A76D3">
              <w:rPr>
                <w:rFonts w:ascii="Calibri" w:hAnsi="Calibri"/>
              </w:rPr>
              <w:t xml:space="preserve">All relevant </w:t>
            </w:r>
            <w:r w:rsidR="00DF72D4">
              <w:rPr>
                <w:rFonts w:ascii="Calibri" w:hAnsi="Calibri"/>
              </w:rPr>
              <w:t>submissions</w:t>
            </w:r>
            <w:r w:rsidRPr="002A76D3">
              <w:rPr>
                <w:rFonts w:ascii="Calibri" w:hAnsi="Calibri"/>
              </w:rPr>
              <w:t xml:space="preserve"> provided to ONR will be available to the contractor.</w:t>
            </w:r>
            <w:r w:rsidR="00DF72D4">
              <w:rPr>
                <w:rFonts w:ascii="Calibri" w:hAnsi="Calibri"/>
              </w:rPr>
              <w:t xml:space="preserve"> Additionally, a</w:t>
            </w:r>
            <w:r w:rsidRPr="00DF72D4">
              <w:rPr>
                <w:rFonts w:ascii="Calibri" w:hAnsi="Calibri" w:cs="Calibri"/>
                <w:iCs/>
                <w:szCs w:val="22"/>
              </w:rPr>
              <w:t>s explained</w:t>
            </w:r>
            <w:r w:rsidR="00DF72D4">
              <w:rPr>
                <w:rFonts w:ascii="Calibri" w:hAnsi="Calibri" w:cs="Calibri"/>
                <w:iCs/>
                <w:szCs w:val="22"/>
              </w:rPr>
              <w:t xml:space="preserve"> above</w:t>
            </w:r>
            <w:r w:rsidRPr="00DF72D4">
              <w:rPr>
                <w:rFonts w:ascii="Calibri" w:hAnsi="Calibri" w:cs="Calibri"/>
                <w:iCs/>
                <w:szCs w:val="22"/>
              </w:rPr>
              <w:t xml:space="preserve">, the contractor will be expected to raise technical questions (RQs) with the RP (via ONR) to request </w:t>
            </w:r>
            <w:r w:rsidR="00DF72D4">
              <w:rPr>
                <w:rFonts w:ascii="Calibri" w:hAnsi="Calibri" w:cs="Calibri"/>
                <w:iCs/>
                <w:szCs w:val="22"/>
              </w:rPr>
              <w:t xml:space="preserve">any </w:t>
            </w:r>
            <w:r w:rsidRPr="00DF72D4">
              <w:rPr>
                <w:rFonts w:ascii="Calibri" w:hAnsi="Calibri" w:cs="Calibri"/>
                <w:iCs/>
                <w:szCs w:val="22"/>
              </w:rPr>
              <w:t>additional information</w:t>
            </w:r>
            <w:r w:rsidR="00DF72D4">
              <w:rPr>
                <w:rFonts w:ascii="Calibri" w:hAnsi="Calibri" w:cs="Calibri"/>
                <w:iCs/>
                <w:szCs w:val="22"/>
              </w:rPr>
              <w:t xml:space="preserve"> required to perform the assessment</w:t>
            </w:r>
            <w:r w:rsidRPr="00DF72D4">
              <w:rPr>
                <w:rFonts w:ascii="Calibri" w:hAnsi="Calibri" w:cs="Calibri"/>
                <w:iCs/>
                <w:szCs w:val="22"/>
              </w:rPr>
              <w:t>.</w:t>
            </w:r>
          </w:p>
          <w:p w14:paraId="39480161" w14:textId="77777777" w:rsidR="00147750" w:rsidRPr="002A76D3" w:rsidRDefault="002A76D3" w:rsidP="002A76D3">
            <w:pPr>
              <w:pStyle w:val="TSNumberedParagraph11"/>
              <w:tabs>
                <w:tab w:val="clear" w:pos="-31680"/>
              </w:tabs>
              <w:rPr>
                <w:rFonts w:asciiTheme="minorHAnsi" w:hAnsiTheme="minorHAnsi" w:cstheme="minorHAnsi"/>
                <w:iCs/>
                <w:szCs w:val="22"/>
              </w:rPr>
            </w:pPr>
            <w:r w:rsidRPr="00DE0E73">
              <w:rPr>
                <w:rFonts w:asciiTheme="minorHAnsi" w:hAnsiTheme="minorHAnsi" w:cstheme="minorHAnsi"/>
                <w:iCs/>
                <w:szCs w:val="22"/>
              </w:rPr>
              <w:t xml:space="preserve">ONR expect the TSC’s </w:t>
            </w:r>
            <w:r w:rsidR="00DF72D4">
              <w:rPr>
                <w:rFonts w:asciiTheme="minorHAnsi" w:hAnsiTheme="minorHAnsi" w:cstheme="minorHAnsi"/>
                <w:iCs/>
                <w:szCs w:val="22"/>
              </w:rPr>
              <w:t>assessment</w:t>
            </w:r>
            <w:r w:rsidRPr="00DE0E73">
              <w:rPr>
                <w:rFonts w:asciiTheme="minorHAnsi" w:hAnsiTheme="minorHAnsi" w:cstheme="minorHAnsi"/>
                <w:iCs/>
                <w:szCs w:val="22"/>
              </w:rPr>
              <w:t xml:space="preserve"> to consider the applicability of ONR standards and guidance, in particular the chemistry SAPs</w:t>
            </w:r>
            <w:r>
              <w:rPr>
                <w:rFonts w:asciiTheme="minorHAnsi" w:hAnsiTheme="minorHAnsi" w:cstheme="minorHAnsi"/>
                <w:iCs/>
                <w:szCs w:val="22"/>
              </w:rPr>
              <w:t xml:space="preserve"> </w:t>
            </w:r>
            <w:r w:rsidRPr="00DE0E73">
              <w:rPr>
                <w:rFonts w:asciiTheme="minorHAnsi" w:hAnsiTheme="minorHAnsi" w:cstheme="minorHAnsi"/>
                <w:iCs/>
                <w:szCs w:val="22"/>
              </w:rPr>
              <w:t>(ECH</w:t>
            </w:r>
            <w:r w:rsidR="005C7F8D">
              <w:rPr>
                <w:rFonts w:asciiTheme="minorHAnsi" w:hAnsiTheme="minorHAnsi" w:cstheme="minorHAnsi"/>
                <w:iCs/>
                <w:szCs w:val="22"/>
              </w:rPr>
              <w:t xml:space="preserve"> 1 – </w:t>
            </w:r>
            <w:r w:rsidRPr="00DE0E73">
              <w:rPr>
                <w:rFonts w:asciiTheme="minorHAnsi" w:hAnsiTheme="minorHAnsi" w:cstheme="minorHAnsi"/>
                <w:iCs/>
                <w:szCs w:val="22"/>
              </w:rPr>
              <w:t xml:space="preserve">4) and associated Technical Assessment Guides NS-TAST-GD-088 and -089. These are available at </w:t>
            </w:r>
            <w:hyperlink r:id="rId13" w:history="1">
              <w:r w:rsidRPr="00DE0E73">
                <w:rPr>
                  <w:rStyle w:val="Hyperlink"/>
                  <w:rFonts w:asciiTheme="minorHAnsi" w:hAnsiTheme="minorHAnsi" w:cstheme="minorHAnsi"/>
                  <w:iCs/>
                  <w:szCs w:val="22"/>
                </w:rPr>
                <w:t>www.onr.org.uk</w:t>
              </w:r>
            </w:hyperlink>
            <w:r w:rsidRPr="00DE0E73">
              <w:rPr>
                <w:rFonts w:asciiTheme="minorHAnsi" w:hAnsiTheme="minorHAnsi" w:cstheme="minorHAnsi"/>
                <w:iCs/>
                <w:szCs w:val="22"/>
              </w:rPr>
              <w:t xml:space="preserve">. Based on their own knowledge, skills and experience of </w:t>
            </w:r>
            <w:r w:rsidR="00752EEE">
              <w:rPr>
                <w:rFonts w:asciiTheme="minorHAnsi" w:hAnsiTheme="minorHAnsi" w:cstheme="minorHAnsi"/>
                <w:iCs/>
                <w:szCs w:val="22"/>
              </w:rPr>
              <w:t>PWR chemistry</w:t>
            </w:r>
            <w:r w:rsidRPr="00DE0E73">
              <w:rPr>
                <w:rFonts w:asciiTheme="minorHAnsi" w:hAnsiTheme="minorHAnsi" w:cstheme="minorHAnsi"/>
                <w:iCs/>
                <w:szCs w:val="22"/>
              </w:rPr>
              <w:t>, the contractor may also identify and utilise other relevant sources of standards and guidance (such as industry guidance, International Atomic Energy Agency (IAEA) guidance or other international guidance where relevant).</w:t>
            </w:r>
          </w:p>
          <w:p w14:paraId="1A69BF1B" w14:textId="77777777" w:rsidR="00C26F61" w:rsidRPr="00C26F61" w:rsidRDefault="00C26F61" w:rsidP="00C26F61">
            <w:pPr>
              <w:pStyle w:val="TSHeadingNumbered1"/>
              <w:numPr>
                <w:ilvl w:val="0"/>
                <w:numId w:val="0"/>
              </w:numPr>
              <w:ind w:left="862" w:hanging="720"/>
              <w:rPr>
                <w:rFonts w:asciiTheme="minorHAnsi" w:hAnsiTheme="minorHAnsi"/>
              </w:rPr>
            </w:pPr>
            <w:r w:rsidRPr="00C26F61">
              <w:rPr>
                <w:rFonts w:asciiTheme="minorHAnsi" w:hAnsiTheme="minorHAnsi"/>
              </w:rPr>
              <w:t>Deliverables</w:t>
            </w:r>
          </w:p>
          <w:p w14:paraId="65D5329E" w14:textId="77777777" w:rsidR="009D4A06" w:rsidRPr="009D4A06" w:rsidRDefault="000A4800" w:rsidP="005856E7">
            <w:pPr>
              <w:pStyle w:val="TSNumberedParagraph11"/>
              <w:tabs>
                <w:tab w:val="clear" w:pos="-31680"/>
              </w:tabs>
            </w:pPr>
            <w:r w:rsidRPr="005856E7">
              <w:rPr>
                <w:rFonts w:asciiTheme="minorHAnsi" w:hAnsiTheme="minorHAnsi" w:cstheme="minorHAnsi"/>
                <w:iCs/>
                <w:szCs w:val="22"/>
              </w:rPr>
              <w:t xml:space="preserve">The contractor will be expected to document the outcome of their assessment </w:t>
            </w:r>
            <w:r w:rsidR="00F64B8F">
              <w:rPr>
                <w:rFonts w:asciiTheme="minorHAnsi" w:hAnsiTheme="minorHAnsi" w:cstheme="minorHAnsi"/>
                <w:iCs/>
                <w:szCs w:val="22"/>
              </w:rPr>
              <w:t>work</w:t>
            </w:r>
            <w:r w:rsidR="00752EEE">
              <w:rPr>
                <w:rFonts w:asciiTheme="minorHAnsi" w:hAnsiTheme="minorHAnsi" w:cstheme="minorHAnsi"/>
                <w:iCs/>
                <w:szCs w:val="22"/>
              </w:rPr>
              <w:t>,</w:t>
            </w:r>
            <w:r w:rsidR="00F64B8F">
              <w:rPr>
                <w:rFonts w:asciiTheme="minorHAnsi" w:hAnsiTheme="minorHAnsi" w:cstheme="minorHAnsi"/>
                <w:iCs/>
                <w:szCs w:val="22"/>
              </w:rPr>
              <w:t xml:space="preserve"> </w:t>
            </w:r>
            <w:r w:rsidR="00752EEE">
              <w:rPr>
                <w:rFonts w:ascii="Calibri" w:hAnsi="Calibri"/>
              </w:rPr>
              <w:t>producing a report/reports covering</w:t>
            </w:r>
            <w:r w:rsidR="00752EEE" w:rsidRPr="006E57A7">
              <w:rPr>
                <w:rFonts w:ascii="Calibri" w:hAnsi="Calibri"/>
              </w:rPr>
              <w:t xml:space="preserve"> each area</w:t>
            </w:r>
            <w:r w:rsidR="00752EEE">
              <w:rPr>
                <w:rFonts w:ascii="Calibri" w:hAnsi="Calibri"/>
              </w:rPr>
              <w:t xml:space="preserve"> assessed during Step 4, and</w:t>
            </w:r>
            <w:r w:rsidR="00752EEE" w:rsidRPr="00805C52">
              <w:rPr>
                <w:rFonts w:ascii="Calibri" w:hAnsi="Calibri"/>
              </w:rPr>
              <w:t xml:space="preserve"> documenting the overall conclusions from the review</w:t>
            </w:r>
            <w:r w:rsidR="00752EEE">
              <w:rPr>
                <w:rFonts w:ascii="Calibri" w:hAnsi="Calibri"/>
              </w:rPr>
              <w:t xml:space="preserve"> of the safety submissions</w:t>
            </w:r>
            <w:r w:rsidR="00A3081D" w:rsidRPr="005856E7">
              <w:rPr>
                <w:rFonts w:asciiTheme="minorHAnsi" w:hAnsiTheme="minorHAnsi" w:cstheme="minorHAnsi"/>
                <w:iCs/>
                <w:szCs w:val="22"/>
              </w:rPr>
              <w:t xml:space="preserve"> and advice/recommendations provided to ONR</w:t>
            </w:r>
            <w:r w:rsidR="00752EEE">
              <w:rPr>
                <w:rFonts w:ascii="Calibri" w:hAnsi="Calibri"/>
              </w:rPr>
              <w:t xml:space="preserve">. The report/reports should be written in a format that can be incorporated in to, or directly referenced from, ONR’s Step 4 chemistry assessment report </w:t>
            </w:r>
            <w:r w:rsidR="00752EEE" w:rsidRPr="005856E7">
              <w:rPr>
                <w:rFonts w:asciiTheme="minorHAnsi" w:hAnsiTheme="minorHAnsi" w:cstheme="minorHAnsi"/>
                <w:iCs/>
                <w:szCs w:val="22"/>
              </w:rPr>
              <w:t>(which will be published on ONR’s website)</w:t>
            </w:r>
            <w:r w:rsidR="009D4A06">
              <w:rPr>
                <w:rFonts w:asciiTheme="minorHAnsi" w:hAnsiTheme="minorHAnsi" w:cstheme="minorHAnsi"/>
                <w:iCs/>
                <w:szCs w:val="22"/>
              </w:rPr>
              <w:t>.</w:t>
            </w:r>
          </w:p>
          <w:p w14:paraId="3F03C000" w14:textId="77777777" w:rsidR="000A4800" w:rsidRPr="005856E7" w:rsidRDefault="000A4800" w:rsidP="005856E7">
            <w:pPr>
              <w:pStyle w:val="TSNumberedParagraph11"/>
              <w:tabs>
                <w:tab w:val="clear" w:pos="-31680"/>
              </w:tabs>
            </w:pPr>
            <w:r w:rsidRPr="005856E7">
              <w:rPr>
                <w:rFonts w:asciiTheme="minorHAnsi" w:hAnsiTheme="minorHAnsi" w:cstheme="minorHAnsi"/>
                <w:iCs/>
                <w:szCs w:val="22"/>
              </w:rPr>
              <w:t>The TSC should plan to receive and address ONR’s comments on the report(s) before they are finalised.</w:t>
            </w:r>
            <w:r w:rsidR="000118EF">
              <w:rPr>
                <w:rFonts w:asciiTheme="minorHAnsi" w:hAnsiTheme="minorHAnsi" w:cstheme="minorHAnsi"/>
                <w:iCs/>
                <w:szCs w:val="22"/>
              </w:rPr>
              <w:t xml:space="preserve"> </w:t>
            </w:r>
            <w:r w:rsidR="000118EF" w:rsidRPr="00DE0E73">
              <w:rPr>
                <w:rFonts w:asciiTheme="minorHAnsi" w:hAnsiTheme="minorHAnsi" w:cstheme="minorHAnsi"/>
                <w:iCs/>
                <w:szCs w:val="22"/>
              </w:rPr>
              <w:t xml:space="preserve">Final versions of </w:t>
            </w:r>
            <w:r w:rsidR="000118EF">
              <w:rPr>
                <w:rFonts w:asciiTheme="minorHAnsi" w:hAnsiTheme="minorHAnsi" w:cstheme="minorHAnsi"/>
                <w:iCs/>
                <w:szCs w:val="22"/>
              </w:rPr>
              <w:t xml:space="preserve">the </w:t>
            </w:r>
            <w:r w:rsidR="000118EF" w:rsidRPr="00DE0E73">
              <w:rPr>
                <w:rFonts w:asciiTheme="minorHAnsi" w:hAnsiTheme="minorHAnsi" w:cstheme="minorHAnsi"/>
                <w:iCs/>
                <w:szCs w:val="22"/>
              </w:rPr>
              <w:t>report</w:t>
            </w:r>
            <w:r w:rsidR="000118EF">
              <w:rPr>
                <w:rFonts w:asciiTheme="minorHAnsi" w:hAnsiTheme="minorHAnsi" w:cstheme="minorHAnsi"/>
                <w:iCs/>
                <w:szCs w:val="22"/>
              </w:rPr>
              <w:t>/reports</w:t>
            </w:r>
            <w:r w:rsidR="000118EF" w:rsidRPr="00DE0E73">
              <w:rPr>
                <w:rFonts w:asciiTheme="minorHAnsi" w:hAnsiTheme="minorHAnsi" w:cstheme="minorHAnsi"/>
                <w:iCs/>
                <w:szCs w:val="22"/>
              </w:rPr>
              <w:t xml:space="preserve"> should be prepared according to the contractor’s quality system.</w:t>
            </w:r>
          </w:p>
          <w:p w14:paraId="0DE9895C" w14:textId="77777777" w:rsidR="00892682" w:rsidRPr="005856E7" w:rsidRDefault="00CE4AA0" w:rsidP="005856E7">
            <w:pPr>
              <w:pStyle w:val="TSNumberedParagraph11"/>
              <w:tabs>
                <w:tab w:val="clear" w:pos="-31680"/>
              </w:tabs>
              <w:rPr>
                <w:rFonts w:asciiTheme="minorHAnsi" w:hAnsiTheme="minorHAnsi" w:cstheme="minorHAnsi"/>
                <w:iCs/>
                <w:szCs w:val="22"/>
              </w:rPr>
            </w:pPr>
            <w:r w:rsidRPr="005856E7">
              <w:rPr>
                <w:rFonts w:asciiTheme="minorHAnsi" w:hAnsiTheme="minorHAnsi" w:cs="Arial"/>
                <w:iCs/>
                <w:szCs w:val="22"/>
              </w:rPr>
              <w:t>Importantly, regulatory decisions on the adequacy of the submissions will ultimately be made by ONR. The main outcom</w:t>
            </w:r>
            <w:r w:rsidR="00F64B8F">
              <w:rPr>
                <w:rFonts w:asciiTheme="minorHAnsi" w:hAnsiTheme="minorHAnsi" w:cs="Arial"/>
                <w:iCs/>
                <w:szCs w:val="22"/>
              </w:rPr>
              <w:t>e of the TSC’s assessments</w:t>
            </w:r>
            <w:r w:rsidRPr="005856E7">
              <w:rPr>
                <w:rFonts w:asciiTheme="minorHAnsi" w:hAnsiTheme="minorHAnsi" w:cs="Arial"/>
                <w:iCs/>
                <w:szCs w:val="22"/>
              </w:rPr>
              <w:t xml:space="preserve"> should be to make recommendations to ONR where the RP’s approach may not satisfy RGP and/or where further justification may be required by the RP.</w:t>
            </w:r>
          </w:p>
          <w:p w14:paraId="53473B3A" w14:textId="77777777" w:rsidR="00C26F61" w:rsidRDefault="00C26F61" w:rsidP="00C26F61">
            <w:pPr>
              <w:pStyle w:val="TSHeadingNumbered1"/>
              <w:numPr>
                <w:ilvl w:val="0"/>
                <w:numId w:val="0"/>
              </w:numPr>
              <w:ind w:left="862" w:hanging="720"/>
              <w:rPr>
                <w:rFonts w:ascii="Calibri" w:hAnsi="Calibri"/>
              </w:rPr>
            </w:pPr>
            <w:r w:rsidRPr="00C26F61">
              <w:rPr>
                <w:rFonts w:ascii="Calibri" w:hAnsi="Calibri"/>
              </w:rPr>
              <w:t>Meeting Requirements</w:t>
            </w:r>
          </w:p>
          <w:p w14:paraId="6EB811BC" w14:textId="46309F7D" w:rsidR="0028491A" w:rsidRPr="00F64B8F" w:rsidRDefault="00F64B8F" w:rsidP="0028491A">
            <w:pPr>
              <w:pStyle w:val="TSNumberedParagraph11"/>
              <w:rPr>
                <w:rFonts w:ascii="Calibri" w:hAnsi="Calibri"/>
              </w:rPr>
            </w:pPr>
            <w:r>
              <w:rPr>
                <w:rFonts w:asciiTheme="minorHAnsi" w:hAnsiTheme="minorHAnsi"/>
                <w:szCs w:val="22"/>
              </w:rPr>
              <w:t>The TSC will be expected to a</w:t>
            </w:r>
            <w:r w:rsidR="0028491A" w:rsidRPr="009764AF">
              <w:rPr>
                <w:rFonts w:asciiTheme="minorHAnsi" w:hAnsiTheme="minorHAnsi"/>
                <w:szCs w:val="22"/>
              </w:rPr>
              <w:t>ttend an initial kick-off meeting at ONR’s offices in Redgrave Court, Bootle, to discuss and agree the scope of work to be undertaken</w:t>
            </w:r>
            <w:r>
              <w:rPr>
                <w:rFonts w:asciiTheme="minorHAnsi" w:hAnsiTheme="minorHAnsi"/>
                <w:szCs w:val="22"/>
              </w:rPr>
              <w:t xml:space="preserve"> and the working arrangements</w:t>
            </w:r>
            <w:r w:rsidR="00FC1CC4">
              <w:rPr>
                <w:rFonts w:asciiTheme="minorHAnsi" w:hAnsiTheme="minorHAnsi"/>
                <w:szCs w:val="22"/>
              </w:rPr>
              <w:t>.</w:t>
            </w:r>
          </w:p>
          <w:p w14:paraId="268D4831" w14:textId="01FE4915" w:rsidR="00F64B8F" w:rsidRDefault="00F64B8F" w:rsidP="0028491A">
            <w:pPr>
              <w:pStyle w:val="TSNumberedParagraph11"/>
              <w:rPr>
                <w:rFonts w:ascii="Calibri" w:hAnsi="Calibri"/>
              </w:rPr>
            </w:pPr>
            <w:r>
              <w:rPr>
                <w:rFonts w:ascii="Calibri" w:hAnsi="Calibri"/>
              </w:rPr>
              <w:t>The TSC will be required to s</w:t>
            </w:r>
            <w:r w:rsidRPr="00805C52">
              <w:rPr>
                <w:rFonts w:ascii="Calibri" w:hAnsi="Calibri"/>
              </w:rPr>
              <w:t xml:space="preserve">upport ONR during teleconferences, videoconferences </w:t>
            </w:r>
            <w:r>
              <w:rPr>
                <w:rFonts w:ascii="Calibri" w:hAnsi="Calibri"/>
              </w:rPr>
              <w:t xml:space="preserve">and/or face-to-face meetings </w:t>
            </w:r>
            <w:r w:rsidRPr="00805C52">
              <w:rPr>
                <w:rFonts w:ascii="Calibri" w:hAnsi="Calibri"/>
              </w:rPr>
              <w:t xml:space="preserve">in the UK with the </w:t>
            </w:r>
            <w:r>
              <w:rPr>
                <w:rFonts w:ascii="Calibri" w:hAnsi="Calibri"/>
              </w:rPr>
              <w:t>RP</w:t>
            </w:r>
            <w:r w:rsidRPr="00805C52">
              <w:rPr>
                <w:rFonts w:ascii="Calibri" w:hAnsi="Calibri"/>
              </w:rPr>
              <w:t xml:space="preserve"> to discuss </w:t>
            </w:r>
            <w:r>
              <w:rPr>
                <w:rFonts w:ascii="Calibri" w:hAnsi="Calibri"/>
              </w:rPr>
              <w:t>assessment progress</w:t>
            </w:r>
            <w:r w:rsidRPr="00805C52">
              <w:rPr>
                <w:rFonts w:ascii="Calibri" w:hAnsi="Calibri"/>
              </w:rPr>
              <w:t xml:space="preserve">, findings </w:t>
            </w:r>
            <w:r>
              <w:rPr>
                <w:rFonts w:ascii="Calibri" w:hAnsi="Calibri"/>
              </w:rPr>
              <w:t xml:space="preserve">and </w:t>
            </w:r>
            <w:r w:rsidRPr="00805C52">
              <w:rPr>
                <w:rFonts w:ascii="Calibri" w:hAnsi="Calibri"/>
              </w:rPr>
              <w:t>emerging issues</w:t>
            </w:r>
            <w:r w:rsidR="005C7F8D">
              <w:rPr>
                <w:rFonts w:ascii="Calibri" w:hAnsi="Calibri"/>
              </w:rPr>
              <w:t xml:space="preserve">. </w:t>
            </w:r>
            <w:r w:rsidR="005F46B6">
              <w:rPr>
                <w:rFonts w:ascii="Calibri" w:hAnsi="Calibri"/>
              </w:rPr>
              <w:t>These meetings will either be in Liverpool or London. There</w:t>
            </w:r>
            <w:r w:rsidR="005F46B6" w:rsidRPr="00026425">
              <w:rPr>
                <w:rFonts w:asciiTheme="minorHAnsi" w:hAnsiTheme="minorHAnsi" w:cstheme="minorHAnsi"/>
                <w:iCs/>
                <w:szCs w:val="22"/>
              </w:rPr>
              <w:t xml:space="preserve"> is </w:t>
            </w:r>
            <w:r w:rsidR="005F46B6">
              <w:rPr>
                <w:rFonts w:asciiTheme="minorHAnsi" w:hAnsiTheme="minorHAnsi" w:cstheme="minorHAnsi"/>
                <w:iCs/>
                <w:szCs w:val="22"/>
              </w:rPr>
              <w:t xml:space="preserve">also </w:t>
            </w:r>
            <w:r w:rsidR="005F46B6" w:rsidRPr="00026425">
              <w:rPr>
                <w:rFonts w:asciiTheme="minorHAnsi" w:hAnsiTheme="minorHAnsi" w:cstheme="minorHAnsi"/>
                <w:iCs/>
                <w:szCs w:val="22"/>
              </w:rPr>
              <w:t>the poss</w:t>
            </w:r>
            <w:r w:rsidR="005F46B6">
              <w:rPr>
                <w:rFonts w:asciiTheme="minorHAnsi" w:hAnsiTheme="minorHAnsi" w:cstheme="minorHAnsi"/>
                <w:iCs/>
                <w:szCs w:val="22"/>
              </w:rPr>
              <w:t>ibility of travel to China being required for</w:t>
            </w:r>
            <w:r w:rsidR="005F46B6" w:rsidRPr="00026425">
              <w:rPr>
                <w:rFonts w:asciiTheme="minorHAnsi" w:hAnsiTheme="minorHAnsi" w:cstheme="minorHAnsi"/>
                <w:iCs/>
                <w:szCs w:val="22"/>
              </w:rPr>
              <w:t xml:space="preserve"> </w:t>
            </w:r>
            <w:r w:rsidR="005F46B6">
              <w:rPr>
                <w:rFonts w:asciiTheme="minorHAnsi" w:hAnsiTheme="minorHAnsi" w:cstheme="minorHAnsi"/>
                <w:iCs/>
                <w:szCs w:val="22"/>
              </w:rPr>
              <w:t>technical workshops</w:t>
            </w:r>
            <w:r w:rsidR="005F46B6" w:rsidRPr="00026425">
              <w:rPr>
                <w:rFonts w:asciiTheme="minorHAnsi" w:hAnsiTheme="minorHAnsi" w:cstheme="minorHAnsi"/>
                <w:iCs/>
                <w:szCs w:val="22"/>
              </w:rPr>
              <w:t xml:space="preserve"> with the RP</w:t>
            </w:r>
            <w:r w:rsidR="005F46B6">
              <w:rPr>
                <w:rFonts w:asciiTheme="minorHAnsi" w:hAnsiTheme="minorHAnsi" w:cstheme="minorHAnsi"/>
                <w:iCs/>
                <w:szCs w:val="22"/>
              </w:rPr>
              <w:t>. Up to two, 1 week long trips may be required;</w:t>
            </w:r>
          </w:p>
          <w:p w14:paraId="1517530D" w14:textId="77777777" w:rsidR="0028491A" w:rsidRPr="00F64B8F" w:rsidRDefault="0028491A" w:rsidP="00F64B8F">
            <w:pPr>
              <w:pStyle w:val="TSNumberedParagraph11"/>
              <w:tabs>
                <w:tab w:val="clear" w:pos="-31680"/>
              </w:tabs>
              <w:rPr>
                <w:rFonts w:ascii="Calibri" w:hAnsi="Calibri"/>
              </w:rPr>
            </w:pPr>
            <w:r w:rsidRPr="0028491A">
              <w:rPr>
                <w:rFonts w:ascii="Calibri" w:hAnsi="Calibri"/>
              </w:rPr>
              <w:t>A close-out meeting will be held upon completion of the contract. This meeting will take place either at the ONR offices in Bootle, or the contractor offices. Videoconference facilities are also available if necessary.</w:t>
            </w:r>
          </w:p>
          <w:p w14:paraId="3AD9C5A2" w14:textId="77777777" w:rsidR="00E55FE9" w:rsidRPr="009764AF" w:rsidRDefault="00E55FE9" w:rsidP="00C26F61">
            <w:pPr>
              <w:pStyle w:val="TSNumberedParagraph11"/>
              <w:numPr>
                <w:ilvl w:val="0"/>
                <w:numId w:val="0"/>
              </w:numPr>
              <w:ind w:left="131"/>
              <w:rPr>
                <w:rFonts w:asciiTheme="minorHAnsi" w:hAnsiTheme="minorHAnsi" w:cstheme="minorHAnsi"/>
                <w:b/>
                <w:iCs/>
                <w:szCs w:val="22"/>
              </w:rPr>
            </w:pPr>
            <w:r w:rsidRPr="009764AF">
              <w:rPr>
                <w:rFonts w:asciiTheme="minorHAnsi" w:hAnsiTheme="minorHAnsi" w:cstheme="minorHAnsi"/>
                <w:b/>
                <w:iCs/>
                <w:szCs w:val="22"/>
              </w:rPr>
              <w:t>TIMESCALES</w:t>
            </w:r>
          </w:p>
          <w:p w14:paraId="4F7F9C43" w14:textId="1346533E" w:rsidR="00E55FE9" w:rsidRPr="009764AF" w:rsidRDefault="00E55FE9" w:rsidP="00E55FE9">
            <w:pPr>
              <w:pStyle w:val="TSNumberedParagraph11"/>
              <w:rPr>
                <w:rFonts w:asciiTheme="minorHAnsi" w:hAnsiTheme="minorHAnsi" w:cstheme="minorHAnsi"/>
                <w:iCs/>
                <w:szCs w:val="22"/>
              </w:rPr>
            </w:pPr>
            <w:r w:rsidRPr="009764AF">
              <w:rPr>
                <w:rFonts w:asciiTheme="minorHAnsi" w:hAnsiTheme="minorHAnsi" w:cstheme="minorHAnsi"/>
                <w:iCs/>
                <w:szCs w:val="22"/>
              </w:rPr>
              <w:t xml:space="preserve">The following timescales </w:t>
            </w:r>
            <w:r w:rsidR="00FC1CC4">
              <w:rPr>
                <w:rFonts w:asciiTheme="minorHAnsi" w:hAnsiTheme="minorHAnsi" w:cstheme="minorHAnsi"/>
                <w:iCs/>
                <w:szCs w:val="22"/>
              </w:rPr>
              <w:t>should</w:t>
            </w:r>
            <w:r w:rsidRPr="009764AF">
              <w:rPr>
                <w:rFonts w:asciiTheme="minorHAnsi" w:hAnsiTheme="minorHAnsi" w:cstheme="minorHAnsi"/>
                <w:iCs/>
                <w:szCs w:val="22"/>
              </w:rPr>
              <w:t xml:space="preserve"> be assumed:</w:t>
            </w:r>
          </w:p>
          <w:p w14:paraId="6D9A89F5" w14:textId="0BF4363D" w:rsidR="00E55FE9" w:rsidRPr="009764AF" w:rsidRDefault="00595546" w:rsidP="00622BCA">
            <w:pPr>
              <w:pStyle w:val="TSBullet1Square"/>
              <w:spacing w:after="120"/>
              <w:contextualSpacing w:val="0"/>
              <w:rPr>
                <w:rFonts w:asciiTheme="minorHAnsi" w:hAnsiTheme="minorHAnsi" w:cstheme="minorHAnsi"/>
                <w:iCs/>
                <w:szCs w:val="22"/>
              </w:rPr>
            </w:pPr>
            <w:r>
              <w:rPr>
                <w:rFonts w:asciiTheme="minorHAnsi" w:hAnsiTheme="minorHAnsi" w:cstheme="minorHAnsi"/>
                <w:iCs/>
                <w:szCs w:val="22"/>
              </w:rPr>
              <w:t>May</w:t>
            </w:r>
            <w:r w:rsidR="00050703" w:rsidRPr="009764AF">
              <w:rPr>
                <w:rFonts w:asciiTheme="minorHAnsi" w:hAnsiTheme="minorHAnsi" w:cstheme="minorHAnsi"/>
                <w:iCs/>
                <w:szCs w:val="22"/>
              </w:rPr>
              <w:t xml:space="preserve"> 2020 - </w:t>
            </w:r>
            <w:r w:rsidR="00E55FE9" w:rsidRPr="009764AF">
              <w:rPr>
                <w:rFonts w:asciiTheme="minorHAnsi" w:hAnsiTheme="minorHAnsi" w:cstheme="minorHAnsi"/>
                <w:iCs/>
                <w:szCs w:val="22"/>
              </w:rPr>
              <w:t>Start of contract</w:t>
            </w:r>
            <w:r w:rsidR="005F46B6">
              <w:rPr>
                <w:rFonts w:asciiTheme="minorHAnsi" w:hAnsiTheme="minorHAnsi" w:cstheme="minorHAnsi"/>
                <w:iCs/>
                <w:szCs w:val="22"/>
              </w:rPr>
              <w:t>; and</w:t>
            </w:r>
          </w:p>
          <w:p w14:paraId="5CAB711E" w14:textId="77777777" w:rsidR="00E55FE9" w:rsidRPr="009764AF" w:rsidRDefault="00595546" w:rsidP="00622BCA">
            <w:pPr>
              <w:pStyle w:val="TSBullet1Square"/>
              <w:spacing w:after="120"/>
              <w:contextualSpacing w:val="0"/>
              <w:rPr>
                <w:rFonts w:asciiTheme="minorHAnsi" w:hAnsiTheme="minorHAnsi" w:cstheme="minorHAnsi"/>
                <w:iCs/>
                <w:szCs w:val="22"/>
              </w:rPr>
            </w:pPr>
            <w:r>
              <w:rPr>
                <w:rFonts w:asciiTheme="minorHAnsi" w:hAnsiTheme="minorHAnsi" w:cstheme="minorHAnsi"/>
                <w:iCs/>
                <w:szCs w:val="22"/>
              </w:rPr>
              <w:lastRenderedPageBreak/>
              <w:t>April</w:t>
            </w:r>
            <w:r w:rsidR="00DF4FA1" w:rsidRPr="009764AF">
              <w:rPr>
                <w:rFonts w:asciiTheme="minorHAnsi" w:hAnsiTheme="minorHAnsi" w:cstheme="minorHAnsi"/>
                <w:iCs/>
                <w:szCs w:val="22"/>
              </w:rPr>
              <w:t xml:space="preserve"> 2021 - </w:t>
            </w:r>
            <w:r w:rsidR="00E55FE9" w:rsidRPr="009764AF">
              <w:rPr>
                <w:rFonts w:asciiTheme="minorHAnsi" w:hAnsiTheme="minorHAnsi" w:cstheme="minorHAnsi"/>
                <w:iCs/>
                <w:szCs w:val="22"/>
              </w:rPr>
              <w:t>End of contract.</w:t>
            </w:r>
          </w:p>
        </w:tc>
      </w:tr>
      <w:tr w:rsidR="00AF4C0F" w:rsidRPr="002C62C2" w14:paraId="0F01AF83" w14:textId="77777777" w:rsidTr="00971BA8">
        <w:trPr>
          <w:jc w:val="center"/>
        </w:trPr>
        <w:tc>
          <w:tcPr>
            <w:tcW w:w="9709" w:type="dxa"/>
          </w:tcPr>
          <w:p w14:paraId="2704DB8B"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OBJECTIVES</w:t>
            </w:r>
          </w:p>
          <w:p w14:paraId="00671C85" w14:textId="77777777" w:rsidR="00E55FE9" w:rsidRDefault="00595546" w:rsidP="008D119D">
            <w:pPr>
              <w:pStyle w:val="TSNumberedParagraph11"/>
              <w:rPr>
                <w:rFonts w:asciiTheme="minorHAnsi" w:hAnsiTheme="minorHAnsi" w:cstheme="minorHAnsi"/>
              </w:rPr>
            </w:pPr>
            <w:r>
              <w:rPr>
                <w:rFonts w:asciiTheme="minorHAnsi" w:hAnsiTheme="minorHAnsi" w:cstheme="minorHAnsi"/>
              </w:rPr>
              <w:t>The key objectives of this work are summarised as follows:</w:t>
            </w:r>
          </w:p>
          <w:p w14:paraId="0EBDD690" w14:textId="32D17BEE" w:rsidR="00595546" w:rsidRDefault="00595546" w:rsidP="00622BCA">
            <w:pPr>
              <w:pStyle w:val="TSBullet1Square"/>
              <w:spacing w:after="120"/>
              <w:contextualSpacing w:val="0"/>
              <w:rPr>
                <w:rFonts w:asciiTheme="minorHAnsi" w:hAnsiTheme="minorHAnsi"/>
              </w:rPr>
            </w:pPr>
            <w:r>
              <w:rPr>
                <w:rFonts w:asciiTheme="minorHAnsi" w:hAnsiTheme="minorHAnsi"/>
              </w:rPr>
              <w:t>For o</w:t>
            </w:r>
            <w:r w:rsidRPr="008C691F">
              <w:rPr>
                <w:rFonts w:asciiTheme="minorHAnsi" w:hAnsiTheme="minorHAnsi" w:cstheme="minorHAnsi"/>
              </w:rPr>
              <w:t xml:space="preserve">ne individual, on a </w:t>
            </w:r>
            <w:r>
              <w:rPr>
                <w:rFonts w:asciiTheme="minorHAnsi" w:hAnsiTheme="minorHAnsi" w:cstheme="minorHAnsi"/>
              </w:rPr>
              <w:t>0.</w:t>
            </w:r>
            <w:r w:rsidR="00752EEE">
              <w:rPr>
                <w:rFonts w:asciiTheme="minorHAnsi" w:hAnsiTheme="minorHAnsi" w:cstheme="minorHAnsi"/>
              </w:rPr>
              <w:t>4</w:t>
            </w:r>
            <w:r>
              <w:rPr>
                <w:rFonts w:asciiTheme="minorHAnsi" w:hAnsiTheme="minorHAnsi" w:cstheme="minorHAnsi"/>
              </w:rPr>
              <w:t xml:space="preserve"> Full Time Equivalent (FTE)</w:t>
            </w:r>
            <w:r w:rsidRPr="008C691F">
              <w:rPr>
                <w:rFonts w:asciiTheme="minorHAnsi" w:hAnsiTheme="minorHAnsi" w:cstheme="minorHAnsi"/>
              </w:rPr>
              <w:t xml:space="preserve"> basis</w:t>
            </w:r>
            <w:r w:rsidR="00B20418">
              <w:rPr>
                <w:rFonts w:asciiTheme="minorHAnsi" w:hAnsiTheme="minorHAnsi" w:cstheme="minorHAnsi"/>
              </w:rPr>
              <w:t xml:space="preserve"> (i.e. two 7.4 hour days per week)</w:t>
            </w:r>
            <w:r>
              <w:rPr>
                <w:rFonts w:asciiTheme="minorHAnsi" w:hAnsiTheme="minorHAnsi" w:cstheme="minorHAnsi"/>
              </w:rPr>
              <w:t>, to join</w:t>
            </w:r>
            <w:r>
              <w:rPr>
                <w:rFonts w:asciiTheme="minorHAnsi" w:hAnsiTheme="minorHAnsi"/>
              </w:rPr>
              <w:t xml:space="preserve"> ONR’s chemistry assessment team during the Step 4 GDA of UK HPR1000;</w:t>
            </w:r>
          </w:p>
          <w:p w14:paraId="23DD074A" w14:textId="268F30D1" w:rsidR="00E55FE9" w:rsidRPr="00005949" w:rsidRDefault="00777EA3" w:rsidP="00622BCA">
            <w:pPr>
              <w:pStyle w:val="TSBullet1Square"/>
              <w:spacing w:after="120"/>
              <w:contextualSpacing w:val="0"/>
              <w:rPr>
                <w:rFonts w:asciiTheme="minorHAnsi" w:hAnsiTheme="minorHAnsi"/>
              </w:rPr>
            </w:pPr>
            <w:r>
              <w:rPr>
                <w:rFonts w:asciiTheme="minorHAnsi" w:hAnsiTheme="minorHAnsi"/>
              </w:rPr>
              <w:t>For the individual to perform</w:t>
            </w:r>
            <w:r w:rsidR="00A3081D">
              <w:rPr>
                <w:rFonts w:asciiTheme="minorHAnsi" w:hAnsiTheme="minorHAnsi"/>
              </w:rPr>
              <w:t xml:space="preserve"> technical </w:t>
            </w:r>
            <w:r w:rsidR="00DF6D83">
              <w:rPr>
                <w:rFonts w:asciiTheme="minorHAnsi" w:hAnsiTheme="minorHAnsi"/>
              </w:rPr>
              <w:t>assessment</w:t>
            </w:r>
            <w:r w:rsidR="00077E81" w:rsidRPr="00005949">
              <w:rPr>
                <w:rFonts w:asciiTheme="minorHAnsi" w:hAnsiTheme="minorHAnsi"/>
              </w:rPr>
              <w:t xml:space="preserve"> of the </w:t>
            </w:r>
            <w:r w:rsidR="00632565" w:rsidRPr="00005949">
              <w:rPr>
                <w:rFonts w:asciiTheme="minorHAnsi" w:hAnsiTheme="minorHAnsi"/>
              </w:rPr>
              <w:t>c</w:t>
            </w:r>
            <w:r w:rsidR="00077E81" w:rsidRPr="00005949">
              <w:rPr>
                <w:rFonts w:asciiTheme="minorHAnsi" w:hAnsiTheme="minorHAnsi"/>
              </w:rPr>
              <w:t xml:space="preserve">laims, arguments and evidence presented by </w:t>
            </w:r>
            <w:r w:rsidR="008D119D" w:rsidRPr="00005949">
              <w:rPr>
                <w:rFonts w:asciiTheme="minorHAnsi" w:hAnsiTheme="minorHAnsi"/>
              </w:rPr>
              <w:t xml:space="preserve">the RP </w:t>
            </w:r>
            <w:r w:rsidR="00005949" w:rsidRPr="00005949">
              <w:rPr>
                <w:rFonts w:asciiTheme="minorHAnsi" w:hAnsiTheme="minorHAnsi"/>
              </w:rPr>
              <w:t xml:space="preserve">in relation to </w:t>
            </w:r>
            <w:r>
              <w:rPr>
                <w:rFonts w:asciiTheme="minorHAnsi" w:hAnsiTheme="minorHAnsi"/>
              </w:rPr>
              <w:t xml:space="preserve">various </w:t>
            </w:r>
            <w:r w:rsidR="00005949" w:rsidRPr="00005949">
              <w:rPr>
                <w:rFonts w:asciiTheme="minorHAnsi" w:hAnsiTheme="minorHAnsi"/>
              </w:rPr>
              <w:t>chemistry and materials degradation</w:t>
            </w:r>
            <w:r w:rsidR="005F46B6">
              <w:rPr>
                <w:rFonts w:asciiTheme="minorHAnsi" w:hAnsiTheme="minorHAnsi"/>
              </w:rPr>
              <w:t>-</w:t>
            </w:r>
            <w:r>
              <w:rPr>
                <w:rFonts w:asciiTheme="minorHAnsi" w:hAnsiTheme="minorHAnsi"/>
              </w:rPr>
              <w:t xml:space="preserve">related topics </w:t>
            </w:r>
            <w:r w:rsidR="00005949" w:rsidRPr="00005949">
              <w:rPr>
                <w:rFonts w:asciiTheme="minorHAnsi" w:hAnsiTheme="minorHAnsi"/>
              </w:rPr>
              <w:t xml:space="preserve">for </w:t>
            </w:r>
            <w:r w:rsidR="00077E81" w:rsidRPr="00005949">
              <w:rPr>
                <w:rFonts w:asciiTheme="minorHAnsi" w:hAnsiTheme="minorHAnsi"/>
              </w:rPr>
              <w:t>UK HPR1000</w:t>
            </w:r>
            <w:r w:rsidR="00A3081D">
              <w:rPr>
                <w:rFonts w:asciiTheme="minorHAnsi" w:hAnsiTheme="minorHAnsi"/>
              </w:rPr>
              <w:t xml:space="preserve"> (as specified in </w:t>
            </w:r>
            <w:r w:rsidR="00A3081D" w:rsidRPr="00877652">
              <w:rPr>
                <w:rFonts w:asciiTheme="minorHAnsi" w:hAnsiTheme="minorHAnsi"/>
              </w:rPr>
              <w:t>paragraph</w:t>
            </w:r>
            <w:r w:rsidR="00E77D38" w:rsidRPr="00877652">
              <w:rPr>
                <w:rFonts w:asciiTheme="minorHAnsi" w:hAnsiTheme="minorHAnsi"/>
              </w:rPr>
              <w:t>s</w:t>
            </w:r>
            <w:r w:rsidR="00A3081D" w:rsidRPr="00877652">
              <w:rPr>
                <w:rFonts w:asciiTheme="minorHAnsi" w:hAnsiTheme="minorHAnsi"/>
              </w:rPr>
              <w:t xml:space="preserve"> 2.</w:t>
            </w:r>
            <w:r w:rsidR="00E77D38" w:rsidRPr="00877652">
              <w:rPr>
                <w:rFonts w:asciiTheme="minorHAnsi" w:hAnsiTheme="minorHAnsi"/>
              </w:rPr>
              <w:t>4 and</w:t>
            </w:r>
            <w:r w:rsidR="00A3081D" w:rsidRPr="00877652">
              <w:rPr>
                <w:rFonts w:asciiTheme="minorHAnsi" w:hAnsiTheme="minorHAnsi"/>
              </w:rPr>
              <w:t xml:space="preserve"> 2.</w:t>
            </w:r>
            <w:r w:rsidR="00E77D38" w:rsidRPr="00877652">
              <w:rPr>
                <w:rFonts w:asciiTheme="minorHAnsi" w:hAnsiTheme="minorHAnsi"/>
              </w:rPr>
              <w:t>5</w:t>
            </w:r>
            <w:r w:rsidR="00E77D38">
              <w:rPr>
                <w:rFonts w:asciiTheme="minorHAnsi" w:hAnsiTheme="minorHAnsi"/>
              </w:rPr>
              <w:t>, above</w:t>
            </w:r>
            <w:r w:rsidR="00A3081D">
              <w:rPr>
                <w:rFonts w:asciiTheme="minorHAnsi" w:hAnsiTheme="minorHAnsi"/>
              </w:rPr>
              <w:t>)</w:t>
            </w:r>
            <w:r w:rsidR="00E55FE9" w:rsidRPr="00005949">
              <w:rPr>
                <w:rFonts w:asciiTheme="minorHAnsi" w:hAnsiTheme="minorHAnsi"/>
              </w:rPr>
              <w:t>;</w:t>
            </w:r>
          </w:p>
          <w:p w14:paraId="61742381" w14:textId="77777777" w:rsidR="00E77D38" w:rsidRPr="00491740" w:rsidRDefault="00777EA3" w:rsidP="00777EA3">
            <w:pPr>
              <w:pStyle w:val="TSBullet1Square"/>
              <w:spacing w:after="120"/>
              <w:contextualSpacing w:val="0"/>
            </w:pPr>
            <w:r>
              <w:rPr>
                <w:rFonts w:asciiTheme="minorHAnsi" w:hAnsiTheme="minorHAnsi" w:cs="Arial"/>
                <w:iCs/>
                <w:szCs w:val="22"/>
              </w:rPr>
              <w:t>For the individual to m</w:t>
            </w:r>
            <w:r w:rsidR="00E55FE9" w:rsidRPr="00005949">
              <w:rPr>
                <w:rFonts w:asciiTheme="minorHAnsi" w:hAnsiTheme="minorHAnsi" w:cs="Arial"/>
                <w:iCs/>
                <w:szCs w:val="22"/>
              </w:rPr>
              <w:t>ake recommendations to ONR where the RP’s approach may not satisfy RGP and/or where further justification may be required by the RP</w:t>
            </w:r>
            <w:r w:rsidR="00E77D38">
              <w:rPr>
                <w:rFonts w:asciiTheme="minorHAnsi" w:hAnsiTheme="minorHAnsi" w:cs="Arial"/>
                <w:iCs/>
                <w:szCs w:val="22"/>
              </w:rPr>
              <w:t>;</w:t>
            </w:r>
          </w:p>
          <w:p w14:paraId="716D73D5" w14:textId="55019C0D" w:rsidR="00E55FE9" w:rsidRPr="00595546" w:rsidRDefault="005F46B6" w:rsidP="00777EA3">
            <w:pPr>
              <w:pStyle w:val="TSBullet1Square"/>
              <w:spacing w:after="120"/>
              <w:contextualSpacing w:val="0"/>
            </w:pPr>
            <w:r w:rsidRPr="005F46B6">
              <w:rPr>
                <w:rFonts w:asciiTheme="minorHAnsi" w:hAnsiTheme="minorHAnsi"/>
              </w:rPr>
              <w:t xml:space="preserve">For the individual to have the provision of a </w:t>
            </w:r>
            <w:r w:rsidRPr="00031A76">
              <w:rPr>
                <w:rFonts w:asciiTheme="minorHAnsi" w:hAnsiTheme="minorHAnsi"/>
              </w:rPr>
              <w:t xml:space="preserve">“reach back” </w:t>
            </w:r>
            <w:r w:rsidRPr="005F46B6">
              <w:rPr>
                <w:rFonts w:asciiTheme="minorHAnsi" w:hAnsiTheme="minorHAnsi"/>
              </w:rPr>
              <w:t>option into their parent organisation, to obtain advice on various chemistry-related technical topics, on an-ad hoc basis</w:t>
            </w:r>
            <w:r w:rsidRPr="00491740">
              <w:rPr>
                <w:rFonts w:asciiTheme="minorHAnsi" w:hAnsiTheme="minorHAnsi" w:cs="Arial"/>
                <w:iCs/>
                <w:szCs w:val="22"/>
              </w:rPr>
              <w:t>, to support the assessment</w:t>
            </w:r>
          </w:p>
        </w:tc>
      </w:tr>
      <w:tr w:rsidR="00AF4C0F" w:rsidRPr="002C62C2" w14:paraId="278419C6" w14:textId="77777777" w:rsidTr="00971BA8">
        <w:trPr>
          <w:jc w:val="center"/>
        </w:trPr>
        <w:tc>
          <w:tcPr>
            <w:tcW w:w="9709" w:type="dxa"/>
          </w:tcPr>
          <w:p w14:paraId="4EB6F51A" w14:textId="77777777" w:rsidR="00AF4C0F" w:rsidRPr="00877652" w:rsidRDefault="00AF4C0F" w:rsidP="00877652">
            <w:pPr>
              <w:pStyle w:val="TSHeadingNumbered11"/>
              <w:rPr>
                <w:rFonts w:ascii="Calibri" w:hAnsi="Calibri"/>
              </w:rPr>
            </w:pPr>
            <w:r w:rsidRPr="00877652">
              <w:rPr>
                <w:rFonts w:ascii="Calibri" w:hAnsi="Calibri"/>
              </w:rPr>
              <w:t xml:space="preserve">CONSTRAINTS </w:t>
            </w:r>
          </w:p>
          <w:p w14:paraId="5BE5CF58" w14:textId="77777777" w:rsidR="0081076D" w:rsidRPr="002C62C2" w:rsidRDefault="00595546" w:rsidP="00622BCA">
            <w:pPr>
              <w:pStyle w:val="TSNumberedParagraph11"/>
              <w:tabs>
                <w:tab w:val="left" w:pos="644"/>
              </w:tabs>
              <w:ind w:left="644" w:hanging="644"/>
              <w:jc w:val="both"/>
              <w:rPr>
                <w:rFonts w:asciiTheme="minorHAnsi" w:hAnsiTheme="minorHAnsi" w:cstheme="minorHAnsi"/>
              </w:rPr>
            </w:pPr>
            <w:r>
              <w:rPr>
                <w:rFonts w:asciiTheme="minorHAnsi" w:hAnsiTheme="minorHAnsi" w:cstheme="minorHAnsi"/>
              </w:rPr>
              <w:t>The following may</w:t>
            </w:r>
            <w:r w:rsidRPr="002C62C2">
              <w:rPr>
                <w:rFonts w:asciiTheme="minorHAnsi" w:hAnsiTheme="minorHAnsi" w:cstheme="minorHAnsi"/>
              </w:rPr>
              <w:t xml:space="preserve"> constrain the ability of potential </w:t>
            </w:r>
            <w:r>
              <w:rPr>
                <w:rFonts w:asciiTheme="minorHAnsi" w:hAnsiTheme="minorHAnsi" w:cstheme="minorHAnsi"/>
              </w:rPr>
              <w:t>TSCs</w:t>
            </w:r>
            <w:r w:rsidRPr="002C62C2">
              <w:rPr>
                <w:rFonts w:asciiTheme="minorHAnsi" w:hAnsiTheme="minorHAnsi" w:cstheme="minorHAnsi"/>
              </w:rPr>
              <w:t xml:space="preserve"> to meet the requirement</w:t>
            </w:r>
            <w:r>
              <w:rPr>
                <w:rFonts w:asciiTheme="minorHAnsi" w:hAnsiTheme="minorHAnsi" w:cstheme="minorHAnsi"/>
              </w:rPr>
              <w:t>s set out above</w:t>
            </w:r>
            <w:r w:rsidRPr="002C62C2">
              <w:rPr>
                <w:rFonts w:asciiTheme="minorHAnsi" w:hAnsiTheme="minorHAnsi" w:cstheme="minorHAnsi"/>
              </w:rPr>
              <w:t>:</w:t>
            </w:r>
          </w:p>
          <w:p w14:paraId="1A504833" w14:textId="77777777" w:rsidR="0081076D" w:rsidRPr="00622BCA" w:rsidRDefault="0081076D" w:rsidP="00622BCA">
            <w:pPr>
              <w:pStyle w:val="TSBullet1Square"/>
              <w:spacing w:after="120"/>
              <w:contextualSpacing w:val="0"/>
              <w:rPr>
                <w:rFonts w:asciiTheme="minorHAnsi" w:hAnsiTheme="minorHAnsi"/>
              </w:rPr>
            </w:pPr>
            <w:r w:rsidRPr="0081076D">
              <w:rPr>
                <w:rFonts w:asciiTheme="minorHAnsi" w:hAnsiTheme="minorHAnsi"/>
              </w:rPr>
              <w:t xml:space="preserve">The work is expected to start and conclude in accordance </w:t>
            </w:r>
            <w:r w:rsidRPr="00622BCA">
              <w:rPr>
                <w:rFonts w:asciiTheme="minorHAnsi" w:hAnsiTheme="minorHAnsi"/>
              </w:rPr>
              <w:t>with the overall timescales given above, and a project programme will be agreed with the contractor upon contract award.</w:t>
            </w:r>
          </w:p>
          <w:p w14:paraId="14EE8F37" w14:textId="77777777" w:rsidR="0081076D" w:rsidRDefault="0081076D" w:rsidP="00622BCA">
            <w:pPr>
              <w:pStyle w:val="TSBullet1Square"/>
              <w:spacing w:after="120"/>
              <w:contextualSpacing w:val="0"/>
              <w:rPr>
                <w:rFonts w:asciiTheme="minorHAnsi" w:hAnsiTheme="minorHAnsi"/>
              </w:rPr>
            </w:pPr>
            <w:r w:rsidRPr="00622BCA">
              <w:rPr>
                <w:rFonts w:asciiTheme="minorHAnsi" w:hAnsiTheme="minorHAnsi"/>
              </w:rPr>
              <w:t>ONR will provide the latest versions of relevant documentation submitted by the RP. Further information will need to be identified and requested by the contractor through regulatory queries (via ONR). The timescales for both of these processes are largely outside of ONR’s direct control and therefore delays to the receipt of information may occur.  The TSC should also be aware that in some limited cases, the information requested may only be available in Chinese and translation into English (undertaken by the RP) may be required. Similarly, the quality of any response cannot be guaranteed. A pragmatic and flexible approach will need to be adopted by the contractor to deal with these circumstances, both technically and contractually, should they arise.</w:t>
            </w:r>
          </w:p>
          <w:p w14:paraId="1EF8FDC9"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 xml:space="preserve">It is expected that the successful contractor will also draw upon their experience, resources and publicly available information to perform this work. The TSC undertaking the work will be expected to have demonstrable experience in relation to the scope of this contract. </w:t>
            </w:r>
          </w:p>
          <w:p w14:paraId="512CC276"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All information received from the RP will need to be treated in accordance with the ONR Technical Support Contact Framework agreement and non-disclosure agreement. The information or a certificate of destruction will need to be returned to ONR at the end of the contract.</w:t>
            </w:r>
          </w:p>
          <w:p w14:paraId="3D2D1CC8" w14:textId="77777777" w:rsidR="0081076D" w:rsidRPr="006C393A" w:rsidRDefault="0081076D" w:rsidP="00622BCA">
            <w:pPr>
              <w:pStyle w:val="TSBullet1Square"/>
              <w:spacing w:after="120"/>
              <w:contextualSpacing w:val="0"/>
              <w:rPr>
                <w:rFonts w:asciiTheme="minorHAnsi" w:hAnsiTheme="minorHAnsi"/>
              </w:rPr>
            </w:pPr>
            <w:r w:rsidRPr="006C393A">
              <w:rPr>
                <w:rFonts w:asciiTheme="minorHAnsi" w:hAnsiTheme="minorHAnsi"/>
              </w:rPr>
              <w:t>Information in this contract will contain protectively marked information and if so, will need to be handled accordingly. Most information will contain proprietary markings.</w:t>
            </w:r>
            <w:r w:rsidR="00FC12D5" w:rsidRPr="006C393A">
              <w:rPr>
                <w:rFonts w:asciiTheme="minorHAnsi" w:hAnsiTheme="minorHAnsi"/>
              </w:rPr>
              <w:t xml:space="preserve"> </w:t>
            </w:r>
          </w:p>
          <w:p w14:paraId="06B5FE6D" w14:textId="77777777" w:rsidR="0081076D" w:rsidRPr="006C393A" w:rsidRDefault="0081076D" w:rsidP="00622BCA">
            <w:pPr>
              <w:pStyle w:val="TSBullet1Square"/>
              <w:spacing w:after="120"/>
              <w:contextualSpacing w:val="0"/>
              <w:rPr>
                <w:rFonts w:asciiTheme="minorHAnsi" w:hAnsiTheme="minorHAnsi"/>
              </w:rPr>
            </w:pPr>
            <w:r w:rsidRPr="006C393A">
              <w:rPr>
                <w:rFonts w:asciiTheme="minorHAnsi" w:hAnsiTheme="minorHAnsi"/>
              </w:rPr>
              <w:t xml:space="preserve">Information in this contract </w:t>
            </w:r>
            <w:r w:rsidR="00450AE5">
              <w:rPr>
                <w:rFonts w:asciiTheme="minorHAnsi" w:hAnsiTheme="minorHAnsi"/>
              </w:rPr>
              <w:t>will not</w:t>
            </w:r>
            <w:r w:rsidRPr="006C393A">
              <w:rPr>
                <w:rFonts w:asciiTheme="minorHAnsi" w:hAnsiTheme="minorHAnsi"/>
              </w:rPr>
              <w:t xml:space="preserve"> contain Sensitive Nuclear Information (SNI).</w:t>
            </w:r>
            <w:r w:rsidR="00FC12D5" w:rsidRPr="006C393A">
              <w:rPr>
                <w:rFonts w:asciiTheme="minorHAnsi" w:hAnsiTheme="minorHAnsi"/>
              </w:rPr>
              <w:t xml:space="preserve"> No information with a security marking above UK OFFICAL - SENSITIVE is anticipated as part of this contract.</w:t>
            </w:r>
          </w:p>
          <w:p w14:paraId="0EEE3FF1"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need to provide assurances that it has all necessary export control licences to exchange information with ONR.</w:t>
            </w:r>
          </w:p>
          <w:p w14:paraId="6517B7B2"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 xml:space="preserve">The transmittal of all documents between ONR and the contractor will be through ONR's Joint Programme Office (JPO). This will use the egress system, regardless of the security marking (unless the documents are publicly available on the internet). </w:t>
            </w:r>
          </w:p>
          <w:p w14:paraId="59EF1BE0"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lastRenderedPageBreak/>
              <w:t>The contractor may be asked to sign Export Control End User Undertakings (EUU) to receive controlled technology.</w:t>
            </w:r>
          </w:p>
          <w:p w14:paraId="450D5603"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will be required to work in accordance with ONR’s Export Control Instruction in order to facilitate engagement with the GDA RP.</w:t>
            </w:r>
          </w:p>
          <w:p w14:paraId="2BA991AD"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The contractor shall not utilise any additional third party support not named in the bid documentation without ONR’s prior written consent.</w:t>
            </w:r>
          </w:p>
          <w:p w14:paraId="2346527F"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Any conflict of interest should be declared. Where a potential conflict exists, the contractor should describe how this will be managed.</w:t>
            </w:r>
          </w:p>
          <w:p w14:paraId="5BD791E6"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 xml:space="preserve">The aim of this work package is to inform and advise ONR. However, it is ONR’s intention to brief the RP on the conclusions of the work. The RP will be provided with copies of any reports produced for information and will be invited to comment on their factual accuracy. </w:t>
            </w:r>
          </w:p>
          <w:p w14:paraId="7805147F" w14:textId="77777777" w:rsidR="0081076D" w:rsidRPr="00622BCA" w:rsidRDefault="0081076D" w:rsidP="00622BCA">
            <w:pPr>
              <w:pStyle w:val="TSBullet1Square"/>
              <w:spacing w:after="120"/>
              <w:contextualSpacing w:val="0"/>
              <w:rPr>
                <w:rFonts w:asciiTheme="minorHAnsi" w:hAnsiTheme="minorHAnsi"/>
              </w:rPr>
            </w:pPr>
            <w:r w:rsidRPr="00622BCA">
              <w:rPr>
                <w:rFonts w:asciiTheme="minorHAnsi" w:hAnsiTheme="minorHAnsi"/>
              </w:rPr>
              <w:t>It is not ONR’s intention to publish the reports produced through this contract. However, it is likely they will be referenced in publicly available reports and therefore subject to freedom of information requests. This should not constrain or limit the produced reports but should be taken into account with the style and format.</w:t>
            </w:r>
          </w:p>
          <w:p w14:paraId="75F03436" w14:textId="77777777" w:rsidR="00AF4C0F" w:rsidRDefault="0081076D" w:rsidP="00ED1534">
            <w:pPr>
              <w:pStyle w:val="TSBullet1Square"/>
              <w:tabs>
                <w:tab w:val="clear" w:pos="-31680"/>
              </w:tabs>
              <w:spacing w:after="120"/>
              <w:contextualSpacing w:val="0"/>
              <w:rPr>
                <w:rFonts w:asciiTheme="minorHAnsi" w:hAnsiTheme="minorHAnsi"/>
              </w:rPr>
            </w:pPr>
            <w:r w:rsidRPr="00622BCA">
              <w:rPr>
                <w:rFonts w:asciiTheme="minorHAnsi" w:hAnsiTheme="minorHAnsi"/>
              </w:rPr>
              <w:t>The contractor should identify any constraints that may impact delivery of the intended scope of work.</w:t>
            </w:r>
          </w:p>
          <w:p w14:paraId="1B0FE0FF" w14:textId="1F92AF73" w:rsidR="00ED1534" w:rsidRDefault="00ED1534" w:rsidP="005C7F8D">
            <w:pPr>
              <w:pStyle w:val="TSBullet1Square"/>
              <w:spacing w:after="120"/>
              <w:contextualSpacing w:val="0"/>
              <w:rPr>
                <w:rFonts w:asciiTheme="minorHAnsi" w:hAnsiTheme="minorHAnsi"/>
              </w:rPr>
            </w:pPr>
            <w:r w:rsidRPr="00ED1534">
              <w:rPr>
                <w:rFonts w:asciiTheme="minorHAnsi" w:hAnsiTheme="minorHAnsi"/>
              </w:rPr>
              <w:t xml:space="preserve">The working location will be flexible; a desk </w:t>
            </w:r>
            <w:r w:rsidR="004E6B44">
              <w:rPr>
                <w:rFonts w:asciiTheme="minorHAnsi" w:hAnsiTheme="minorHAnsi"/>
              </w:rPr>
              <w:t xml:space="preserve">and IT equipment </w:t>
            </w:r>
            <w:r w:rsidRPr="00ED1534">
              <w:rPr>
                <w:rFonts w:asciiTheme="minorHAnsi" w:hAnsiTheme="minorHAnsi"/>
              </w:rPr>
              <w:t xml:space="preserve">will be made available as required at ONR Offices in </w:t>
            </w:r>
            <w:r>
              <w:rPr>
                <w:rFonts w:asciiTheme="minorHAnsi" w:hAnsiTheme="minorHAnsi"/>
              </w:rPr>
              <w:t>Bootle</w:t>
            </w:r>
            <w:r w:rsidRPr="00ED1534">
              <w:rPr>
                <w:rFonts w:asciiTheme="minorHAnsi" w:hAnsiTheme="minorHAnsi"/>
              </w:rPr>
              <w:t xml:space="preserve"> </w:t>
            </w:r>
            <w:r>
              <w:rPr>
                <w:rFonts w:asciiTheme="minorHAnsi" w:hAnsiTheme="minorHAnsi"/>
              </w:rPr>
              <w:t>(</w:t>
            </w:r>
            <w:r w:rsidR="005C7F8D">
              <w:rPr>
                <w:rFonts w:asciiTheme="minorHAnsi" w:hAnsiTheme="minorHAnsi"/>
              </w:rPr>
              <w:t xml:space="preserve">Redgrave Court, </w:t>
            </w:r>
            <w:r>
              <w:rPr>
                <w:rFonts w:asciiTheme="minorHAnsi" w:hAnsiTheme="minorHAnsi"/>
              </w:rPr>
              <w:t>L20 7HS)</w:t>
            </w:r>
            <w:r w:rsidR="005C7F8D">
              <w:rPr>
                <w:rFonts w:asciiTheme="minorHAnsi" w:hAnsiTheme="minorHAnsi"/>
              </w:rPr>
              <w:t xml:space="preserve"> </w:t>
            </w:r>
            <w:r w:rsidRPr="00ED1534">
              <w:rPr>
                <w:rFonts w:asciiTheme="minorHAnsi" w:hAnsiTheme="minorHAnsi"/>
              </w:rPr>
              <w:t xml:space="preserve">or </w:t>
            </w:r>
            <w:r>
              <w:rPr>
                <w:rFonts w:asciiTheme="minorHAnsi" w:hAnsiTheme="minorHAnsi"/>
              </w:rPr>
              <w:t>Cheltenham</w:t>
            </w:r>
            <w:r w:rsidRPr="00ED1534">
              <w:rPr>
                <w:rFonts w:asciiTheme="minorHAnsi" w:hAnsiTheme="minorHAnsi"/>
              </w:rPr>
              <w:t xml:space="preserve"> </w:t>
            </w:r>
            <w:r>
              <w:rPr>
                <w:rFonts w:asciiTheme="minorHAnsi" w:hAnsiTheme="minorHAnsi"/>
              </w:rPr>
              <w:t>(</w:t>
            </w:r>
            <w:r w:rsidR="005C7F8D">
              <w:rPr>
                <w:rFonts w:asciiTheme="minorHAnsi" w:hAnsiTheme="minorHAnsi"/>
              </w:rPr>
              <w:t>St</w:t>
            </w:r>
            <w:r w:rsidR="005F46B6">
              <w:rPr>
                <w:rFonts w:asciiTheme="minorHAnsi" w:hAnsiTheme="minorHAnsi"/>
              </w:rPr>
              <w:t>.</w:t>
            </w:r>
            <w:r w:rsidR="005C7F8D">
              <w:rPr>
                <w:rFonts w:asciiTheme="minorHAnsi" w:hAnsiTheme="minorHAnsi"/>
              </w:rPr>
              <w:t xml:space="preserve"> James House, </w:t>
            </w:r>
            <w:r>
              <w:rPr>
                <w:rFonts w:asciiTheme="minorHAnsi" w:hAnsiTheme="minorHAnsi"/>
              </w:rPr>
              <w:t>GL50 3PR)</w:t>
            </w:r>
            <w:r w:rsidRPr="00ED1534">
              <w:rPr>
                <w:rFonts w:asciiTheme="minorHAnsi" w:hAnsiTheme="minorHAnsi"/>
              </w:rPr>
              <w:t>, but no parking will be provided.</w:t>
            </w:r>
            <w:r>
              <w:rPr>
                <w:rFonts w:asciiTheme="minorHAnsi" w:hAnsiTheme="minorHAnsi"/>
              </w:rPr>
              <w:t xml:space="preserve"> </w:t>
            </w:r>
            <w:r w:rsidRPr="00ED1534">
              <w:rPr>
                <w:rFonts w:asciiTheme="minorHAnsi" w:hAnsiTheme="minorHAnsi"/>
              </w:rPr>
              <w:t xml:space="preserve">Other working locations must have adequate security provisions for the handling of documentation containing the intellectual property of </w:t>
            </w:r>
            <w:r>
              <w:rPr>
                <w:rFonts w:asciiTheme="minorHAnsi" w:hAnsiTheme="minorHAnsi"/>
              </w:rPr>
              <w:t>the RP</w:t>
            </w:r>
            <w:r w:rsidRPr="00ED1534">
              <w:rPr>
                <w:rFonts w:asciiTheme="minorHAnsi" w:hAnsiTheme="minorHAnsi"/>
              </w:rPr>
              <w:t xml:space="preserve"> and any other information with the UK protective marking OFFICIAL – SENSITIVE.</w:t>
            </w:r>
          </w:p>
          <w:p w14:paraId="4B376756" w14:textId="77777777" w:rsidR="005C7F8D" w:rsidRPr="005C7F8D" w:rsidRDefault="005C7F8D" w:rsidP="005C7F8D">
            <w:pPr>
              <w:pStyle w:val="TSBullet1Square"/>
              <w:rPr>
                <w:rFonts w:asciiTheme="minorHAnsi" w:hAnsiTheme="minorHAnsi"/>
              </w:rPr>
            </w:pPr>
            <w:r w:rsidRPr="005C7F8D">
              <w:rPr>
                <w:rFonts w:asciiTheme="minorHAnsi" w:hAnsiTheme="minorHAnsi"/>
              </w:rPr>
              <w:t>The contractor is responsible for making all arrangements required to support meetings in China. However, ONR will facilitate the provision of invitation letters.</w:t>
            </w:r>
          </w:p>
        </w:tc>
      </w:tr>
      <w:tr w:rsidR="00AF4C0F" w:rsidRPr="002C62C2" w14:paraId="0F217131" w14:textId="77777777" w:rsidTr="00971BA8">
        <w:trPr>
          <w:jc w:val="center"/>
        </w:trPr>
        <w:tc>
          <w:tcPr>
            <w:tcW w:w="9709" w:type="dxa"/>
          </w:tcPr>
          <w:p w14:paraId="11DD7801" w14:textId="77777777" w:rsidR="00AF4C0F" w:rsidRPr="002C62C2" w:rsidRDefault="00AF4C0F"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lastRenderedPageBreak/>
              <w:t>CONTRACT MANAGEMENT</w:t>
            </w:r>
          </w:p>
          <w:p w14:paraId="7851853E" w14:textId="77777777" w:rsidR="00077E81" w:rsidRPr="00C46562" w:rsidRDefault="00B66F1D" w:rsidP="00077E81">
            <w:pPr>
              <w:pStyle w:val="TSNumberedParagraph11"/>
              <w:rPr>
                <w:rFonts w:asciiTheme="minorHAnsi" w:hAnsiTheme="minorHAnsi" w:cstheme="minorHAnsi"/>
              </w:rPr>
            </w:pPr>
            <w:r w:rsidRPr="00622BCA">
              <w:rPr>
                <w:rFonts w:asciiTheme="minorHAnsi" w:hAnsiTheme="minorHAnsi" w:cstheme="minorHAnsi"/>
              </w:rPr>
              <w:t xml:space="preserve">The </w:t>
            </w:r>
            <w:r w:rsidR="00077E81" w:rsidRPr="00622BCA">
              <w:rPr>
                <w:rFonts w:asciiTheme="minorHAnsi" w:hAnsiTheme="minorHAnsi" w:cstheme="minorHAnsi"/>
              </w:rPr>
              <w:t>P</w:t>
            </w:r>
            <w:r w:rsidRPr="00622BCA">
              <w:rPr>
                <w:rFonts w:asciiTheme="minorHAnsi" w:hAnsiTheme="minorHAnsi" w:cstheme="minorHAnsi"/>
              </w:rPr>
              <w:t xml:space="preserve">rocurement </w:t>
            </w:r>
            <w:r w:rsidR="00077E81" w:rsidRPr="00622BCA">
              <w:rPr>
                <w:rFonts w:asciiTheme="minorHAnsi" w:hAnsiTheme="minorHAnsi" w:cstheme="minorHAnsi"/>
              </w:rPr>
              <w:t>U</w:t>
            </w:r>
            <w:r w:rsidRPr="00622BCA">
              <w:rPr>
                <w:rFonts w:asciiTheme="minorHAnsi" w:hAnsiTheme="minorHAnsi" w:cstheme="minorHAnsi"/>
              </w:rPr>
              <w:t>nit</w:t>
            </w:r>
            <w:r w:rsidR="00077E81" w:rsidRPr="00C46562">
              <w:rPr>
                <w:rFonts w:asciiTheme="minorHAnsi" w:hAnsiTheme="minorHAnsi" w:cstheme="minorHAnsi"/>
              </w:rPr>
              <w:t xml:space="preserve"> will provide contractors with details of:</w:t>
            </w:r>
          </w:p>
          <w:p w14:paraId="6A719548" w14:textId="77777777" w:rsidR="00077E81" w:rsidRDefault="00A3081D" w:rsidP="00622BCA">
            <w:pPr>
              <w:pStyle w:val="TSBullet1Square"/>
              <w:spacing w:after="120"/>
              <w:contextualSpacing w:val="0"/>
              <w:rPr>
                <w:rFonts w:asciiTheme="minorHAnsi" w:hAnsiTheme="minorHAnsi" w:cstheme="minorHAnsi"/>
              </w:rPr>
            </w:pPr>
            <w:r>
              <w:rPr>
                <w:rFonts w:asciiTheme="minorHAnsi" w:hAnsiTheme="minorHAnsi" w:cstheme="minorHAnsi"/>
              </w:rPr>
              <w:t>W</w:t>
            </w:r>
            <w:r w:rsidR="00077E81" w:rsidRPr="00077E81">
              <w:rPr>
                <w:rFonts w:asciiTheme="minorHAnsi" w:hAnsiTheme="minorHAnsi" w:cstheme="minorHAnsi"/>
              </w:rPr>
              <w:t>ho in ONR will be responsible for managing delivery and certifying completion of the required work; and</w:t>
            </w:r>
          </w:p>
          <w:p w14:paraId="2278CB71" w14:textId="77777777" w:rsidR="00AF4C0F" w:rsidRPr="00ED1534" w:rsidRDefault="00077E81" w:rsidP="00ED1534">
            <w:pPr>
              <w:pStyle w:val="TSBullet1Square"/>
              <w:tabs>
                <w:tab w:val="clear" w:pos="-31680"/>
              </w:tabs>
              <w:spacing w:after="120"/>
              <w:contextualSpacing w:val="0"/>
              <w:rPr>
                <w:rFonts w:asciiTheme="minorHAnsi" w:hAnsiTheme="minorHAnsi" w:cstheme="minorHAnsi"/>
              </w:rPr>
            </w:pPr>
            <w:r w:rsidRPr="00077E81">
              <w:rPr>
                <w:rFonts w:asciiTheme="minorHAnsi" w:hAnsiTheme="minorHAnsi" w:cstheme="minorHAnsi"/>
              </w:rPr>
              <w:t>ONR'</w:t>
            </w:r>
            <w:r w:rsidR="00ED1534">
              <w:rPr>
                <w:rFonts w:asciiTheme="minorHAnsi" w:hAnsiTheme="minorHAnsi" w:cstheme="minorHAnsi"/>
              </w:rPr>
              <w:t>s</w:t>
            </w:r>
            <w:r w:rsidRPr="00077E81">
              <w:rPr>
                <w:rFonts w:asciiTheme="minorHAnsi" w:hAnsiTheme="minorHAnsi" w:cstheme="minorHAnsi"/>
              </w:rPr>
              <w:t xml:space="preserve"> expectations in terms of being kept updated about delivery of the required work including review meetings, interim/final reporting arrangements, and management information requirements</w:t>
            </w:r>
            <w:r w:rsidR="00ED1534">
              <w:rPr>
                <w:rFonts w:asciiTheme="minorHAnsi" w:hAnsiTheme="minorHAnsi" w:cstheme="minorHAnsi"/>
              </w:rPr>
              <w:t>.</w:t>
            </w:r>
          </w:p>
        </w:tc>
      </w:tr>
      <w:tr w:rsidR="00863CDC" w:rsidRPr="002C62C2" w14:paraId="4A403E05" w14:textId="77777777" w:rsidTr="00971BA8">
        <w:trPr>
          <w:jc w:val="center"/>
        </w:trPr>
        <w:tc>
          <w:tcPr>
            <w:tcW w:w="9709" w:type="dxa"/>
            <w:tcBorders>
              <w:bottom w:val="single" w:sz="4" w:space="0" w:color="auto"/>
            </w:tcBorders>
            <w:shd w:val="clear" w:color="auto" w:fill="006D68"/>
          </w:tcPr>
          <w:p w14:paraId="11000EB0" w14:textId="77777777" w:rsidR="00863CDC" w:rsidRPr="002C62C2" w:rsidRDefault="00863CDC" w:rsidP="00971BA8">
            <w:pPr>
              <w:pStyle w:val="Header"/>
              <w:tabs>
                <w:tab w:val="left" w:pos="0"/>
              </w:tabs>
              <w:spacing w:before="120" w:after="120"/>
              <w:jc w:val="both"/>
              <w:rPr>
                <w:rFonts w:asciiTheme="minorHAnsi" w:hAnsiTheme="minorHAnsi" w:cstheme="minorHAnsi"/>
              </w:rPr>
            </w:pPr>
            <w:r>
              <w:rPr>
                <w:rFonts w:asciiTheme="minorHAnsi" w:hAnsiTheme="minorHAnsi" w:cstheme="minorHAnsi"/>
                <w:b/>
                <w:iCs/>
                <w:color w:val="FFFFFF" w:themeColor="background1"/>
                <w:sz w:val="24"/>
              </w:rPr>
              <w:t>TECHNICAL RESPONSE</w:t>
            </w:r>
          </w:p>
        </w:tc>
      </w:tr>
      <w:tr w:rsidR="00971BA8" w:rsidRPr="002C62C2" w14:paraId="3A4A0712" w14:textId="77777777" w:rsidTr="00971BA8">
        <w:trPr>
          <w:jc w:val="center"/>
        </w:trPr>
        <w:tc>
          <w:tcPr>
            <w:tcW w:w="9709" w:type="dxa"/>
            <w:shd w:val="clear" w:color="auto" w:fill="auto"/>
          </w:tcPr>
          <w:p w14:paraId="1D98159E" w14:textId="77777777" w:rsidR="00971BA8" w:rsidRDefault="00971BA8" w:rsidP="00971BA8">
            <w:pPr>
              <w:pStyle w:val="TSHeadingNumbered1"/>
              <w:tabs>
                <w:tab w:val="left" w:pos="0"/>
              </w:tabs>
              <w:ind w:left="0" w:firstLine="0"/>
              <w:rPr>
                <w:rFonts w:asciiTheme="minorHAnsi" w:hAnsiTheme="minorHAnsi" w:cstheme="minorHAnsi"/>
              </w:rPr>
            </w:pPr>
            <w:r w:rsidRPr="002C62C2">
              <w:rPr>
                <w:rFonts w:asciiTheme="minorHAnsi" w:hAnsiTheme="minorHAnsi" w:cstheme="minorHAnsi"/>
              </w:rPr>
              <w:t>Response</w:t>
            </w:r>
          </w:p>
          <w:p w14:paraId="6E821308" w14:textId="77777777" w:rsidR="00971BA8" w:rsidRPr="005C7F8D" w:rsidRDefault="00971BA8" w:rsidP="00971BA8">
            <w:pPr>
              <w:pStyle w:val="TSNumberedParagraph11"/>
              <w:tabs>
                <w:tab w:val="left" w:pos="0"/>
              </w:tabs>
              <w:ind w:left="0" w:firstLine="0"/>
              <w:rPr>
                <w:rFonts w:asciiTheme="minorHAnsi" w:hAnsiTheme="minorHAnsi" w:cstheme="minorHAnsi"/>
              </w:rPr>
            </w:pPr>
            <w:r w:rsidRPr="005C7F8D">
              <w:rPr>
                <w:rFonts w:asciiTheme="minorHAnsi" w:hAnsiTheme="minorHAnsi" w:cstheme="minorHAnsi"/>
              </w:rPr>
              <w:t>The Technical Response should demonstrate a clear und</w:t>
            </w:r>
            <w:r w:rsidR="00B66F1D" w:rsidRPr="005C7F8D">
              <w:rPr>
                <w:rFonts w:asciiTheme="minorHAnsi" w:hAnsiTheme="minorHAnsi" w:cstheme="minorHAnsi"/>
              </w:rPr>
              <w:t xml:space="preserve">erstanding of the work required and </w:t>
            </w:r>
            <w:r w:rsidR="005C7F8D" w:rsidRPr="005C7F8D">
              <w:rPr>
                <w:rFonts w:asciiTheme="minorHAnsi" w:hAnsiTheme="minorHAnsi" w:cstheme="minorHAnsi"/>
              </w:rPr>
              <w:t>should</w:t>
            </w:r>
            <w:r w:rsidRPr="005C7F8D">
              <w:rPr>
                <w:rFonts w:asciiTheme="minorHAnsi" w:hAnsiTheme="minorHAnsi" w:cstheme="minorHAnsi"/>
              </w:rPr>
              <w:t xml:space="preserve"> provide</w:t>
            </w:r>
            <w:r w:rsidR="00B66F1D" w:rsidRPr="005C7F8D">
              <w:rPr>
                <w:rFonts w:asciiTheme="minorHAnsi" w:hAnsiTheme="minorHAnsi" w:cstheme="minorHAnsi"/>
              </w:rPr>
              <w:t>:</w:t>
            </w:r>
            <w:r w:rsidRPr="005C7F8D">
              <w:rPr>
                <w:rFonts w:asciiTheme="minorHAnsi" w:hAnsiTheme="minorHAnsi" w:cstheme="minorHAnsi"/>
              </w:rPr>
              <w:t xml:space="preserve"> </w:t>
            </w:r>
          </w:p>
          <w:p w14:paraId="0F21026F" w14:textId="77777777" w:rsidR="00270A09" w:rsidRPr="00270A09" w:rsidRDefault="00270A09" w:rsidP="00270A09">
            <w:pPr>
              <w:pStyle w:val="TSBullet1Square"/>
              <w:rPr>
                <w:rFonts w:ascii="Calibri" w:hAnsi="Calibri"/>
              </w:rPr>
            </w:pPr>
            <w:r w:rsidRPr="00270A09">
              <w:rPr>
                <w:rFonts w:ascii="Calibri" w:hAnsi="Calibri"/>
              </w:rPr>
              <w:t xml:space="preserve">Details of </w:t>
            </w:r>
            <w:r w:rsidR="006856E3">
              <w:rPr>
                <w:rFonts w:ascii="Calibri" w:hAnsi="Calibri"/>
              </w:rPr>
              <w:t xml:space="preserve">the </w:t>
            </w:r>
            <w:r w:rsidRPr="00270A09">
              <w:rPr>
                <w:rFonts w:ascii="Calibri" w:hAnsi="Calibri"/>
              </w:rPr>
              <w:t xml:space="preserve">proposed candidate </w:t>
            </w:r>
            <w:r w:rsidR="006856E3">
              <w:rPr>
                <w:rFonts w:ascii="Calibri" w:hAnsi="Calibri"/>
              </w:rPr>
              <w:t>including</w:t>
            </w:r>
            <w:r w:rsidRPr="00270A09">
              <w:rPr>
                <w:rFonts w:ascii="Calibri" w:hAnsi="Calibri"/>
              </w:rPr>
              <w:t xml:space="preserve"> a copy of their curriculum vitae (CV) detailing  relevant experience and expertise;</w:t>
            </w:r>
          </w:p>
          <w:p w14:paraId="00671ECA" w14:textId="77777777" w:rsidR="00270A09" w:rsidRPr="00270A09" w:rsidRDefault="00270A09" w:rsidP="00270A09">
            <w:pPr>
              <w:pStyle w:val="TSBullet1Square"/>
              <w:rPr>
                <w:rFonts w:ascii="Calibri" w:hAnsi="Calibri"/>
              </w:rPr>
            </w:pPr>
            <w:r w:rsidRPr="00270A09">
              <w:rPr>
                <w:rFonts w:ascii="Calibri" w:hAnsi="Calibri"/>
              </w:rPr>
              <w:t xml:space="preserve">Confirmation that the candidate is expected to be available to ONR on the anticipated </w:t>
            </w:r>
            <w:r w:rsidR="006856E3">
              <w:rPr>
                <w:rFonts w:ascii="Calibri" w:hAnsi="Calibri"/>
              </w:rPr>
              <w:t>0.</w:t>
            </w:r>
            <w:r w:rsidR="00A3081D">
              <w:rPr>
                <w:rFonts w:ascii="Calibri" w:hAnsi="Calibri"/>
              </w:rPr>
              <w:t>4</w:t>
            </w:r>
            <w:r w:rsidR="006856E3">
              <w:rPr>
                <w:rFonts w:ascii="Calibri" w:hAnsi="Calibri"/>
              </w:rPr>
              <w:t xml:space="preserve"> FTE </w:t>
            </w:r>
            <w:r w:rsidRPr="00270A09">
              <w:rPr>
                <w:rFonts w:ascii="Calibri" w:hAnsi="Calibri"/>
              </w:rPr>
              <w:t>basis for the duration of this project, or detail any constraints which may apply;</w:t>
            </w:r>
          </w:p>
          <w:p w14:paraId="59617F7B" w14:textId="77777777" w:rsidR="00031A76" w:rsidRPr="00270A09" w:rsidRDefault="00031A76" w:rsidP="00270A09">
            <w:pPr>
              <w:pStyle w:val="TSBullet1Square"/>
              <w:rPr>
                <w:rFonts w:ascii="Calibri" w:hAnsi="Calibri"/>
              </w:rPr>
            </w:pPr>
            <w:r>
              <w:rPr>
                <w:rFonts w:ascii="Calibri" w:hAnsi="Calibri"/>
              </w:rPr>
              <w:t>Details of how the proposed “reach back” option into the parent TSC organisation would work and details of the individuals available to provide any advice requested;</w:t>
            </w:r>
          </w:p>
          <w:p w14:paraId="0F14E348" w14:textId="77777777" w:rsidR="00971BA8" w:rsidRPr="00270A09" w:rsidRDefault="00270A09" w:rsidP="00270A09">
            <w:pPr>
              <w:pStyle w:val="TSBullet1Square"/>
              <w:rPr>
                <w:rFonts w:ascii="Calibri" w:hAnsi="Calibri"/>
              </w:rPr>
            </w:pPr>
            <w:r w:rsidRPr="00270A09">
              <w:rPr>
                <w:rFonts w:ascii="Calibri" w:hAnsi="Calibri"/>
              </w:rPr>
              <w:t xml:space="preserve">A statement detailing any relevant conflict of interest considerations which apply to the </w:t>
            </w:r>
            <w:r w:rsidRPr="00270A09">
              <w:rPr>
                <w:rFonts w:ascii="Calibri" w:hAnsi="Calibri"/>
              </w:rPr>
              <w:lastRenderedPageBreak/>
              <w:t>individual being proposed to undertake the required work</w:t>
            </w:r>
            <w:r w:rsidR="00971BA8" w:rsidRPr="00270A09">
              <w:rPr>
                <w:rFonts w:ascii="Calibri" w:hAnsi="Calibri"/>
              </w:rPr>
              <w:t>;</w:t>
            </w:r>
          </w:p>
          <w:p w14:paraId="2F6007F7" w14:textId="77777777" w:rsidR="00310975" w:rsidRPr="00270A09" w:rsidRDefault="00270A09" w:rsidP="00270A09">
            <w:pPr>
              <w:pStyle w:val="TSBullet1Square"/>
              <w:rPr>
                <w:rFonts w:ascii="Calibri" w:hAnsi="Calibri"/>
              </w:rPr>
            </w:pPr>
            <w:r>
              <w:rPr>
                <w:rFonts w:ascii="Calibri" w:hAnsi="Calibri"/>
              </w:rPr>
              <w:t>A</w:t>
            </w:r>
            <w:r w:rsidR="00310975" w:rsidRPr="00270A09">
              <w:rPr>
                <w:rFonts w:ascii="Calibri" w:hAnsi="Calibri"/>
              </w:rPr>
              <w:t xml:space="preserve">n overview of any prior experience with the HPR1000 design and/or undertaking similar pieces of work to that requested in this contract, for other PWRs;  </w:t>
            </w:r>
          </w:p>
          <w:p w14:paraId="121E6987" w14:textId="77777777" w:rsidR="00971BA8" w:rsidRPr="00270A09" w:rsidRDefault="00270A09" w:rsidP="00270A09">
            <w:pPr>
              <w:pStyle w:val="TSBullet1Square"/>
              <w:rPr>
                <w:rFonts w:ascii="Calibri" w:hAnsi="Calibri"/>
              </w:rPr>
            </w:pPr>
            <w:r>
              <w:rPr>
                <w:rFonts w:ascii="Calibri" w:hAnsi="Calibri"/>
              </w:rPr>
              <w:t>D</w:t>
            </w:r>
            <w:r w:rsidR="00971BA8" w:rsidRPr="00270A09">
              <w:rPr>
                <w:rFonts w:ascii="Calibri" w:hAnsi="Calibri"/>
              </w:rPr>
              <w:t>etails of proposed cost and associated effort assumptions</w:t>
            </w:r>
            <w:r w:rsidR="00B66F1D" w:rsidRPr="00270A09">
              <w:rPr>
                <w:rFonts w:ascii="Calibri" w:hAnsi="Calibri"/>
              </w:rPr>
              <w:t>;</w:t>
            </w:r>
          </w:p>
          <w:p w14:paraId="33C32115" w14:textId="77777777" w:rsidR="00971BA8" w:rsidRPr="00270A09" w:rsidRDefault="00270A09" w:rsidP="00270A09">
            <w:pPr>
              <w:pStyle w:val="TSBullet1Square"/>
              <w:rPr>
                <w:rFonts w:ascii="Calibri" w:hAnsi="Calibri"/>
              </w:rPr>
            </w:pPr>
            <w:r>
              <w:rPr>
                <w:rFonts w:ascii="Calibri" w:hAnsi="Calibri"/>
              </w:rPr>
              <w:t>A</w:t>
            </w:r>
            <w:r w:rsidR="00971BA8" w:rsidRPr="00270A09">
              <w:rPr>
                <w:rFonts w:ascii="Calibri" w:hAnsi="Calibri"/>
              </w:rPr>
              <w:t xml:space="preserve"> project delivery plan sh</w:t>
            </w:r>
            <w:r w:rsidR="00B66F1D" w:rsidRPr="00270A09">
              <w:rPr>
                <w:rFonts w:ascii="Calibri" w:hAnsi="Calibri"/>
              </w:rPr>
              <w:t>owing activities and milestones;</w:t>
            </w:r>
          </w:p>
          <w:p w14:paraId="5FD8EF94" w14:textId="77777777" w:rsidR="00971BA8" w:rsidRPr="00270A09" w:rsidRDefault="00270A09" w:rsidP="00270A09">
            <w:pPr>
              <w:pStyle w:val="TSBullet1Square"/>
              <w:rPr>
                <w:rFonts w:ascii="Calibri" w:hAnsi="Calibri"/>
              </w:rPr>
            </w:pPr>
            <w:r>
              <w:rPr>
                <w:rFonts w:ascii="Calibri" w:hAnsi="Calibri"/>
              </w:rPr>
              <w:t>A</w:t>
            </w:r>
            <w:r w:rsidR="00971BA8" w:rsidRPr="00270A09">
              <w:rPr>
                <w:rFonts w:ascii="Calibri" w:hAnsi="Calibri"/>
              </w:rPr>
              <w:t xml:space="preserve"> planned invoice schedule</w:t>
            </w:r>
            <w:r w:rsidR="00B66F1D" w:rsidRPr="00270A09">
              <w:rPr>
                <w:rFonts w:ascii="Calibri" w:hAnsi="Calibri"/>
              </w:rPr>
              <w:t>;</w:t>
            </w:r>
            <w:r w:rsidR="00632565" w:rsidRPr="00270A09">
              <w:rPr>
                <w:rFonts w:ascii="Calibri" w:hAnsi="Calibri"/>
              </w:rPr>
              <w:t xml:space="preserve"> and</w:t>
            </w:r>
          </w:p>
          <w:p w14:paraId="206BEF83" w14:textId="77777777" w:rsidR="00971BA8" w:rsidRPr="006856E3" w:rsidRDefault="00270A09" w:rsidP="00270A09">
            <w:pPr>
              <w:pStyle w:val="TSBullet1Square"/>
            </w:pPr>
            <w:r>
              <w:rPr>
                <w:rFonts w:ascii="Calibri" w:hAnsi="Calibri"/>
              </w:rPr>
              <w:t>D</w:t>
            </w:r>
            <w:r w:rsidR="00971BA8" w:rsidRPr="00270A09">
              <w:rPr>
                <w:rFonts w:ascii="Calibri" w:hAnsi="Calibri"/>
              </w:rPr>
              <w:t>etails of any assumptions or constraints</w:t>
            </w:r>
            <w:r w:rsidR="00B66F1D" w:rsidRPr="00270A09">
              <w:rPr>
                <w:rFonts w:ascii="Calibri" w:hAnsi="Calibri"/>
              </w:rPr>
              <w:t>.</w:t>
            </w:r>
          </w:p>
          <w:p w14:paraId="67D039E5" w14:textId="77777777" w:rsidR="006856E3" w:rsidRPr="006856E3" w:rsidRDefault="006856E3" w:rsidP="00E60A2E">
            <w:pPr>
              <w:pStyle w:val="TSNumberedParagraph11"/>
              <w:rPr>
                <w:rFonts w:ascii="Calibri" w:hAnsi="Calibri"/>
              </w:rPr>
            </w:pPr>
            <w:r w:rsidRPr="006856E3">
              <w:rPr>
                <w:rFonts w:ascii="Calibri" w:hAnsi="Calibri"/>
              </w:rPr>
              <w:t>Please note if you are unable to deliver ONR’s requirements in the anticipated manner, ONR is willing to consider alternative approach</w:t>
            </w:r>
            <w:r>
              <w:rPr>
                <w:rFonts w:ascii="Calibri" w:hAnsi="Calibri"/>
              </w:rPr>
              <w:t>es</w:t>
            </w:r>
            <w:r w:rsidRPr="006856E3">
              <w:rPr>
                <w:rFonts w:ascii="Calibri" w:hAnsi="Calibri"/>
              </w:rPr>
              <w:t xml:space="preserve"> propose</w:t>
            </w:r>
            <w:r>
              <w:rPr>
                <w:rFonts w:ascii="Calibri" w:hAnsi="Calibri"/>
              </w:rPr>
              <w:t xml:space="preserve">d; </w:t>
            </w:r>
            <w:r w:rsidR="00E60A2E">
              <w:rPr>
                <w:rFonts w:ascii="Calibri" w:hAnsi="Calibri"/>
              </w:rPr>
              <w:t xml:space="preserve">please provide </w:t>
            </w:r>
            <w:r w:rsidRPr="006856E3">
              <w:rPr>
                <w:rFonts w:ascii="Calibri" w:hAnsi="Calibri"/>
              </w:rPr>
              <w:t>full details (including costs).</w:t>
            </w:r>
          </w:p>
        </w:tc>
      </w:tr>
    </w:tbl>
    <w:p w14:paraId="44FE0133" w14:textId="77777777" w:rsidR="00D75DA2" w:rsidRPr="002C62C2" w:rsidRDefault="00D75DA2" w:rsidP="00457068">
      <w:pPr>
        <w:ind w:left="567" w:hanging="567"/>
        <w:rPr>
          <w:rFonts w:asciiTheme="minorHAnsi" w:hAnsiTheme="minorHAnsi" w:cstheme="minorHAnsi"/>
        </w:rPr>
      </w:pPr>
    </w:p>
    <w:sectPr w:rsidR="00D75DA2" w:rsidRPr="002C62C2" w:rsidSect="00457068">
      <w:headerReference w:type="default" r:id="rId14"/>
      <w:footerReference w:type="default" r:id="rId15"/>
      <w:headerReference w:type="first" r:id="rId16"/>
      <w:footerReference w:type="first" r:id="rId17"/>
      <w:type w:val="continuous"/>
      <w:pgSz w:w="11906" w:h="16838" w:code="9"/>
      <w:pgMar w:top="709" w:right="720" w:bottom="720" w:left="720" w:header="43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3071EA" w14:textId="77777777" w:rsidR="007E6320" w:rsidRDefault="007E6320">
      <w:r>
        <w:separator/>
      </w:r>
    </w:p>
  </w:endnote>
  <w:endnote w:type="continuationSeparator" w:id="0">
    <w:p w14:paraId="4692A5CB" w14:textId="77777777" w:rsidR="007E6320" w:rsidRDefault="007E6320">
      <w:r>
        <w:continuationSeparator/>
      </w:r>
    </w:p>
  </w:endnote>
  <w:endnote w:type="continuationNotice" w:id="1">
    <w:p w14:paraId="4DF2CAE1" w14:textId="77777777" w:rsidR="007E6320" w:rsidRDefault="007E63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37980" w14:textId="77777777" w:rsidR="00D75DA2" w:rsidRDefault="00D75DA2" w:rsidP="007D545C">
    <w:pPr>
      <w:pStyle w:val="Header"/>
      <w:jc w:val="center"/>
      <w:rPr>
        <w:b/>
        <w:color w:val="006D68"/>
        <w:sz w:val="14"/>
        <w:szCs w:val="14"/>
      </w:rPr>
    </w:pPr>
  </w:p>
  <w:p w14:paraId="7D08F2FF" w14:textId="77777777" w:rsidR="00D75DA2" w:rsidRDefault="00D75DA2" w:rsidP="00BC5FC8">
    <w:pPr>
      <w:pStyle w:val="Header"/>
      <w:jc w:val="center"/>
      <w:rPr>
        <w:b/>
        <w:color w:val="006D68"/>
        <w:sz w:val="14"/>
        <w:szCs w:val="14"/>
      </w:rPr>
    </w:pPr>
  </w:p>
  <w:p w14:paraId="5B5F161F" w14:textId="77777777" w:rsidR="00D75DA2" w:rsidRDefault="00D75DA2" w:rsidP="00BC5FC8">
    <w:pPr>
      <w:pStyle w:val="Footer"/>
      <w:tabs>
        <w:tab w:val="clear" w:pos="4153"/>
        <w:tab w:val="clear" w:pos="8306"/>
        <w:tab w:val="right" w:pos="9214"/>
      </w:tabs>
      <w:jc w:val="center"/>
      <w:rPr>
        <w:color w:val="006D68"/>
        <w:sz w:val="14"/>
        <w:szCs w:val="14"/>
      </w:rPr>
    </w:pPr>
  </w:p>
  <w:p w14:paraId="69E09C45" w14:textId="77777777" w:rsidR="00D75DA2" w:rsidRPr="00487A22" w:rsidRDefault="00D75DA2" w:rsidP="00487A22">
    <w:pPr>
      <w:pStyle w:val="Footer"/>
      <w:tabs>
        <w:tab w:val="clear" w:pos="4153"/>
        <w:tab w:val="clear" w:pos="8306"/>
        <w:tab w:val="right" w:pos="9214"/>
      </w:tabs>
      <w:rPr>
        <w:b/>
        <w:color w:val="006D68"/>
        <w:sz w:val="14"/>
        <w:szCs w:val="14"/>
      </w:rPr>
    </w:pPr>
    <w:r w:rsidRPr="00487A22">
      <w:rPr>
        <w:b/>
        <w:color w:val="006D68"/>
        <w:sz w:val="14"/>
        <w:szCs w:val="14"/>
      </w:rPr>
      <w:tab/>
      <w:t xml:space="preserve">Page </w:t>
    </w:r>
    <w:r w:rsidRPr="00487A22">
      <w:rPr>
        <w:b/>
        <w:color w:val="006D68"/>
        <w:sz w:val="14"/>
        <w:szCs w:val="14"/>
      </w:rPr>
      <w:fldChar w:fldCharType="begin"/>
    </w:r>
    <w:r w:rsidRPr="00487A22">
      <w:rPr>
        <w:b/>
        <w:color w:val="006D68"/>
        <w:sz w:val="14"/>
        <w:szCs w:val="14"/>
      </w:rPr>
      <w:instrText xml:space="preserve"> PAGE </w:instrText>
    </w:r>
    <w:r w:rsidRPr="00487A22">
      <w:rPr>
        <w:b/>
        <w:color w:val="006D68"/>
        <w:sz w:val="14"/>
        <w:szCs w:val="14"/>
      </w:rPr>
      <w:fldChar w:fldCharType="separate"/>
    </w:r>
    <w:r w:rsidR="00877652">
      <w:rPr>
        <w:b/>
        <w:noProof/>
        <w:color w:val="006D68"/>
        <w:sz w:val="14"/>
        <w:szCs w:val="14"/>
      </w:rPr>
      <w:t>2</w:t>
    </w:r>
    <w:r w:rsidRPr="00487A22">
      <w:rPr>
        <w:b/>
        <w:color w:val="006D68"/>
        <w:sz w:val="14"/>
        <w:szCs w:val="14"/>
      </w:rPr>
      <w:fldChar w:fldCharType="end"/>
    </w:r>
    <w:r w:rsidRPr="00487A22">
      <w:rPr>
        <w:b/>
        <w:color w:val="006D68"/>
        <w:sz w:val="14"/>
        <w:szCs w:val="14"/>
      </w:rPr>
      <w:t xml:space="preserve"> of </w:t>
    </w:r>
    <w:r w:rsidRPr="00487A22">
      <w:rPr>
        <w:b/>
        <w:color w:val="006D68"/>
        <w:sz w:val="14"/>
        <w:szCs w:val="14"/>
      </w:rPr>
      <w:fldChar w:fldCharType="begin"/>
    </w:r>
    <w:r w:rsidRPr="00487A22">
      <w:rPr>
        <w:b/>
        <w:color w:val="006D68"/>
        <w:sz w:val="14"/>
        <w:szCs w:val="14"/>
      </w:rPr>
      <w:instrText xml:space="preserve"> NUMPAGES </w:instrText>
    </w:r>
    <w:r w:rsidRPr="00487A22">
      <w:rPr>
        <w:b/>
        <w:color w:val="006D68"/>
        <w:sz w:val="14"/>
        <w:szCs w:val="14"/>
      </w:rPr>
      <w:fldChar w:fldCharType="separate"/>
    </w:r>
    <w:r w:rsidR="00877652">
      <w:rPr>
        <w:b/>
        <w:noProof/>
        <w:color w:val="006D68"/>
        <w:sz w:val="14"/>
        <w:szCs w:val="14"/>
      </w:rPr>
      <w:t>7</w:t>
    </w:r>
    <w:r w:rsidRPr="00487A22">
      <w:rPr>
        <w:b/>
        <w:color w:val="006D68"/>
        <w:sz w:val="14"/>
        <w:szCs w:val="1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17FE9" w14:textId="77777777" w:rsidR="00D75DA2" w:rsidRDefault="00D75DA2" w:rsidP="001D637F">
    <w:pPr>
      <w:pStyle w:val="Header"/>
      <w:rPr>
        <w:b/>
        <w:color w:val="006D68"/>
        <w:sz w:val="14"/>
        <w:szCs w:val="14"/>
      </w:rPr>
    </w:pPr>
  </w:p>
  <w:p w14:paraId="6EB4E070" w14:textId="77777777" w:rsidR="00D75DA2" w:rsidRDefault="00D75DA2" w:rsidP="00BC5FC8">
    <w:pPr>
      <w:pStyle w:val="Header"/>
      <w:jc w:val="center"/>
      <w:rPr>
        <w:b/>
        <w:color w:val="006D68"/>
        <w:sz w:val="14"/>
        <w:szCs w:val="14"/>
      </w:rPr>
    </w:pPr>
  </w:p>
  <w:p w14:paraId="2C131DE0" w14:textId="77777777" w:rsidR="00D75DA2" w:rsidRDefault="00D75DA2" w:rsidP="00BC5FC8">
    <w:pPr>
      <w:pStyle w:val="Footer"/>
      <w:tabs>
        <w:tab w:val="clear" w:pos="4153"/>
        <w:tab w:val="clear" w:pos="8306"/>
        <w:tab w:val="right" w:pos="9214"/>
      </w:tabs>
      <w:jc w:val="center"/>
      <w:rPr>
        <w:color w:val="006D68"/>
        <w:sz w:val="14"/>
        <w:szCs w:val="14"/>
      </w:rPr>
    </w:pPr>
  </w:p>
  <w:p w14:paraId="746DF782" w14:textId="77777777" w:rsidR="00D75DA2" w:rsidRPr="00B56CCE" w:rsidRDefault="00A25EB0" w:rsidP="00B56CCE">
    <w:pPr>
      <w:pStyle w:val="Footer"/>
      <w:tabs>
        <w:tab w:val="clear" w:pos="4153"/>
        <w:tab w:val="clear" w:pos="8306"/>
        <w:tab w:val="right" w:pos="9214"/>
      </w:tabs>
      <w:rPr>
        <w:b/>
        <w:color w:val="006D68"/>
        <w:sz w:val="14"/>
        <w:szCs w:val="14"/>
      </w:rPr>
    </w:pPr>
    <w:r>
      <w:rPr>
        <w:color w:val="006D68"/>
        <w:sz w:val="14"/>
        <w:szCs w:val="14"/>
      </w:rPr>
      <w:t>Template Ref:</w:t>
    </w:r>
    <w:r w:rsidR="00D75DA2" w:rsidRPr="00B56CCE">
      <w:rPr>
        <w:color w:val="006D68"/>
        <w:sz w:val="14"/>
        <w:szCs w:val="14"/>
      </w:rPr>
      <w:tab/>
    </w:r>
    <w:r w:rsidR="00D75DA2" w:rsidRPr="00B56CCE">
      <w:rPr>
        <w:b/>
        <w:color w:val="006D68"/>
        <w:sz w:val="14"/>
        <w:szCs w:val="14"/>
      </w:rPr>
      <w:t xml:space="preserve">Page </w:t>
    </w:r>
    <w:r w:rsidR="00D75DA2" w:rsidRPr="00B56CCE">
      <w:rPr>
        <w:b/>
        <w:color w:val="006D68"/>
        <w:sz w:val="14"/>
        <w:szCs w:val="14"/>
      </w:rPr>
      <w:fldChar w:fldCharType="begin"/>
    </w:r>
    <w:r w:rsidR="00D75DA2" w:rsidRPr="00B56CCE">
      <w:rPr>
        <w:b/>
        <w:color w:val="006D68"/>
        <w:sz w:val="14"/>
        <w:szCs w:val="14"/>
      </w:rPr>
      <w:instrText xml:space="preserve"> PAGE </w:instrText>
    </w:r>
    <w:r w:rsidR="00D75DA2" w:rsidRPr="00B56CCE">
      <w:rPr>
        <w:b/>
        <w:color w:val="006D68"/>
        <w:sz w:val="14"/>
        <w:szCs w:val="14"/>
      </w:rPr>
      <w:fldChar w:fldCharType="separate"/>
    </w:r>
    <w:r w:rsidR="00877652">
      <w:rPr>
        <w:b/>
        <w:noProof/>
        <w:color w:val="006D68"/>
        <w:sz w:val="14"/>
        <w:szCs w:val="14"/>
      </w:rPr>
      <w:t>1</w:t>
    </w:r>
    <w:r w:rsidR="00D75DA2" w:rsidRPr="00B56CCE">
      <w:rPr>
        <w:b/>
        <w:color w:val="006D68"/>
        <w:sz w:val="14"/>
        <w:szCs w:val="14"/>
      </w:rPr>
      <w:fldChar w:fldCharType="end"/>
    </w:r>
    <w:r w:rsidR="00D75DA2" w:rsidRPr="00B56CCE">
      <w:rPr>
        <w:b/>
        <w:color w:val="006D68"/>
        <w:sz w:val="14"/>
        <w:szCs w:val="14"/>
      </w:rPr>
      <w:t xml:space="preserve"> of </w:t>
    </w:r>
    <w:r w:rsidR="00D75DA2" w:rsidRPr="00B56CCE">
      <w:rPr>
        <w:b/>
        <w:color w:val="006D68"/>
        <w:sz w:val="14"/>
        <w:szCs w:val="14"/>
      </w:rPr>
      <w:fldChar w:fldCharType="begin"/>
    </w:r>
    <w:r w:rsidR="00D75DA2" w:rsidRPr="00B56CCE">
      <w:rPr>
        <w:b/>
        <w:color w:val="006D68"/>
        <w:sz w:val="14"/>
        <w:szCs w:val="14"/>
      </w:rPr>
      <w:instrText xml:space="preserve"> NUMPAGES </w:instrText>
    </w:r>
    <w:r w:rsidR="00D75DA2" w:rsidRPr="00B56CCE">
      <w:rPr>
        <w:b/>
        <w:color w:val="006D68"/>
        <w:sz w:val="14"/>
        <w:szCs w:val="14"/>
      </w:rPr>
      <w:fldChar w:fldCharType="separate"/>
    </w:r>
    <w:r w:rsidR="00877652">
      <w:rPr>
        <w:b/>
        <w:noProof/>
        <w:color w:val="006D68"/>
        <w:sz w:val="14"/>
        <w:szCs w:val="14"/>
      </w:rPr>
      <w:t>7</w:t>
    </w:r>
    <w:r w:rsidR="00D75DA2" w:rsidRPr="00B56CCE">
      <w:rPr>
        <w:b/>
        <w:color w:val="006D68"/>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7507F7" w14:textId="77777777" w:rsidR="007E6320" w:rsidRDefault="007E6320">
      <w:r>
        <w:separator/>
      </w:r>
    </w:p>
  </w:footnote>
  <w:footnote w:type="continuationSeparator" w:id="0">
    <w:p w14:paraId="0F4FE66D" w14:textId="77777777" w:rsidR="007E6320" w:rsidRDefault="007E6320">
      <w:r>
        <w:continuationSeparator/>
      </w:r>
    </w:p>
  </w:footnote>
  <w:footnote w:type="continuationNotice" w:id="1">
    <w:p w14:paraId="03DF80F5" w14:textId="77777777" w:rsidR="007E6320" w:rsidRDefault="007E63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0DC30" w14:textId="77777777" w:rsidR="00D75DA2" w:rsidRDefault="00A25EB0">
    <w:pPr>
      <w:pStyle w:val="Header"/>
      <w:rPr>
        <w:b/>
        <w:color w:val="006D68"/>
        <w:sz w:val="14"/>
        <w:szCs w:val="14"/>
      </w:rPr>
    </w:pPr>
    <w:r w:rsidRPr="00487A22">
      <w:rPr>
        <w:color w:val="006D68"/>
        <w:sz w:val="14"/>
        <w:szCs w:val="14"/>
      </w:rPr>
      <w:t>Office for Nuclear Regulation</w:t>
    </w:r>
  </w:p>
  <w:p w14:paraId="6D8C1565" w14:textId="77777777" w:rsidR="00D75DA2" w:rsidRDefault="00D75DA2">
    <w:pPr>
      <w:pStyle w:val="Header"/>
      <w:rPr>
        <w:b/>
        <w:color w:val="006D68"/>
        <w:sz w:val="14"/>
        <w:szCs w:val="14"/>
      </w:rPr>
    </w:pPr>
  </w:p>
  <w:p w14:paraId="321DBC7A" w14:textId="77777777" w:rsidR="00D75DA2" w:rsidRDefault="00D75DA2" w:rsidP="007D545C">
    <w:pPr>
      <w:pStyle w:val="Header"/>
      <w:jc w:val="center"/>
      <w:rPr>
        <w:b/>
        <w:color w:val="006D68"/>
        <w:sz w:val="14"/>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450ACE" w14:textId="77777777" w:rsidR="00457068" w:rsidRDefault="00457068" w:rsidP="00457068">
    <w:pPr>
      <w:pStyle w:val="Header"/>
      <w:rPr>
        <w:b/>
        <w:sz w:val="20"/>
        <w:szCs w:val="20"/>
      </w:rPr>
    </w:pPr>
    <w:r>
      <w:rPr>
        <w:b/>
        <w:noProof/>
        <w:sz w:val="20"/>
        <w:szCs w:val="20"/>
        <w:lang w:eastAsia="en-GB"/>
      </w:rPr>
      <w:drawing>
        <wp:inline distT="0" distB="0" distL="0" distR="0" wp14:anchorId="20FC5DD3" wp14:editId="0CA82339">
          <wp:extent cx="2578735" cy="878205"/>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8735" cy="878205"/>
                  </a:xfrm>
                  <a:prstGeom prst="rect">
                    <a:avLst/>
                  </a:prstGeom>
                  <a:noFill/>
                </pic:spPr>
              </pic:pic>
            </a:graphicData>
          </a:graphic>
        </wp:inline>
      </w:drawing>
    </w:r>
  </w:p>
  <w:p w14:paraId="79BC5175" w14:textId="30AB8DAB" w:rsidR="00A25EB0" w:rsidRPr="00C754D7" w:rsidRDefault="00AF4C0F" w:rsidP="00457068">
    <w:pPr>
      <w:pStyle w:val="Header"/>
      <w:jc w:val="right"/>
      <w:rPr>
        <w:b/>
        <w:sz w:val="20"/>
        <w:szCs w:val="20"/>
      </w:rPr>
    </w:pPr>
    <w:r>
      <w:rPr>
        <w:b/>
        <w:sz w:val="20"/>
        <w:szCs w:val="20"/>
      </w:rPr>
      <w:t>ONR</w:t>
    </w:r>
    <w:r w:rsidR="00457068">
      <w:rPr>
        <w:b/>
        <w:sz w:val="20"/>
        <w:szCs w:val="20"/>
      </w:rPr>
      <w:t xml:space="preserve"> Ref:</w:t>
    </w:r>
    <w:r w:rsidR="00445DFA">
      <w:rPr>
        <w:b/>
        <w:sz w:val="20"/>
        <w:szCs w:val="20"/>
      </w:rPr>
      <w:t xml:space="preserve"> ONR632</w:t>
    </w:r>
  </w:p>
  <w:p w14:paraId="488DE06D" w14:textId="77777777" w:rsidR="00D75DA2" w:rsidRPr="00D55197" w:rsidRDefault="00D75DA2" w:rsidP="00CA3B14">
    <w:pPr>
      <w:pStyle w:val="Header"/>
      <w:jc w:val="center"/>
      <w:rPr>
        <w:b/>
        <w:color w:val="006D68"/>
        <w:sz w:val="14"/>
        <w:szCs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54A5"/>
    <w:multiLevelType w:val="hybridMultilevel"/>
    <w:tmpl w:val="ECCA9B40"/>
    <w:lvl w:ilvl="0" w:tplc="DD7C743A">
      <w:start w:val="1"/>
      <w:numFmt w:val="lowerLetter"/>
      <w:lvlText w:val="%1)"/>
      <w:lvlJc w:val="left"/>
      <w:pPr>
        <w:tabs>
          <w:tab w:val="num" w:pos="1152"/>
        </w:tabs>
        <w:ind w:left="1152" w:hanging="432"/>
      </w:pPr>
      <w:rPr>
        <w:rFonts w:ascii="Arial" w:hAnsi="Arial" w:hint="default"/>
        <w:sz w:val="24"/>
      </w:rPr>
    </w:lvl>
    <w:lvl w:ilvl="1" w:tplc="559489D2" w:tentative="1">
      <w:start w:val="1"/>
      <w:numFmt w:val="lowerLetter"/>
      <w:lvlText w:val="%2."/>
      <w:lvlJc w:val="left"/>
      <w:pPr>
        <w:tabs>
          <w:tab w:val="num" w:pos="1152"/>
        </w:tabs>
        <w:ind w:left="1152" w:hanging="360"/>
      </w:pPr>
    </w:lvl>
    <w:lvl w:ilvl="2" w:tplc="E144676C" w:tentative="1">
      <w:start w:val="1"/>
      <w:numFmt w:val="lowerRoman"/>
      <w:lvlText w:val="%3."/>
      <w:lvlJc w:val="right"/>
      <w:pPr>
        <w:tabs>
          <w:tab w:val="num" w:pos="1872"/>
        </w:tabs>
        <w:ind w:left="1872" w:hanging="180"/>
      </w:pPr>
    </w:lvl>
    <w:lvl w:ilvl="3" w:tplc="2BE8A7E2" w:tentative="1">
      <w:start w:val="1"/>
      <w:numFmt w:val="decimal"/>
      <w:lvlText w:val="%4."/>
      <w:lvlJc w:val="left"/>
      <w:pPr>
        <w:tabs>
          <w:tab w:val="num" w:pos="2592"/>
        </w:tabs>
        <w:ind w:left="2592" w:hanging="360"/>
      </w:pPr>
    </w:lvl>
    <w:lvl w:ilvl="4" w:tplc="03E8242E" w:tentative="1">
      <w:start w:val="1"/>
      <w:numFmt w:val="lowerLetter"/>
      <w:lvlText w:val="%5."/>
      <w:lvlJc w:val="left"/>
      <w:pPr>
        <w:tabs>
          <w:tab w:val="num" w:pos="3312"/>
        </w:tabs>
        <w:ind w:left="3312" w:hanging="360"/>
      </w:pPr>
    </w:lvl>
    <w:lvl w:ilvl="5" w:tplc="58042C86" w:tentative="1">
      <w:start w:val="1"/>
      <w:numFmt w:val="lowerRoman"/>
      <w:lvlText w:val="%6."/>
      <w:lvlJc w:val="right"/>
      <w:pPr>
        <w:tabs>
          <w:tab w:val="num" w:pos="4032"/>
        </w:tabs>
        <w:ind w:left="4032" w:hanging="180"/>
      </w:pPr>
    </w:lvl>
    <w:lvl w:ilvl="6" w:tplc="95F42686" w:tentative="1">
      <w:start w:val="1"/>
      <w:numFmt w:val="decimal"/>
      <w:lvlText w:val="%7."/>
      <w:lvlJc w:val="left"/>
      <w:pPr>
        <w:tabs>
          <w:tab w:val="num" w:pos="4752"/>
        </w:tabs>
        <w:ind w:left="4752" w:hanging="360"/>
      </w:pPr>
    </w:lvl>
    <w:lvl w:ilvl="7" w:tplc="32CAC66C" w:tentative="1">
      <w:start w:val="1"/>
      <w:numFmt w:val="lowerLetter"/>
      <w:lvlText w:val="%8."/>
      <w:lvlJc w:val="left"/>
      <w:pPr>
        <w:tabs>
          <w:tab w:val="num" w:pos="5472"/>
        </w:tabs>
        <w:ind w:left="5472" w:hanging="360"/>
      </w:pPr>
    </w:lvl>
    <w:lvl w:ilvl="8" w:tplc="AC34CEE0" w:tentative="1">
      <w:start w:val="1"/>
      <w:numFmt w:val="lowerRoman"/>
      <w:lvlText w:val="%9."/>
      <w:lvlJc w:val="right"/>
      <w:pPr>
        <w:tabs>
          <w:tab w:val="num" w:pos="6192"/>
        </w:tabs>
        <w:ind w:left="6192" w:hanging="180"/>
      </w:pPr>
    </w:lvl>
  </w:abstractNum>
  <w:abstractNum w:abstractNumId="1" w15:restartNumberingAfterBreak="0">
    <w:nsid w:val="056E78D7"/>
    <w:multiLevelType w:val="multilevel"/>
    <w:tmpl w:val="F4BC67E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86A013E"/>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5F16A6"/>
    <w:multiLevelType w:val="hybridMultilevel"/>
    <w:tmpl w:val="14B02696"/>
    <w:lvl w:ilvl="0" w:tplc="08090001">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4" w15:restartNumberingAfterBreak="0">
    <w:nsid w:val="17677240"/>
    <w:multiLevelType w:val="hybridMultilevel"/>
    <w:tmpl w:val="FE5CBBA8"/>
    <w:lvl w:ilvl="0" w:tplc="FFFFFFFF">
      <w:start w:val="1"/>
      <w:numFmt w:val="bullet"/>
      <w:lvlText w:val=""/>
      <w:lvlJc w:val="left"/>
      <w:pPr>
        <w:ind w:left="1080"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C342905"/>
    <w:multiLevelType w:val="hybridMultilevel"/>
    <w:tmpl w:val="C37E6E16"/>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F22F6"/>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866945"/>
    <w:multiLevelType w:val="hybridMultilevel"/>
    <w:tmpl w:val="21B8E1B4"/>
    <w:lvl w:ilvl="0" w:tplc="9710B646">
      <w:start w:val="1"/>
      <w:numFmt w:val="bullet"/>
      <w:pStyle w:val="TSBullet2Circle"/>
      <w:lvlText w:val=""/>
      <w:lvlJc w:val="left"/>
      <w:pPr>
        <w:tabs>
          <w:tab w:val="num" w:pos="-31680"/>
        </w:tabs>
        <w:ind w:left="2160" w:hanging="720"/>
      </w:pPr>
      <w:rPr>
        <w:rFonts w:ascii="Symbol" w:hAnsi="Symbol" w:hint="default"/>
        <w:b w:val="0"/>
        <w:i w:val="0"/>
        <w:color w:val="333333"/>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8D0730"/>
    <w:multiLevelType w:val="multilevel"/>
    <w:tmpl w:val="03CAB566"/>
    <w:lvl w:ilvl="0">
      <w:start w:val="1"/>
      <w:numFmt w:val="bullet"/>
      <w:lvlText w:val=""/>
      <w:lvlJc w:val="left"/>
      <w:pPr>
        <w:tabs>
          <w:tab w:val="num" w:pos="-31680"/>
        </w:tabs>
        <w:ind w:left="720" w:hanging="720"/>
      </w:pPr>
      <w:rPr>
        <w:rFonts w:ascii="Symbol" w:hAnsi="Symbol" w:hint="default"/>
        <w:b w:val="0"/>
        <w:i w:val="0"/>
        <w:sz w:val="24"/>
      </w:rPr>
    </w:lvl>
    <w:lvl w:ilvl="1">
      <w:start w:val="1"/>
      <w:numFmt w:val="bullet"/>
      <w:lvlText w:val="○"/>
      <w:lvlJc w:val="left"/>
      <w:pPr>
        <w:tabs>
          <w:tab w:val="num" w:pos="-31680"/>
        </w:tabs>
        <w:ind w:left="1440" w:hanging="720"/>
      </w:pPr>
      <w:rPr>
        <w:rFonts w:ascii="Arial" w:hAnsi="Arial"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lowerLetter"/>
      <w:lvlRestart w:val="0"/>
      <w:lvlText w:val="%5)"/>
      <w:lvlJc w:val="left"/>
      <w:pPr>
        <w:tabs>
          <w:tab w:val="num" w:pos="1800"/>
        </w:tabs>
        <w:ind w:left="1800" w:hanging="720"/>
      </w:pPr>
      <w:rPr>
        <w:rFonts w:hint="default"/>
      </w:rPr>
    </w:lvl>
    <w:lvl w:ilvl="5">
      <w:start w:val="1"/>
      <w:numFmt w:val="lowerRoman"/>
      <w:lvlText w:val="%6)"/>
      <w:lvlJc w:val="left"/>
      <w:pPr>
        <w:tabs>
          <w:tab w:val="num" w:pos="2401"/>
        </w:tabs>
        <w:ind w:left="2401" w:hanging="601"/>
      </w:pPr>
      <w:rPr>
        <w:rFonts w:hint="default"/>
      </w:rPr>
    </w:lvl>
    <w:lvl w:ilvl="6">
      <w:start w:val="1"/>
      <w:numFmt w:val="bullet"/>
      <w:lvlText w:val=""/>
      <w:lvlJc w:val="left"/>
      <w:pPr>
        <w:tabs>
          <w:tab w:val="num" w:pos="360"/>
        </w:tabs>
        <w:ind w:left="1080" w:hanging="720"/>
      </w:pPr>
      <w:rPr>
        <w:rFonts w:ascii="Symbol" w:hAnsi="Symbol" w:hint="default"/>
        <w:sz w:val="24"/>
      </w:rPr>
    </w:lvl>
    <w:lvl w:ilvl="7">
      <w:start w:val="1"/>
      <w:numFmt w:val="bullet"/>
      <w:lvlText w:val=""/>
      <w:lvlJc w:val="left"/>
      <w:pPr>
        <w:tabs>
          <w:tab w:val="num" w:pos="1800"/>
        </w:tabs>
        <w:ind w:left="1800" w:hanging="720"/>
      </w:pPr>
      <w:rPr>
        <w:rFonts w:ascii="Symbol" w:hAnsi="Symbol" w:hint="default"/>
        <w:sz w:val="28"/>
      </w:rPr>
    </w:lvl>
    <w:lvl w:ilvl="8">
      <w:start w:val="1"/>
      <w:numFmt w:val="bullet"/>
      <w:lvlText w:val=""/>
      <w:lvlJc w:val="left"/>
      <w:pPr>
        <w:tabs>
          <w:tab w:val="num" w:pos="2401"/>
        </w:tabs>
        <w:ind w:left="2401" w:hanging="601"/>
      </w:pPr>
      <w:rPr>
        <w:rFonts w:ascii="Symbol" w:hAnsi="Symbol" w:hint="default"/>
        <w:sz w:val="28"/>
      </w:rPr>
    </w:lvl>
  </w:abstractNum>
  <w:abstractNum w:abstractNumId="9" w15:restartNumberingAfterBreak="0">
    <w:nsid w:val="29706A39"/>
    <w:multiLevelType w:val="multilevel"/>
    <w:tmpl w:val="0324BDEE"/>
    <w:lvl w:ilvl="0">
      <w:start w:val="1"/>
      <w:numFmt w:val="decimal"/>
      <w:pStyle w:val="TSHeadingNumbered1"/>
      <w:lvlText w:val="%1"/>
      <w:lvlJc w:val="left"/>
      <w:pPr>
        <w:tabs>
          <w:tab w:val="num" w:pos="-31538"/>
        </w:tabs>
        <w:ind w:left="862" w:hanging="720"/>
      </w:pPr>
      <w:rPr>
        <w:rFonts w:hint="default"/>
        <w:sz w:val="22"/>
      </w:rPr>
    </w:lvl>
    <w:lvl w:ilvl="1">
      <w:start w:val="1"/>
      <w:numFmt w:val="decimal"/>
      <w:pStyle w:val="TSHeadingNumbered11"/>
      <w:lvlText w:val="%1.%2"/>
      <w:lvlJc w:val="left"/>
      <w:pPr>
        <w:tabs>
          <w:tab w:val="num" w:pos="-31680"/>
        </w:tabs>
        <w:ind w:left="720" w:hanging="720"/>
      </w:pPr>
      <w:rPr>
        <w:rFonts w:asciiTheme="minorHAnsi" w:hAnsiTheme="minorHAnsi" w:cstheme="minorHAnsi" w:hint="default"/>
        <w:sz w:val="22"/>
      </w:rPr>
    </w:lvl>
    <w:lvl w:ilvl="2">
      <w:start w:val="1"/>
      <w:numFmt w:val="decimal"/>
      <w:pStyle w:val="TSHeadingNumbered111"/>
      <w:lvlText w:val="%1.%2.%3"/>
      <w:lvlJc w:val="left"/>
      <w:pPr>
        <w:tabs>
          <w:tab w:val="num" w:pos="-31680"/>
        </w:tabs>
        <w:ind w:left="720" w:hanging="720"/>
      </w:pPr>
      <w:rPr>
        <w:rFonts w:hint="default"/>
        <w:sz w:val="22"/>
      </w:rPr>
    </w:lvl>
    <w:lvl w:ilvl="3">
      <w:start w:val="1"/>
      <w:numFmt w:val="decimal"/>
      <w:pStyle w:val="TSHeadingNumbered1111"/>
      <w:lvlText w:val="%1.%2.%3.%4"/>
      <w:lvlJc w:val="left"/>
      <w:pPr>
        <w:tabs>
          <w:tab w:val="num" w:pos="-31680"/>
        </w:tabs>
        <w:ind w:left="720" w:hanging="720"/>
      </w:pPr>
      <w:rPr>
        <w:rFonts w:hint="default"/>
        <w:sz w:val="22"/>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2D804B34"/>
    <w:multiLevelType w:val="multilevel"/>
    <w:tmpl w:val="B63A514C"/>
    <w:lvl w:ilvl="0">
      <w:start w:val="1"/>
      <w:numFmt w:val="bullet"/>
      <w:lvlText w:val=""/>
      <w:lvlJc w:val="left"/>
      <w:pPr>
        <w:tabs>
          <w:tab w:val="num" w:pos="924"/>
        </w:tabs>
        <w:ind w:left="924" w:hanging="357"/>
      </w:pPr>
      <w:rPr>
        <w:rFonts w:ascii="Wingdings" w:hAnsi="Wingdings" w:hint="default"/>
        <w:caps w:val="0"/>
        <w:strike w:val="0"/>
        <w:dstrike w:val="0"/>
        <w:vanish w:val="0"/>
        <w:color w:val="5F5F5F"/>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607"/>
        </w:tabs>
        <w:ind w:left="1474" w:hanging="227"/>
      </w:pPr>
      <w:rPr>
        <w:rFonts w:ascii="Symbol" w:hAnsi="Symbol" w:hint="default"/>
      </w:rPr>
    </w:lvl>
    <w:lvl w:ilvl="2">
      <w:start w:val="1"/>
      <w:numFmt w:val="lowerRoman"/>
      <w:lvlText w:val="%3)"/>
      <w:lvlJc w:val="left"/>
      <w:pPr>
        <w:tabs>
          <w:tab w:val="num" w:pos="1647"/>
        </w:tabs>
        <w:ind w:left="1647" w:hanging="360"/>
      </w:pPr>
      <w:rPr>
        <w:rFonts w:hint="default"/>
      </w:rPr>
    </w:lvl>
    <w:lvl w:ilvl="3">
      <w:start w:val="1"/>
      <w:numFmt w:val="decimal"/>
      <w:lvlText w:val="(%4)"/>
      <w:lvlJc w:val="left"/>
      <w:pPr>
        <w:tabs>
          <w:tab w:val="num" w:pos="2007"/>
        </w:tabs>
        <w:ind w:left="2007" w:hanging="360"/>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1" w15:restartNumberingAfterBreak="0">
    <w:nsid w:val="326E5F7C"/>
    <w:multiLevelType w:val="multilevel"/>
    <w:tmpl w:val="23BC3426"/>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31680"/>
        </w:tabs>
        <w:ind w:left="720" w:hanging="720"/>
      </w:pPr>
      <w:rPr>
        <w:rFonts w:hint="default"/>
      </w:rPr>
    </w:lvl>
    <w:lvl w:ilvl="2">
      <w:start w:val="1"/>
      <w:numFmt w:val="decimal"/>
      <w:lvlText w:val="%1.%2.%3"/>
      <w:lvlJc w:val="left"/>
      <w:pPr>
        <w:tabs>
          <w:tab w:val="num" w:pos="-31680"/>
        </w:tabs>
        <w:ind w:left="720" w:hanging="720"/>
      </w:pPr>
      <w:rPr>
        <w:rFonts w:hint="default"/>
      </w:rPr>
    </w:lvl>
    <w:lvl w:ilvl="3">
      <w:start w:val="1"/>
      <w:numFmt w:val="decimal"/>
      <w:lvlText w:val="%1.%2.%3.%4"/>
      <w:lvlJc w:val="left"/>
      <w:pPr>
        <w:tabs>
          <w:tab w:val="num" w:pos="-31680"/>
        </w:tabs>
        <w:ind w:left="720" w:hanging="720"/>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35971C1C"/>
    <w:multiLevelType w:val="hybridMultilevel"/>
    <w:tmpl w:val="42F8B4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7AE5F86"/>
    <w:multiLevelType w:val="hybridMultilevel"/>
    <w:tmpl w:val="BE869862"/>
    <w:lvl w:ilvl="0" w:tplc="0CA46EF4">
      <w:start w:val="1"/>
      <w:numFmt w:val="lowerRoman"/>
      <w:lvlText w:val="%1)"/>
      <w:lvlJc w:val="right"/>
      <w:pPr>
        <w:tabs>
          <w:tab w:val="num" w:pos="1656"/>
        </w:tabs>
        <w:ind w:left="1656" w:hanging="360"/>
      </w:pPr>
      <w:rPr>
        <w:rFonts w:ascii="Arial" w:hAnsi="Arial" w:hint="default"/>
        <w:b w:val="0"/>
        <w:i w:val="0"/>
        <w:sz w:val="24"/>
      </w:rPr>
    </w:lvl>
    <w:lvl w:ilvl="1" w:tplc="284EAE58" w:tentative="1">
      <w:start w:val="1"/>
      <w:numFmt w:val="lowerLetter"/>
      <w:lvlText w:val="%2."/>
      <w:lvlJc w:val="left"/>
      <w:pPr>
        <w:tabs>
          <w:tab w:val="num" w:pos="1440"/>
        </w:tabs>
        <w:ind w:left="1440" w:hanging="360"/>
      </w:pPr>
    </w:lvl>
    <w:lvl w:ilvl="2" w:tplc="EC5C3B40" w:tentative="1">
      <w:start w:val="1"/>
      <w:numFmt w:val="lowerRoman"/>
      <w:lvlText w:val="%3."/>
      <w:lvlJc w:val="right"/>
      <w:pPr>
        <w:tabs>
          <w:tab w:val="num" w:pos="2160"/>
        </w:tabs>
        <w:ind w:left="2160" w:hanging="180"/>
      </w:pPr>
    </w:lvl>
    <w:lvl w:ilvl="3" w:tplc="7A8A8FBC" w:tentative="1">
      <w:start w:val="1"/>
      <w:numFmt w:val="decimal"/>
      <w:lvlText w:val="%4."/>
      <w:lvlJc w:val="left"/>
      <w:pPr>
        <w:tabs>
          <w:tab w:val="num" w:pos="2880"/>
        </w:tabs>
        <w:ind w:left="2880" w:hanging="360"/>
      </w:pPr>
    </w:lvl>
    <w:lvl w:ilvl="4" w:tplc="C2D88370" w:tentative="1">
      <w:start w:val="1"/>
      <w:numFmt w:val="lowerLetter"/>
      <w:lvlText w:val="%5."/>
      <w:lvlJc w:val="left"/>
      <w:pPr>
        <w:tabs>
          <w:tab w:val="num" w:pos="3600"/>
        </w:tabs>
        <w:ind w:left="3600" w:hanging="360"/>
      </w:pPr>
    </w:lvl>
    <w:lvl w:ilvl="5" w:tplc="E3AE4C10" w:tentative="1">
      <w:start w:val="1"/>
      <w:numFmt w:val="lowerRoman"/>
      <w:lvlText w:val="%6."/>
      <w:lvlJc w:val="right"/>
      <w:pPr>
        <w:tabs>
          <w:tab w:val="num" w:pos="4320"/>
        </w:tabs>
        <w:ind w:left="4320" w:hanging="180"/>
      </w:pPr>
    </w:lvl>
    <w:lvl w:ilvl="6" w:tplc="61C8B400" w:tentative="1">
      <w:start w:val="1"/>
      <w:numFmt w:val="decimal"/>
      <w:lvlText w:val="%7."/>
      <w:lvlJc w:val="left"/>
      <w:pPr>
        <w:tabs>
          <w:tab w:val="num" w:pos="5040"/>
        </w:tabs>
        <w:ind w:left="5040" w:hanging="360"/>
      </w:pPr>
    </w:lvl>
    <w:lvl w:ilvl="7" w:tplc="03E00AF4" w:tentative="1">
      <w:start w:val="1"/>
      <w:numFmt w:val="lowerLetter"/>
      <w:lvlText w:val="%8."/>
      <w:lvlJc w:val="left"/>
      <w:pPr>
        <w:tabs>
          <w:tab w:val="num" w:pos="5760"/>
        </w:tabs>
        <w:ind w:left="5760" w:hanging="360"/>
      </w:pPr>
    </w:lvl>
    <w:lvl w:ilvl="8" w:tplc="71507626" w:tentative="1">
      <w:start w:val="1"/>
      <w:numFmt w:val="lowerRoman"/>
      <w:lvlText w:val="%9."/>
      <w:lvlJc w:val="right"/>
      <w:pPr>
        <w:tabs>
          <w:tab w:val="num" w:pos="6480"/>
        </w:tabs>
        <w:ind w:left="6480" w:hanging="180"/>
      </w:pPr>
    </w:lvl>
  </w:abstractNum>
  <w:abstractNum w:abstractNumId="14" w15:restartNumberingAfterBreak="0">
    <w:nsid w:val="38CF09A6"/>
    <w:multiLevelType w:val="hybridMultilevel"/>
    <w:tmpl w:val="A034732C"/>
    <w:lvl w:ilvl="0" w:tplc="2306F78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A131EFE"/>
    <w:multiLevelType w:val="multilevel"/>
    <w:tmpl w:val="1298B75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Text w:val="(%5)"/>
      <w:lvlJc w:val="left"/>
      <w:pPr>
        <w:tabs>
          <w:tab w:val="num" w:pos="-31680"/>
        </w:tabs>
        <w:ind w:left="1440" w:hanging="720"/>
      </w:pPr>
      <w:rPr>
        <w:rFonts w:hint="default"/>
      </w:rPr>
    </w:lvl>
    <w:lvl w:ilvl="5">
      <w:start w:val="1"/>
      <w:numFmt w:val="lowerRoman"/>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16" w15:restartNumberingAfterBreak="0">
    <w:nsid w:val="446B0550"/>
    <w:multiLevelType w:val="multilevel"/>
    <w:tmpl w:val="5268E894"/>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1A02A40"/>
    <w:multiLevelType w:val="multilevel"/>
    <w:tmpl w:val="139EFD10"/>
    <w:lvl w:ilvl="0">
      <w:start w:val="1"/>
      <w:numFmt w:val="decimal"/>
      <w:lvlText w:val="%1"/>
      <w:lvlJc w:val="left"/>
      <w:pPr>
        <w:tabs>
          <w:tab w:val="num" w:pos="-31538"/>
        </w:tabs>
        <w:ind w:left="862" w:hanging="720"/>
      </w:pPr>
      <w:rPr>
        <w:rFonts w:hint="default"/>
        <w:sz w:val="22"/>
      </w:rPr>
    </w:lvl>
    <w:lvl w:ilvl="1">
      <w:start w:val="1"/>
      <w:numFmt w:val="bullet"/>
      <w:lvlText w:val=""/>
      <w:lvlJc w:val="left"/>
      <w:pPr>
        <w:tabs>
          <w:tab w:val="num" w:pos="-31680"/>
        </w:tabs>
        <w:ind w:left="720" w:hanging="720"/>
      </w:pPr>
      <w:rPr>
        <w:rFonts w:ascii="Symbol" w:hAnsi="Symbol" w:hint="default"/>
        <w:sz w:val="22"/>
      </w:rPr>
    </w:lvl>
    <w:lvl w:ilvl="2">
      <w:start w:val="1"/>
      <w:numFmt w:val="decimal"/>
      <w:lvlText w:val="%1.%2.%3"/>
      <w:lvlJc w:val="left"/>
      <w:pPr>
        <w:tabs>
          <w:tab w:val="num" w:pos="-31680"/>
        </w:tabs>
        <w:ind w:left="720" w:hanging="720"/>
      </w:pPr>
      <w:rPr>
        <w:rFonts w:hint="default"/>
        <w:sz w:val="22"/>
      </w:rPr>
    </w:lvl>
    <w:lvl w:ilvl="3">
      <w:start w:val="1"/>
      <w:numFmt w:val="decimal"/>
      <w:lvlText w:val="%1.%2.%3.%4"/>
      <w:lvlJc w:val="left"/>
      <w:pPr>
        <w:tabs>
          <w:tab w:val="num" w:pos="-31680"/>
        </w:tabs>
        <w:ind w:left="720" w:hanging="720"/>
      </w:pPr>
      <w:rPr>
        <w:rFonts w:hint="default"/>
        <w:sz w:val="22"/>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40331B0"/>
    <w:multiLevelType w:val="multilevel"/>
    <w:tmpl w:val="D3341F8C"/>
    <w:lvl w:ilvl="0">
      <w:start w:val="1"/>
      <w:numFmt w:val="lowerLetter"/>
      <w:lvlText w:val="%1)"/>
      <w:lvlJc w:val="left"/>
      <w:pPr>
        <w:ind w:left="1069" w:hanging="360"/>
      </w:pPr>
    </w:lvl>
    <w:lvl w:ilvl="1">
      <w:start w:val="1"/>
      <w:numFmt w:val="bullet"/>
      <w:lvlText w:val=""/>
      <w:lvlJc w:val="left"/>
      <w:pPr>
        <w:ind w:left="1429" w:hanging="360"/>
      </w:pPr>
      <w:rPr>
        <w:rFonts w:ascii="Symbol" w:hAnsi="Symbol" w:hint="default"/>
      </w:rPr>
    </w:lvl>
    <w:lvl w:ilvl="2">
      <w:start w:val="1"/>
      <w:numFmt w:val="lowerRoman"/>
      <w:lvlText w:val="%3)"/>
      <w:lvlJc w:val="left"/>
      <w:pPr>
        <w:ind w:left="1789" w:hanging="360"/>
      </w:pPr>
    </w:lvl>
    <w:lvl w:ilvl="3">
      <w:start w:val="1"/>
      <w:numFmt w:val="decimal"/>
      <w:lvlText w:val="(%4)"/>
      <w:lvlJc w:val="left"/>
      <w:pPr>
        <w:ind w:left="2149" w:hanging="360"/>
      </w:pPr>
    </w:lvl>
    <w:lvl w:ilvl="4">
      <w:start w:val="1"/>
      <w:numFmt w:val="lowerLetter"/>
      <w:lvlText w:val="(%5)"/>
      <w:lvlJc w:val="left"/>
      <w:pPr>
        <w:ind w:left="2509" w:hanging="360"/>
      </w:pPr>
    </w:lvl>
    <w:lvl w:ilvl="5">
      <w:start w:val="1"/>
      <w:numFmt w:val="lowerRoman"/>
      <w:lvlText w:val="(%6)"/>
      <w:lvlJc w:val="left"/>
      <w:pPr>
        <w:ind w:left="2869" w:hanging="360"/>
      </w:pPr>
    </w:lvl>
    <w:lvl w:ilvl="6">
      <w:start w:val="1"/>
      <w:numFmt w:val="decimal"/>
      <w:lvlText w:val="%7."/>
      <w:lvlJc w:val="left"/>
      <w:pPr>
        <w:ind w:left="3229" w:hanging="360"/>
      </w:pPr>
    </w:lvl>
    <w:lvl w:ilvl="7">
      <w:start w:val="1"/>
      <w:numFmt w:val="lowerLetter"/>
      <w:lvlText w:val="%8."/>
      <w:lvlJc w:val="left"/>
      <w:pPr>
        <w:ind w:left="3589" w:hanging="360"/>
      </w:pPr>
    </w:lvl>
    <w:lvl w:ilvl="8">
      <w:start w:val="1"/>
      <w:numFmt w:val="lowerRoman"/>
      <w:lvlText w:val="%9."/>
      <w:lvlJc w:val="left"/>
      <w:pPr>
        <w:ind w:left="3949" w:hanging="360"/>
      </w:pPr>
    </w:lvl>
  </w:abstractNum>
  <w:abstractNum w:abstractNumId="19" w15:restartNumberingAfterBreak="0">
    <w:nsid w:val="5B505AB8"/>
    <w:multiLevelType w:val="multilevel"/>
    <w:tmpl w:val="DE84116A"/>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1"/>
      <w:lvlText w:val="(%5)"/>
      <w:lvlJc w:val="left"/>
      <w:pPr>
        <w:tabs>
          <w:tab w:val="num" w:pos="-31680"/>
        </w:tabs>
        <w:ind w:left="1440" w:hanging="720"/>
      </w:pPr>
      <w:rPr>
        <w:rFonts w:hint="default"/>
      </w:rPr>
    </w:lvl>
    <w:lvl w:ilvl="5">
      <w:start w:val="1"/>
      <w:numFmt w:val="lowerRoman"/>
      <w:lvlRestart w:val="1"/>
      <w:lvlText w:val="(%6)"/>
      <w:lvlJc w:val="left"/>
      <w:pPr>
        <w:tabs>
          <w:tab w:val="num" w:pos="-31680"/>
        </w:tabs>
        <w:ind w:left="2160" w:hanging="720"/>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0" w15:restartNumberingAfterBreak="0">
    <w:nsid w:val="683E5632"/>
    <w:multiLevelType w:val="multilevel"/>
    <w:tmpl w:val="4ADE8ED8"/>
    <w:lvl w:ilvl="0">
      <w:start w:val="1"/>
      <w:numFmt w:val="decimal"/>
      <w:lvlText w:val="%1"/>
      <w:lvlJc w:val="left"/>
      <w:pPr>
        <w:tabs>
          <w:tab w:val="num" w:pos="-31680"/>
        </w:tabs>
        <w:ind w:left="720" w:hanging="720"/>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697D241D"/>
    <w:multiLevelType w:val="hybridMultilevel"/>
    <w:tmpl w:val="51244720"/>
    <w:lvl w:ilvl="0" w:tplc="FFFFFFFF">
      <w:start w:val="1"/>
      <w:numFmt w:val="bullet"/>
      <w:lvlText w:val=""/>
      <w:lvlJc w:val="left"/>
      <w:pPr>
        <w:ind w:left="142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6E451CAE"/>
    <w:multiLevelType w:val="multilevel"/>
    <w:tmpl w:val="603C673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lowerLetter"/>
      <w:lvlRestart w:val="0"/>
      <w:lvlText w:val="%5)"/>
      <w:lvlJc w:val="left"/>
      <w:pPr>
        <w:tabs>
          <w:tab w:val="num" w:pos="1440"/>
        </w:tabs>
        <w:ind w:left="1440" w:hanging="720"/>
      </w:pPr>
      <w:rPr>
        <w:rFonts w:hint="default"/>
      </w:rPr>
    </w:lvl>
    <w:lvl w:ilvl="5">
      <w:start w:val="1"/>
      <w:numFmt w:val="lowerRoman"/>
      <w:lvlText w:val="%6)"/>
      <w:lvlJc w:val="left"/>
      <w:pPr>
        <w:tabs>
          <w:tab w:val="num" w:pos="2041"/>
        </w:tabs>
        <w:ind w:left="2041" w:hanging="601"/>
      </w:pPr>
      <w:rPr>
        <w:rFonts w:hint="default"/>
      </w:rPr>
    </w:lvl>
    <w:lvl w:ilvl="6">
      <w:start w:val="1"/>
      <w:numFmt w:val="bullet"/>
      <w:lvlText w:val=""/>
      <w:lvlJc w:val="left"/>
      <w:pPr>
        <w:tabs>
          <w:tab w:val="num" w:pos="720"/>
        </w:tabs>
        <w:ind w:left="720" w:hanging="720"/>
      </w:pPr>
      <w:rPr>
        <w:rFonts w:ascii="Symbol" w:hAnsi="Symbol" w:hint="default"/>
        <w:sz w:val="24"/>
      </w:rPr>
    </w:lvl>
    <w:lvl w:ilvl="7">
      <w:start w:val="1"/>
      <w:numFmt w:val="bullet"/>
      <w:lvlText w:val=""/>
      <w:lvlJc w:val="left"/>
      <w:pPr>
        <w:tabs>
          <w:tab w:val="num" w:pos="1440"/>
        </w:tabs>
        <w:ind w:left="1440" w:hanging="720"/>
      </w:pPr>
      <w:rPr>
        <w:rFonts w:ascii="Symbol" w:hAnsi="Symbol" w:hint="default"/>
        <w:sz w:val="28"/>
      </w:rPr>
    </w:lvl>
    <w:lvl w:ilvl="8">
      <w:start w:val="1"/>
      <w:numFmt w:val="bullet"/>
      <w:lvlText w:val=""/>
      <w:lvlJc w:val="left"/>
      <w:pPr>
        <w:tabs>
          <w:tab w:val="num" w:pos="2041"/>
        </w:tabs>
        <w:ind w:left="2041" w:hanging="601"/>
      </w:pPr>
      <w:rPr>
        <w:rFonts w:ascii="Symbol" w:hAnsi="Symbol" w:hint="default"/>
        <w:sz w:val="28"/>
      </w:rPr>
    </w:lvl>
  </w:abstractNum>
  <w:abstractNum w:abstractNumId="23" w15:restartNumberingAfterBreak="0">
    <w:nsid w:val="6ED77F93"/>
    <w:multiLevelType w:val="hybridMultilevel"/>
    <w:tmpl w:val="1492722C"/>
    <w:lvl w:ilvl="0" w:tplc="FFFFFFFF">
      <w:start w:val="1"/>
      <w:numFmt w:val="bullet"/>
      <w:lvlText w:val=""/>
      <w:lvlJc w:val="left"/>
      <w:pPr>
        <w:ind w:left="1069" w:hanging="360"/>
      </w:pPr>
      <w:rPr>
        <w:rFonts w:ascii="Wingdings" w:hAnsi="Wingdings" w:hint="default"/>
        <w:caps w:val="0"/>
        <w:strike w:val="0"/>
        <w:dstrike w:val="0"/>
        <w:vanish w:val="0"/>
        <w:color w:val="5F5F5F"/>
        <w:sz w:val="20"/>
        <w:vertAlign w:val="baseline"/>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6FAB4941"/>
    <w:multiLevelType w:val="hybridMultilevel"/>
    <w:tmpl w:val="04E2A804"/>
    <w:lvl w:ilvl="0" w:tplc="08090001">
      <w:start w:val="1"/>
      <w:numFmt w:val="bullet"/>
      <w:lvlText w:val=""/>
      <w:lvlJc w:val="left"/>
      <w:pPr>
        <w:ind w:left="1425" w:hanging="360"/>
      </w:pPr>
      <w:rPr>
        <w:rFonts w:ascii="Symbol" w:hAnsi="Symbol" w:hint="default"/>
      </w:rPr>
    </w:lvl>
    <w:lvl w:ilvl="1" w:tplc="08090001">
      <w:start w:val="1"/>
      <w:numFmt w:val="bullet"/>
      <w:lvlText w:val=""/>
      <w:lvlJc w:val="left"/>
      <w:pPr>
        <w:ind w:left="2145" w:hanging="360"/>
      </w:pPr>
      <w:rPr>
        <w:rFonts w:ascii="Symbol" w:hAnsi="Symbol" w:hint="default"/>
      </w:rPr>
    </w:lvl>
    <w:lvl w:ilvl="2" w:tplc="08090005">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25" w15:restartNumberingAfterBreak="0">
    <w:nsid w:val="70C2195C"/>
    <w:multiLevelType w:val="hybridMultilevel"/>
    <w:tmpl w:val="DC08C560"/>
    <w:lvl w:ilvl="0" w:tplc="84BA4EF8">
      <w:start w:val="1"/>
      <w:numFmt w:val="bullet"/>
      <w:pStyle w:val="TSBullet1Square"/>
      <w:lvlText w:val=""/>
      <w:lvlJc w:val="left"/>
      <w:pPr>
        <w:tabs>
          <w:tab w:val="num" w:pos="-31680"/>
        </w:tabs>
        <w:ind w:left="1440" w:hanging="720"/>
      </w:pPr>
      <w:rPr>
        <w:rFonts w:ascii="Wingdings" w:hAnsi="Wingdings" w:hint="default"/>
        <w:b w:val="0"/>
        <w:i w:val="0"/>
        <w:color w:val="333333"/>
        <w:sz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2421566"/>
    <w:multiLevelType w:val="hybridMultilevel"/>
    <w:tmpl w:val="1B26CC14"/>
    <w:lvl w:ilvl="0" w:tplc="81DE8800">
      <w:start w:val="1"/>
      <w:numFmt w:val="bullet"/>
      <w:lvlText w:val=""/>
      <w:lvlJc w:val="left"/>
      <w:pPr>
        <w:ind w:left="726" w:hanging="360"/>
      </w:pPr>
      <w:rPr>
        <w:rFonts w:ascii="Symbol" w:hAnsi="Symbol" w:hint="default"/>
      </w:rPr>
    </w:lvl>
    <w:lvl w:ilvl="1" w:tplc="08090003" w:tentative="1">
      <w:start w:val="1"/>
      <w:numFmt w:val="bullet"/>
      <w:lvlText w:val="o"/>
      <w:lvlJc w:val="left"/>
      <w:pPr>
        <w:ind w:left="1446" w:hanging="360"/>
      </w:pPr>
      <w:rPr>
        <w:rFonts w:ascii="Courier New" w:hAnsi="Courier New" w:cs="Courier New" w:hint="default"/>
      </w:rPr>
    </w:lvl>
    <w:lvl w:ilvl="2" w:tplc="08090005" w:tentative="1">
      <w:start w:val="1"/>
      <w:numFmt w:val="bullet"/>
      <w:lvlText w:val=""/>
      <w:lvlJc w:val="left"/>
      <w:pPr>
        <w:ind w:left="2166" w:hanging="360"/>
      </w:pPr>
      <w:rPr>
        <w:rFonts w:ascii="Wingdings" w:hAnsi="Wingdings" w:hint="default"/>
      </w:rPr>
    </w:lvl>
    <w:lvl w:ilvl="3" w:tplc="08090001" w:tentative="1">
      <w:start w:val="1"/>
      <w:numFmt w:val="bullet"/>
      <w:lvlText w:val=""/>
      <w:lvlJc w:val="left"/>
      <w:pPr>
        <w:ind w:left="2886" w:hanging="360"/>
      </w:pPr>
      <w:rPr>
        <w:rFonts w:ascii="Symbol" w:hAnsi="Symbol" w:hint="default"/>
      </w:rPr>
    </w:lvl>
    <w:lvl w:ilvl="4" w:tplc="08090003" w:tentative="1">
      <w:start w:val="1"/>
      <w:numFmt w:val="bullet"/>
      <w:lvlText w:val="o"/>
      <w:lvlJc w:val="left"/>
      <w:pPr>
        <w:ind w:left="3606" w:hanging="360"/>
      </w:pPr>
      <w:rPr>
        <w:rFonts w:ascii="Courier New" w:hAnsi="Courier New" w:cs="Courier New" w:hint="default"/>
      </w:rPr>
    </w:lvl>
    <w:lvl w:ilvl="5" w:tplc="08090005" w:tentative="1">
      <w:start w:val="1"/>
      <w:numFmt w:val="bullet"/>
      <w:lvlText w:val=""/>
      <w:lvlJc w:val="left"/>
      <w:pPr>
        <w:ind w:left="4326" w:hanging="360"/>
      </w:pPr>
      <w:rPr>
        <w:rFonts w:ascii="Wingdings" w:hAnsi="Wingdings" w:hint="default"/>
      </w:rPr>
    </w:lvl>
    <w:lvl w:ilvl="6" w:tplc="08090001" w:tentative="1">
      <w:start w:val="1"/>
      <w:numFmt w:val="bullet"/>
      <w:lvlText w:val=""/>
      <w:lvlJc w:val="left"/>
      <w:pPr>
        <w:ind w:left="5046" w:hanging="360"/>
      </w:pPr>
      <w:rPr>
        <w:rFonts w:ascii="Symbol" w:hAnsi="Symbol" w:hint="default"/>
      </w:rPr>
    </w:lvl>
    <w:lvl w:ilvl="7" w:tplc="08090003" w:tentative="1">
      <w:start w:val="1"/>
      <w:numFmt w:val="bullet"/>
      <w:lvlText w:val="o"/>
      <w:lvlJc w:val="left"/>
      <w:pPr>
        <w:ind w:left="5766" w:hanging="360"/>
      </w:pPr>
      <w:rPr>
        <w:rFonts w:ascii="Courier New" w:hAnsi="Courier New" w:cs="Courier New" w:hint="default"/>
      </w:rPr>
    </w:lvl>
    <w:lvl w:ilvl="8" w:tplc="08090005" w:tentative="1">
      <w:start w:val="1"/>
      <w:numFmt w:val="bullet"/>
      <w:lvlText w:val=""/>
      <w:lvlJc w:val="left"/>
      <w:pPr>
        <w:ind w:left="6486" w:hanging="360"/>
      </w:pPr>
      <w:rPr>
        <w:rFonts w:ascii="Wingdings" w:hAnsi="Wingdings" w:hint="default"/>
      </w:rPr>
    </w:lvl>
  </w:abstractNum>
  <w:abstractNum w:abstractNumId="27" w15:restartNumberingAfterBreak="0">
    <w:nsid w:val="752C6590"/>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752E4177"/>
    <w:multiLevelType w:val="multilevel"/>
    <w:tmpl w:val="251E6DCE"/>
    <w:lvl w:ilvl="0">
      <w:start w:val="1"/>
      <w:numFmt w:val="bullet"/>
      <w:lvlText w:val=""/>
      <w:lvlJc w:val="left"/>
      <w:pPr>
        <w:tabs>
          <w:tab w:val="num" w:pos="-31680"/>
        </w:tabs>
        <w:ind w:left="720" w:hanging="72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662619"/>
    <w:multiLevelType w:val="hybridMultilevel"/>
    <w:tmpl w:val="43F8FBF0"/>
    <w:lvl w:ilvl="0" w:tplc="D44C0BEE">
      <w:start w:val="1"/>
      <w:numFmt w:val="bullet"/>
      <w:lvlText w:val=""/>
      <w:lvlJc w:val="left"/>
      <w:pPr>
        <w:tabs>
          <w:tab w:val="num" w:pos="1191"/>
        </w:tabs>
        <w:ind w:left="1191" w:hanging="45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9"/>
  </w:num>
  <w:num w:numId="3">
    <w:abstractNumId w:val="15"/>
  </w:num>
  <w:num w:numId="4">
    <w:abstractNumId w:val="0"/>
  </w:num>
  <w:num w:numId="5">
    <w:abstractNumId w:val="13"/>
  </w:num>
  <w:num w:numId="6">
    <w:abstractNumId w:val="27"/>
  </w:num>
  <w:num w:numId="7">
    <w:abstractNumId w:val="22"/>
  </w:num>
  <w:num w:numId="8">
    <w:abstractNumId w:val="19"/>
  </w:num>
  <w:num w:numId="9">
    <w:abstractNumId w:val="28"/>
  </w:num>
  <w:num w:numId="10">
    <w:abstractNumId w:val="2"/>
  </w:num>
  <w:num w:numId="11">
    <w:abstractNumId w:val="6"/>
  </w:num>
  <w:num w:numId="12">
    <w:abstractNumId w:val="9"/>
  </w:num>
  <w:num w:numId="13">
    <w:abstractNumId w:val="1"/>
  </w:num>
  <w:num w:numId="14">
    <w:abstractNumId w:val="20"/>
  </w:num>
  <w:num w:numId="15">
    <w:abstractNumId w:val="11"/>
  </w:num>
  <w:num w:numId="16">
    <w:abstractNumId w:val="25"/>
  </w:num>
  <w:num w:numId="17">
    <w:abstractNumId w:val="7"/>
  </w:num>
  <w:num w:numId="18">
    <w:abstractNumId w:val="16"/>
  </w:num>
  <w:num w:numId="19">
    <w:abstractNumId w:val="14"/>
  </w:num>
  <w:num w:numId="20">
    <w:abstractNumId w:val="3"/>
  </w:num>
  <w:num w:numId="21">
    <w:abstractNumId w:val="26"/>
  </w:num>
  <w:num w:numId="22">
    <w:abstractNumId w:val="4"/>
  </w:num>
  <w:num w:numId="23">
    <w:abstractNumId w:val="21"/>
  </w:num>
  <w:num w:numId="24">
    <w:abstractNumId w:val="23"/>
  </w:num>
  <w:num w:numId="25">
    <w:abstractNumId w:val="12"/>
  </w:num>
  <w:num w:numId="26">
    <w:abstractNumId w:val="5"/>
  </w:num>
  <w:num w:numId="27">
    <w:abstractNumId w:val="10"/>
  </w:num>
  <w:num w:numId="28">
    <w:abstractNumId w:val="24"/>
  </w:num>
  <w:num w:numId="29">
    <w:abstractNumId w:val="18"/>
  </w:num>
  <w:num w:numId="30">
    <w:abstractNumId w:val="25"/>
  </w:num>
  <w:num w:numId="31">
    <w:abstractNumId w:val="9"/>
  </w:num>
  <w:num w:numId="32">
    <w:abstractNumId w:val="17"/>
  </w:num>
  <w:num w:numId="33">
    <w:abstractNumId w:val="25"/>
  </w:num>
  <w:num w:numId="34">
    <w:abstractNumId w:val="25"/>
  </w:num>
  <w:num w:numId="35">
    <w:abstractNumId w:val="25"/>
  </w:num>
  <w:num w:numId="36">
    <w:abstractNumId w:val="9"/>
  </w:num>
  <w:num w:numId="3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A22"/>
    <w:rsid w:val="00005949"/>
    <w:rsid w:val="000118EF"/>
    <w:rsid w:val="00030D3C"/>
    <w:rsid w:val="000312D3"/>
    <w:rsid w:val="00031A76"/>
    <w:rsid w:val="000375D1"/>
    <w:rsid w:val="00041C7E"/>
    <w:rsid w:val="00050703"/>
    <w:rsid w:val="00054B44"/>
    <w:rsid w:val="00057675"/>
    <w:rsid w:val="000715BD"/>
    <w:rsid w:val="0007506B"/>
    <w:rsid w:val="00077E81"/>
    <w:rsid w:val="00096F71"/>
    <w:rsid w:val="000A401E"/>
    <w:rsid w:val="000A4800"/>
    <w:rsid w:val="000B1830"/>
    <w:rsid w:val="000B4E40"/>
    <w:rsid w:val="000C1560"/>
    <w:rsid w:val="000C3042"/>
    <w:rsid w:val="000D6244"/>
    <w:rsid w:val="000E2C9A"/>
    <w:rsid w:val="000E6DD3"/>
    <w:rsid w:val="0010198A"/>
    <w:rsid w:val="00121C8F"/>
    <w:rsid w:val="00131ECC"/>
    <w:rsid w:val="00144CEA"/>
    <w:rsid w:val="00147750"/>
    <w:rsid w:val="00147C1B"/>
    <w:rsid w:val="00164F4F"/>
    <w:rsid w:val="00175E38"/>
    <w:rsid w:val="00181ACA"/>
    <w:rsid w:val="00185E3F"/>
    <w:rsid w:val="00193C9A"/>
    <w:rsid w:val="001A58B1"/>
    <w:rsid w:val="001C3DB8"/>
    <w:rsid w:val="001D0A24"/>
    <w:rsid w:val="001D637F"/>
    <w:rsid w:val="001D78A1"/>
    <w:rsid w:val="001E50F0"/>
    <w:rsid w:val="001F12DA"/>
    <w:rsid w:val="002006CC"/>
    <w:rsid w:val="00200CB7"/>
    <w:rsid w:val="00204F69"/>
    <w:rsid w:val="0021074A"/>
    <w:rsid w:val="00216018"/>
    <w:rsid w:val="002214CA"/>
    <w:rsid w:val="00247A67"/>
    <w:rsid w:val="00270A09"/>
    <w:rsid w:val="0028011F"/>
    <w:rsid w:val="00281C4F"/>
    <w:rsid w:val="002821AF"/>
    <w:rsid w:val="0028356A"/>
    <w:rsid w:val="0028491A"/>
    <w:rsid w:val="00285A54"/>
    <w:rsid w:val="00297401"/>
    <w:rsid w:val="002A76D3"/>
    <w:rsid w:val="002B79C6"/>
    <w:rsid w:val="002C03EB"/>
    <w:rsid w:val="002C62C2"/>
    <w:rsid w:val="002D1B1A"/>
    <w:rsid w:val="002E37A8"/>
    <w:rsid w:val="0030281F"/>
    <w:rsid w:val="00303CEE"/>
    <w:rsid w:val="00307693"/>
    <w:rsid w:val="00310975"/>
    <w:rsid w:val="0031706E"/>
    <w:rsid w:val="003308F9"/>
    <w:rsid w:val="00375E19"/>
    <w:rsid w:val="003774BB"/>
    <w:rsid w:val="003968BF"/>
    <w:rsid w:val="003A6A70"/>
    <w:rsid w:val="003B3DF3"/>
    <w:rsid w:val="003B4AA2"/>
    <w:rsid w:val="003C7DD2"/>
    <w:rsid w:val="003D005E"/>
    <w:rsid w:val="003E2CA6"/>
    <w:rsid w:val="003E452E"/>
    <w:rsid w:val="003F1BBC"/>
    <w:rsid w:val="004229CD"/>
    <w:rsid w:val="004316D2"/>
    <w:rsid w:val="00445DFA"/>
    <w:rsid w:val="00450AE5"/>
    <w:rsid w:val="00457068"/>
    <w:rsid w:val="004750A2"/>
    <w:rsid w:val="00487A22"/>
    <w:rsid w:val="004904D4"/>
    <w:rsid w:val="00491740"/>
    <w:rsid w:val="004A3F9E"/>
    <w:rsid w:val="004A7B1B"/>
    <w:rsid w:val="004E6B44"/>
    <w:rsid w:val="004F24BC"/>
    <w:rsid w:val="004F4DA6"/>
    <w:rsid w:val="00505F6E"/>
    <w:rsid w:val="005202D4"/>
    <w:rsid w:val="005322E6"/>
    <w:rsid w:val="005556C6"/>
    <w:rsid w:val="00560142"/>
    <w:rsid w:val="00562F2F"/>
    <w:rsid w:val="00564539"/>
    <w:rsid w:val="00575968"/>
    <w:rsid w:val="005856E7"/>
    <w:rsid w:val="00595546"/>
    <w:rsid w:val="005A1570"/>
    <w:rsid w:val="005A5A87"/>
    <w:rsid w:val="005B2491"/>
    <w:rsid w:val="005C7F8D"/>
    <w:rsid w:val="005F0722"/>
    <w:rsid w:val="005F2BBB"/>
    <w:rsid w:val="005F46B6"/>
    <w:rsid w:val="00604F23"/>
    <w:rsid w:val="00611F6D"/>
    <w:rsid w:val="00622BCA"/>
    <w:rsid w:val="00632565"/>
    <w:rsid w:val="006674E6"/>
    <w:rsid w:val="006856E3"/>
    <w:rsid w:val="006A667F"/>
    <w:rsid w:val="006B27A4"/>
    <w:rsid w:val="006B2DA6"/>
    <w:rsid w:val="006B58AD"/>
    <w:rsid w:val="006C393A"/>
    <w:rsid w:val="006C519A"/>
    <w:rsid w:val="006D72C3"/>
    <w:rsid w:val="006E57A7"/>
    <w:rsid w:val="006F1199"/>
    <w:rsid w:val="006F5420"/>
    <w:rsid w:val="00715C62"/>
    <w:rsid w:val="0072164C"/>
    <w:rsid w:val="00722F3B"/>
    <w:rsid w:val="00742539"/>
    <w:rsid w:val="00744F6E"/>
    <w:rsid w:val="00752EEE"/>
    <w:rsid w:val="007558FE"/>
    <w:rsid w:val="00777EA3"/>
    <w:rsid w:val="007A5430"/>
    <w:rsid w:val="007B4EE0"/>
    <w:rsid w:val="007C3EA8"/>
    <w:rsid w:val="007D545C"/>
    <w:rsid w:val="007D787C"/>
    <w:rsid w:val="007E6320"/>
    <w:rsid w:val="007F18A1"/>
    <w:rsid w:val="007F5A57"/>
    <w:rsid w:val="007F7246"/>
    <w:rsid w:val="0080297B"/>
    <w:rsid w:val="00803F7F"/>
    <w:rsid w:val="00805C52"/>
    <w:rsid w:val="0081076D"/>
    <w:rsid w:val="00842FD6"/>
    <w:rsid w:val="008556FB"/>
    <w:rsid w:val="008629BC"/>
    <w:rsid w:val="00863CDC"/>
    <w:rsid w:val="00877652"/>
    <w:rsid w:val="00891423"/>
    <w:rsid w:val="00892682"/>
    <w:rsid w:val="008A7BDD"/>
    <w:rsid w:val="008B23E9"/>
    <w:rsid w:val="008C691F"/>
    <w:rsid w:val="008D119D"/>
    <w:rsid w:val="008D71E9"/>
    <w:rsid w:val="008E0520"/>
    <w:rsid w:val="008E67CB"/>
    <w:rsid w:val="0090068C"/>
    <w:rsid w:val="00905E9D"/>
    <w:rsid w:val="0091041C"/>
    <w:rsid w:val="00912B88"/>
    <w:rsid w:val="009155DB"/>
    <w:rsid w:val="00932851"/>
    <w:rsid w:val="00933247"/>
    <w:rsid w:val="00934143"/>
    <w:rsid w:val="00940B3B"/>
    <w:rsid w:val="00943C03"/>
    <w:rsid w:val="00952872"/>
    <w:rsid w:val="009678DE"/>
    <w:rsid w:val="00971BA8"/>
    <w:rsid w:val="009764AF"/>
    <w:rsid w:val="009765DB"/>
    <w:rsid w:val="00987AA6"/>
    <w:rsid w:val="009958D4"/>
    <w:rsid w:val="009962B1"/>
    <w:rsid w:val="00997076"/>
    <w:rsid w:val="009B5159"/>
    <w:rsid w:val="009D05DD"/>
    <w:rsid w:val="009D3CD0"/>
    <w:rsid w:val="009D4A06"/>
    <w:rsid w:val="009E4CF8"/>
    <w:rsid w:val="009F0539"/>
    <w:rsid w:val="009F166B"/>
    <w:rsid w:val="009F1B6F"/>
    <w:rsid w:val="00A10C9F"/>
    <w:rsid w:val="00A140D6"/>
    <w:rsid w:val="00A16049"/>
    <w:rsid w:val="00A25EB0"/>
    <w:rsid w:val="00A3081D"/>
    <w:rsid w:val="00A40EB1"/>
    <w:rsid w:val="00A41FDA"/>
    <w:rsid w:val="00A442D1"/>
    <w:rsid w:val="00A53E79"/>
    <w:rsid w:val="00A57FE3"/>
    <w:rsid w:val="00A75DE6"/>
    <w:rsid w:val="00A94ACB"/>
    <w:rsid w:val="00AB2BB0"/>
    <w:rsid w:val="00AB7147"/>
    <w:rsid w:val="00AD3738"/>
    <w:rsid w:val="00AD5635"/>
    <w:rsid w:val="00AE199F"/>
    <w:rsid w:val="00AF2077"/>
    <w:rsid w:val="00AF4C0F"/>
    <w:rsid w:val="00AF7A2F"/>
    <w:rsid w:val="00B20418"/>
    <w:rsid w:val="00B21710"/>
    <w:rsid w:val="00B255B3"/>
    <w:rsid w:val="00B43C54"/>
    <w:rsid w:val="00B504F7"/>
    <w:rsid w:val="00B56CCE"/>
    <w:rsid w:val="00B6561E"/>
    <w:rsid w:val="00B66F1D"/>
    <w:rsid w:val="00B81B18"/>
    <w:rsid w:val="00BA6133"/>
    <w:rsid w:val="00BA7C51"/>
    <w:rsid w:val="00BB29A0"/>
    <w:rsid w:val="00BC24ED"/>
    <w:rsid w:val="00BC5FC8"/>
    <w:rsid w:val="00C066A9"/>
    <w:rsid w:val="00C25583"/>
    <w:rsid w:val="00C26F61"/>
    <w:rsid w:val="00C41CB8"/>
    <w:rsid w:val="00C46562"/>
    <w:rsid w:val="00C602D3"/>
    <w:rsid w:val="00C733A6"/>
    <w:rsid w:val="00C7498C"/>
    <w:rsid w:val="00C75298"/>
    <w:rsid w:val="00C75A1C"/>
    <w:rsid w:val="00C8308D"/>
    <w:rsid w:val="00C90202"/>
    <w:rsid w:val="00CA3B14"/>
    <w:rsid w:val="00CB08E0"/>
    <w:rsid w:val="00CC6012"/>
    <w:rsid w:val="00CD0B36"/>
    <w:rsid w:val="00CD7B5F"/>
    <w:rsid w:val="00CE4AA0"/>
    <w:rsid w:val="00CE5958"/>
    <w:rsid w:val="00CE6571"/>
    <w:rsid w:val="00CF34FB"/>
    <w:rsid w:val="00D26C98"/>
    <w:rsid w:val="00D3061A"/>
    <w:rsid w:val="00D31DFB"/>
    <w:rsid w:val="00D33DDF"/>
    <w:rsid w:val="00D423ED"/>
    <w:rsid w:val="00D55197"/>
    <w:rsid w:val="00D55FE7"/>
    <w:rsid w:val="00D57FC3"/>
    <w:rsid w:val="00D626B7"/>
    <w:rsid w:val="00D75DA2"/>
    <w:rsid w:val="00D7747E"/>
    <w:rsid w:val="00D91A1E"/>
    <w:rsid w:val="00DC1E38"/>
    <w:rsid w:val="00DC6611"/>
    <w:rsid w:val="00DE32AE"/>
    <w:rsid w:val="00DE4417"/>
    <w:rsid w:val="00DF3697"/>
    <w:rsid w:val="00DF4FA1"/>
    <w:rsid w:val="00DF6D83"/>
    <w:rsid w:val="00DF72D4"/>
    <w:rsid w:val="00E00D48"/>
    <w:rsid w:val="00E12A39"/>
    <w:rsid w:val="00E32F3B"/>
    <w:rsid w:val="00E42163"/>
    <w:rsid w:val="00E55FE9"/>
    <w:rsid w:val="00E57EF2"/>
    <w:rsid w:val="00E60A2E"/>
    <w:rsid w:val="00E65B98"/>
    <w:rsid w:val="00E71B0C"/>
    <w:rsid w:val="00E774DE"/>
    <w:rsid w:val="00E77D38"/>
    <w:rsid w:val="00E87C8C"/>
    <w:rsid w:val="00E9478E"/>
    <w:rsid w:val="00E95863"/>
    <w:rsid w:val="00E97293"/>
    <w:rsid w:val="00EA2676"/>
    <w:rsid w:val="00EA5EB4"/>
    <w:rsid w:val="00ED1534"/>
    <w:rsid w:val="00ED1C1F"/>
    <w:rsid w:val="00ED5F2B"/>
    <w:rsid w:val="00F17911"/>
    <w:rsid w:val="00F20DC6"/>
    <w:rsid w:val="00F25855"/>
    <w:rsid w:val="00F36AB9"/>
    <w:rsid w:val="00F37EB5"/>
    <w:rsid w:val="00F64B8F"/>
    <w:rsid w:val="00F75260"/>
    <w:rsid w:val="00FA4B00"/>
    <w:rsid w:val="00FA5466"/>
    <w:rsid w:val="00FC12D5"/>
    <w:rsid w:val="00FC1CC4"/>
    <w:rsid w:val="00FD0C4A"/>
    <w:rsid w:val="00FF1AFB"/>
    <w:rsid w:val="00FF21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58E9A97F"/>
  <w15:docId w15:val="{61511854-F9AA-44D4-A9E1-0BFBCD938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8E67CB"/>
    <w:rPr>
      <w:rFonts w:ascii="Arial" w:hAnsi="Arial"/>
      <w:sz w:val="22"/>
      <w:szCs w:val="24"/>
      <w:lang w:eastAsia="en-US"/>
    </w:rPr>
  </w:style>
  <w:style w:type="paragraph" w:styleId="Heading1">
    <w:name w:val="heading 1"/>
    <w:aliases w:val="Centre"/>
    <w:basedOn w:val="Normal"/>
    <w:next w:val="Normal"/>
    <w:qFormat/>
    <w:rsid w:val="00200CB7"/>
    <w:pPr>
      <w:keepNext/>
      <w:jc w:val="center"/>
      <w:outlineLvl w:val="0"/>
    </w:pPr>
    <w:rPr>
      <w:rFonts w:cs="Arial"/>
      <w:b/>
      <w:bCs/>
      <w:caps/>
      <w:kern w:val="32"/>
      <w:sz w:val="28"/>
      <w:szCs w:val="32"/>
    </w:rPr>
  </w:style>
  <w:style w:type="paragraph" w:styleId="Heading2">
    <w:name w:val="heading 2"/>
    <w:aliases w:val="Left"/>
    <w:basedOn w:val="Normal"/>
    <w:next w:val="Normal"/>
    <w:qFormat/>
    <w:rsid w:val="00CE6571"/>
    <w:pPr>
      <w:keepNext/>
      <w:outlineLvl w:val="1"/>
    </w:pPr>
    <w:rPr>
      <w:rFonts w:cs="Arial"/>
      <w:b/>
      <w:bCs/>
      <w:iCs/>
      <w:caps/>
      <w:szCs w:val="28"/>
    </w:rPr>
  </w:style>
  <w:style w:type="paragraph" w:styleId="Heading3">
    <w:name w:val="heading 3"/>
    <w:aliases w:val="Sub"/>
    <w:basedOn w:val="Normal"/>
    <w:next w:val="Normal"/>
    <w:qFormat/>
    <w:rsid w:val="00CE6571"/>
    <w:pPr>
      <w:keepNext/>
      <w:outlineLvl w:val="2"/>
    </w:pPr>
    <w:rPr>
      <w:rFonts w:cs="Arial"/>
      <w:b/>
      <w:bCs/>
      <w:szCs w:val="26"/>
    </w:rPr>
  </w:style>
  <w:style w:type="paragraph" w:styleId="Heading4">
    <w:name w:val="heading 4"/>
    <w:basedOn w:val="Normal"/>
    <w:next w:val="Normal"/>
    <w:qFormat/>
    <w:rsid w:val="00CE6571"/>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CE6571"/>
    <w:pPr>
      <w:numPr>
        <w:ilvl w:val="4"/>
        <w:numId w:val="12"/>
      </w:numPr>
      <w:spacing w:before="240" w:after="60"/>
      <w:outlineLvl w:val="4"/>
    </w:pPr>
    <w:rPr>
      <w:b/>
      <w:bCs/>
      <w:i/>
      <w:iCs/>
      <w:sz w:val="26"/>
      <w:szCs w:val="26"/>
    </w:rPr>
  </w:style>
  <w:style w:type="paragraph" w:styleId="Heading6">
    <w:name w:val="heading 6"/>
    <w:basedOn w:val="Normal"/>
    <w:next w:val="Normal"/>
    <w:qFormat/>
    <w:rsid w:val="00CE6571"/>
    <w:pPr>
      <w:numPr>
        <w:ilvl w:val="5"/>
        <w:numId w:val="12"/>
      </w:numPr>
      <w:spacing w:before="240" w:after="60"/>
      <w:outlineLvl w:val="5"/>
    </w:pPr>
    <w:rPr>
      <w:rFonts w:ascii="Times New Roman" w:hAnsi="Times New Roman"/>
      <w:b/>
      <w:bCs/>
      <w:szCs w:val="22"/>
    </w:rPr>
  </w:style>
  <w:style w:type="paragraph" w:styleId="Heading7">
    <w:name w:val="heading 7"/>
    <w:basedOn w:val="Normal"/>
    <w:next w:val="Normal"/>
    <w:qFormat/>
    <w:rsid w:val="00CE6571"/>
    <w:pPr>
      <w:numPr>
        <w:ilvl w:val="6"/>
        <w:numId w:val="12"/>
      </w:numPr>
      <w:spacing w:before="240" w:after="60"/>
      <w:outlineLvl w:val="6"/>
    </w:pPr>
    <w:rPr>
      <w:rFonts w:ascii="Times New Roman" w:hAnsi="Times New Roman"/>
      <w:sz w:val="24"/>
    </w:rPr>
  </w:style>
  <w:style w:type="paragraph" w:styleId="Heading8">
    <w:name w:val="heading 8"/>
    <w:basedOn w:val="Normal"/>
    <w:next w:val="Normal"/>
    <w:qFormat/>
    <w:rsid w:val="00CE6571"/>
    <w:pPr>
      <w:numPr>
        <w:ilvl w:val="7"/>
        <w:numId w:val="12"/>
      </w:numPr>
      <w:spacing w:before="240" w:after="60"/>
      <w:outlineLvl w:val="7"/>
    </w:pPr>
    <w:rPr>
      <w:rFonts w:ascii="Times New Roman" w:hAnsi="Times New Roman"/>
      <w:i/>
      <w:iCs/>
      <w:sz w:val="24"/>
    </w:rPr>
  </w:style>
  <w:style w:type="paragraph" w:styleId="Heading9">
    <w:name w:val="heading 9"/>
    <w:basedOn w:val="Normal"/>
    <w:next w:val="Normal"/>
    <w:qFormat/>
    <w:rsid w:val="00CE6571"/>
    <w:pPr>
      <w:numPr>
        <w:ilvl w:val="8"/>
        <w:numId w:val="12"/>
      </w:num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87A22"/>
    <w:pPr>
      <w:tabs>
        <w:tab w:val="center" w:pos="4153"/>
        <w:tab w:val="right" w:pos="8306"/>
      </w:tabs>
    </w:pPr>
  </w:style>
  <w:style w:type="table" w:styleId="TableGrid">
    <w:name w:val="Table Grid"/>
    <w:basedOn w:val="TableNormal"/>
    <w:rsid w:val="00131ECC"/>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Pr>
  </w:style>
  <w:style w:type="paragraph" w:styleId="Footer">
    <w:name w:val="footer"/>
    <w:basedOn w:val="Normal"/>
    <w:rsid w:val="00487A22"/>
    <w:pPr>
      <w:tabs>
        <w:tab w:val="center" w:pos="4153"/>
        <w:tab w:val="right" w:pos="8306"/>
      </w:tabs>
    </w:pPr>
  </w:style>
  <w:style w:type="paragraph" w:customStyle="1" w:styleId="TSHeadingNumbered1">
    <w:name w:val="TS Heading Numbered 1."/>
    <w:basedOn w:val="Normal"/>
    <w:rsid w:val="00E32F3B"/>
    <w:pPr>
      <w:numPr>
        <w:numId w:val="12"/>
      </w:numPr>
      <w:spacing w:after="220"/>
      <w:outlineLvl w:val="0"/>
    </w:pPr>
    <w:rPr>
      <w:rFonts w:ascii="Arial Bold" w:hAnsi="Arial Bold"/>
      <w:b/>
      <w:caps/>
    </w:rPr>
  </w:style>
  <w:style w:type="paragraph" w:customStyle="1" w:styleId="TSHeadingNumbered11">
    <w:name w:val="TS Heading Numbered 1.1"/>
    <w:basedOn w:val="TSHeadingNumbered1"/>
    <w:rsid w:val="00CE6571"/>
    <w:pPr>
      <w:numPr>
        <w:ilvl w:val="1"/>
      </w:numPr>
    </w:pPr>
  </w:style>
  <w:style w:type="paragraph" w:customStyle="1" w:styleId="TSHeadingNumbered111">
    <w:name w:val="TS Heading Numbered 1.1.1"/>
    <w:basedOn w:val="TSHeadingNumbered1"/>
    <w:rsid w:val="00CE6571"/>
    <w:pPr>
      <w:numPr>
        <w:ilvl w:val="2"/>
      </w:numPr>
    </w:pPr>
  </w:style>
  <w:style w:type="paragraph" w:customStyle="1" w:styleId="TSHeadingNumbered1111">
    <w:name w:val="TS Heading Numbered 1.1.1.1"/>
    <w:basedOn w:val="TSHeadingNumbered1"/>
    <w:rsid w:val="00CE6571"/>
    <w:pPr>
      <w:numPr>
        <w:ilvl w:val="3"/>
      </w:numPr>
    </w:pPr>
  </w:style>
  <w:style w:type="character" w:styleId="Hyperlink">
    <w:name w:val="Hyperlink"/>
    <w:rsid w:val="009B5159"/>
    <w:rPr>
      <w:color w:val="0000FF"/>
      <w:u w:val="single"/>
    </w:rPr>
  </w:style>
  <w:style w:type="paragraph" w:customStyle="1" w:styleId="TSNumberedParagraph11">
    <w:name w:val="TS Numbered Paragraph 1.1"/>
    <w:basedOn w:val="TSHeadingNumbered11"/>
    <w:rsid w:val="00E32F3B"/>
    <w:rPr>
      <w:rFonts w:ascii="Arial" w:hAnsi="Arial"/>
      <w:b w:val="0"/>
      <w:caps w:val="0"/>
    </w:rPr>
  </w:style>
  <w:style w:type="character" w:customStyle="1" w:styleId="TSExampleText">
    <w:name w:val="TS Example Text"/>
    <w:rsid w:val="009B5159"/>
    <w:rPr>
      <w:i/>
      <w:iCs/>
      <w:color w:val="006D68"/>
    </w:rPr>
  </w:style>
  <w:style w:type="paragraph" w:styleId="TOC1">
    <w:name w:val="toc 1"/>
    <w:basedOn w:val="Normal"/>
    <w:next w:val="Normal"/>
    <w:autoRedefine/>
    <w:semiHidden/>
    <w:rsid w:val="00E32F3B"/>
    <w:pPr>
      <w:tabs>
        <w:tab w:val="left" w:pos="360"/>
        <w:tab w:val="right" w:leader="dot" w:pos="9180"/>
      </w:tabs>
      <w:ind w:left="360" w:hanging="360"/>
    </w:pPr>
    <w:rPr>
      <w:caps/>
    </w:rPr>
  </w:style>
  <w:style w:type="paragraph" w:customStyle="1" w:styleId="TSBullet1Square">
    <w:name w:val="TS Bullet 1 Square"/>
    <w:basedOn w:val="Normal"/>
    <w:rsid w:val="00B504F7"/>
    <w:pPr>
      <w:numPr>
        <w:numId w:val="16"/>
      </w:numPr>
      <w:spacing w:after="240"/>
      <w:contextualSpacing/>
    </w:pPr>
  </w:style>
  <w:style w:type="paragraph" w:customStyle="1" w:styleId="TSBullet2Circle">
    <w:name w:val="TS Bullet 2 Circle"/>
    <w:basedOn w:val="TSBullet1Square"/>
    <w:rsid w:val="00B504F7"/>
    <w:pPr>
      <w:numPr>
        <w:numId w:val="17"/>
      </w:numPr>
    </w:pPr>
  </w:style>
  <w:style w:type="paragraph" w:customStyle="1" w:styleId="TSNumberedParagraph1">
    <w:name w:val="TS Numbered Paragraph 1"/>
    <w:basedOn w:val="TSNumberedParagraph11"/>
    <w:rsid w:val="00E97293"/>
    <w:pPr>
      <w:numPr>
        <w:ilvl w:val="0"/>
        <w:numId w:val="0"/>
      </w:numPr>
      <w:tabs>
        <w:tab w:val="num" w:pos="-31680"/>
      </w:tabs>
      <w:ind w:left="720" w:hanging="720"/>
    </w:pPr>
  </w:style>
  <w:style w:type="paragraph" w:styleId="DocumentMap">
    <w:name w:val="Document Map"/>
    <w:basedOn w:val="Normal"/>
    <w:semiHidden/>
    <w:rsid w:val="00E32F3B"/>
    <w:pPr>
      <w:shd w:val="clear" w:color="auto" w:fill="000080"/>
    </w:pPr>
    <w:rPr>
      <w:rFonts w:ascii="Tahoma" w:hAnsi="Tahoma" w:cs="Tahoma"/>
      <w:sz w:val="20"/>
      <w:szCs w:val="20"/>
    </w:rPr>
  </w:style>
  <w:style w:type="paragraph" w:customStyle="1" w:styleId="StyleTSNumberedParagraph11Justified">
    <w:name w:val="Style TS Numbered Paragraph 1.1 + Justified"/>
    <w:basedOn w:val="TSNumberedParagraph11"/>
    <w:rsid w:val="00E32F3B"/>
    <w:pPr>
      <w:jc w:val="both"/>
    </w:pPr>
    <w:rPr>
      <w:szCs w:val="20"/>
    </w:rPr>
  </w:style>
  <w:style w:type="character" w:customStyle="1" w:styleId="HeaderChar">
    <w:name w:val="Header Char"/>
    <w:link w:val="Header"/>
    <w:locked/>
    <w:rsid w:val="007D545C"/>
    <w:rPr>
      <w:rFonts w:ascii="Arial" w:hAnsi="Arial"/>
      <w:sz w:val="22"/>
      <w:szCs w:val="24"/>
      <w:lang w:val="en-GB" w:eastAsia="en-US" w:bidi="ar-SA"/>
    </w:rPr>
  </w:style>
  <w:style w:type="character" w:styleId="CommentReference">
    <w:name w:val="annotation reference"/>
    <w:rsid w:val="00AE199F"/>
    <w:rPr>
      <w:sz w:val="16"/>
      <w:szCs w:val="16"/>
    </w:rPr>
  </w:style>
  <w:style w:type="paragraph" w:styleId="CommentText">
    <w:name w:val="annotation text"/>
    <w:basedOn w:val="Normal"/>
    <w:link w:val="CommentTextChar"/>
    <w:rsid w:val="00AE199F"/>
    <w:rPr>
      <w:sz w:val="20"/>
      <w:szCs w:val="20"/>
    </w:rPr>
  </w:style>
  <w:style w:type="character" w:customStyle="1" w:styleId="CommentTextChar">
    <w:name w:val="Comment Text Char"/>
    <w:link w:val="CommentText"/>
    <w:rsid w:val="00AE199F"/>
    <w:rPr>
      <w:rFonts w:ascii="Arial" w:hAnsi="Arial"/>
      <w:lang w:eastAsia="en-US"/>
    </w:rPr>
  </w:style>
  <w:style w:type="paragraph" w:styleId="CommentSubject">
    <w:name w:val="annotation subject"/>
    <w:basedOn w:val="CommentText"/>
    <w:next w:val="CommentText"/>
    <w:link w:val="CommentSubjectChar"/>
    <w:rsid w:val="00AE199F"/>
    <w:rPr>
      <w:b/>
      <w:bCs/>
    </w:rPr>
  </w:style>
  <w:style w:type="character" w:customStyle="1" w:styleId="CommentSubjectChar">
    <w:name w:val="Comment Subject Char"/>
    <w:link w:val="CommentSubject"/>
    <w:rsid w:val="00AE199F"/>
    <w:rPr>
      <w:rFonts w:ascii="Arial" w:hAnsi="Arial"/>
      <w:b/>
      <w:bCs/>
      <w:lang w:eastAsia="en-US"/>
    </w:rPr>
  </w:style>
  <w:style w:type="paragraph" w:styleId="BalloonText">
    <w:name w:val="Balloon Text"/>
    <w:basedOn w:val="Normal"/>
    <w:link w:val="BalloonTextChar"/>
    <w:rsid w:val="00AE199F"/>
    <w:rPr>
      <w:rFonts w:ascii="Tahoma" w:hAnsi="Tahoma" w:cs="Tahoma"/>
      <w:sz w:val="16"/>
      <w:szCs w:val="16"/>
    </w:rPr>
  </w:style>
  <w:style w:type="character" w:customStyle="1" w:styleId="BalloonTextChar">
    <w:name w:val="Balloon Text Char"/>
    <w:link w:val="BalloonText"/>
    <w:rsid w:val="00AE199F"/>
    <w:rPr>
      <w:rFonts w:ascii="Tahoma" w:hAnsi="Tahoma" w:cs="Tahoma"/>
      <w:sz w:val="16"/>
      <w:szCs w:val="16"/>
      <w:lang w:eastAsia="en-US"/>
    </w:rPr>
  </w:style>
  <w:style w:type="paragraph" w:styleId="ListParagraph">
    <w:name w:val="List Paragraph"/>
    <w:basedOn w:val="Normal"/>
    <w:uiPriority w:val="34"/>
    <w:qFormat/>
    <w:rsid w:val="00D75DA2"/>
    <w:pPr>
      <w:ind w:left="720"/>
      <w:contextualSpacing/>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34272">
      <w:bodyDiv w:val="1"/>
      <w:marLeft w:val="0"/>
      <w:marRight w:val="0"/>
      <w:marTop w:val="0"/>
      <w:marBottom w:val="0"/>
      <w:divBdr>
        <w:top w:val="none" w:sz="0" w:space="0" w:color="auto"/>
        <w:left w:val="none" w:sz="0" w:space="0" w:color="auto"/>
        <w:bottom w:val="none" w:sz="0" w:space="0" w:color="auto"/>
        <w:right w:val="none" w:sz="0" w:space="0" w:color="auto"/>
      </w:divBdr>
    </w:div>
    <w:div w:id="198863823">
      <w:bodyDiv w:val="1"/>
      <w:marLeft w:val="0"/>
      <w:marRight w:val="0"/>
      <w:marTop w:val="0"/>
      <w:marBottom w:val="0"/>
      <w:divBdr>
        <w:top w:val="none" w:sz="0" w:space="0" w:color="auto"/>
        <w:left w:val="none" w:sz="0" w:space="0" w:color="auto"/>
        <w:bottom w:val="none" w:sz="0" w:space="0" w:color="auto"/>
        <w:right w:val="none" w:sz="0" w:space="0" w:color="auto"/>
      </w:divBdr>
    </w:div>
    <w:div w:id="210728742">
      <w:bodyDiv w:val="1"/>
      <w:marLeft w:val="0"/>
      <w:marRight w:val="0"/>
      <w:marTop w:val="0"/>
      <w:marBottom w:val="0"/>
      <w:divBdr>
        <w:top w:val="none" w:sz="0" w:space="0" w:color="auto"/>
        <w:left w:val="none" w:sz="0" w:space="0" w:color="auto"/>
        <w:bottom w:val="none" w:sz="0" w:space="0" w:color="auto"/>
        <w:right w:val="none" w:sz="0" w:space="0" w:color="auto"/>
      </w:divBdr>
    </w:div>
    <w:div w:id="267662436">
      <w:bodyDiv w:val="1"/>
      <w:marLeft w:val="0"/>
      <w:marRight w:val="0"/>
      <w:marTop w:val="0"/>
      <w:marBottom w:val="0"/>
      <w:divBdr>
        <w:top w:val="none" w:sz="0" w:space="0" w:color="auto"/>
        <w:left w:val="none" w:sz="0" w:space="0" w:color="auto"/>
        <w:bottom w:val="none" w:sz="0" w:space="0" w:color="auto"/>
        <w:right w:val="none" w:sz="0" w:space="0" w:color="auto"/>
      </w:divBdr>
    </w:div>
    <w:div w:id="340084345">
      <w:bodyDiv w:val="1"/>
      <w:marLeft w:val="0"/>
      <w:marRight w:val="0"/>
      <w:marTop w:val="0"/>
      <w:marBottom w:val="0"/>
      <w:divBdr>
        <w:top w:val="none" w:sz="0" w:space="0" w:color="auto"/>
        <w:left w:val="none" w:sz="0" w:space="0" w:color="auto"/>
        <w:bottom w:val="none" w:sz="0" w:space="0" w:color="auto"/>
        <w:right w:val="none" w:sz="0" w:space="0" w:color="auto"/>
      </w:divBdr>
    </w:div>
    <w:div w:id="1267886219">
      <w:bodyDiv w:val="1"/>
      <w:marLeft w:val="0"/>
      <w:marRight w:val="0"/>
      <w:marTop w:val="0"/>
      <w:marBottom w:val="0"/>
      <w:divBdr>
        <w:top w:val="none" w:sz="0" w:space="0" w:color="auto"/>
        <w:left w:val="none" w:sz="0" w:space="0" w:color="auto"/>
        <w:bottom w:val="none" w:sz="0" w:space="0" w:color="auto"/>
        <w:right w:val="none" w:sz="0" w:space="0" w:color="auto"/>
      </w:divBdr>
    </w:div>
    <w:div w:id="1628513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onr.org.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ukhpr1000.co.uk/documents-library/step-3/"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nr.org.uk/new-reactors/uk-hpr1000/reports.htm"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700A7C9C51FC4F9F45C31CD46C9E20" ma:contentTypeVersion="8" ma:contentTypeDescription="Create a new document." ma:contentTypeScope="" ma:versionID="cc77fdc2ee4ee4b541a18eba9263852f">
  <xsd:schema xmlns:xsd="http://www.w3.org/2001/XMLSchema" xmlns:xs="http://www.w3.org/2001/XMLSchema" xmlns:p="http://schemas.microsoft.com/office/2006/metadata/properties" xmlns:ns3="a0bef00b-6270-4bf4-9060-f90332a887b8" targetNamespace="http://schemas.microsoft.com/office/2006/metadata/properties" ma:root="true" ma:fieldsID="ef4d7c76c18d061b26381d72013794bd" ns3:_="">
    <xsd:import namespace="a0bef00b-6270-4bf4-9060-f90332a887b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bef00b-6270-4bf4-9060-f90332a887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39A469-40C4-4545-A601-8C1B412FF5B0}">
  <ds:schemaRefs>
    <ds:schemaRef ds:uri="a0bef00b-6270-4bf4-9060-f90332a887b8"/>
    <ds:schemaRef ds:uri="http://purl.org/dc/dcmitype/"/>
    <ds:schemaRef ds:uri="http://purl.org/dc/elements/1.1/"/>
    <ds:schemaRef ds:uri="http://schemas.microsoft.com/office/2006/metadata/properties"/>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2FE990E7-B6DA-4BC2-8389-7CF848D78C15}">
  <ds:schemaRefs>
    <ds:schemaRef ds:uri="http://schemas.microsoft.com/sharepoint/v3/contenttype/forms"/>
  </ds:schemaRefs>
</ds:datastoreItem>
</file>

<file path=customXml/itemProps3.xml><?xml version="1.0" encoding="utf-8"?>
<ds:datastoreItem xmlns:ds="http://schemas.openxmlformats.org/officeDocument/2006/customXml" ds:itemID="{774A8AAD-0CD0-493A-B651-08A77A1B8D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bef00b-6270-4bf4-9060-f90332a887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94FCF45-EC54-4F2A-8B1F-75CA7389D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3077</Words>
  <Characters>17543</Characters>
  <Application>Microsoft Office Word</Application>
  <DocSecurity>4</DocSecurity>
  <Lines>146</Lines>
  <Paragraphs>41</Paragraphs>
  <ScaleCrop>false</ScaleCrop>
  <HeadingPairs>
    <vt:vector size="2" baseType="variant">
      <vt:variant>
        <vt:lpstr>Title</vt:lpstr>
      </vt:variant>
      <vt:variant>
        <vt:i4>1</vt:i4>
      </vt:variant>
    </vt:vector>
  </HeadingPairs>
  <TitlesOfParts>
    <vt:vector size="1" baseType="lpstr">
      <vt:lpstr>Document Type:</vt:lpstr>
    </vt:vector>
  </TitlesOfParts>
  <Company>Health and Safety Executive</Company>
  <LinksUpToDate>false</LinksUpToDate>
  <CharactersWithSpaces>20579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Type:</dc:title>
  <dc:creator>Pam Paul</dc:creator>
  <cp:lastModifiedBy>Val Mabbott</cp:lastModifiedBy>
  <cp:revision>2</cp:revision>
  <cp:lastPrinted>2018-10-29T09:55:00Z</cp:lastPrinted>
  <dcterms:created xsi:type="dcterms:W3CDTF">2020-07-24T13:31:00Z</dcterms:created>
  <dcterms:modified xsi:type="dcterms:W3CDTF">2020-07-24T13:31:00Z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0x0101009A700A7C9C51FC4F9F45C31CD46C9E20</vt:lpwstr>
  </property>
</Properties>
</file>