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264A1C" w14:textId="77777777" w:rsidR="001640BA" w:rsidRDefault="009E0A1B" w:rsidP="00DB5131">
      <w:pPr>
        <w:pStyle w:val="Heading1"/>
      </w:pPr>
      <w:r>
        <w:t>Terms of reference</w:t>
      </w:r>
    </w:p>
    <w:p w14:paraId="49B6FA40" w14:textId="0DDD0544" w:rsidR="006F2748" w:rsidRDefault="4EB00567" w:rsidP="00E22DA2">
      <w:pPr>
        <w:pStyle w:val="Heading2"/>
        <w:jc w:val="center"/>
      </w:pPr>
      <w:r>
        <w:t>Business Case for a mandatory Environment and Human Rights Due Diligence Obligation</w:t>
      </w:r>
    </w:p>
    <w:p w14:paraId="4A071321" w14:textId="639BFD22" w:rsidR="00E22DA2" w:rsidRPr="00E22DA2" w:rsidRDefault="00E22DA2" w:rsidP="4EB00567"/>
    <w:p w14:paraId="56A65FF3" w14:textId="31612BD1" w:rsidR="00E22DA2" w:rsidRPr="00E22DA2" w:rsidRDefault="4EB00567" w:rsidP="4EB00567">
      <w:pPr>
        <w:pStyle w:val="Heading2"/>
      </w:pPr>
      <w:r>
        <w:t>Objectives of the project</w:t>
      </w:r>
    </w:p>
    <w:p w14:paraId="3D2E88B2" w14:textId="77777777" w:rsidR="00E22DA2" w:rsidRPr="00E22DA2" w:rsidRDefault="00E22DA2" w:rsidP="4EB00567">
      <w:pPr>
        <w:spacing w:after="0" w:line="240" w:lineRule="auto"/>
        <w:rPr>
          <w:color w:val="000000" w:themeColor="text1"/>
        </w:rPr>
      </w:pPr>
    </w:p>
    <w:p w14:paraId="7DA4B06A" w14:textId="77777777" w:rsidR="00E22DA2" w:rsidRPr="00E22DA2" w:rsidRDefault="4EB00567" w:rsidP="4EB00567">
      <w:pPr>
        <w:spacing w:after="0" w:line="240" w:lineRule="auto"/>
        <w:rPr>
          <w:color w:val="000000" w:themeColor="text1"/>
        </w:rPr>
      </w:pPr>
      <w:r w:rsidRPr="4EB00567">
        <w:rPr>
          <w:color w:val="000000" w:themeColor="text1"/>
        </w:rPr>
        <w:t xml:space="preserve">Within the UK, there is support from across civil society and increasingly from the business community itself for the introduction of a mandatory due diligence obligation on business and investors.  </w:t>
      </w:r>
    </w:p>
    <w:p w14:paraId="71E30051" w14:textId="77777777" w:rsidR="00E22DA2" w:rsidRPr="00E22DA2" w:rsidRDefault="00E22DA2" w:rsidP="4EB00567">
      <w:pPr>
        <w:spacing w:after="0" w:line="240" w:lineRule="auto"/>
        <w:rPr>
          <w:color w:val="000000" w:themeColor="text1"/>
        </w:rPr>
      </w:pPr>
    </w:p>
    <w:p w14:paraId="086F16CD" w14:textId="4C02C3DB" w:rsidR="00E22DA2" w:rsidRPr="00E22DA2" w:rsidRDefault="4EB00567" w:rsidP="4EB00567">
      <w:pPr>
        <w:spacing w:after="0" w:line="240" w:lineRule="auto"/>
        <w:rPr>
          <w:color w:val="000000" w:themeColor="text1"/>
        </w:rPr>
      </w:pPr>
      <w:r w:rsidRPr="4EB00567">
        <w:t xml:space="preserve">Government have undertaken a high-level impact assessment covering the likely costs to business and government. In recognition that this initial assessment was based on </w:t>
      </w:r>
      <w:proofErr w:type="gramStart"/>
      <w:r w:rsidRPr="4EB00567">
        <w:t>a number of</w:t>
      </w:r>
      <w:proofErr w:type="gramEnd"/>
      <w:r w:rsidRPr="4EB00567">
        <w:t xml:space="preserve"> assumptions they have kicked off a full impact assessment. They are interested in receiving evidence from external organisations to inform this process. WWF would therefore like to provide evidence of the financial value at risk for UK headquartered companies resulting from environmental degradation and of the financial benefits to business of proactive action to address environmental risks, supported by real world case studies. </w:t>
      </w:r>
    </w:p>
    <w:p w14:paraId="1DD8F9B4" w14:textId="58EFE2D9" w:rsidR="00E22DA2" w:rsidRPr="00E22DA2" w:rsidRDefault="00E22DA2" w:rsidP="4EB00567">
      <w:pPr>
        <w:spacing w:after="0" w:line="240" w:lineRule="auto"/>
      </w:pPr>
    </w:p>
    <w:p w14:paraId="355A112B" w14:textId="1D313B7D" w:rsidR="00E22DA2" w:rsidRPr="00E22DA2" w:rsidRDefault="4EB00567" w:rsidP="4EB00567">
      <w:r w:rsidRPr="4EB00567">
        <w:t>WWF would therefore like this study to set out the business case for a Due Diligence Obligation providing data on:</w:t>
      </w:r>
    </w:p>
    <w:p w14:paraId="6E2A5FFE" w14:textId="24FDD894" w:rsidR="00E22DA2" w:rsidRPr="00E22DA2" w:rsidRDefault="4EB00567" w:rsidP="4EB00567">
      <w:pPr>
        <w:pStyle w:val="ListParagraph"/>
        <w:numPr>
          <w:ilvl w:val="0"/>
          <w:numId w:val="11"/>
        </w:numPr>
      </w:pPr>
      <w:r w:rsidRPr="4EB00567">
        <w:t>The risks of the depletion of nature to business, drawing out financial value at risk/impact.</w:t>
      </w:r>
    </w:p>
    <w:p w14:paraId="39D3F9EE" w14:textId="3681F487" w:rsidR="00E22DA2" w:rsidRPr="00E22DA2" w:rsidRDefault="4EB00567" w:rsidP="4EB00567">
      <w:pPr>
        <w:pStyle w:val="ListParagraph"/>
        <w:numPr>
          <w:ilvl w:val="0"/>
          <w:numId w:val="11"/>
        </w:numPr>
      </w:pPr>
      <w:r w:rsidRPr="4EB00567">
        <w:t>The benefits of a forward-looking risk based due diligence obligation to business (for example supply chain resilience, avoiding stranded assets, social license to operate, recruitment and retention of talent, reduced staff turnover etc, levelling the playing field in corporate environmental responsibility)</w:t>
      </w:r>
    </w:p>
    <w:p w14:paraId="6D053D63" w14:textId="4EF59F6D" w:rsidR="00E22DA2" w:rsidRPr="00E22DA2" w:rsidRDefault="4EB00567" w:rsidP="4EB00567">
      <w:pPr>
        <w:pStyle w:val="ListParagraph"/>
        <w:numPr>
          <w:ilvl w:val="0"/>
          <w:numId w:val="11"/>
        </w:numPr>
      </w:pPr>
      <w:r w:rsidRPr="4EB00567">
        <w:t xml:space="preserve">Case studies of action being taken by business on a voluntary basis, providing evidence off the financial and wider benefits. </w:t>
      </w:r>
    </w:p>
    <w:p w14:paraId="0EC099E8" w14:textId="389300BF" w:rsidR="00E22DA2" w:rsidRPr="00E22DA2" w:rsidRDefault="4EB00567" w:rsidP="00E22DA2">
      <w:r>
        <w:t>The study should focus on UK headquartered companies.</w:t>
      </w:r>
    </w:p>
    <w:p w14:paraId="29AC1235" w14:textId="25B37191" w:rsidR="006F2748" w:rsidRDefault="4EB00567" w:rsidP="006F2748">
      <w:pPr>
        <w:pStyle w:val="Heading2"/>
      </w:pPr>
      <w:r>
        <w:t xml:space="preserve">Why is a Due Diligence Obligation needed? </w:t>
      </w:r>
    </w:p>
    <w:p w14:paraId="631D6914" w14:textId="19ADE9AB" w:rsidR="4EB00567" w:rsidRDefault="4EB00567" w:rsidP="4EB00567"/>
    <w:p w14:paraId="39D65A26" w14:textId="3F35648C" w:rsidR="002B43B1" w:rsidRDefault="007A3436" w:rsidP="007A3436">
      <w:pPr>
        <w:spacing w:after="0" w:line="240" w:lineRule="auto"/>
        <w:rPr>
          <w:rFonts w:ascii="Times New Roman" w:hAnsi="Times New Roman" w:cs="Times New Roman"/>
          <w:sz w:val="24"/>
          <w:szCs w:val="24"/>
        </w:rPr>
      </w:pPr>
      <w:r>
        <w:rPr>
          <w:color w:val="000000"/>
        </w:rPr>
        <w:t xml:space="preserve">As graphically illustrated by the recent intergovernmental Global Biodiversity Assessment Report, we are witnessing unprecedented and catastrophic rates of biodiversity loss, both domestically and globally. </w:t>
      </w:r>
      <w:r>
        <w:rPr>
          <w:rFonts w:ascii="Times New Roman" w:hAnsi="Times New Roman" w:cs="Times New Roman"/>
          <w:sz w:val="24"/>
          <w:szCs w:val="24"/>
        </w:rPr>
        <w:t xml:space="preserve"> </w:t>
      </w:r>
    </w:p>
    <w:p w14:paraId="7FD2C52A" w14:textId="77777777" w:rsidR="002B43B1" w:rsidRDefault="002B43B1" w:rsidP="007A3436">
      <w:pPr>
        <w:spacing w:after="0" w:line="240" w:lineRule="auto"/>
        <w:rPr>
          <w:rFonts w:ascii="Times New Roman" w:hAnsi="Times New Roman" w:cs="Times New Roman"/>
          <w:sz w:val="24"/>
          <w:szCs w:val="24"/>
        </w:rPr>
      </w:pPr>
    </w:p>
    <w:p w14:paraId="0D5DB1FC" w14:textId="4965A0E6" w:rsidR="007A3436" w:rsidRDefault="00576ACE" w:rsidP="007A3436">
      <w:pPr>
        <w:spacing w:after="0" w:line="240" w:lineRule="auto"/>
        <w:rPr>
          <w:rFonts w:cstheme="minorHAnsi"/>
        </w:rPr>
      </w:pPr>
      <w:r w:rsidRPr="00576ACE">
        <w:rPr>
          <w:rFonts w:cstheme="minorHAnsi"/>
        </w:rPr>
        <w:t xml:space="preserve">Right now, the Amazon is burning. July 2019 saw the highest temperature ever recorded in the UK, and globally, the hottest month since temperature records began. </w:t>
      </w:r>
    </w:p>
    <w:p w14:paraId="5ADA7D88" w14:textId="77777777" w:rsidR="002B43B1" w:rsidRPr="007A3436" w:rsidRDefault="002B43B1" w:rsidP="007A3436">
      <w:pPr>
        <w:spacing w:after="0" w:line="240" w:lineRule="auto"/>
        <w:rPr>
          <w:rFonts w:ascii="Times New Roman" w:hAnsi="Times New Roman" w:cs="Times New Roman"/>
          <w:sz w:val="24"/>
          <w:szCs w:val="24"/>
        </w:rPr>
      </w:pPr>
    </w:p>
    <w:p w14:paraId="65512EA8" w14:textId="5C70BC20" w:rsidR="00576ACE" w:rsidRPr="00576ACE" w:rsidRDefault="00576ACE" w:rsidP="00576ACE">
      <w:pPr>
        <w:textAlignment w:val="baseline"/>
        <w:rPr>
          <w:rFonts w:cstheme="minorHAnsi"/>
        </w:rPr>
      </w:pPr>
      <w:r w:rsidRPr="00576ACE">
        <w:rPr>
          <w:rFonts w:cstheme="minorHAnsi"/>
        </w:rPr>
        <w:t>Globally, wildlife populations have decreased by an average of 60% since 1970. </w:t>
      </w:r>
    </w:p>
    <w:p w14:paraId="0D44D246" w14:textId="6C61448C" w:rsidR="00856097" w:rsidRDefault="00856097" w:rsidP="00856097">
      <w:pPr>
        <w:spacing w:after="0" w:line="240" w:lineRule="auto"/>
        <w:rPr>
          <w:color w:val="000000"/>
        </w:rPr>
      </w:pPr>
      <w:r>
        <w:rPr>
          <w:color w:val="000000"/>
        </w:rPr>
        <w:t xml:space="preserve">The current policy and legislative framework </w:t>
      </w:r>
      <w:proofErr w:type="gramStart"/>
      <w:r>
        <w:rPr>
          <w:color w:val="000000"/>
        </w:rPr>
        <w:t>is</w:t>
      </w:r>
      <w:proofErr w:type="gramEnd"/>
      <w:r>
        <w:rPr>
          <w:color w:val="000000"/>
        </w:rPr>
        <w:t xml:space="preserve"> not proving adequate to halt and reverse the environmental damage caused by our economic activity. While part of the problem is that, both in the UK and internationally, environmental laws are often not fully implemented or enforced, it is also the case that current environmental legislation, even if fully complied with, will not on its own do enough to ensure that biodiversity loss is prevented and reversed. </w:t>
      </w:r>
    </w:p>
    <w:p w14:paraId="0459F448" w14:textId="77777777" w:rsidR="00965675" w:rsidRDefault="00965675" w:rsidP="00856097">
      <w:pPr>
        <w:spacing w:after="0" w:line="240" w:lineRule="auto"/>
        <w:rPr>
          <w:color w:val="000000"/>
        </w:rPr>
      </w:pPr>
    </w:p>
    <w:p w14:paraId="24436E65" w14:textId="520C1DEA" w:rsidR="00856097" w:rsidRDefault="00856097" w:rsidP="00856097">
      <w:pPr>
        <w:spacing w:after="0" w:line="240" w:lineRule="auto"/>
        <w:rPr>
          <w:color w:val="000000"/>
        </w:rPr>
      </w:pPr>
      <w:r>
        <w:rPr>
          <w:color w:val="000000"/>
        </w:rPr>
        <w:lastRenderedPageBreak/>
        <w:t>Many businesses do, as a matter of corporate social responsibility, seek to go beyond legal compliance and have adopted policies and voluntary initiatives to tackle sustainability challenges. However, these voluntary efforts are not enough to address the problem</w:t>
      </w:r>
      <w:r>
        <w:rPr>
          <w:color w:val="000000"/>
          <w:vertAlign w:val="superscript"/>
        </w:rPr>
        <w:footnoteReference w:id="2"/>
      </w:r>
      <w:r>
        <w:rPr>
          <w:color w:val="000000"/>
        </w:rPr>
        <w:t xml:space="preserve">. Market incentives alone are not promoting </w:t>
      </w:r>
      <w:proofErr w:type="gramStart"/>
      <w:r>
        <w:rPr>
          <w:color w:val="000000"/>
        </w:rPr>
        <w:t>sufficient</w:t>
      </w:r>
      <w:proofErr w:type="gramEnd"/>
      <w:r>
        <w:rPr>
          <w:color w:val="000000"/>
        </w:rPr>
        <w:t xml:space="preserve"> action to address environmental damage across the breadth of the business sector and business sustainability leaders complain that there is no level playing field. </w:t>
      </w:r>
    </w:p>
    <w:p w14:paraId="49EEDD8D" w14:textId="77777777" w:rsidR="00856097" w:rsidRDefault="00856097" w:rsidP="00856097">
      <w:pPr>
        <w:spacing w:after="0" w:line="240" w:lineRule="auto"/>
        <w:rPr>
          <w:color w:val="000000"/>
        </w:rPr>
      </w:pPr>
    </w:p>
    <w:p w14:paraId="6BB64149" w14:textId="77777777" w:rsidR="00856097" w:rsidRDefault="00856097" w:rsidP="00856097">
      <w:pPr>
        <w:spacing w:after="0" w:line="240" w:lineRule="auto"/>
        <w:rPr>
          <w:color w:val="000000"/>
        </w:rPr>
      </w:pPr>
      <w:r>
        <w:rPr>
          <w:color w:val="000000"/>
        </w:rPr>
        <w:t xml:space="preserve">More generally, there is little assurance that the coverage and depth of these policies is adequate, coherent or </w:t>
      </w:r>
      <w:proofErr w:type="gramStart"/>
      <w:r>
        <w:rPr>
          <w:color w:val="000000"/>
        </w:rPr>
        <w:t>actually implemented</w:t>
      </w:r>
      <w:proofErr w:type="gramEnd"/>
      <w:r>
        <w:rPr>
          <w:color w:val="000000"/>
        </w:rPr>
        <w:t xml:space="preserve">. Environmental and human rights issues can too often be relegated to a corporate social responsibility silo and are not given proper consideration by the Board or senior management.  </w:t>
      </w:r>
    </w:p>
    <w:p w14:paraId="49F39045" w14:textId="77777777" w:rsidR="00856097" w:rsidRDefault="00856097" w:rsidP="00856097">
      <w:pPr>
        <w:spacing w:after="0" w:line="240" w:lineRule="auto"/>
        <w:rPr>
          <w:color w:val="000000"/>
        </w:rPr>
      </w:pPr>
    </w:p>
    <w:p w14:paraId="1FF27F8F" w14:textId="77777777" w:rsidR="00856097" w:rsidRDefault="00856097" w:rsidP="00856097">
      <w:pPr>
        <w:spacing w:after="0" w:line="240" w:lineRule="auto"/>
      </w:pPr>
      <w:r>
        <w:rPr>
          <w:color w:val="000000"/>
        </w:rPr>
        <w:t xml:space="preserve">Current corporate reporting obligations require primarily a retrospective review of a company’s operations and do not require a forward-looking consideration of the risks a company’s operations may pose. </w:t>
      </w:r>
      <w:r>
        <w:t xml:space="preserve">A new due diligence obligation is needed which is anticipatory, preventative, and robust. </w:t>
      </w:r>
    </w:p>
    <w:p w14:paraId="138623C2" w14:textId="35E46E4E" w:rsidR="00773700" w:rsidRDefault="00773700" w:rsidP="00773700">
      <w:pPr>
        <w:spacing w:after="0" w:line="240" w:lineRule="auto"/>
        <w:rPr>
          <w:color w:val="000000"/>
        </w:rPr>
      </w:pPr>
      <w:r>
        <w:rPr>
          <w:color w:val="000000"/>
        </w:rPr>
        <w:t>While a range of measures will ultimately be required to fully address the problem, a comprehensive due diligence obligation on business will drive awareness of</w:t>
      </w:r>
      <w:r>
        <w:t xml:space="preserve"> </w:t>
      </w:r>
      <w:r>
        <w:rPr>
          <w:color w:val="000000"/>
        </w:rPr>
        <w:t>sustainability considerations at Board level, see them more fully integrated into internal functions and processes, and help anticipate, avoid and remedy environmental and associated human rights problems.</w:t>
      </w:r>
    </w:p>
    <w:p w14:paraId="17686714" w14:textId="77777777" w:rsidR="005532C6" w:rsidRDefault="005532C6" w:rsidP="00773700">
      <w:pPr>
        <w:spacing w:after="0" w:line="240" w:lineRule="auto"/>
        <w:rPr>
          <w:color w:val="000000"/>
        </w:rPr>
      </w:pPr>
    </w:p>
    <w:p w14:paraId="1C168BA4" w14:textId="77777777" w:rsidR="00773700" w:rsidRDefault="00773700" w:rsidP="00773700">
      <w:pPr>
        <w:spacing w:after="0" w:line="240" w:lineRule="auto"/>
        <w:rPr>
          <w:color w:val="000000"/>
        </w:rPr>
      </w:pPr>
      <w:bookmarkStart w:id="0" w:name="_30j0zll"/>
      <w:bookmarkEnd w:id="0"/>
      <w:r>
        <w:rPr>
          <w:color w:val="000000"/>
        </w:rPr>
        <w:t xml:space="preserve">Due diligence is a risk-focused system which offers a flexible and proportionate approach which can be adjusted to suit the size and nature of the operations of the business concerned. </w:t>
      </w:r>
    </w:p>
    <w:p w14:paraId="27F7D4F7" w14:textId="77777777" w:rsidR="00773700" w:rsidRDefault="00773700" w:rsidP="00773700">
      <w:pPr>
        <w:spacing w:after="0" w:line="240" w:lineRule="auto"/>
        <w:rPr>
          <w:color w:val="000000"/>
        </w:rPr>
      </w:pPr>
    </w:p>
    <w:p w14:paraId="69B1DF05" w14:textId="77777777" w:rsidR="00773700" w:rsidRDefault="00773700" w:rsidP="00773700">
      <w:pPr>
        <w:spacing w:after="0" w:line="240" w:lineRule="auto"/>
        <w:rPr>
          <w:color w:val="000000"/>
        </w:rPr>
      </w:pPr>
      <w:r>
        <w:rPr>
          <w:color w:val="000000"/>
        </w:rPr>
        <w:t>Such a provision would bring tangible reputational and financial benefits to British business and the public purse. As environmental and human rights issues become more complex,</w:t>
      </w:r>
      <w:r>
        <w:t xml:space="preserve"> widespread, and urgent</w:t>
      </w:r>
      <w:r>
        <w:rPr>
          <w:color w:val="000000"/>
        </w:rPr>
        <w:t xml:space="preserve"> those organisations that build solutions into their plans and investments at the outset rather than leaving them to be resolved after the fact will benefit most.</w:t>
      </w:r>
    </w:p>
    <w:p w14:paraId="67C5B41B" w14:textId="77777777" w:rsidR="00773700" w:rsidRDefault="00773700" w:rsidP="00773700">
      <w:pPr>
        <w:spacing w:after="0" w:line="240" w:lineRule="auto"/>
        <w:rPr>
          <w:color w:val="000000"/>
        </w:rPr>
      </w:pPr>
    </w:p>
    <w:p w14:paraId="269B623A" w14:textId="17B7EB0B" w:rsidR="00773700" w:rsidRDefault="00773700" w:rsidP="66BF1A32">
      <w:pPr>
        <w:spacing w:after="0" w:line="240" w:lineRule="auto"/>
        <w:rPr>
          <w:color w:val="000000" w:themeColor="text1"/>
          <w:vertAlign w:val="superscript"/>
        </w:rPr>
      </w:pPr>
      <w:r>
        <w:rPr>
          <w:color w:val="000000"/>
        </w:rPr>
        <w:t>The</w:t>
      </w:r>
      <w:r w:rsidR="001B7570">
        <w:rPr>
          <w:color w:val="000000"/>
        </w:rPr>
        <w:t xml:space="preserve">re </w:t>
      </w:r>
      <w:r w:rsidR="00E906A2">
        <w:rPr>
          <w:color w:val="000000"/>
        </w:rPr>
        <w:t xml:space="preserve">is an opportunity for the </w:t>
      </w:r>
      <w:r>
        <w:rPr>
          <w:color w:val="000000"/>
        </w:rPr>
        <w:t>UK to show international leadership by legislating for a new due diligence obligation. Reforms at EU level (and within other jurisdictions such as France, Switzerland and Germany) are all pointing in this direction.</w:t>
      </w:r>
    </w:p>
    <w:p w14:paraId="05C0C750" w14:textId="4FAAF206" w:rsidR="00DD16D0" w:rsidRDefault="00DD16D0" w:rsidP="00773700">
      <w:pPr>
        <w:spacing w:after="0" w:line="240" w:lineRule="auto"/>
        <w:rPr>
          <w:color w:val="000000"/>
        </w:rPr>
      </w:pPr>
    </w:p>
    <w:p w14:paraId="6C139F3A" w14:textId="51A41420" w:rsidR="00DD16D0" w:rsidRDefault="00DD16D0" w:rsidP="00DD16D0">
      <w:pPr>
        <w:pStyle w:val="Heading2"/>
      </w:pPr>
      <w:r>
        <w:t xml:space="preserve">WWF’s Due Diligence Proposal </w:t>
      </w:r>
    </w:p>
    <w:p w14:paraId="7DD6FACD" w14:textId="77777777" w:rsidR="00DD16D0" w:rsidRDefault="00DD16D0" w:rsidP="00DD16D0">
      <w:pPr>
        <w:spacing w:after="0" w:line="240" w:lineRule="auto"/>
        <w:rPr>
          <w:color w:val="000000"/>
        </w:rPr>
      </w:pPr>
    </w:p>
    <w:p w14:paraId="3B607A1E" w14:textId="7CA30F7C" w:rsidR="00DD16D0" w:rsidRDefault="4EB00567" w:rsidP="4EB00567">
      <w:pPr>
        <w:spacing w:after="0" w:line="240" w:lineRule="auto"/>
        <w:rPr>
          <w:color w:val="000000" w:themeColor="text1"/>
        </w:rPr>
      </w:pPr>
      <w:r w:rsidRPr="4EB00567">
        <w:rPr>
          <w:color w:val="000000" w:themeColor="text1"/>
        </w:rPr>
        <w:t xml:space="preserve">WWF envisage a due diligence obligation on companies and investors which would apply to both domestic and international activities and would require them to look forward as well as backward in facilitating the prevention of environmental harm. </w:t>
      </w:r>
    </w:p>
    <w:p w14:paraId="7F399D3F" w14:textId="77777777" w:rsidR="00DD16D0" w:rsidRDefault="00DD16D0" w:rsidP="00DD16D0">
      <w:pPr>
        <w:spacing w:after="0" w:line="240" w:lineRule="auto"/>
        <w:rPr>
          <w:color w:val="000000"/>
        </w:rPr>
      </w:pPr>
    </w:p>
    <w:p w14:paraId="60527D9C" w14:textId="77777777" w:rsidR="00DD16D0" w:rsidRDefault="00DD16D0" w:rsidP="00DD16D0">
      <w:pPr>
        <w:spacing w:after="0" w:line="240" w:lineRule="auto"/>
        <w:rPr>
          <w:color w:val="000000"/>
        </w:rPr>
      </w:pPr>
      <w:r>
        <w:rPr>
          <w:color w:val="000000"/>
        </w:rPr>
        <w:t>A company would be required to produce a due diligence plan, appropriate to its size and the scale of its impacts and developed in consultation with stakeholders, and should set out what the company proposes to do to prevent environmental and human rights risks and harms, prioritising those areas where the risks of adverse impacts are most significant (this could be certain operating contexts, particular operations, products or services). The legislation should specify the essential requirements of the plan to avoid it becoming a tick box exercise and to ensure a minimum level of consistency in how businesses approach meeting the new obligation</w:t>
      </w:r>
    </w:p>
    <w:p w14:paraId="57A9B019" w14:textId="77777777" w:rsidR="00DD16D0" w:rsidRDefault="00DD16D0" w:rsidP="00DD16D0">
      <w:pPr>
        <w:spacing w:after="0" w:line="240" w:lineRule="auto"/>
        <w:rPr>
          <w:color w:val="000000"/>
        </w:rPr>
      </w:pPr>
    </w:p>
    <w:p w14:paraId="23D59489" w14:textId="77777777" w:rsidR="00DD16D0" w:rsidRDefault="00DD16D0" w:rsidP="00DD16D0">
      <w:pPr>
        <w:spacing w:after="0" w:line="240" w:lineRule="auto"/>
        <w:rPr>
          <w:color w:val="000000"/>
        </w:rPr>
      </w:pPr>
      <w:r>
        <w:rPr>
          <w:color w:val="000000"/>
        </w:rPr>
        <w:t xml:space="preserve">The obligation would require businesses to:  </w:t>
      </w:r>
    </w:p>
    <w:p w14:paraId="53B0235C" w14:textId="77777777" w:rsidR="00DD16D0" w:rsidRDefault="00DD16D0" w:rsidP="00DD16D0">
      <w:pPr>
        <w:spacing w:after="0" w:line="240" w:lineRule="auto"/>
        <w:rPr>
          <w:color w:val="000000"/>
        </w:rPr>
      </w:pPr>
    </w:p>
    <w:p w14:paraId="2749673A" w14:textId="5A20F47B" w:rsidR="00DD16D0" w:rsidRDefault="4EB00567" w:rsidP="00DD16D0">
      <w:pPr>
        <w:numPr>
          <w:ilvl w:val="0"/>
          <w:numId w:val="15"/>
        </w:numPr>
        <w:spacing w:after="0" w:line="240" w:lineRule="auto"/>
      </w:pPr>
      <w:r>
        <w:lastRenderedPageBreak/>
        <w:t xml:space="preserve"> Identify and assess the nature of the actual and potential adverse impacts on the environment and human rights</w:t>
      </w:r>
      <w:r w:rsidRPr="4EB00567">
        <w:rPr>
          <w:color w:val="000000" w:themeColor="text1"/>
        </w:rPr>
        <w:t xml:space="preserve"> throughout their supply chains and investment chains</w:t>
      </w:r>
      <w:r>
        <w:t>;</w:t>
      </w:r>
    </w:p>
    <w:p w14:paraId="4609D7A3" w14:textId="77777777" w:rsidR="00DD16D0" w:rsidRDefault="00DD16D0" w:rsidP="00DD16D0">
      <w:pPr>
        <w:numPr>
          <w:ilvl w:val="0"/>
          <w:numId w:val="15"/>
        </w:numPr>
        <w:spacing w:after="0" w:line="240" w:lineRule="auto"/>
      </w:pPr>
      <w:r>
        <w:t>Take appropriate action to avoid, mitigate and remediate the negative impacts identified and assessed;</w:t>
      </w:r>
    </w:p>
    <w:p w14:paraId="02A27191" w14:textId="77777777" w:rsidR="00DD16D0" w:rsidRDefault="00DD16D0" w:rsidP="00DD16D0">
      <w:pPr>
        <w:numPr>
          <w:ilvl w:val="0"/>
          <w:numId w:val="15"/>
        </w:numPr>
        <w:spacing w:after="0" w:line="240" w:lineRule="auto"/>
      </w:pPr>
      <w:r>
        <w:t>Where impacts cannot be adequately mitigated, cease operations and investments;</w:t>
      </w:r>
    </w:p>
    <w:p w14:paraId="2CEB89FD" w14:textId="77777777" w:rsidR="00DD16D0" w:rsidRDefault="00DD16D0" w:rsidP="00DD16D0">
      <w:pPr>
        <w:numPr>
          <w:ilvl w:val="0"/>
          <w:numId w:val="15"/>
        </w:numPr>
        <w:spacing w:after="0" w:line="240" w:lineRule="auto"/>
      </w:pPr>
      <w:r>
        <w:rPr>
          <w:color w:val="000000"/>
        </w:rPr>
        <w:t xml:space="preserve">Report on implementation of the due diligence plan including actions taken and the effectiveness of those actions. The reporting requirement should be developed or integrated with existing corporate reporting legal obligations. </w:t>
      </w:r>
    </w:p>
    <w:p w14:paraId="63197F3C" w14:textId="77777777" w:rsidR="00DD16D0" w:rsidRDefault="00DD16D0" w:rsidP="00DD16D0">
      <w:pPr>
        <w:spacing w:after="0" w:line="240" w:lineRule="auto"/>
        <w:rPr>
          <w:color w:val="000000"/>
        </w:rPr>
      </w:pPr>
    </w:p>
    <w:p w14:paraId="643306D9" w14:textId="77777777" w:rsidR="00DD16D0" w:rsidRDefault="00DD16D0" w:rsidP="00DD16D0">
      <w:pPr>
        <w:spacing w:after="0" w:line="240" w:lineRule="auto"/>
        <w:rPr>
          <w:color w:val="000000"/>
        </w:rPr>
      </w:pPr>
      <w:r>
        <w:rPr>
          <w:color w:val="000000"/>
        </w:rPr>
        <w:t>Enforceability and accountability will be key to the success of the obligation. Stakeholders should have the opportunity to engage companies on the inadequacy of, or failure to properly implement, their due diligence plan, with the opportunity to refer complaints to a suitable regulatory body. Formal sanctions for failing to carry out the obligation will be required and could include: initial warning, directions to improve due diligence or to implement measures, fines (including as a percentage of turnover), directors’ disqualification, removal of permits, and ineligibility for public contracts. Other o</w:t>
      </w:r>
      <w:r>
        <w:rPr>
          <w:color w:val="201F1E"/>
          <w:shd w:val="clear" w:color="auto" w:fill="FFFFFF"/>
        </w:rPr>
        <w:t>ptions that could be considered include the possibility that </w:t>
      </w:r>
      <w:r>
        <w:rPr>
          <w:color w:val="000000"/>
          <w:bdr w:val="none" w:sz="0" w:space="0" w:color="auto" w:frame="1"/>
          <w:shd w:val="clear" w:color="auto" w:fill="FFFFFF"/>
        </w:rPr>
        <w:t>individuals or groups who are negatively affected by non-compliance with the due diligence obligation could hold companies liable in private law for that failure.</w:t>
      </w:r>
    </w:p>
    <w:p w14:paraId="149A9BCF" w14:textId="77777777" w:rsidR="00DD16D0" w:rsidRDefault="00DD16D0" w:rsidP="00DD16D0">
      <w:pPr>
        <w:spacing w:after="0" w:line="240" w:lineRule="auto"/>
        <w:rPr>
          <w:color w:val="000000"/>
        </w:rPr>
      </w:pPr>
    </w:p>
    <w:p w14:paraId="77DACB36" w14:textId="2B69D119" w:rsidR="0000305F" w:rsidRPr="000C4AE0" w:rsidRDefault="4EB00567" w:rsidP="000C4AE0">
      <w:pPr>
        <w:spacing w:after="0" w:line="240" w:lineRule="auto"/>
        <w:rPr>
          <w:color w:val="000000"/>
        </w:rPr>
      </w:pPr>
      <w:r w:rsidRPr="4EB00567">
        <w:rPr>
          <w:color w:val="000000" w:themeColor="text1"/>
        </w:rPr>
        <w:t xml:space="preserve">An appropriate institution should undertake periodic more detailed audits of the effectiveness of the measure, focusing on individual companies, sectors or supply chains. The Secretary of State should include in their annual report on Environmental Improvement Plans under the Environment Act an assessment of the application of the duty and should formally review the effectiveness of the duty after 3 years, including by commissioning an independent assessment. </w:t>
      </w:r>
    </w:p>
    <w:p w14:paraId="2BB9C457" w14:textId="629AEF71" w:rsidR="4EB00567" w:rsidRDefault="4EB00567" w:rsidP="4EB00567">
      <w:pPr>
        <w:pStyle w:val="Heading2"/>
      </w:pPr>
    </w:p>
    <w:p w14:paraId="1A65D5A9" w14:textId="15876DF2" w:rsidR="00AF741E" w:rsidRDefault="001955D3" w:rsidP="001B2319">
      <w:pPr>
        <w:pStyle w:val="Heading2"/>
      </w:pPr>
      <w:r>
        <w:t>What would success</w:t>
      </w:r>
      <w:r w:rsidR="00E143A2">
        <w:t xml:space="preserve"> for this piece of work</w:t>
      </w:r>
      <w:r>
        <w:t xml:space="preserve"> look like?</w:t>
      </w:r>
      <w:r w:rsidR="00B54FB9">
        <w:t xml:space="preserve"> </w:t>
      </w:r>
    </w:p>
    <w:p w14:paraId="0791A9CB" w14:textId="77777777" w:rsidR="000C4AE0" w:rsidRPr="000C4AE0" w:rsidRDefault="000C4AE0" w:rsidP="000C4AE0"/>
    <w:p w14:paraId="0B449A36" w14:textId="4A7EF6C2" w:rsidR="004A65DD" w:rsidRDefault="004A65DD" w:rsidP="004A65DD">
      <w:r>
        <w:t>The literature review, and subsequent expert workshop will inform WWFs engagement with</w:t>
      </w:r>
      <w:r w:rsidR="003E0268">
        <w:t>:</w:t>
      </w:r>
    </w:p>
    <w:p w14:paraId="03CD43CD" w14:textId="1B29128F" w:rsidR="003E0268" w:rsidRDefault="003E0268" w:rsidP="003E0268">
      <w:pPr>
        <w:pStyle w:val="ListParagraph"/>
        <w:numPr>
          <w:ilvl w:val="0"/>
          <w:numId w:val="12"/>
        </w:numPr>
      </w:pPr>
      <w:r>
        <w:t xml:space="preserve">Civil servants in Defra and </w:t>
      </w:r>
      <w:r w:rsidR="001E4FDC">
        <w:t xml:space="preserve">who are leading Governments workstream on Due Diligence which includes an impact assessment, legal options and monitoring and reporting, </w:t>
      </w:r>
    </w:p>
    <w:p w14:paraId="11B9B11F" w14:textId="034B0F76" w:rsidR="001E4FDC" w:rsidRDefault="001E4FDC" w:rsidP="003E0268">
      <w:pPr>
        <w:pStyle w:val="ListParagraph"/>
        <w:numPr>
          <w:ilvl w:val="0"/>
          <w:numId w:val="12"/>
        </w:numPr>
      </w:pPr>
      <w:r>
        <w:t xml:space="preserve">Politicians </w:t>
      </w:r>
      <w:r w:rsidR="005C0837">
        <w:t xml:space="preserve">to advocate for a Due Diligence amendment to the </w:t>
      </w:r>
      <w:r w:rsidR="00F72D42">
        <w:t xml:space="preserve">Environment Bill or Trade Bill or </w:t>
      </w:r>
      <w:proofErr w:type="gramStart"/>
      <w:r w:rsidR="00F72D42">
        <w:t>other</w:t>
      </w:r>
      <w:proofErr w:type="gramEnd"/>
      <w:r w:rsidR="00F72D42">
        <w:t xml:space="preserve"> legislative vehicle</w:t>
      </w:r>
      <w:r w:rsidR="00EB4DCD">
        <w:t>,</w:t>
      </w:r>
    </w:p>
    <w:p w14:paraId="630E7BE6" w14:textId="719CD81D" w:rsidR="00F72D42" w:rsidRDefault="00490F01" w:rsidP="003E0268">
      <w:pPr>
        <w:pStyle w:val="ListParagraph"/>
        <w:numPr>
          <w:ilvl w:val="0"/>
          <w:numId w:val="12"/>
        </w:numPr>
      </w:pPr>
      <w:r>
        <w:t>Members of the Global Resource Initiative working groups and taskforce, as Due Diligence will be one of the recommendations of the GRI taskforce to government</w:t>
      </w:r>
      <w:r w:rsidR="00EB4DCD">
        <w:t>,</w:t>
      </w:r>
      <w:r>
        <w:t xml:space="preserve"> </w:t>
      </w:r>
    </w:p>
    <w:p w14:paraId="7D55F142" w14:textId="0812DDF7" w:rsidR="00EB4DCD" w:rsidRDefault="00490F01" w:rsidP="003E0268">
      <w:pPr>
        <w:pStyle w:val="ListParagraph"/>
        <w:numPr>
          <w:ilvl w:val="0"/>
          <w:numId w:val="12"/>
        </w:numPr>
      </w:pPr>
      <w:r>
        <w:t xml:space="preserve">Business </w:t>
      </w:r>
      <w:r w:rsidR="00765CA1">
        <w:t xml:space="preserve">– </w:t>
      </w:r>
      <w:r w:rsidR="00FE7D2F">
        <w:t xml:space="preserve">including our corporate partners and other business that are likely to be supporters </w:t>
      </w:r>
      <w:r w:rsidR="00603533">
        <w:t>of or opposed to mandatory due diligence.</w:t>
      </w:r>
    </w:p>
    <w:p w14:paraId="0BC0B55A" w14:textId="1626C01D" w:rsidR="00006F38" w:rsidRDefault="00446386" w:rsidP="00535596">
      <w:r>
        <w:t xml:space="preserve">If </w:t>
      </w:r>
      <w:r w:rsidR="00BE1885">
        <w:t>successful,</w:t>
      </w:r>
      <w:r>
        <w:t xml:space="preserve"> </w:t>
      </w:r>
      <w:r w:rsidR="00006F38">
        <w:t xml:space="preserve">this </w:t>
      </w:r>
      <w:r w:rsidR="003101C6">
        <w:t xml:space="preserve">evidence </w:t>
      </w:r>
      <w:r w:rsidR="00006F38">
        <w:t>will have:</w:t>
      </w:r>
    </w:p>
    <w:p w14:paraId="05397579" w14:textId="33C37096" w:rsidR="00D52FB4" w:rsidRDefault="00006F38" w:rsidP="00006F38">
      <w:pPr>
        <w:pStyle w:val="ListParagraph"/>
        <w:numPr>
          <w:ilvl w:val="0"/>
          <w:numId w:val="14"/>
        </w:numPr>
      </w:pPr>
      <w:r>
        <w:t>Enabled WWF to</w:t>
      </w:r>
      <w:r w:rsidR="00FE7D2F">
        <w:t xml:space="preserve"> </w:t>
      </w:r>
      <w:r w:rsidR="00535596">
        <w:t>gain</w:t>
      </w:r>
      <w:r w:rsidR="00603533">
        <w:t xml:space="preserve"> widespread business</w:t>
      </w:r>
      <w:r w:rsidR="00FE7D2F">
        <w:t xml:space="preserve"> support</w:t>
      </w:r>
      <w:r>
        <w:t xml:space="preserve"> for a broad Due Diligence obligation, applicable to all business and across their entire supply chains and operations</w:t>
      </w:r>
      <w:r w:rsidR="00535596">
        <w:t xml:space="preserve">. </w:t>
      </w:r>
      <w:r w:rsidR="00D743E5">
        <w:t>Business endorsement in turn has already been highlighted by Defra as extremely powerful in securing an ambitious, legally underpinned due diligence obligation.</w:t>
      </w:r>
    </w:p>
    <w:p w14:paraId="1F01498E" w14:textId="6BC3035B" w:rsidR="005C712B" w:rsidRDefault="00D52FB4" w:rsidP="00006F38">
      <w:pPr>
        <w:pStyle w:val="ListParagraph"/>
        <w:numPr>
          <w:ilvl w:val="0"/>
          <w:numId w:val="14"/>
        </w:numPr>
      </w:pPr>
      <w:r>
        <w:t xml:space="preserve">Supported Government’s own Due Diligence Impact Assessment </w:t>
      </w:r>
      <w:proofErr w:type="gramStart"/>
      <w:r>
        <w:t xml:space="preserve">in particular </w:t>
      </w:r>
      <w:r w:rsidR="007B16D0">
        <w:t>highlighting</w:t>
      </w:r>
      <w:proofErr w:type="gramEnd"/>
      <w:r w:rsidR="007B16D0">
        <w:t xml:space="preserve"> the benefits to business in additional to the costs</w:t>
      </w:r>
      <w:r w:rsidR="00D743E5">
        <w:t>.</w:t>
      </w:r>
      <w:r w:rsidR="00BE1885">
        <w:t xml:space="preserve"> </w:t>
      </w:r>
    </w:p>
    <w:p w14:paraId="3364A43C" w14:textId="3F9DBDD5" w:rsidR="00D743E5" w:rsidRDefault="00D743E5" w:rsidP="00006F38">
      <w:pPr>
        <w:pStyle w:val="ListParagraph"/>
        <w:numPr>
          <w:ilvl w:val="0"/>
          <w:numId w:val="14"/>
        </w:numPr>
      </w:pPr>
      <w:r>
        <w:t xml:space="preserve">Highlighted the </w:t>
      </w:r>
      <w:r w:rsidR="00143E66">
        <w:t>benefits to government including catalysing action to help the UK achieve its Net Zero Target</w:t>
      </w:r>
      <w:r w:rsidR="00312C3E">
        <w:t>, reducing the UK’s global footprint and helping to ensure that UK headquartered businesses are responding to the climate and nature emergency</w:t>
      </w:r>
      <w:r w:rsidR="003A5646">
        <w:t xml:space="preserve"> and putting </w:t>
      </w:r>
      <w:r w:rsidR="003A5646">
        <w:lastRenderedPageBreak/>
        <w:t>the UK in a leadership position</w:t>
      </w:r>
      <w:r w:rsidR="00B51BFB">
        <w:t xml:space="preserve"> enabling them to credible influence other countries with a greater impact, such as </w:t>
      </w:r>
      <w:r w:rsidR="00AF1893">
        <w:t xml:space="preserve">China and India, to act. </w:t>
      </w:r>
    </w:p>
    <w:p w14:paraId="3B75FD23" w14:textId="7A2B9228" w:rsidR="329CEFA2" w:rsidRDefault="329CEFA2" w:rsidP="329CEFA2">
      <w:pPr>
        <w:pStyle w:val="Heading1"/>
      </w:pPr>
      <w:r>
        <w:t>Methods</w:t>
      </w:r>
    </w:p>
    <w:p w14:paraId="7492F852" w14:textId="77777777" w:rsidR="000C4AE0" w:rsidRPr="000C4AE0" w:rsidRDefault="000C4AE0" w:rsidP="000C4AE0"/>
    <w:p w14:paraId="3DB97B01" w14:textId="0CCE6AE0" w:rsidR="00131CBF" w:rsidRDefault="2BC4C42B">
      <w:r>
        <w:t xml:space="preserve">A desk-based study </w:t>
      </w:r>
      <w:r w:rsidR="0018118F">
        <w:t xml:space="preserve">and analysis </w:t>
      </w:r>
      <w:r>
        <w:t>to identify</w:t>
      </w:r>
      <w:r w:rsidR="00131CBF">
        <w:t>:</w:t>
      </w:r>
    </w:p>
    <w:p w14:paraId="2874C131" w14:textId="14057C71" w:rsidR="00E5373E" w:rsidRDefault="00E5373E" w:rsidP="00131CBF">
      <w:pPr>
        <w:pStyle w:val="ListParagraph"/>
        <w:numPr>
          <w:ilvl w:val="0"/>
          <w:numId w:val="10"/>
        </w:numPr>
      </w:pPr>
      <w:r>
        <w:t xml:space="preserve">The costs that </w:t>
      </w:r>
      <w:r w:rsidR="006A3D70">
        <w:t xml:space="preserve">different </w:t>
      </w:r>
      <w:r>
        <w:t>environmental risks pose to busin</w:t>
      </w:r>
      <w:r w:rsidR="00AF769D">
        <w:t>ess – both current and projected</w:t>
      </w:r>
    </w:p>
    <w:p w14:paraId="52891450" w14:textId="79078062" w:rsidR="00D36863" w:rsidRDefault="00411CC0" w:rsidP="00131CBF">
      <w:pPr>
        <w:pStyle w:val="ListParagraph"/>
        <w:numPr>
          <w:ilvl w:val="0"/>
          <w:numId w:val="10"/>
        </w:numPr>
      </w:pPr>
      <w:r>
        <w:t xml:space="preserve">The costs and benefits of different businesses implementing </w:t>
      </w:r>
      <w:r w:rsidR="000871E3">
        <w:t>the due diligence requirement (i.e. assessing their environmental risks, developing a plan to mitigate them, implementing that plan and reporting to government on progress)</w:t>
      </w:r>
    </w:p>
    <w:p w14:paraId="620583C1" w14:textId="36E6BA6F" w:rsidR="0018118F" w:rsidRDefault="0018118F" w:rsidP="00131CBF">
      <w:pPr>
        <w:pStyle w:val="ListParagraph"/>
        <w:numPr>
          <w:ilvl w:val="0"/>
          <w:numId w:val="10"/>
        </w:numPr>
      </w:pPr>
      <w:r>
        <w:t xml:space="preserve">Real world case studies </w:t>
      </w:r>
      <w:r w:rsidR="00187336">
        <w:t>that demonstrate the cost and be</w:t>
      </w:r>
      <w:r w:rsidR="000871E3">
        <w:t>ne</w:t>
      </w:r>
      <w:r w:rsidR="00187336">
        <w:t xml:space="preserve">fits </w:t>
      </w:r>
      <w:r w:rsidR="00EE03FC">
        <w:t xml:space="preserve">for business that are already </w:t>
      </w:r>
      <w:proofErr w:type="gramStart"/>
      <w:r w:rsidR="00EE03FC">
        <w:t>taking action</w:t>
      </w:r>
      <w:proofErr w:type="gramEnd"/>
      <w:r w:rsidR="00EE03FC">
        <w:t>. The</w:t>
      </w:r>
      <w:r w:rsidR="00B5674E">
        <w:t xml:space="preserve"> case studies should focus on different environmental risks (for example deforestation, land degradation, water</w:t>
      </w:r>
      <w:r w:rsidR="00305A0B">
        <w:t xml:space="preserve">, climate adaptation/mitigation). Information on the financial benefits should be provided as well as </w:t>
      </w:r>
      <w:r w:rsidR="003C4875">
        <w:t xml:space="preserve">wider benefits including supply chain resilience, social license to operate, talent recruitment and retention. </w:t>
      </w:r>
    </w:p>
    <w:p w14:paraId="396A1512" w14:textId="78FB2BC2" w:rsidR="000D335C" w:rsidRDefault="4EBA6B82">
      <w:r>
        <w:t xml:space="preserve">We anticipate that this study should take approximately </w:t>
      </w:r>
      <w:r w:rsidR="00342432">
        <w:t>25</w:t>
      </w:r>
      <w:r>
        <w:t xml:space="preserve"> working days. </w:t>
      </w:r>
    </w:p>
    <w:p w14:paraId="3CF590F2" w14:textId="4AE41217" w:rsidR="329CEFA2" w:rsidRDefault="329CEFA2" w:rsidP="329CEFA2">
      <w:pPr>
        <w:pStyle w:val="Heading1"/>
      </w:pPr>
      <w:r>
        <w:t>Results and outputs</w:t>
      </w:r>
    </w:p>
    <w:p w14:paraId="33157C04" w14:textId="77777777" w:rsidR="329CEFA2" w:rsidRDefault="329CEFA2">
      <w:r>
        <w:t>The key outputs required are:</w:t>
      </w:r>
    </w:p>
    <w:p w14:paraId="7A327BAA" w14:textId="3ECDB2F8" w:rsidR="329CEFA2" w:rsidRPr="002879B1" w:rsidRDefault="2DAEA89F" w:rsidP="002879B1">
      <w:pPr>
        <w:pStyle w:val="ListParagraph"/>
        <w:numPr>
          <w:ilvl w:val="0"/>
          <w:numId w:val="8"/>
        </w:numPr>
        <w:rPr>
          <w:b/>
          <w:bCs/>
        </w:rPr>
      </w:pPr>
      <w:r w:rsidRPr="002879B1">
        <w:rPr>
          <w:b/>
          <w:bCs/>
        </w:rPr>
        <w:t xml:space="preserve">A </w:t>
      </w:r>
      <w:r w:rsidR="00AB12DB">
        <w:rPr>
          <w:b/>
          <w:bCs/>
        </w:rPr>
        <w:t xml:space="preserve">draft </w:t>
      </w:r>
      <w:r w:rsidRPr="002879B1">
        <w:rPr>
          <w:b/>
          <w:bCs/>
        </w:rPr>
        <w:t>report</w:t>
      </w:r>
      <w:r>
        <w:t xml:space="preserve"> that</w:t>
      </w:r>
      <w:r w:rsidR="00E079D8">
        <w:t>:</w:t>
      </w:r>
    </w:p>
    <w:p w14:paraId="7D551E24" w14:textId="6E641614" w:rsidR="001A4770" w:rsidRPr="007375BF" w:rsidRDefault="00353244" w:rsidP="007375BF">
      <w:pPr>
        <w:pStyle w:val="ListParagraph"/>
        <w:numPr>
          <w:ilvl w:val="1"/>
          <w:numId w:val="8"/>
        </w:numPr>
        <w:rPr>
          <w:bCs/>
        </w:rPr>
      </w:pPr>
      <w:r w:rsidRPr="002879B1">
        <w:rPr>
          <w:bCs/>
        </w:rPr>
        <w:t xml:space="preserve">Sets out the </w:t>
      </w:r>
      <w:r w:rsidR="00592904" w:rsidRPr="002879B1">
        <w:rPr>
          <w:bCs/>
        </w:rPr>
        <w:t>business case</w:t>
      </w:r>
      <w:r w:rsidR="00CC559F">
        <w:rPr>
          <w:bCs/>
        </w:rPr>
        <w:t xml:space="preserve"> for</w:t>
      </w:r>
      <w:r w:rsidR="00592904" w:rsidRPr="002879B1">
        <w:rPr>
          <w:bCs/>
        </w:rPr>
        <w:t xml:space="preserve"> </w:t>
      </w:r>
      <w:r w:rsidR="007375BF">
        <w:rPr>
          <w:bCs/>
        </w:rPr>
        <w:t>a</w:t>
      </w:r>
      <w:r w:rsidR="00592904" w:rsidRPr="002879B1">
        <w:rPr>
          <w:bCs/>
        </w:rPr>
        <w:t xml:space="preserve"> due diligence obligation </w:t>
      </w:r>
      <w:r w:rsidR="007375BF">
        <w:rPr>
          <w:bCs/>
        </w:rPr>
        <w:t xml:space="preserve">covering </w:t>
      </w:r>
      <w:r w:rsidR="000A7C23" w:rsidRPr="007375BF">
        <w:rPr>
          <w:bCs/>
        </w:rPr>
        <w:t xml:space="preserve">environmental risks across a </w:t>
      </w:r>
      <w:r w:rsidR="001A4770" w:rsidRPr="007375BF">
        <w:rPr>
          <w:bCs/>
        </w:rPr>
        <w:t>company’s</w:t>
      </w:r>
      <w:r w:rsidR="000A7C23" w:rsidRPr="007375BF">
        <w:rPr>
          <w:bCs/>
        </w:rPr>
        <w:t xml:space="preserve"> </w:t>
      </w:r>
      <w:r w:rsidR="002879B1" w:rsidRPr="007375BF">
        <w:rPr>
          <w:bCs/>
        </w:rPr>
        <w:t xml:space="preserve">entire </w:t>
      </w:r>
      <w:r w:rsidR="000A7C23" w:rsidRPr="007375BF">
        <w:rPr>
          <w:bCs/>
        </w:rPr>
        <w:t xml:space="preserve">supply chains and operations (costs and benefits with a focus on </w:t>
      </w:r>
      <w:r w:rsidR="001A4770" w:rsidRPr="007375BF">
        <w:rPr>
          <w:bCs/>
        </w:rPr>
        <w:t>the financial</w:t>
      </w:r>
      <w:r w:rsidR="007375BF">
        <w:rPr>
          <w:bCs/>
        </w:rPr>
        <w:t xml:space="preserve"> </w:t>
      </w:r>
      <w:r w:rsidR="001A4770" w:rsidRPr="007375BF">
        <w:rPr>
          <w:bCs/>
        </w:rPr>
        <w:t>benefits)</w:t>
      </w:r>
    </w:p>
    <w:p w14:paraId="70D6422B" w14:textId="4DE81FB9" w:rsidR="002C7DC0" w:rsidRDefault="007375BF" w:rsidP="00E079D8">
      <w:pPr>
        <w:pStyle w:val="ListParagraph"/>
        <w:numPr>
          <w:ilvl w:val="1"/>
          <w:numId w:val="8"/>
        </w:numPr>
        <w:rPr>
          <w:bCs/>
        </w:rPr>
      </w:pPr>
      <w:r>
        <w:rPr>
          <w:bCs/>
        </w:rPr>
        <w:t xml:space="preserve">Provides </w:t>
      </w:r>
      <w:r w:rsidR="00DF7ADB">
        <w:rPr>
          <w:bCs/>
        </w:rPr>
        <w:t>an indicative cost</w:t>
      </w:r>
      <w:r w:rsidR="00D5537F">
        <w:rPr>
          <w:bCs/>
        </w:rPr>
        <w:t>/</w:t>
      </w:r>
      <w:r w:rsidR="00DF7ADB">
        <w:rPr>
          <w:bCs/>
        </w:rPr>
        <w:t>benefit analysis for different types of business</w:t>
      </w:r>
      <w:r w:rsidR="002C7DC0">
        <w:rPr>
          <w:bCs/>
        </w:rPr>
        <w:t xml:space="preserve"> covering a range</w:t>
      </w:r>
      <w:r w:rsidR="0027319D">
        <w:rPr>
          <w:bCs/>
        </w:rPr>
        <w:t xml:space="preserve"> of the following:</w:t>
      </w:r>
    </w:p>
    <w:p w14:paraId="5B4E46DB" w14:textId="3B74DFAB" w:rsidR="00DF7ADB" w:rsidRDefault="002C7DC0" w:rsidP="002C7DC0">
      <w:pPr>
        <w:pStyle w:val="ListParagraph"/>
        <w:numPr>
          <w:ilvl w:val="2"/>
          <w:numId w:val="8"/>
        </w:numPr>
        <w:rPr>
          <w:bCs/>
        </w:rPr>
      </w:pPr>
      <w:r w:rsidRPr="00610C3B">
        <w:rPr>
          <w:bCs/>
          <w:u w:val="single"/>
        </w:rPr>
        <w:t>Geographic scope</w:t>
      </w:r>
      <w:r w:rsidR="00DF7ADB">
        <w:rPr>
          <w:bCs/>
        </w:rPr>
        <w:t>:</w:t>
      </w:r>
      <w:r>
        <w:rPr>
          <w:bCs/>
        </w:rPr>
        <w:t xml:space="preserve"> </w:t>
      </w:r>
      <w:r w:rsidR="00DF7ADB" w:rsidRPr="002C7DC0">
        <w:rPr>
          <w:bCs/>
        </w:rPr>
        <w:t xml:space="preserve">domestic and international supply chains </w:t>
      </w:r>
    </w:p>
    <w:p w14:paraId="0DB576E5" w14:textId="4CE2E5FC" w:rsidR="002C7DC0" w:rsidRDefault="002C7DC0" w:rsidP="002C7DC0">
      <w:pPr>
        <w:pStyle w:val="ListParagraph"/>
        <w:numPr>
          <w:ilvl w:val="2"/>
          <w:numId w:val="8"/>
        </w:numPr>
        <w:rPr>
          <w:bCs/>
        </w:rPr>
      </w:pPr>
      <w:r w:rsidRPr="00610C3B">
        <w:rPr>
          <w:bCs/>
          <w:u w:val="single"/>
        </w:rPr>
        <w:t>Size</w:t>
      </w:r>
      <w:r>
        <w:rPr>
          <w:bCs/>
        </w:rPr>
        <w:t xml:space="preserve">: multinational to </w:t>
      </w:r>
      <w:r w:rsidR="008D2834">
        <w:rPr>
          <w:bCs/>
        </w:rPr>
        <w:t>SME</w:t>
      </w:r>
      <w:r w:rsidR="00610C3B">
        <w:rPr>
          <w:bCs/>
        </w:rPr>
        <w:t xml:space="preserve"> (all to the UK headquartered)</w:t>
      </w:r>
      <w:r w:rsidR="008D2834">
        <w:rPr>
          <w:bCs/>
        </w:rPr>
        <w:t xml:space="preserve">. </w:t>
      </w:r>
    </w:p>
    <w:p w14:paraId="002409B7" w14:textId="5BA1E191" w:rsidR="008D2834" w:rsidRDefault="008D2834" w:rsidP="002C7DC0">
      <w:pPr>
        <w:pStyle w:val="ListParagraph"/>
        <w:numPr>
          <w:ilvl w:val="2"/>
          <w:numId w:val="8"/>
        </w:numPr>
        <w:rPr>
          <w:bCs/>
        </w:rPr>
      </w:pPr>
      <w:r w:rsidRPr="00610C3B">
        <w:rPr>
          <w:bCs/>
          <w:u w:val="single"/>
        </w:rPr>
        <w:t>Sector</w:t>
      </w:r>
      <w:r>
        <w:rPr>
          <w:bCs/>
        </w:rPr>
        <w:t>: with a focus on food sector but con</w:t>
      </w:r>
      <w:r w:rsidR="00A64D5A">
        <w:rPr>
          <w:bCs/>
        </w:rPr>
        <w:t xml:space="preserve">sideration of other sectors </w:t>
      </w:r>
    </w:p>
    <w:p w14:paraId="6C5757CE" w14:textId="08A9B45D" w:rsidR="00A64D5A" w:rsidRDefault="00F504F0" w:rsidP="002C7DC0">
      <w:pPr>
        <w:pStyle w:val="ListParagraph"/>
        <w:numPr>
          <w:ilvl w:val="2"/>
          <w:numId w:val="8"/>
        </w:numPr>
        <w:rPr>
          <w:bCs/>
        </w:rPr>
      </w:pPr>
      <w:r w:rsidRPr="00610C3B">
        <w:rPr>
          <w:bCs/>
          <w:u w:val="single"/>
        </w:rPr>
        <w:t xml:space="preserve">Environment </w:t>
      </w:r>
      <w:r w:rsidR="00A64D5A" w:rsidRPr="00610C3B">
        <w:rPr>
          <w:bCs/>
          <w:u w:val="single"/>
        </w:rPr>
        <w:t>Risk</w:t>
      </w:r>
      <w:r w:rsidR="00A64D5A">
        <w:rPr>
          <w:bCs/>
        </w:rPr>
        <w:t xml:space="preserve">: </w:t>
      </w:r>
      <w:r>
        <w:rPr>
          <w:bCs/>
        </w:rPr>
        <w:t>from high risk to low risk and different priority environmental risks (</w:t>
      </w:r>
      <w:r w:rsidR="004D2EFC">
        <w:rPr>
          <w:bCs/>
        </w:rPr>
        <w:t>deforestation, water</w:t>
      </w:r>
      <w:r w:rsidR="0027319D">
        <w:rPr>
          <w:bCs/>
        </w:rPr>
        <w:t xml:space="preserve"> scarcity, pollution, </w:t>
      </w:r>
      <w:r w:rsidR="004D2EFC">
        <w:rPr>
          <w:bCs/>
        </w:rPr>
        <w:t>climate mitigation and adaptation</w:t>
      </w:r>
      <w:r w:rsidR="0027319D">
        <w:rPr>
          <w:bCs/>
        </w:rPr>
        <w:t xml:space="preserve"> etc)</w:t>
      </w:r>
    </w:p>
    <w:p w14:paraId="717909E1" w14:textId="0594F82E" w:rsidR="0027319D" w:rsidRDefault="00D5537F" w:rsidP="0027319D">
      <w:pPr>
        <w:pStyle w:val="ListParagraph"/>
        <w:numPr>
          <w:ilvl w:val="1"/>
          <w:numId w:val="8"/>
        </w:numPr>
        <w:rPr>
          <w:bCs/>
        </w:rPr>
      </w:pPr>
      <w:r>
        <w:rPr>
          <w:bCs/>
        </w:rPr>
        <w:t xml:space="preserve">Provides </w:t>
      </w:r>
      <w:proofErr w:type="gramStart"/>
      <w:r>
        <w:rPr>
          <w:bCs/>
        </w:rPr>
        <w:t>a number of</w:t>
      </w:r>
      <w:proofErr w:type="gramEnd"/>
      <w:r>
        <w:rPr>
          <w:bCs/>
        </w:rPr>
        <w:t xml:space="preserve"> case studies </w:t>
      </w:r>
      <w:r w:rsidR="00065953">
        <w:rPr>
          <w:bCs/>
        </w:rPr>
        <w:t xml:space="preserve">illustrating the benefits of businesses who are already taking action </w:t>
      </w:r>
      <w:r w:rsidR="00B925FB">
        <w:rPr>
          <w:bCs/>
        </w:rPr>
        <w:t>to assess and mitigate environmental risks. The case studies should i</w:t>
      </w:r>
      <w:r>
        <w:rPr>
          <w:bCs/>
        </w:rPr>
        <w:t>nclud</w:t>
      </w:r>
      <w:r w:rsidR="00B925FB">
        <w:rPr>
          <w:bCs/>
        </w:rPr>
        <w:t>e</w:t>
      </w:r>
      <w:r>
        <w:rPr>
          <w:bCs/>
        </w:rPr>
        <w:t xml:space="preserve"> </w:t>
      </w:r>
      <w:r w:rsidR="00C60BF9">
        <w:rPr>
          <w:bCs/>
        </w:rPr>
        <w:t xml:space="preserve">quantitative financial </w:t>
      </w:r>
      <w:r w:rsidR="00610C3B">
        <w:rPr>
          <w:bCs/>
        </w:rPr>
        <w:t>benefits as well as wider social and economic benefits</w:t>
      </w:r>
      <w:r w:rsidR="00B925FB">
        <w:rPr>
          <w:bCs/>
        </w:rPr>
        <w:t>. Topics to be covered to include:</w:t>
      </w:r>
    </w:p>
    <w:p w14:paraId="77F7BBAA" w14:textId="66E2FA1A" w:rsidR="00610C3B" w:rsidRDefault="00265D10" w:rsidP="00610C3B">
      <w:pPr>
        <w:pStyle w:val="ListParagraph"/>
        <w:numPr>
          <w:ilvl w:val="2"/>
          <w:numId w:val="8"/>
        </w:numPr>
        <w:rPr>
          <w:bCs/>
        </w:rPr>
      </w:pPr>
      <w:r>
        <w:rPr>
          <w:bCs/>
        </w:rPr>
        <w:t xml:space="preserve">Deforestation – for example those companies acting to end deforestation </w:t>
      </w:r>
      <w:r w:rsidR="005B7555">
        <w:rPr>
          <w:bCs/>
        </w:rPr>
        <w:t>in their commodity supply chains</w:t>
      </w:r>
      <w:r w:rsidR="00D877DE">
        <w:rPr>
          <w:bCs/>
        </w:rPr>
        <w:t xml:space="preserve"> </w:t>
      </w:r>
    </w:p>
    <w:p w14:paraId="024AAC39" w14:textId="027D890B" w:rsidR="005B7555" w:rsidRDefault="005B7555" w:rsidP="00610C3B">
      <w:pPr>
        <w:pStyle w:val="ListParagraph"/>
        <w:numPr>
          <w:ilvl w:val="2"/>
          <w:numId w:val="8"/>
        </w:numPr>
        <w:rPr>
          <w:bCs/>
        </w:rPr>
      </w:pPr>
      <w:r>
        <w:rPr>
          <w:bCs/>
        </w:rPr>
        <w:t xml:space="preserve">Water – for example companies working to identify water risks within their supply chain </w:t>
      </w:r>
      <w:r w:rsidR="002876D4">
        <w:rPr>
          <w:bCs/>
        </w:rPr>
        <w:t xml:space="preserve">(water quality and quantity) </w:t>
      </w:r>
      <w:r w:rsidR="0048639B">
        <w:rPr>
          <w:bCs/>
        </w:rPr>
        <w:t xml:space="preserve">and to mitigate these </w:t>
      </w:r>
    </w:p>
    <w:p w14:paraId="24FF1D6D" w14:textId="3F7BAFD4" w:rsidR="0048639B" w:rsidRDefault="0048639B" w:rsidP="00610C3B">
      <w:pPr>
        <w:pStyle w:val="ListParagraph"/>
        <w:numPr>
          <w:ilvl w:val="2"/>
          <w:numId w:val="8"/>
        </w:numPr>
        <w:rPr>
          <w:bCs/>
        </w:rPr>
      </w:pPr>
      <w:r>
        <w:rPr>
          <w:bCs/>
        </w:rPr>
        <w:t>Agriculture – companies supporting improved agricultural practices</w:t>
      </w:r>
      <w:r w:rsidR="0078576F">
        <w:rPr>
          <w:bCs/>
        </w:rPr>
        <w:t xml:space="preserve"> in their supply chains, for example</w:t>
      </w:r>
      <w:r>
        <w:rPr>
          <w:bCs/>
        </w:rPr>
        <w:t xml:space="preserve"> </w:t>
      </w:r>
      <w:r w:rsidR="0078576F">
        <w:rPr>
          <w:bCs/>
        </w:rPr>
        <w:t xml:space="preserve">reducing land degradation </w:t>
      </w:r>
    </w:p>
    <w:p w14:paraId="3ECBB586" w14:textId="395C47E5" w:rsidR="0078576F" w:rsidRDefault="0078576F" w:rsidP="00610C3B">
      <w:pPr>
        <w:pStyle w:val="ListParagraph"/>
        <w:numPr>
          <w:ilvl w:val="2"/>
          <w:numId w:val="8"/>
        </w:numPr>
        <w:rPr>
          <w:bCs/>
        </w:rPr>
      </w:pPr>
      <w:r>
        <w:rPr>
          <w:bCs/>
        </w:rPr>
        <w:t>Bio</w:t>
      </w:r>
      <w:r w:rsidR="00563472">
        <w:rPr>
          <w:bCs/>
        </w:rPr>
        <w:t xml:space="preserve">diversity </w:t>
      </w:r>
      <w:r w:rsidR="00811674">
        <w:rPr>
          <w:bCs/>
        </w:rPr>
        <w:t xml:space="preserve">– </w:t>
      </w:r>
      <w:r w:rsidR="003A65BB">
        <w:rPr>
          <w:bCs/>
        </w:rPr>
        <w:t xml:space="preserve">companies acting to ensure that their operations and supply chains are not </w:t>
      </w:r>
      <w:r w:rsidR="00D119BA">
        <w:rPr>
          <w:bCs/>
        </w:rPr>
        <w:t xml:space="preserve">causing biodiversity loss and ideally are supporting the restoration of nature </w:t>
      </w:r>
    </w:p>
    <w:p w14:paraId="243EFA27" w14:textId="77777777" w:rsidR="004E7005" w:rsidRDefault="004E7005" w:rsidP="004E7005">
      <w:pPr>
        <w:pStyle w:val="ListParagraph"/>
        <w:ind w:left="1800"/>
        <w:rPr>
          <w:bCs/>
        </w:rPr>
      </w:pPr>
    </w:p>
    <w:p w14:paraId="2BE27072" w14:textId="7457BC17" w:rsidR="004E7005" w:rsidRDefault="004E7005" w:rsidP="004E7005">
      <w:pPr>
        <w:pStyle w:val="ListParagraph"/>
        <w:numPr>
          <w:ilvl w:val="0"/>
          <w:numId w:val="8"/>
        </w:numPr>
        <w:rPr>
          <w:bCs/>
        </w:rPr>
      </w:pPr>
      <w:r w:rsidRPr="004E7005">
        <w:rPr>
          <w:b/>
          <w:bCs/>
        </w:rPr>
        <w:lastRenderedPageBreak/>
        <w:t>A meeting</w:t>
      </w:r>
      <w:r>
        <w:rPr>
          <w:bCs/>
        </w:rPr>
        <w:t xml:space="preserve"> to share the key findings of the report with WWF staff</w:t>
      </w:r>
      <w:r w:rsidR="00342432">
        <w:rPr>
          <w:bCs/>
        </w:rPr>
        <w:t xml:space="preserve">. </w:t>
      </w:r>
    </w:p>
    <w:p w14:paraId="64D7C30D" w14:textId="720B5421" w:rsidR="00AB12DB" w:rsidRPr="002C7DC0" w:rsidRDefault="00AB12DB" w:rsidP="004E7005">
      <w:pPr>
        <w:pStyle w:val="ListParagraph"/>
        <w:numPr>
          <w:ilvl w:val="0"/>
          <w:numId w:val="8"/>
        </w:numPr>
        <w:rPr>
          <w:bCs/>
        </w:rPr>
      </w:pPr>
      <w:r>
        <w:rPr>
          <w:b/>
          <w:bCs/>
        </w:rPr>
        <w:t xml:space="preserve">A final version of the report </w:t>
      </w:r>
      <w:r>
        <w:rPr>
          <w:bCs/>
        </w:rPr>
        <w:t xml:space="preserve">that addresses </w:t>
      </w:r>
      <w:r w:rsidR="00CE3891">
        <w:rPr>
          <w:bCs/>
        </w:rPr>
        <w:t xml:space="preserve">WWF comments on the draft report discussed at the internal meeting. </w:t>
      </w:r>
    </w:p>
    <w:p w14:paraId="187E4850" w14:textId="6350331E" w:rsidR="001F01D7" w:rsidRPr="00C05B2E" w:rsidRDefault="001F01D7" w:rsidP="001F01D7">
      <w:pPr>
        <w:pStyle w:val="Heading1"/>
      </w:pPr>
      <w:r w:rsidRPr="00C05B2E">
        <w:t>Selection criteri</w:t>
      </w:r>
      <w:r w:rsidR="0066535C" w:rsidRPr="00C05B2E">
        <w:t>a</w:t>
      </w:r>
      <w:r w:rsidRPr="00C05B2E">
        <w:t xml:space="preserve"> for bi</w:t>
      </w:r>
      <w:r w:rsidR="0066535C" w:rsidRPr="00C05B2E">
        <w:t>ds</w:t>
      </w:r>
    </w:p>
    <w:p w14:paraId="01FF7BD3" w14:textId="77777777" w:rsidR="00456B1E" w:rsidRPr="00C05B2E" w:rsidRDefault="00456B1E" w:rsidP="00456B1E"/>
    <w:p w14:paraId="3FA8E919" w14:textId="50464C15" w:rsidR="001F01D7" w:rsidRPr="009D46E5" w:rsidRDefault="00456B1E" w:rsidP="009D46E5">
      <w:r w:rsidRPr="009D46E5">
        <w:t xml:space="preserve">Percentage weighting </w:t>
      </w:r>
      <w:r w:rsidR="009D46E5" w:rsidRPr="009D46E5">
        <w:t>given to e</w:t>
      </w:r>
      <w:r w:rsidR="009D46E5">
        <w:t xml:space="preserve">ach criterion in brackets </w:t>
      </w:r>
    </w:p>
    <w:p w14:paraId="4E033B39" w14:textId="5105DAFA" w:rsidR="001F01D7" w:rsidRDefault="001F01D7" w:rsidP="001F01D7">
      <w:pPr>
        <w:pStyle w:val="ListParagraph"/>
        <w:numPr>
          <w:ilvl w:val="0"/>
          <w:numId w:val="8"/>
        </w:numPr>
      </w:pPr>
      <w:r>
        <w:t>Demonstrable experience of similar work</w:t>
      </w:r>
      <w:r w:rsidR="00E95457">
        <w:t xml:space="preserve"> </w:t>
      </w:r>
      <w:r w:rsidR="00456B1E">
        <w:t>(35%)</w:t>
      </w:r>
    </w:p>
    <w:p w14:paraId="6D03DD0F" w14:textId="0B05317E" w:rsidR="001F01D7" w:rsidRDefault="001F01D7" w:rsidP="001F01D7">
      <w:pPr>
        <w:pStyle w:val="ListParagraph"/>
        <w:numPr>
          <w:ilvl w:val="0"/>
          <w:numId w:val="8"/>
        </w:numPr>
      </w:pPr>
      <w:r>
        <w:t>Evidence of thought given to address the problem set independent of the brief</w:t>
      </w:r>
      <w:r w:rsidR="00087DCD">
        <w:t xml:space="preserve"> </w:t>
      </w:r>
      <w:r w:rsidR="00456B1E">
        <w:t>(35%)</w:t>
      </w:r>
    </w:p>
    <w:p w14:paraId="69481313" w14:textId="58AE78A3" w:rsidR="00B06A52" w:rsidRDefault="00B06A52" w:rsidP="001F01D7">
      <w:pPr>
        <w:pStyle w:val="ListParagraph"/>
        <w:numPr>
          <w:ilvl w:val="0"/>
          <w:numId w:val="8"/>
        </w:numPr>
      </w:pPr>
      <w:r>
        <w:t xml:space="preserve">Clarity and simplicity of the proposal </w:t>
      </w:r>
      <w:r w:rsidR="00456B1E">
        <w:t>(</w:t>
      </w:r>
      <w:r w:rsidR="00E95457">
        <w:t>15%</w:t>
      </w:r>
      <w:r w:rsidR="00456B1E">
        <w:t>)</w:t>
      </w:r>
    </w:p>
    <w:p w14:paraId="1E741732" w14:textId="30F3101B" w:rsidR="00046206" w:rsidRDefault="008D46F1" w:rsidP="001F01D7">
      <w:pPr>
        <w:pStyle w:val="ListParagraph"/>
        <w:numPr>
          <w:ilvl w:val="0"/>
          <w:numId w:val="8"/>
        </w:numPr>
      </w:pPr>
      <w:r>
        <w:t>Price (</w:t>
      </w:r>
      <w:r w:rsidR="009036DC">
        <w:t xml:space="preserve">indicative budget for the </w:t>
      </w:r>
      <w:r w:rsidR="008871E9">
        <w:t>study is</w:t>
      </w:r>
      <w:r w:rsidR="006E5A2F">
        <w:t xml:space="preserve"> </w:t>
      </w:r>
      <w:r w:rsidR="006E5A2F" w:rsidRPr="00093126">
        <w:t>£</w:t>
      </w:r>
      <w:r w:rsidR="00093126" w:rsidRPr="00093126">
        <w:t>1</w:t>
      </w:r>
      <w:r w:rsidR="006E5A2F" w:rsidRPr="00093126">
        <w:t>5,000</w:t>
      </w:r>
      <w:r w:rsidR="00B56C5F">
        <w:t xml:space="preserve"> – with the possibility of </w:t>
      </w:r>
      <w:r w:rsidR="00353BBB">
        <w:t>increasing to £30</w:t>
      </w:r>
      <w:bookmarkStart w:id="1" w:name="_GoBack"/>
      <w:bookmarkEnd w:id="1"/>
      <w:r w:rsidR="00353BBB">
        <w:t>,000</w:t>
      </w:r>
      <w:r w:rsidR="008871E9">
        <w:t>)</w:t>
      </w:r>
      <w:r w:rsidR="00456B1E" w:rsidRPr="00456B1E">
        <w:t xml:space="preserve"> </w:t>
      </w:r>
      <w:r w:rsidR="00456B1E">
        <w:t>(10%)</w:t>
      </w:r>
    </w:p>
    <w:p w14:paraId="7C86FC8A" w14:textId="4D5181F0" w:rsidR="001F01D7" w:rsidRDefault="001040D1" w:rsidP="001F01D7">
      <w:pPr>
        <w:pStyle w:val="ListParagraph"/>
        <w:numPr>
          <w:ilvl w:val="0"/>
          <w:numId w:val="8"/>
        </w:numPr>
      </w:pPr>
      <w:r>
        <w:t xml:space="preserve">Expected delivery date </w:t>
      </w:r>
      <w:r w:rsidR="00DE1D52">
        <w:t>– availability</w:t>
      </w:r>
      <w:r w:rsidR="00914853">
        <w:t xml:space="preserve"> to deliver the work </w:t>
      </w:r>
      <w:r w:rsidR="00456B1E">
        <w:t>(</w:t>
      </w:r>
      <w:r w:rsidR="001D085D">
        <w:t>5%</w:t>
      </w:r>
      <w:r w:rsidR="00456B1E">
        <w:t>)</w:t>
      </w:r>
    </w:p>
    <w:p w14:paraId="224E2587" w14:textId="5F1A822F" w:rsidR="00642936" w:rsidRDefault="00295591" w:rsidP="00642936">
      <w:r>
        <w:t>The deadline for the submission of bids is the</w:t>
      </w:r>
      <w:r w:rsidR="002D34B7">
        <w:t xml:space="preserve"> close of business on the</w:t>
      </w:r>
      <w:r>
        <w:t xml:space="preserve"> </w:t>
      </w:r>
      <w:r w:rsidR="00914003">
        <w:t>31</w:t>
      </w:r>
      <w:r w:rsidR="00914003">
        <w:rPr>
          <w:vertAlign w:val="superscript"/>
        </w:rPr>
        <w:t>st</w:t>
      </w:r>
      <w:r>
        <w:t xml:space="preserve"> of </w:t>
      </w:r>
      <w:r w:rsidR="00F07584">
        <w:t>January</w:t>
      </w:r>
      <w:r w:rsidR="00445F8A">
        <w:t>.</w:t>
      </w:r>
    </w:p>
    <w:p w14:paraId="0324D627" w14:textId="639408C9" w:rsidR="329CEFA2" w:rsidRDefault="00E94CCA" w:rsidP="00E94CCA">
      <w:pPr>
        <w:pStyle w:val="Heading1"/>
      </w:pPr>
      <w:r>
        <w:t xml:space="preserve">Contact details </w:t>
      </w:r>
    </w:p>
    <w:p w14:paraId="256D378C" w14:textId="355E03F9" w:rsidR="00E94CCA" w:rsidRDefault="00E94CCA" w:rsidP="00E94CCA"/>
    <w:p w14:paraId="72CB3BF9" w14:textId="7D356C06" w:rsidR="00E94CCA" w:rsidRPr="00CA2DB1" w:rsidRDefault="00E94CCA" w:rsidP="00CA2DB1">
      <w:pPr>
        <w:pStyle w:val="NoSpacing"/>
      </w:pPr>
      <w:r w:rsidRPr="00CA2DB1">
        <w:t xml:space="preserve">For further information please contact: </w:t>
      </w:r>
    </w:p>
    <w:p w14:paraId="7CA6115D" w14:textId="09F52948" w:rsidR="003569E4" w:rsidRPr="00CA2DB1" w:rsidRDefault="003569E4" w:rsidP="00CA2DB1">
      <w:pPr>
        <w:pStyle w:val="NoSpacing"/>
        <w:rPr>
          <w:lang w:eastAsia="en-GB"/>
        </w:rPr>
      </w:pPr>
    </w:p>
    <w:p w14:paraId="1F27E926" w14:textId="25D844E8" w:rsidR="003569E4" w:rsidRPr="00CA2DB1" w:rsidRDefault="003569E4" w:rsidP="00CA2DB1">
      <w:pPr>
        <w:pStyle w:val="NoSpacing"/>
        <w:rPr>
          <w:lang w:eastAsia="en-GB"/>
        </w:rPr>
      </w:pPr>
      <w:r w:rsidRPr="00CA2DB1">
        <w:rPr>
          <w:lang w:eastAsia="en-GB"/>
        </w:rPr>
        <w:t xml:space="preserve">Lucy Lee, Food and Landscapes </w:t>
      </w:r>
      <w:r w:rsidR="005D709A">
        <w:rPr>
          <w:lang w:eastAsia="en-GB"/>
        </w:rPr>
        <w:t>Advocacy Advisor</w:t>
      </w:r>
    </w:p>
    <w:p w14:paraId="45644366" w14:textId="2C0E69A8" w:rsidR="003569E4" w:rsidRPr="00093126" w:rsidRDefault="003569E4" w:rsidP="00CA2DB1">
      <w:pPr>
        <w:pStyle w:val="NoSpacing"/>
        <w:rPr>
          <w:lang w:eastAsia="en-GB"/>
        </w:rPr>
      </w:pPr>
      <w:r w:rsidRPr="00093126">
        <w:rPr>
          <w:lang w:eastAsia="en-GB"/>
        </w:rPr>
        <w:t xml:space="preserve">Email: </w:t>
      </w:r>
      <w:hyperlink r:id="rId8" w:history="1">
        <w:r w:rsidRPr="00093126">
          <w:rPr>
            <w:rStyle w:val="Hyperlink"/>
            <w:rFonts w:cstheme="minorHAnsi"/>
            <w:lang w:eastAsia="en-GB"/>
          </w:rPr>
          <w:t>llee@wwf.org.uk</w:t>
        </w:r>
      </w:hyperlink>
      <w:r w:rsidRPr="00093126">
        <w:rPr>
          <w:lang w:eastAsia="en-GB"/>
        </w:rPr>
        <w:t xml:space="preserve"> </w:t>
      </w:r>
    </w:p>
    <w:p w14:paraId="3FF82580" w14:textId="2AD094D6" w:rsidR="003569E4" w:rsidRPr="00093126" w:rsidRDefault="4EB00567" w:rsidP="4EB00567">
      <w:pPr>
        <w:pStyle w:val="NoSpacing"/>
        <w:rPr>
          <w:lang w:eastAsia="en-GB"/>
        </w:rPr>
      </w:pPr>
      <w:r w:rsidRPr="00093126">
        <w:rPr>
          <w:lang w:eastAsia="en-GB"/>
        </w:rPr>
        <w:t>Tel:</w:t>
      </w:r>
      <w:r w:rsidRPr="4EB00567">
        <w:rPr>
          <w:lang w:eastAsia="en-GB"/>
        </w:rPr>
        <w:t xml:space="preserve"> +44 (0)1483 412448 </w:t>
      </w:r>
    </w:p>
    <w:p w14:paraId="63A40649" w14:textId="046DF6EE" w:rsidR="4EB00567" w:rsidRDefault="4EB00567" w:rsidP="4EB00567">
      <w:pPr>
        <w:pStyle w:val="NoSpacing"/>
        <w:rPr>
          <w:lang w:eastAsia="en-GB"/>
        </w:rPr>
      </w:pPr>
    </w:p>
    <w:p w14:paraId="08878E3F" w14:textId="3D487EC0" w:rsidR="4EB00567" w:rsidRDefault="4EB00567" w:rsidP="4EB00567">
      <w:pPr>
        <w:pStyle w:val="NoSpacing"/>
        <w:rPr>
          <w:rFonts w:asciiTheme="majorHAnsi" w:eastAsiaTheme="majorEastAsia" w:hAnsiTheme="majorHAnsi" w:cstheme="majorBidi"/>
          <w:color w:val="2F5496" w:themeColor="accent1" w:themeShade="BF"/>
          <w:sz w:val="32"/>
          <w:szCs w:val="32"/>
          <w:lang w:eastAsia="en-GB"/>
        </w:rPr>
      </w:pPr>
      <w:r w:rsidRPr="4EB00567">
        <w:rPr>
          <w:rFonts w:asciiTheme="majorHAnsi" w:eastAsiaTheme="majorEastAsia" w:hAnsiTheme="majorHAnsi" w:cstheme="majorBidi"/>
          <w:color w:val="2F5496" w:themeColor="accent1" w:themeShade="BF"/>
          <w:sz w:val="32"/>
          <w:szCs w:val="32"/>
          <w:lang w:eastAsia="en-GB"/>
        </w:rPr>
        <w:t>Annex</w:t>
      </w:r>
    </w:p>
    <w:p w14:paraId="03877924" w14:textId="6DD12299" w:rsidR="4EB00567" w:rsidRDefault="4EB00567" w:rsidP="4EB00567">
      <w:pPr>
        <w:pStyle w:val="NoSpacing"/>
        <w:rPr>
          <w:rFonts w:asciiTheme="majorHAnsi" w:eastAsiaTheme="majorEastAsia" w:hAnsiTheme="majorHAnsi" w:cstheme="majorBidi"/>
          <w:color w:val="2F5496" w:themeColor="accent1" w:themeShade="BF"/>
          <w:sz w:val="32"/>
          <w:szCs w:val="32"/>
          <w:lang w:eastAsia="en-GB"/>
        </w:rPr>
      </w:pPr>
    </w:p>
    <w:p w14:paraId="3AB590E2" w14:textId="6C9008AB" w:rsidR="4EB00567" w:rsidRDefault="4EB00567" w:rsidP="4EB00567">
      <w:pPr>
        <w:pStyle w:val="NoSpacing"/>
        <w:rPr>
          <w:rFonts w:asciiTheme="majorHAnsi" w:eastAsiaTheme="majorEastAsia" w:hAnsiTheme="majorHAnsi" w:cstheme="majorBidi"/>
          <w:color w:val="2F5496" w:themeColor="accent1" w:themeShade="BF"/>
          <w:sz w:val="24"/>
          <w:szCs w:val="24"/>
          <w:lang w:eastAsia="en-GB"/>
        </w:rPr>
      </w:pPr>
      <w:r w:rsidRPr="4EB00567">
        <w:rPr>
          <w:rFonts w:asciiTheme="majorHAnsi" w:eastAsiaTheme="majorEastAsia" w:hAnsiTheme="majorHAnsi" w:cstheme="majorBidi"/>
          <w:color w:val="2F5496" w:themeColor="accent1" w:themeShade="BF"/>
          <w:sz w:val="24"/>
          <w:szCs w:val="24"/>
          <w:lang w:eastAsia="en-GB"/>
        </w:rPr>
        <w:t xml:space="preserve">Useful background documentation </w:t>
      </w:r>
    </w:p>
    <w:p w14:paraId="4912076B" w14:textId="49E1F271" w:rsidR="4EB00567" w:rsidRDefault="4EB00567" w:rsidP="4EB00567">
      <w:pPr>
        <w:rPr>
          <w:rFonts w:ascii="Calibri" w:eastAsia="Calibri" w:hAnsi="Calibri" w:cs="Calibri"/>
          <w:b/>
          <w:bCs/>
          <w:lang w:val="en-US"/>
        </w:rPr>
      </w:pPr>
    </w:p>
    <w:p w14:paraId="01F6B3A8" w14:textId="5F8C5952" w:rsidR="4EB00567" w:rsidRDefault="4EB00567" w:rsidP="4EB00567">
      <w:pPr>
        <w:rPr>
          <w:rFonts w:ascii="Calibri" w:eastAsia="Calibri" w:hAnsi="Calibri" w:cs="Calibri"/>
          <w:u w:val="single"/>
          <w:lang w:val="en-US"/>
        </w:rPr>
      </w:pPr>
      <w:r w:rsidRPr="4EB00567">
        <w:rPr>
          <w:rFonts w:ascii="Calibri" w:eastAsia="Calibri" w:hAnsi="Calibri" w:cs="Calibri"/>
          <w:u w:val="single"/>
          <w:lang w:val="en-US"/>
        </w:rPr>
        <w:t>WWF Internal</w:t>
      </w:r>
      <w:r w:rsidRPr="4EB00567">
        <w:rPr>
          <w:rFonts w:ascii="Calibri" w:eastAsia="Calibri" w:hAnsi="Calibri" w:cs="Calibri"/>
          <w:lang w:val="en-US"/>
        </w:rPr>
        <w:t xml:space="preserve"> </w:t>
      </w:r>
    </w:p>
    <w:p w14:paraId="6F5F3238" w14:textId="24B6BD41" w:rsidR="4EB00567" w:rsidRDefault="00353BBB" w:rsidP="4EB00567">
      <w:pPr>
        <w:rPr>
          <w:rFonts w:ascii="Calibri" w:eastAsia="Calibri" w:hAnsi="Calibri" w:cs="Calibri"/>
          <w:color w:val="000000" w:themeColor="text1"/>
        </w:rPr>
      </w:pPr>
      <w:hyperlink r:id="rId9">
        <w:r w:rsidR="4EB00567" w:rsidRPr="4EB00567">
          <w:rPr>
            <w:rStyle w:val="Hyperlink"/>
            <w:rFonts w:ascii="Calibri" w:eastAsia="Calibri" w:hAnsi="Calibri" w:cs="Calibri"/>
            <w:color w:val="0000FF"/>
          </w:rPr>
          <w:t>Risk to Resilience</w:t>
        </w:r>
      </w:hyperlink>
      <w:r w:rsidR="4EB00567" w:rsidRPr="4EB00567">
        <w:rPr>
          <w:rFonts w:ascii="Calibri" w:eastAsia="Calibri" w:hAnsi="Calibri" w:cs="Calibri"/>
          <w:color w:val="0000FF"/>
        </w:rPr>
        <w:t xml:space="preserve"> </w:t>
      </w:r>
      <w:r w:rsidR="4EB00567" w:rsidRPr="4EB00567">
        <w:rPr>
          <w:rFonts w:ascii="Calibri" w:eastAsia="Calibri" w:hAnsi="Calibri" w:cs="Calibri"/>
          <w:color w:val="000000" w:themeColor="text1"/>
        </w:rPr>
        <w:t>Highlighting water risks to UK headquartered business and how to mitigate these</w:t>
      </w:r>
    </w:p>
    <w:p w14:paraId="36333805" w14:textId="7E0BAC02" w:rsidR="4EB00567" w:rsidRDefault="00353BBB" w:rsidP="4EB00567">
      <w:pPr>
        <w:rPr>
          <w:rFonts w:ascii="Calibri" w:eastAsia="Calibri" w:hAnsi="Calibri" w:cs="Calibri"/>
          <w:color w:val="000000" w:themeColor="text1"/>
          <w:u w:val="single"/>
        </w:rPr>
      </w:pPr>
      <w:hyperlink r:id="rId10">
        <w:r w:rsidR="4EB00567" w:rsidRPr="4EB00567">
          <w:rPr>
            <w:rStyle w:val="Hyperlink"/>
            <w:rFonts w:ascii="Calibri" w:eastAsia="Calibri" w:hAnsi="Calibri" w:cs="Calibri"/>
            <w:color w:val="0000FF"/>
          </w:rPr>
          <w:t>The Nature of Risk</w:t>
        </w:r>
      </w:hyperlink>
      <w:r w:rsidR="4EB00567" w:rsidRPr="4EB00567">
        <w:rPr>
          <w:rFonts w:ascii="Calibri" w:eastAsia="Calibri" w:hAnsi="Calibri" w:cs="Calibri"/>
          <w:color w:val="0000FF"/>
          <w:u w:val="single"/>
        </w:rPr>
        <w:t xml:space="preserve"> </w:t>
      </w:r>
      <w:r w:rsidR="4EB00567" w:rsidRPr="4EB00567">
        <w:rPr>
          <w:rFonts w:ascii="Calibri" w:eastAsia="Calibri" w:hAnsi="Calibri" w:cs="Calibri"/>
          <w:color w:val="000000" w:themeColor="text1"/>
        </w:rPr>
        <w:t>WWF international report providing a framework for business to assess nature related water risk.</w:t>
      </w:r>
    </w:p>
    <w:p w14:paraId="4397FCAF" w14:textId="39C52048" w:rsidR="4EB00567" w:rsidRDefault="00353BBB" w:rsidP="4EB00567">
      <w:hyperlink r:id="rId11">
        <w:r w:rsidR="4EB00567" w:rsidRPr="4EB00567">
          <w:rPr>
            <w:rStyle w:val="Hyperlink"/>
            <w:rFonts w:ascii="Calibri" w:eastAsia="Calibri" w:hAnsi="Calibri" w:cs="Calibri"/>
            <w:color w:val="0000FF"/>
          </w:rPr>
          <w:t>Risky Business</w:t>
        </w:r>
      </w:hyperlink>
      <w:r w:rsidR="4EB00567" w:rsidRPr="4EB00567">
        <w:rPr>
          <w:rFonts w:ascii="Calibri" w:eastAsia="Calibri" w:hAnsi="Calibri" w:cs="Calibri"/>
          <w:color w:val="0000FF"/>
          <w:u w:val="single"/>
        </w:rPr>
        <w:t xml:space="preserve"> 2017</w:t>
      </w:r>
      <w:r w:rsidR="4EB00567" w:rsidRPr="4EB00567">
        <w:rPr>
          <w:rFonts w:ascii="Calibri" w:eastAsia="Calibri" w:hAnsi="Calibri" w:cs="Calibri"/>
        </w:rPr>
        <w:t xml:space="preserve"> research demonstrating that the UK uses an overseas area more than half its size to supply our annual demand for just seven agricultural products including palm oil, soy and cocoa</w:t>
      </w:r>
    </w:p>
    <w:p w14:paraId="51195194" w14:textId="0D376EE0" w:rsidR="4EB00567" w:rsidRDefault="00353BBB">
      <w:hyperlink r:id="rId12">
        <w:r w:rsidR="4EB00567" w:rsidRPr="4EB00567">
          <w:rPr>
            <w:rStyle w:val="Hyperlink"/>
            <w:rFonts w:ascii="Calibri" w:eastAsia="Calibri" w:hAnsi="Calibri" w:cs="Calibri"/>
            <w:color w:val="0000FF"/>
          </w:rPr>
          <w:t>Global Futures</w:t>
        </w:r>
      </w:hyperlink>
      <w:r w:rsidR="4EB00567" w:rsidRPr="4EB00567">
        <w:rPr>
          <w:rFonts w:ascii="Calibri" w:eastAsia="Calibri" w:hAnsi="Calibri" w:cs="Calibri"/>
          <w:color w:val="0000FF"/>
          <w:u w:val="single"/>
        </w:rPr>
        <w:t xml:space="preserve">  </w:t>
      </w:r>
      <w:r w:rsidR="4EB00567" w:rsidRPr="4EB00567">
        <w:rPr>
          <w:rFonts w:ascii="Calibri" w:eastAsia="Calibri" w:hAnsi="Calibri" w:cs="Calibri"/>
          <w:color w:val="000000" w:themeColor="text1"/>
        </w:rPr>
        <w:t xml:space="preserve">an innovative new economic modelling approach that </w:t>
      </w:r>
      <w:proofErr w:type="gramStart"/>
      <w:r w:rsidR="4EB00567" w:rsidRPr="4EB00567">
        <w:rPr>
          <w:rFonts w:ascii="Calibri" w:eastAsia="Calibri" w:hAnsi="Calibri" w:cs="Calibri"/>
          <w:color w:val="000000" w:themeColor="text1"/>
        </w:rPr>
        <w:t>combines  a</w:t>
      </w:r>
      <w:proofErr w:type="gramEnd"/>
      <w:r w:rsidR="4EB00567" w:rsidRPr="4EB00567">
        <w:rPr>
          <w:rFonts w:ascii="Calibri" w:eastAsia="Calibri" w:hAnsi="Calibri" w:cs="Calibri"/>
          <w:color w:val="0000FF"/>
          <w:u w:val="single"/>
        </w:rPr>
        <w:t xml:space="preserve"> </w:t>
      </w:r>
      <w:r w:rsidR="4EB00567" w:rsidRPr="4EB00567">
        <w:rPr>
          <w:rFonts w:ascii="Calibri" w:eastAsia="Calibri" w:hAnsi="Calibri" w:cs="Calibri"/>
          <w:color w:val="000000" w:themeColor="text1"/>
        </w:rPr>
        <w:t>global economic model with high-resolution land-use and ecosystem services models</w:t>
      </w:r>
    </w:p>
    <w:p w14:paraId="19D9E83D" w14:textId="64DE438A" w:rsidR="4EB00567" w:rsidRDefault="00353BBB">
      <w:hyperlink r:id="rId13">
        <w:r w:rsidR="4EB00567" w:rsidRPr="4EB00567">
          <w:rPr>
            <w:rStyle w:val="Hyperlink"/>
            <w:rFonts w:ascii="Calibri" w:eastAsia="Calibri" w:hAnsi="Calibri" w:cs="Calibri"/>
            <w:color w:val="0000FF"/>
          </w:rPr>
          <w:t>Our planet our business</w:t>
        </w:r>
      </w:hyperlink>
    </w:p>
    <w:p w14:paraId="20A1FF70" w14:textId="38AF77F1" w:rsidR="4EB00567" w:rsidRDefault="4EB00567" w:rsidP="4EB00567">
      <w:pPr>
        <w:rPr>
          <w:rFonts w:ascii="Calibri" w:eastAsia="Calibri" w:hAnsi="Calibri" w:cs="Calibri"/>
          <w:color w:val="0000FF"/>
          <w:u w:val="single"/>
        </w:rPr>
      </w:pPr>
      <w:r w:rsidRPr="4EB00567">
        <w:rPr>
          <w:rFonts w:ascii="Calibri" w:eastAsia="Calibri" w:hAnsi="Calibri" w:cs="Calibri"/>
        </w:rPr>
        <w:t xml:space="preserve">Water in the economy studies </w:t>
      </w:r>
      <w:proofErr w:type="spellStart"/>
      <w:r w:rsidRPr="4EB00567">
        <w:rPr>
          <w:rFonts w:ascii="Calibri" w:eastAsia="Calibri" w:hAnsi="Calibri" w:cs="Calibri"/>
        </w:rPr>
        <w:t>e.g</w:t>
      </w:r>
      <w:proofErr w:type="spellEnd"/>
      <w:r w:rsidRPr="4EB00567">
        <w:rPr>
          <w:rFonts w:ascii="Calibri" w:eastAsia="Calibri" w:hAnsi="Calibri" w:cs="Calibri"/>
        </w:rPr>
        <w:t xml:space="preserve"> </w:t>
      </w:r>
      <w:hyperlink r:id="rId14">
        <w:r w:rsidRPr="4EB00567">
          <w:rPr>
            <w:rStyle w:val="Hyperlink"/>
            <w:rFonts w:ascii="Calibri" w:eastAsia="Calibri" w:hAnsi="Calibri" w:cs="Calibri"/>
            <w:color w:val="0000FF"/>
          </w:rPr>
          <w:t>Zambia</w:t>
        </w:r>
      </w:hyperlink>
    </w:p>
    <w:p w14:paraId="0BB0DDB4" w14:textId="074BEA2F" w:rsidR="4EB00567" w:rsidRDefault="4EB00567">
      <w:r w:rsidRPr="4EB00567">
        <w:rPr>
          <w:rFonts w:ascii="Calibri" w:eastAsia="Calibri" w:hAnsi="Calibri" w:cs="Calibri"/>
        </w:rPr>
        <w:t xml:space="preserve">Value of water updates to the </w:t>
      </w:r>
      <w:hyperlink r:id="rId15">
        <w:r w:rsidRPr="4EB00567">
          <w:rPr>
            <w:rStyle w:val="Hyperlink"/>
            <w:rFonts w:ascii="Calibri" w:eastAsia="Calibri" w:hAnsi="Calibri" w:cs="Calibri"/>
            <w:color w:val="0000FF"/>
          </w:rPr>
          <w:t>Water Risk Filter</w:t>
        </w:r>
      </w:hyperlink>
      <w:r w:rsidRPr="4EB00567">
        <w:rPr>
          <w:rFonts w:ascii="Calibri" w:eastAsia="Calibri" w:hAnsi="Calibri" w:cs="Calibri"/>
          <w:color w:val="0000FF"/>
          <w:u w:val="single"/>
        </w:rPr>
        <w:t xml:space="preserve"> and mapping of </w:t>
      </w:r>
      <w:hyperlink r:id="rId16">
        <w:r w:rsidRPr="4EB00567">
          <w:rPr>
            <w:rStyle w:val="Hyperlink"/>
            <w:rFonts w:ascii="Calibri" w:eastAsia="Calibri" w:hAnsi="Calibri" w:cs="Calibri"/>
            <w:color w:val="0000FF"/>
          </w:rPr>
          <w:t>water risk links to GDP</w:t>
        </w:r>
      </w:hyperlink>
      <w:r w:rsidRPr="4EB00567">
        <w:rPr>
          <w:rFonts w:ascii="Calibri" w:eastAsia="Calibri" w:hAnsi="Calibri" w:cs="Calibri"/>
          <w:color w:val="0000FF"/>
          <w:u w:val="single"/>
        </w:rPr>
        <w:t xml:space="preserve"> </w:t>
      </w:r>
    </w:p>
    <w:p w14:paraId="0FF7D051" w14:textId="51BF8AA7" w:rsidR="4EB00567" w:rsidRDefault="4EB00567">
      <w:r w:rsidRPr="4EB00567">
        <w:rPr>
          <w:rFonts w:ascii="Calibri" w:eastAsia="Calibri" w:hAnsi="Calibri" w:cs="Calibri"/>
          <w:b/>
          <w:bCs/>
          <w:lang w:val="en-US"/>
        </w:rPr>
        <w:t xml:space="preserve">External </w:t>
      </w:r>
    </w:p>
    <w:p w14:paraId="7D851938" w14:textId="21DDEB09" w:rsidR="4EB00567" w:rsidRDefault="4EB00567">
      <w:r w:rsidRPr="4EB00567">
        <w:rPr>
          <w:rFonts w:ascii="Calibri" w:eastAsia="Calibri" w:hAnsi="Calibri" w:cs="Calibri"/>
          <w:color w:val="000000" w:themeColor="text1"/>
        </w:rPr>
        <w:lastRenderedPageBreak/>
        <w:t xml:space="preserve">WEF Global Risks Report – launched at Davos each year – env risks consistently top in terms of likelihood and impact. </w:t>
      </w:r>
      <w:hyperlink r:id="rId17">
        <w:r w:rsidRPr="4EB00567">
          <w:rPr>
            <w:rStyle w:val="Hyperlink"/>
            <w:rFonts w:ascii="Calibri" w:eastAsia="Calibri" w:hAnsi="Calibri" w:cs="Calibri"/>
            <w:color w:val="0000FF"/>
          </w:rPr>
          <w:t>2019 report</w:t>
        </w:r>
      </w:hyperlink>
      <w:r w:rsidRPr="4EB00567">
        <w:rPr>
          <w:rFonts w:ascii="Calibri" w:eastAsia="Calibri" w:hAnsi="Calibri" w:cs="Calibri"/>
          <w:color w:val="0000FF"/>
          <w:u w:val="single"/>
        </w:rPr>
        <w:t xml:space="preserve"> </w:t>
      </w:r>
    </w:p>
    <w:p w14:paraId="78ECF006" w14:textId="77808802" w:rsidR="4EB00567" w:rsidRDefault="4EB00567">
      <w:r w:rsidRPr="4EB00567">
        <w:rPr>
          <w:rFonts w:ascii="Calibri" w:eastAsia="Calibri" w:hAnsi="Calibri" w:cs="Calibri"/>
          <w:color w:val="000000" w:themeColor="text1"/>
        </w:rPr>
        <w:t xml:space="preserve">Dasgupta Review – in development by HM Treasury for launch at Davos 2019. Looking at the economic impact of the degradation of nature </w:t>
      </w:r>
    </w:p>
    <w:p w14:paraId="54B8A5A4" w14:textId="7C413CAB" w:rsidR="4EB00567" w:rsidRDefault="4EB00567">
      <w:r w:rsidRPr="4EB00567">
        <w:rPr>
          <w:rFonts w:ascii="Calibri" w:eastAsia="Calibri" w:hAnsi="Calibri" w:cs="Calibri"/>
          <w:color w:val="000000" w:themeColor="text1"/>
        </w:rPr>
        <w:t>WEF stern review, in progress to be launched in Davos in 2020</w:t>
      </w:r>
    </w:p>
    <w:p w14:paraId="4458E230" w14:textId="2E5F4479" w:rsidR="4EB00567" w:rsidRDefault="4EB00567">
      <w:r w:rsidRPr="4EB00567">
        <w:rPr>
          <w:rFonts w:ascii="Calibri" w:eastAsia="Calibri" w:hAnsi="Calibri" w:cs="Calibri"/>
          <w:color w:val="000000" w:themeColor="text1"/>
        </w:rPr>
        <w:t xml:space="preserve">TCFD reporting looking at the climate change risks to individual businesses (Tesco report attached)  </w:t>
      </w:r>
    </w:p>
    <w:p w14:paraId="208B48EC" w14:textId="2A09E1D3" w:rsidR="4EB00567" w:rsidRDefault="4EB00567">
      <w:r w:rsidRPr="4EB00567">
        <w:rPr>
          <w:rFonts w:ascii="Calibri" w:eastAsia="Calibri" w:hAnsi="Calibri" w:cs="Calibri"/>
          <w:color w:val="000000" w:themeColor="text1"/>
        </w:rPr>
        <w:t>CDP data – water (</w:t>
      </w:r>
      <w:hyperlink r:id="rId18">
        <w:r w:rsidRPr="4EB00567">
          <w:rPr>
            <w:rStyle w:val="Hyperlink"/>
            <w:rFonts w:ascii="Calibri" w:eastAsia="Calibri" w:hAnsi="Calibri" w:cs="Calibri"/>
            <w:color w:val="0000FF"/>
          </w:rPr>
          <w:t>2018</w:t>
        </w:r>
      </w:hyperlink>
      <w:r w:rsidRPr="4EB00567">
        <w:rPr>
          <w:rFonts w:ascii="Calibri" w:eastAsia="Calibri" w:hAnsi="Calibri" w:cs="Calibri"/>
          <w:color w:val="0000FF"/>
          <w:u w:val="single"/>
        </w:rPr>
        <w:t>), supply chains, climate</w:t>
      </w:r>
    </w:p>
    <w:p w14:paraId="6339A54C" w14:textId="65F4808A" w:rsidR="4EB00567" w:rsidRDefault="4EB00567">
      <w:r w:rsidRPr="4EB00567">
        <w:rPr>
          <w:rFonts w:ascii="Calibri" w:eastAsia="Calibri" w:hAnsi="Calibri" w:cs="Calibri"/>
          <w:color w:val="000000" w:themeColor="text1"/>
        </w:rPr>
        <w:t>Natural Capital Accounting</w:t>
      </w:r>
    </w:p>
    <w:p w14:paraId="42ED11C6" w14:textId="5C1DB1E9" w:rsidR="4EB00567" w:rsidRDefault="4EB00567" w:rsidP="4EB00567">
      <w:pPr>
        <w:pStyle w:val="NoSpacing"/>
        <w:rPr>
          <w:rFonts w:asciiTheme="majorHAnsi" w:eastAsiaTheme="majorEastAsia" w:hAnsiTheme="majorHAnsi" w:cstheme="majorBidi"/>
          <w:color w:val="44546A" w:themeColor="text2"/>
          <w:sz w:val="24"/>
          <w:szCs w:val="24"/>
          <w:lang w:eastAsia="en-GB"/>
        </w:rPr>
      </w:pPr>
    </w:p>
    <w:p w14:paraId="22AB2FC7" w14:textId="6782C50A" w:rsidR="4EB00567" w:rsidRDefault="4EB00567" w:rsidP="4EB00567">
      <w:pPr>
        <w:pStyle w:val="NoSpacing"/>
        <w:rPr>
          <w:lang w:eastAsia="en-GB"/>
        </w:rPr>
      </w:pPr>
    </w:p>
    <w:p w14:paraId="25724A79" w14:textId="47F05F80" w:rsidR="4EB00567" w:rsidRDefault="4EB00567" w:rsidP="4EB00567">
      <w:pPr>
        <w:pStyle w:val="NoSpacing"/>
        <w:rPr>
          <w:lang w:eastAsia="en-GB"/>
        </w:rPr>
      </w:pPr>
    </w:p>
    <w:p w14:paraId="73CF74DA" w14:textId="78C2B2EC" w:rsidR="00E94CCA" w:rsidRPr="003569E4" w:rsidRDefault="00E94CCA" w:rsidP="00E94CCA">
      <w:pPr>
        <w:rPr>
          <w:lang w:val="fr-FR"/>
        </w:rPr>
      </w:pPr>
    </w:p>
    <w:p w14:paraId="6056FEF2" w14:textId="77777777" w:rsidR="00E94CCA" w:rsidRPr="003569E4" w:rsidRDefault="00E94CCA" w:rsidP="00E94CCA">
      <w:pPr>
        <w:rPr>
          <w:lang w:val="fr-FR"/>
        </w:rPr>
      </w:pPr>
    </w:p>
    <w:sectPr w:rsidR="00E94CCA" w:rsidRPr="003569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CDB6B6" w14:textId="77777777" w:rsidR="00925613" w:rsidRDefault="00925613" w:rsidP="003B57DE">
      <w:pPr>
        <w:spacing w:after="0" w:line="240" w:lineRule="auto"/>
      </w:pPr>
      <w:r>
        <w:separator/>
      </w:r>
    </w:p>
  </w:endnote>
  <w:endnote w:type="continuationSeparator" w:id="0">
    <w:p w14:paraId="1F77D1C0" w14:textId="77777777" w:rsidR="00925613" w:rsidRDefault="00925613" w:rsidP="003B57DE">
      <w:pPr>
        <w:spacing w:after="0" w:line="240" w:lineRule="auto"/>
      </w:pPr>
      <w:r>
        <w:continuationSeparator/>
      </w:r>
    </w:p>
  </w:endnote>
  <w:endnote w:type="continuationNotice" w:id="1">
    <w:p w14:paraId="3E1A271A" w14:textId="77777777" w:rsidR="00925613" w:rsidRDefault="009256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D040F2" w14:textId="77777777" w:rsidR="00925613" w:rsidRDefault="00925613" w:rsidP="003B57DE">
      <w:pPr>
        <w:spacing w:after="0" w:line="240" w:lineRule="auto"/>
      </w:pPr>
      <w:r>
        <w:separator/>
      </w:r>
    </w:p>
  </w:footnote>
  <w:footnote w:type="continuationSeparator" w:id="0">
    <w:p w14:paraId="4A2B659F" w14:textId="77777777" w:rsidR="00925613" w:rsidRDefault="00925613" w:rsidP="003B57DE">
      <w:pPr>
        <w:spacing w:after="0" w:line="240" w:lineRule="auto"/>
      </w:pPr>
      <w:r>
        <w:continuationSeparator/>
      </w:r>
    </w:p>
  </w:footnote>
  <w:footnote w:type="continuationNotice" w:id="1">
    <w:p w14:paraId="09E7AA33" w14:textId="77777777" w:rsidR="00925613" w:rsidRDefault="00925613">
      <w:pPr>
        <w:spacing w:after="0" w:line="240" w:lineRule="auto"/>
      </w:pPr>
    </w:p>
  </w:footnote>
  <w:footnote w:id="2">
    <w:p w14:paraId="688B98FF" w14:textId="77777777" w:rsidR="00856097" w:rsidRDefault="00856097" w:rsidP="00856097">
      <w:pPr>
        <w:spacing w:after="0" w:line="240" w:lineRule="auto"/>
        <w:rPr>
          <w:color w:val="000000"/>
          <w:sz w:val="18"/>
          <w:szCs w:val="18"/>
        </w:rPr>
      </w:pPr>
      <w:r>
        <w:rPr>
          <w:vertAlign w:val="superscript"/>
        </w:rPr>
        <w:footnoteRef/>
      </w:r>
      <w:r>
        <w:rPr>
          <w:color w:val="000000"/>
          <w:sz w:val="18"/>
          <w:szCs w:val="18"/>
        </w:rPr>
        <w:t xml:space="preserve"> A report published by RSPB in 2015 found that the impact of most voluntary schemes in the UK is limited, and that voluntary approaches are rarely if ever an effective substitute for regulatory or fiscal measures in seeking to achieve public policy objectives: McCarthy, D. &amp; </w:t>
      </w:r>
      <w:proofErr w:type="spellStart"/>
      <w:r>
        <w:rPr>
          <w:color w:val="000000"/>
          <w:sz w:val="18"/>
          <w:szCs w:val="18"/>
        </w:rPr>
        <w:t>Morling</w:t>
      </w:r>
      <w:proofErr w:type="spellEnd"/>
      <w:r>
        <w:rPr>
          <w:color w:val="000000"/>
          <w:sz w:val="18"/>
          <w:szCs w:val="18"/>
        </w:rPr>
        <w:t>, P. (2015). Using Regulation as a Last Resort: Assessing the Performance of Voluntary Approaches. Royal Society for the Protection of Birds: Sandy, Bedfordshire.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F45E8"/>
    <w:multiLevelType w:val="hybridMultilevel"/>
    <w:tmpl w:val="52B07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005D9"/>
    <w:multiLevelType w:val="hybridMultilevel"/>
    <w:tmpl w:val="283A8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685A5F"/>
    <w:multiLevelType w:val="hybridMultilevel"/>
    <w:tmpl w:val="68483296"/>
    <w:lvl w:ilvl="0" w:tplc="F7202070">
      <w:start w:val="1"/>
      <w:numFmt w:val="bullet"/>
      <w:lvlText w:val=""/>
      <w:lvlJc w:val="left"/>
      <w:pPr>
        <w:ind w:left="720" w:hanging="360"/>
      </w:pPr>
      <w:rPr>
        <w:rFonts w:ascii="Symbol" w:hAnsi="Symbol" w:hint="default"/>
      </w:rPr>
    </w:lvl>
    <w:lvl w:ilvl="1" w:tplc="B4A48372">
      <w:start w:val="1"/>
      <w:numFmt w:val="bullet"/>
      <w:lvlText w:val=""/>
      <w:lvlJc w:val="left"/>
      <w:pPr>
        <w:ind w:left="1440" w:hanging="360"/>
      </w:pPr>
      <w:rPr>
        <w:rFonts w:ascii="Symbol" w:hAnsi="Symbol" w:hint="default"/>
      </w:rPr>
    </w:lvl>
    <w:lvl w:ilvl="2" w:tplc="34F4C9F2">
      <w:start w:val="1"/>
      <w:numFmt w:val="bullet"/>
      <w:lvlText w:val=""/>
      <w:lvlJc w:val="left"/>
      <w:pPr>
        <w:ind w:left="2160" w:hanging="360"/>
      </w:pPr>
      <w:rPr>
        <w:rFonts w:ascii="Wingdings" w:hAnsi="Wingdings" w:hint="default"/>
      </w:rPr>
    </w:lvl>
    <w:lvl w:ilvl="3" w:tplc="C88675E0">
      <w:start w:val="1"/>
      <w:numFmt w:val="bullet"/>
      <w:lvlText w:val=""/>
      <w:lvlJc w:val="left"/>
      <w:pPr>
        <w:ind w:left="2880" w:hanging="360"/>
      </w:pPr>
      <w:rPr>
        <w:rFonts w:ascii="Symbol" w:hAnsi="Symbol" w:hint="default"/>
      </w:rPr>
    </w:lvl>
    <w:lvl w:ilvl="4" w:tplc="AA32DCEA">
      <w:start w:val="1"/>
      <w:numFmt w:val="bullet"/>
      <w:lvlText w:val="o"/>
      <w:lvlJc w:val="left"/>
      <w:pPr>
        <w:ind w:left="3600" w:hanging="360"/>
      </w:pPr>
      <w:rPr>
        <w:rFonts w:ascii="Courier New" w:hAnsi="Courier New" w:hint="default"/>
      </w:rPr>
    </w:lvl>
    <w:lvl w:ilvl="5" w:tplc="BD841BCE">
      <w:start w:val="1"/>
      <w:numFmt w:val="bullet"/>
      <w:lvlText w:val=""/>
      <w:lvlJc w:val="left"/>
      <w:pPr>
        <w:ind w:left="4320" w:hanging="360"/>
      </w:pPr>
      <w:rPr>
        <w:rFonts w:ascii="Wingdings" w:hAnsi="Wingdings" w:hint="default"/>
      </w:rPr>
    </w:lvl>
    <w:lvl w:ilvl="6" w:tplc="F766A5A2">
      <w:start w:val="1"/>
      <w:numFmt w:val="bullet"/>
      <w:lvlText w:val=""/>
      <w:lvlJc w:val="left"/>
      <w:pPr>
        <w:ind w:left="5040" w:hanging="360"/>
      </w:pPr>
      <w:rPr>
        <w:rFonts w:ascii="Symbol" w:hAnsi="Symbol" w:hint="default"/>
      </w:rPr>
    </w:lvl>
    <w:lvl w:ilvl="7" w:tplc="B05E7D92">
      <w:start w:val="1"/>
      <w:numFmt w:val="bullet"/>
      <w:lvlText w:val="o"/>
      <w:lvlJc w:val="left"/>
      <w:pPr>
        <w:ind w:left="5760" w:hanging="360"/>
      </w:pPr>
      <w:rPr>
        <w:rFonts w:ascii="Courier New" w:hAnsi="Courier New" w:hint="default"/>
      </w:rPr>
    </w:lvl>
    <w:lvl w:ilvl="8" w:tplc="DCBE29A6">
      <w:start w:val="1"/>
      <w:numFmt w:val="bullet"/>
      <w:lvlText w:val=""/>
      <w:lvlJc w:val="left"/>
      <w:pPr>
        <w:ind w:left="6480" w:hanging="360"/>
      </w:pPr>
      <w:rPr>
        <w:rFonts w:ascii="Wingdings" w:hAnsi="Wingdings" w:hint="default"/>
      </w:rPr>
    </w:lvl>
  </w:abstractNum>
  <w:abstractNum w:abstractNumId="3" w15:restartNumberingAfterBreak="0">
    <w:nsid w:val="1CC900BC"/>
    <w:multiLevelType w:val="hybridMultilevel"/>
    <w:tmpl w:val="4664CD24"/>
    <w:lvl w:ilvl="0" w:tplc="85AECF5E">
      <w:start w:val="1"/>
      <w:numFmt w:val="decimal"/>
      <w:lvlText w:val="%1)"/>
      <w:lvlJc w:val="left"/>
      <w:pPr>
        <w:ind w:left="360" w:hanging="360"/>
      </w:pPr>
      <w:rPr>
        <w:rFonts w:asciiTheme="minorHAnsi" w:eastAsiaTheme="minorHAnsi" w:hAnsiTheme="minorHAnsi" w:cstheme="minorBidi"/>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16F5B8D"/>
    <w:multiLevelType w:val="hybridMultilevel"/>
    <w:tmpl w:val="CFFA6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060225"/>
    <w:multiLevelType w:val="hybridMultilevel"/>
    <w:tmpl w:val="E1EA947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 w15:restartNumberingAfterBreak="0">
    <w:nsid w:val="26276444"/>
    <w:multiLevelType w:val="hybridMultilevel"/>
    <w:tmpl w:val="B3BCB0C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7" w15:restartNumberingAfterBreak="0">
    <w:nsid w:val="45A05CF8"/>
    <w:multiLevelType w:val="multilevel"/>
    <w:tmpl w:val="D8141A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7687D41"/>
    <w:multiLevelType w:val="hybridMultilevel"/>
    <w:tmpl w:val="039A7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D24EE6"/>
    <w:multiLevelType w:val="hybridMultilevel"/>
    <w:tmpl w:val="BCFEF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425989"/>
    <w:multiLevelType w:val="hybridMultilevel"/>
    <w:tmpl w:val="3FE6B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EB500B"/>
    <w:multiLevelType w:val="hybridMultilevel"/>
    <w:tmpl w:val="02F83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AD6F61"/>
    <w:multiLevelType w:val="hybridMultilevel"/>
    <w:tmpl w:val="72243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F86168"/>
    <w:multiLevelType w:val="hybridMultilevel"/>
    <w:tmpl w:val="565A26F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4" w15:restartNumberingAfterBreak="0">
    <w:nsid w:val="7C5B7CC4"/>
    <w:multiLevelType w:val="hybridMultilevel"/>
    <w:tmpl w:val="63B6A8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9"/>
  </w:num>
  <w:num w:numId="3">
    <w:abstractNumId w:val="11"/>
  </w:num>
  <w:num w:numId="4">
    <w:abstractNumId w:val="4"/>
  </w:num>
  <w:num w:numId="5">
    <w:abstractNumId w:val="10"/>
  </w:num>
  <w:num w:numId="6">
    <w:abstractNumId w:val="5"/>
  </w:num>
  <w:num w:numId="7">
    <w:abstractNumId w:val="8"/>
  </w:num>
  <w:num w:numId="8">
    <w:abstractNumId w:val="3"/>
  </w:num>
  <w:num w:numId="9">
    <w:abstractNumId w:val="14"/>
  </w:num>
  <w:num w:numId="10">
    <w:abstractNumId w:val="1"/>
  </w:num>
  <w:num w:numId="11">
    <w:abstractNumId w:val="6"/>
  </w:num>
  <w:num w:numId="12">
    <w:abstractNumId w:val="12"/>
  </w:num>
  <w:num w:numId="13">
    <w:abstractNumId w:val="0"/>
  </w:num>
  <w:num w:numId="14">
    <w:abstractNumId w:val="1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A1B"/>
    <w:rsid w:val="00000694"/>
    <w:rsid w:val="0000305F"/>
    <w:rsid w:val="00006F38"/>
    <w:rsid w:val="0000788F"/>
    <w:rsid w:val="00014A53"/>
    <w:rsid w:val="00021731"/>
    <w:rsid w:val="000240B5"/>
    <w:rsid w:val="000331B8"/>
    <w:rsid w:val="0003679D"/>
    <w:rsid w:val="00043D83"/>
    <w:rsid w:val="00046206"/>
    <w:rsid w:val="00052E69"/>
    <w:rsid w:val="00062FDA"/>
    <w:rsid w:val="00063264"/>
    <w:rsid w:val="00064BF5"/>
    <w:rsid w:val="00065953"/>
    <w:rsid w:val="00066238"/>
    <w:rsid w:val="00084B49"/>
    <w:rsid w:val="000871E3"/>
    <w:rsid w:val="000873FA"/>
    <w:rsid w:val="00087DCD"/>
    <w:rsid w:val="00093126"/>
    <w:rsid w:val="000A7C23"/>
    <w:rsid w:val="000A7F94"/>
    <w:rsid w:val="000B25E7"/>
    <w:rsid w:val="000C34BE"/>
    <w:rsid w:val="000C4AE0"/>
    <w:rsid w:val="000D335C"/>
    <w:rsid w:val="001040D1"/>
    <w:rsid w:val="00105C12"/>
    <w:rsid w:val="001204F7"/>
    <w:rsid w:val="00131CBF"/>
    <w:rsid w:val="00135EFB"/>
    <w:rsid w:val="00137547"/>
    <w:rsid w:val="00143E66"/>
    <w:rsid w:val="001538C2"/>
    <w:rsid w:val="001640BA"/>
    <w:rsid w:val="0018118F"/>
    <w:rsid w:val="00183B25"/>
    <w:rsid w:val="00184078"/>
    <w:rsid w:val="00187336"/>
    <w:rsid w:val="0019182D"/>
    <w:rsid w:val="0019370D"/>
    <w:rsid w:val="001955D3"/>
    <w:rsid w:val="001A4770"/>
    <w:rsid w:val="001B196C"/>
    <w:rsid w:val="001B2319"/>
    <w:rsid w:val="001B7570"/>
    <w:rsid w:val="001C4357"/>
    <w:rsid w:val="001D085D"/>
    <w:rsid w:val="001E3FE4"/>
    <w:rsid w:val="001E4FDC"/>
    <w:rsid w:val="001E651E"/>
    <w:rsid w:val="001E7AC0"/>
    <w:rsid w:val="001F01D7"/>
    <w:rsid w:val="00200223"/>
    <w:rsid w:val="0022075F"/>
    <w:rsid w:val="00241D21"/>
    <w:rsid w:val="00243D6A"/>
    <w:rsid w:val="00244DE6"/>
    <w:rsid w:val="00247994"/>
    <w:rsid w:val="002614AF"/>
    <w:rsid w:val="00262475"/>
    <w:rsid w:val="00265D10"/>
    <w:rsid w:val="0026682A"/>
    <w:rsid w:val="00267923"/>
    <w:rsid w:val="00272BF2"/>
    <w:rsid w:val="0027319D"/>
    <w:rsid w:val="002876D4"/>
    <w:rsid w:val="002879B1"/>
    <w:rsid w:val="00287D72"/>
    <w:rsid w:val="00294628"/>
    <w:rsid w:val="00294A07"/>
    <w:rsid w:val="00295591"/>
    <w:rsid w:val="002A1DB2"/>
    <w:rsid w:val="002B43B1"/>
    <w:rsid w:val="002B51CE"/>
    <w:rsid w:val="002C0E20"/>
    <w:rsid w:val="002C3FAF"/>
    <w:rsid w:val="002C7DC0"/>
    <w:rsid w:val="002D201B"/>
    <w:rsid w:val="002D34B7"/>
    <w:rsid w:val="002E0AF9"/>
    <w:rsid w:val="002F52E4"/>
    <w:rsid w:val="0030355B"/>
    <w:rsid w:val="00305A0B"/>
    <w:rsid w:val="003067F9"/>
    <w:rsid w:val="003101C6"/>
    <w:rsid w:val="00312C3E"/>
    <w:rsid w:val="0031331B"/>
    <w:rsid w:val="00315618"/>
    <w:rsid w:val="0032084D"/>
    <w:rsid w:val="00327277"/>
    <w:rsid w:val="00333557"/>
    <w:rsid w:val="00337A53"/>
    <w:rsid w:val="00340A21"/>
    <w:rsid w:val="00342432"/>
    <w:rsid w:val="00350627"/>
    <w:rsid w:val="00353244"/>
    <w:rsid w:val="003534FA"/>
    <w:rsid w:val="00353BBB"/>
    <w:rsid w:val="003569E4"/>
    <w:rsid w:val="00361E2F"/>
    <w:rsid w:val="003705A2"/>
    <w:rsid w:val="00375638"/>
    <w:rsid w:val="003A324E"/>
    <w:rsid w:val="003A5646"/>
    <w:rsid w:val="003A65BB"/>
    <w:rsid w:val="003A79E6"/>
    <w:rsid w:val="003B2169"/>
    <w:rsid w:val="003B5433"/>
    <w:rsid w:val="003B57DE"/>
    <w:rsid w:val="003C2FB3"/>
    <w:rsid w:val="003C4875"/>
    <w:rsid w:val="003D020F"/>
    <w:rsid w:val="003D672A"/>
    <w:rsid w:val="003E0268"/>
    <w:rsid w:val="003E4CFE"/>
    <w:rsid w:val="003E56C4"/>
    <w:rsid w:val="003F4A29"/>
    <w:rsid w:val="00411CC0"/>
    <w:rsid w:val="0043243E"/>
    <w:rsid w:val="00444447"/>
    <w:rsid w:val="00445F8A"/>
    <w:rsid w:val="00446386"/>
    <w:rsid w:val="00456341"/>
    <w:rsid w:val="00456B1E"/>
    <w:rsid w:val="0045731A"/>
    <w:rsid w:val="00465249"/>
    <w:rsid w:val="0048414A"/>
    <w:rsid w:val="0048639B"/>
    <w:rsid w:val="00490F01"/>
    <w:rsid w:val="004A65DD"/>
    <w:rsid w:val="004A69AB"/>
    <w:rsid w:val="004B69F9"/>
    <w:rsid w:val="004D2EFC"/>
    <w:rsid w:val="004E2133"/>
    <w:rsid w:val="004E7005"/>
    <w:rsid w:val="004F1220"/>
    <w:rsid w:val="004F5DC1"/>
    <w:rsid w:val="004F6675"/>
    <w:rsid w:val="005068BA"/>
    <w:rsid w:val="00512098"/>
    <w:rsid w:val="005156AF"/>
    <w:rsid w:val="00523252"/>
    <w:rsid w:val="00523C95"/>
    <w:rsid w:val="00524241"/>
    <w:rsid w:val="00535596"/>
    <w:rsid w:val="005477D9"/>
    <w:rsid w:val="005532C6"/>
    <w:rsid w:val="00563472"/>
    <w:rsid w:val="00563853"/>
    <w:rsid w:val="005738A9"/>
    <w:rsid w:val="00574941"/>
    <w:rsid w:val="00576ACE"/>
    <w:rsid w:val="00580175"/>
    <w:rsid w:val="00590648"/>
    <w:rsid w:val="005921DD"/>
    <w:rsid w:val="00592904"/>
    <w:rsid w:val="0059326C"/>
    <w:rsid w:val="00595A51"/>
    <w:rsid w:val="00597DB3"/>
    <w:rsid w:val="005A53D8"/>
    <w:rsid w:val="005B0248"/>
    <w:rsid w:val="005B2C86"/>
    <w:rsid w:val="005B7555"/>
    <w:rsid w:val="005C0837"/>
    <w:rsid w:val="005C712B"/>
    <w:rsid w:val="005D709A"/>
    <w:rsid w:val="005E3FF7"/>
    <w:rsid w:val="005E7D93"/>
    <w:rsid w:val="005F5D17"/>
    <w:rsid w:val="00603533"/>
    <w:rsid w:val="00610C3B"/>
    <w:rsid w:val="0062426F"/>
    <w:rsid w:val="00626112"/>
    <w:rsid w:val="006263BD"/>
    <w:rsid w:val="00642936"/>
    <w:rsid w:val="00647879"/>
    <w:rsid w:val="006511CC"/>
    <w:rsid w:val="00654F15"/>
    <w:rsid w:val="006570C8"/>
    <w:rsid w:val="0066535C"/>
    <w:rsid w:val="00671E37"/>
    <w:rsid w:val="00672BC6"/>
    <w:rsid w:val="00675619"/>
    <w:rsid w:val="00685CB5"/>
    <w:rsid w:val="006A2F07"/>
    <w:rsid w:val="006A3D70"/>
    <w:rsid w:val="006B1CC9"/>
    <w:rsid w:val="006D337B"/>
    <w:rsid w:val="006D78E4"/>
    <w:rsid w:val="006E5A2F"/>
    <w:rsid w:val="006F2748"/>
    <w:rsid w:val="006F3461"/>
    <w:rsid w:val="007007DB"/>
    <w:rsid w:val="007011C9"/>
    <w:rsid w:val="007018CD"/>
    <w:rsid w:val="00733454"/>
    <w:rsid w:val="007375BF"/>
    <w:rsid w:val="00753473"/>
    <w:rsid w:val="007534CF"/>
    <w:rsid w:val="0076521B"/>
    <w:rsid w:val="00765CA1"/>
    <w:rsid w:val="00773700"/>
    <w:rsid w:val="007844F2"/>
    <w:rsid w:val="0078576F"/>
    <w:rsid w:val="00785C2C"/>
    <w:rsid w:val="00796C66"/>
    <w:rsid w:val="007A3436"/>
    <w:rsid w:val="007B16D0"/>
    <w:rsid w:val="007C39A9"/>
    <w:rsid w:val="007D1B1C"/>
    <w:rsid w:val="007D6468"/>
    <w:rsid w:val="007D6670"/>
    <w:rsid w:val="007E0D0F"/>
    <w:rsid w:val="007E1AD3"/>
    <w:rsid w:val="007E721D"/>
    <w:rsid w:val="007F06BD"/>
    <w:rsid w:val="007F2E4C"/>
    <w:rsid w:val="00806CDB"/>
    <w:rsid w:val="00811674"/>
    <w:rsid w:val="008211B0"/>
    <w:rsid w:val="008271A5"/>
    <w:rsid w:val="00831D03"/>
    <w:rsid w:val="00852343"/>
    <w:rsid w:val="00856097"/>
    <w:rsid w:val="00867A06"/>
    <w:rsid w:val="00874054"/>
    <w:rsid w:val="008871E9"/>
    <w:rsid w:val="008A5B2F"/>
    <w:rsid w:val="008A7CE0"/>
    <w:rsid w:val="008B35B5"/>
    <w:rsid w:val="008B36AE"/>
    <w:rsid w:val="008B538C"/>
    <w:rsid w:val="008C6BAE"/>
    <w:rsid w:val="008D2834"/>
    <w:rsid w:val="008D3C9C"/>
    <w:rsid w:val="008D46F1"/>
    <w:rsid w:val="008E6117"/>
    <w:rsid w:val="008F2326"/>
    <w:rsid w:val="008F7FC2"/>
    <w:rsid w:val="009036DC"/>
    <w:rsid w:val="0091363D"/>
    <w:rsid w:val="00914003"/>
    <w:rsid w:val="00914853"/>
    <w:rsid w:val="00925613"/>
    <w:rsid w:val="00933869"/>
    <w:rsid w:val="00933DA3"/>
    <w:rsid w:val="0096047B"/>
    <w:rsid w:val="00960A28"/>
    <w:rsid w:val="00960DDD"/>
    <w:rsid w:val="00965675"/>
    <w:rsid w:val="00973FC9"/>
    <w:rsid w:val="00984C42"/>
    <w:rsid w:val="009853A0"/>
    <w:rsid w:val="009B30B9"/>
    <w:rsid w:val="009B459D"/>
    <w:rsid w:val="009B79C5"/>
    <w:rsid w:val="009D46E5"/>
    <w:rsid w:val="009E054A"/>
    <w:rsid w:val="009E0A1B"/>
    <w:rsid w:val="009E26BE"/>
    <w:rsid w:val="009E41AF"/>
    <w:rsid w:val="009F1589"/>
    <w:rsid w:val="009F5CD3"/>
    <w:rsid w:val="00A14D6D"/>
    <w:rsid w:val="00A17449"/>
    <w:rsid w:val="00A24FCC"/>
    <w:rsid w:val="00A25C68"/>
    <w:rsid w:val="00A30F48"/>
    <w:rsid w:val="00A343D9"/>
    <w:rsid w:val="00A34785"/>
    <w:rsid w:val="00A3587E"/>
    <w:rsid w:val="00A61EFA"/>
    <w:rsid w:val="00A64D5A"/>
    <w:rsid w:val="00A76F5E"/>
    <w:rsid w:val="00AA6426"/>
    <w:rsid w:val="00AB0664"/>
    <w:rsid w:val="00AB12DB"/>
    <w:rsid w:val="00AC56FF"/>
    <w:rsid w:val="00AD421A"/>
    <w:rsid w:val="00AD6903"/>
    <w:rsid w:val="00AD7F0B"/>
    <w:rsid w:val="00AE1A6D"/>
    <w:rsid w:val="00AE7FFB"/>
    <w:rsid w:val="00AF1893"/>
    <w:rsid w:val="00AF2CE6"/>
    <w:rsid w:val="00AF741E"/>
    <w:rsid w:val="00AF769D"/>
    <w:rsid w:val="00B06A52"/>
    <w:rsid w:val="00B11809"/>
    <w:rsid w:val="00B2733D"/>
    <w:rsid w:val="00B377C1"/>
    <w:rsid w:val="00B47923"/>
    <w:rsid w:val="00B51BFB"/>
    <w:rsid w:val="00B5277E"/>
    <w:rsid w:val="00B54D45"/>
    <w:rsid w:val="00B54FB9"/>
    <w:rsid w:val="00B5674E"/>
    <w:rsid w:val="00B56C5F"/>
    <w:rsid w:val="00B65146"/>
    <w:rsid w:val="00B901F0"/>
    <w:rsid w:val="00B9121D"/>
    <w:rsid w:val="00B925FB"/>
    <w:rsid w:val="00B97CB4"/>
    <w:rsid w:val="00BC3B28"/>
    <w:rsid w:val="00BE1885"/>
    <w:rsid w:val="00BE5B6B"/>
    <w:rsid w:val="00BF26A4"/>
    <w:rsid w:val="00BF3C31"/>
    <w:rsid w:val="00BF771A"/>
    <w:rsid w:val="00BF7723"/>
    <w:rsid w:val="00C030FF"/>
    <w:rsid w:val="00C05B2E"/>
    <w:rsid w:val="00C13741"/>
    <w:rsid w:val="00C15F2A"/>
    <w:rsid w:val="00C36063"/>
    <w:rsid w:val="00C51492"/>
    <w:rsid w:val="00C60BF9"/>
    <w:rsid w:val="00C66824"/>
    <w:rsid w:val="00C66F63"/>
    <w:rsid w:val="00C7047F"/>
    <w:rsid w:val="00C83264"/>
    <w:rsid w:val="00C83640"/>
    <w:rsid w:val="00C877B7"/>
    <w:rsid w:val="00C91FA4"/>
    <w:rsid w:val="00C9571C"/>
    <w:rsid w:val="00CA2DB1"/>
    <w:rsid w:val="00CA71C9"/>
    <w:rsid w:val="00CB41F8"/>
    <w:rsid w:val="00CC559F"/>
    <w:rsid w:val="00CC5EBE"/>
    <w:rsid w:val="00CC68E8"/>
    <w:rsid w:val="00CD062D"/>
    <w:rsid w:val="00CD2DF5"/>
    <w:rsid w:val="00CD493E"/>
    <w:rsid w:val="00CE3891"/>
    <w:rsid w:val="00CE6C37"/>
    <w:rsid w:val="00CF03EA"/>
    <w:rsid w:val="00CF1ABB"/>
    <w:rsid w:val="00CF4AE4"/>
    <w:rsid w:val="00CF7E6E"/>
    <w:rsid w:val="00D119BA"/>
    <w:rsid w:val="00D27190"/>
    <w:rsid w:val="00D35A86"/>
    <w:rsid w:val="00D363B0"/>
    <w:rsid w:val="00D36863"/>
    <w:rsid w:val="00D4627A"/>
    <w:rsid w:val="00D5061C"/>
    <w:rsid w:val="00D51F5C"/>
    <w:rsid w:val="00D52FB4"/>
    <w:rsid w:val="00D54A70"/>
    <w:rsid w:val="00D54A96"/>
    <w:rsid w:val="00D5537F"/>
    <w:rsid w:val="00D56853"/>
    <w:rsid w:val="00D571CC"/>
    <w:rsid w:val="00D7266D"/>
    <w:rsid w:val="00D743E5"/>
    <w:rsid w:val="00D838E4"/>
    <w:rsid w:val="00D8486F"/>
    <w:rsid w:val="00D877DE"/>
    <w:rsid w:val="00D95FDF"/>
    <w:rsid w:val="00DA51D6"/>
    <w:rsid w:val="00DB5131"/>
    <w:rsid w:val="00DC0FE8"/>
    <w:rsid w:val="00DD16D0"/>
    <w:rsid w:val="00DE1D52"/>
    <w:rsid w:val="00DF44F8"/>
    <w:rsid w:val="00DF7ADB"/>
    <w:rsid w:val="00E079D8"/>
    <w:rsid w:val="00E143A2"/>
    <w:rsid w:val="00E22DA2"/>
    <w:rsid w:val="00E2355D"/>
    <w:rsid w:val="00E278AB"/>
    <w:rsid w:val="00E32444"/>
    <w:rsid w:val="00E3591A"/>
    <w:rsid w:val="00E5373E"/>
    <w:rsid w:val="00E567AA"/>
    <w:rsid w:val="00E63356"/>
    <w:rsid w:val="00E73BD6"/>
    <w:rsid w:val="00E85C1C"/>
    <w:rsid w:val="00E906A2"/>
    <w:rsid w:val="00E918BB"/>
    <w:rsid w:val="00E91AC3"/>
    <w:rsid w:val="00E94CCA"/>
    <w:rsid w:val="00E95457"/>
    <w:rsid w:val="00EB129D"/>
    <w:rsid w:val="00EB4DCD"/>
    <w:rsid w:val="00EC4B26"/>
    <w:rsid w:val="00EC4E9B"/>
    <w:rsid w:val="00EC760C"/>
    <w:rsid w:val="00EC7A13"/>
    <w:rsid w:val="00ED1DAA"/>
    <w:rsid w:val="00ED6664"/>
    <w:rsid w:val="00ED7CF3"/>
    <w:rsid w:val="00EE03FC"/>
    <w:rsid w:val="00EE1828"/>
    <w:rsid w:val="00EF014D"/>
    <w:rsid w:val="00F05035"/>
    <w:rsid w:val="00F052E7"/>
    <w:rsid w:val="00F053D7"/>
    <w:rsid w:val="00F072A1"/>
    <w:rsid w:val="00F07584"/>
    <w:rsid w:val="00F10643"/>
    <w:rsid w:val="00F17475"/>
    <w:rsid w:val="00F23A5B"/>
    <w:rsid w:val="00F31364"/>
    <w:rsid w:val="00F477ED"/>
    <w:rsid w:val="00F504F0"/>
    <w:rsid w:val="00F50C20"/>
    <w:rsid w:val="00F52912"/>
    <w:rsid w:val="00F56E83"/>
    <w:rsid w:val="00F6482B"/>
    <w:rsid w:val="00F72D42"/>
    <w:rsid w:val="00F819BC"/>
    <w:rsid w:val="00F91AC1"/>
    <w:rsid w:val="00F937B6"/>
    <w:rsid w:val="00FA7E77"/>
    <w:rsid w:val="00FB3EE7"/>
    <w:rsid w:val="00FB5057"/>
    <w:rsid w:val="00FC1F10"/>
    <w:rsid w:val="00FC4026"/>
    <w:rsid w:val="00FC5A06"/>
    <w:rsid w:val="00FC7865"/>
    <w:rsid w:val="00FD5B3C"/>
    <w:rsid w:val="00FE7D2F"/>
    <w:rsid w:val="00FF26CE"/>
    <w:rsid w:val="088E67F9"/>
    <w:rsid w:val="0C1E7EF6"/>
    <w:rsid w:val="2BC4C42B"/>
    <w:rsid w:val="2DAEA89F"/>
    <w:rsid w:val="329CEFA2"/>
    <w:rsid w:val="4EAB1F71"/>
    <w:rsid w:val="4EB00567"/>
    <w:rsid w:val="4EBA6B82"/>
    <w:rsid w:val="4F3BE9AB"/>
    <w:rsid w:val="4FBF797D"/>
    <w:rsid w:val="60F2D68A"/>
    <w:rsid w:val="62BE80B6"/>
    <w:rsid w:val="66BF1A32"/>
    <w:rsid w:val="68E2142B"/>
    <w:rsid w:val="70E923F3"/>
    <w:rsid w:val="78D076A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8A48E"/>
  <w15:chartTrackingRefBased/>
  <w15:docId w15:val="{756E576B-FEE3-4144-A334-C06A3B448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0A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97D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0A1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97DB3"/>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1955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55D3"/>
    <w:rPr>
      <w:rFonts w:asciiTheme="majorHAnsi" w:eastAsiaTheme="majorEastAsia" w:hAnsiTheme="majorHAnsi" w:cstheme="majorBidi"/>
      <w:spacing w:val="-10"/>
      <w:kern w:val="28"/>
      <w:sz w:val="56"/>
      <w:szCs w:val="56"/>
    </w:rPr>
  </w:style>
  <w:style w:type="paragraph" w:styleId="FootnoteText">
    <w:name w:val="footnote text"/>
    <w:basedOn w:val="Normal"/>
    <w:link w:val="FootnoteTextChar"/>
    <w:uiPriority w:val="99"/>
    <w:semiHidden/>
    <w:unhideWhenUsed/>
    <w:rsid w:val="003B57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57DE"/>
    <w:rPr>
      <w:sz w:val="20"/>
      <w:szCs w:val="20"/>
    </w:rPr>
  </w:style>
  <w:style w:type="character" w:styleId="FootnoteReference">
    <w:name w:val="footnote reference"/>
    <w:basedOn w:val="DefaultParagraphFont"/>
    <w:uiPriority w:val="99"/>
    <w:semiHidden/>
    <w:unhideWhenUsed/>
    <w:rsid w:val="003B57DE"/>
    <w:rPr>
      <w:vertAlign w:val="superscript"/>
    </w:rPr>
  </w:style>
  <w:style w:type="character" w:styleId="Hyperlink">
    <w:name w:val="Hyperlink"/>
    <w:basedOn w:val="DefaultParagraphFont"/>
    <w:uiPriority w:val="99"/>
    <w:unhideWhenUsed/>
    <w:rsid w:val="003B57DE"/>
    <w:rPr>
      <w:color w:val="0563C1" w:themeColor="hyperlink"/>
      <w:u w:val="single"/>
    </w:rPr>
  </w:style>
  <w:style w:type="character" w:styleId="UnresolvedMention">
    <w:name w:val="Unresolved Mention"/>
    <w:basedOn w:val="DefaultParagraphFont"/>
    <w:uiPriority w:val="99"/>
    <w:semiHidden/>
    <w:unhideWhenUsed/>
    <w:rsid w:val="003B57DE"/>
    <w:rPr>
      <w:color w:val="605E5C"/>
      <w:shd w:val="clear" w:color="auto" w:fill="E1DFDD"/>
    </w:rPr>
  </w:style>
  <w:style w:type="paragraph" w:styleId="ListParagraph">
    <w:name w:val="List Paragraph"/>
    <w:basedOn w:val="Normal"/>
    <w:uiPriority w:val="34"/>
    <w:qFormat/>
    <w:rsid w:val="00361E2F"/>
    <w:pPr>
      <w:ind w:left="720"/>
      <w:contextualSpacing/>
    </w:pPr>
  </w:style>
  <w:style w:type="table" w:styleId="TableGrid">
    <w:name w:val="Table Grid"/>
    <w:basedOn w:val="TableNormal"/>
    <w:uiPriority w:val="39"/>
    <w:rsid w:val="002207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136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363D"/>
    <w:rPr>
      <w:rFonts w:ascii="Segoe UI" w:hAnsi="Segoe UI" w:cs="Segoe UI"/>
      <w:sz w:val="18"/>
      <w:szCs w:val="18"/>
    </w:rPr>
  </w:style>
  <w:style w:type="paragraph" w:styleId="NoSpacing">
    <w:name w:val="No Spacing"/>
    <w:uiPriority w:val="1"/>
    <w:qFormat/>
    <w:rsid w:val="00CA2DB1"/>
    <w:pPr>
      <w:spacing w:after="0" w:line="240" w:lineRule="auto"/>
    </w:pPr>
  </w:style>
  <w:style w:type="paragraph" w:styleId="Header">
    <w:name w:val="header"/>
    <w:basedOn w:val="Normal"/>
    <w:link w:val="HeaderChar"/>
    <w:uiPriority w:val="99"/>
    <w:semiHidden/>
    <w:unhideWhenUsed/>
    <w:rsid w:val="001538C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538C2"/>
  </w:style>
  <w:style w:type="paragraph" w:styleId="Footer">
    <w:name w:val="footer"/>
    <w:basedOn w:val="Normal"/>
    <w:link w:val="FooterChar"/>
    <w:uiPriority w:val="99"/>
    <w:semiHidden/>
    <w:unhideWhenUsed/>
    <w:rsid w:val="001538C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538C2"/>
  </w:style>
  <w:style w:type="paragraph" w:styleId="CommentSubject">
    <w:name w:val="annotation subject"/>
    <w:basedOn w:val="CommentText"/>
    <w:next w:val="CommentText"/>
    <w:link w:val="CommentSubjectChar"/>
    <w:uiPriority w:val="99"/>
    <w:semiHidden/>
    <w:unhideWhenUsed/>
    <w:rsid w:val="006E5A2F"/>
    <w:rPr>
      <w:b/>
      <w:bCs/>
    </w:rPr>
  </w:style>
  <w:style w:type="character" w:customStyle="1" w:styleId="CommentSubjectChar">
    <w:name w:val="Comment Subject Char"/>
    <w:basedOn w:val="CommentTextChar"/>
    <w:link w:val="CommentSubject"/>
    <w:uiPriority w:val="99"/>
    <w:semiHidden/>
    <w:rsid w:val="006E5A2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620671">
      <w:bodyDiv w:val="1"/>
      <w:marLeft w:val="0"/>
      <w:marRight w:val="0"/>
      <w:marTop w:val="0"/>
      <w:marBottom w:val="0"/>
      <w:divBdr>
        <w:top w:val="none" w:sz="0" w:space="0" w:color="auto"/>
        <w:left w:val="none" w:sz="0" w:space="0" w:color="auto"/>
        <w:bottom w:val="none" w:sz="0" w:space="0" w:color="auto"/>
        <w:right w:val="none" w:sz="0" w:space="0" w:color="auto"/>
      </w:divBdr>
    </w:div>
    <w:div w:id="621041123">
      <w:bodyDiv w:val="1"/>
      <w:marLeft w:val="0"/>
      <w:marRight w:val="0"/>
      <w:marTop w:val="0"/>
      <w:marBottom w:val="0"/>
      <w:divBdr>
        <w:top w:val="none" w:sz="0" w:space="0" w:color="auto"/>
        <w:left w:val="none" w:sz="0" w:space="0" w:color="auto"/>
        <w:bottom w:val="none" w:sz="0" w:space="0" w:color="auto"/>
        <w:right w:val="none" w:sz="0" w:space="0" w:color="auto"/>
      </w:divBdr>
    </w:div>
    <w:div w:id="833911777">
      <w:bodyDiv w:val="1"/>
      <w:marLeft w:val="0"/>
      <w:marRight w:val="0"/>
      <w:marTop w:val="0"/>
      <w:marBottom w:val="0"/>
      <w:divBdr>
        <w:top w:val="none" w:sz="0" w:space="0" w:color="auto"/>
        <w:left w:val="none" w:sz="0" w:space="0" w:color="auto"/>
        <w:bottom w:val="none" w:sz="0" w:space="0" w:color="auto"/>
        <w:right w:val="none" w:sz="0" w:space="0" w:color="auto"/>
      </w:divBdr>
    </w:div>
    <w:div w:id="928587061">
      <w:bodyDiv w:val="1"/>
      <w:marLeft w:val="0"/>
      <w:marRight w:val="0"/>
      <w:marTop w:val="0"/>
      <w:marBottom w:val="0"/>
      <w:divBdr>
        <w:top w:val="none" w:sz="0" w:space="0" w:color="auto"/>
        <w:left w:val="none" w:sz="0" w:space="0" w:color="auto"/>
        <w:bottom w:val="none" w:sz="0" w:space="0" w:color="auto"/>
        <w:right w:val="none" w:sz="0" w:space="0" w:color="auto"/>
      </w:divBdr>
    </w:div>
    <w:div w:id="1016421030">
      <w:bodyDiv w:val="1"/>
      <w:marLeft w:val="0"/>
      <w:marRight w:val="0"/>
      <w:marTop w:val="0"/>
      <w:marBottom w:val="0"/>
      <w:divBdr>
        <w:top w:val="none" w:sz="0" w:space="0" w:color="auto"/>
        <w:left w:val="none" w:sz="0" w:space="0" w:color="auto"/>
        <w:bottom w:val="none" w:sz="0" w:space="0" w:color="auto"/>
        <w:right w:val="none" w:sz="0" w:space="0" w:color="auto"/>
      </w:divBdr>
    </w:div>
    <w:div w:id="188921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lee@wwf.org.uk" TargetMode="External"/><Relationship Id="rId13" Type="http://schemas.openxmlformats.org/officeDocument/2006/relationships/hyperlink" Target="https://www.youtube.com/watch?v=JdWQJq2OkJs" TargetMode="External"/><Relationship Id="rId18" Type="http://schemas.openxmlformats.org/officeDocument/2006/relationships/hyperlink" Target="https://www.cdp.net/en/research/global-reports/global-water-report-201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wf.org.uk/sites/default/files/2019-09/WWF%20GlobalFuturesUNGA_Report_Singles.pdf" TargetMode="External"/><Relationship Id="rId17" Type="http://schemas.openxmlformats.org/officeDocument/2006/relationships/hyperlink" Target="https://www.weforum.org/reports/the-global-risks-report-2019" TargetMode="External"/><Relationship Id="rId2" Type="http://schemas.openxmlformats.org/officeDocument/2006/relationships/numbering" Target="numbering.xml"/><Relationship Id="rId16" Type="http://schemas.openxmlformats.org/officeDocument/2006/relationships/hyperlink" Target="https://waterriskfilter.panda.org/en/Value/ValuingRiver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wf.org.uk/riskybusiness" TargetMode="External"/><Relationship Id="rId5" Type="http://schemas.openxmlformats.org/officeDocument/2006/relationships/webSettings" Target="webSettings.xml"/><Relationship Id="rId15" Type="http://schemas.openxmlformats.org/officeDocument/2006/relationships/hyperlink" Target="https://waterriskfilter.panda.org/en/Value/ValuationApproachFinder" TargetMode="External"/><Relationship Id="rId10" Type="http://schemas.openxmlformats.org/officeDocument/2006/relationships/hyperlink" Target="https://wwf.panda.org/knowledge_hub/?352751/The-Nature-of-Ris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assets.wwf.org.uk/downloads/wwf020_from_risk__to_resilience.pdf?_ga=1.49012454.1991529649.1444910634" TargetMode="External"/><Relationship Id="rId14" Type="http://schemas.openxmlformats.org/officeDocument/2006/relationships/hyperlink" Target="https://d2ouvy59p0dg6k.cloudfront.net/downloads/water_in_the_zambian_economy_final_2nd_edi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B90C1-39F8-41AF-B195-EE5D614E9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2229</Words>
  <Characters>12710</Characters>
  <Application>Microsoft Office Word</Application>
  <DocSecurity>0</DocSecurity>
  <Lines>105</Lines>
  <Paragraphs>29</Paragraphs>
  <ScaleCrop>false</ScaleCrop>
  <Company/>
  <LinksUpToDate>false</LinksUpToDate>
  <CharactersWithSpaces>14910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Perkins</dc:creator>
  <cp:keywords/>
  <dc:description/>
  <cp:lastModifiedBy>Lucy Lee</cp:lastModifiedBy>
  <cp:revision>145</cp:revision>
  <dcterms:created xsi:type="dcterms:W3CDTF">2019-11-21T09:42:00Z</dcterms:created>
  <dcterms:modified xsi:type="dcterms:W3CDTF">2019-12-18T15:31:00Z</dcterms:modified>
</cp:coreProperties>
</file>