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79E6" w:rsidP="5458E2E5" w:rsidRDefault="558C9639" w14:paraId="17022508" w14:textId="6194C6E7">
      <w:pPr>
        <w:pStyle w:val="Heading1"/>
        <w:spacing w:before="58"/>
        <w:jc w:val="both"/>
        <w:rPr>
          <w:rFonts w:ascii="Arial" w:hAnsi="Arial" w:eastAsia="Arial" w:cs="Arial"/>
          <w:b w:val="1"/>
          <w:bCs w:val="1"/>
          <w:color w:val="2E5395"/>
          <w:sz w:val="31"/>
          <w:szCs w:val="31"/>
        </w:rPr>
      </w:pPr>
      <w:r w:rsidRPr="5458E2E5" w:rsidR="558C9639">
        <w:rPr>
          <w:rFonts w:ascii="Arial" w:hAnsi="Arial" w:eastAsia="Arial" w:cs="Arial"/>
          <w:b w:val="1"/>
          <w:bCs w:val="1"/>
          <w:color w:val="2E5395"/>
          <w:sz w:val="31"/>
          <w:szCs w:val="31"/>
        </w:rPr>
        <w:t xml:space="preserve">Annex </w:t>
      </w:r>
      <w:r w:rsidRPr="5458E2E5" w:rsidR="04D12E52">
        <w:rPr>
          <w:rFonts w:ascii="Arial" w:hAnsi="Arial" w:eastAsia="Arial" w:cs="Arial"/>
          <w:b w:val="1"/>
          <w:bCs w:val="1"/>
          <w:color w:val="2E5395"/>
          <w:sz w:val="31"/>
          <w:szCs w:val="31"/>
        </w:rPr>
        <w:t>E</w:t>
      </w:r>
      <w:r w:rsidRPr="5458E2E5" w:rsidR="558C9639">
        <w:rPr>
          <w:rFonts w:ascii="Arial" w:hAnsi="Arial" w:eastAsia="Arial" w:cs="Arial"/>
          <w:b w:val="1"/>
          <w:bCs w:val="1"/>
          <w:color w:val="2E5395"/>
          <w:sz w:val="31"/>
          <w:szCs w:val="31"/>
        </w:rPr>
        <w:t xml:space="preserve"> – Evaluation Criteria and marking of </w:t>
      </w:r>
      <w:r w:rsidRPr="5458E2E5" w:rsidR="558C9639">
        <w:rPr>
          <w:rFonts w:ascii="Arial" w:hAnsi="Arial" w:eastAsia="Arial" w:cs="Arial"/>
          <w:b w:val="1"/>
          <w:bCs w:val="1"/>
          <w:color w:val="2E5395"/>
          <w:sz w:val="31"/>
          <w:szCs w:val="31"/>
        </w:rPr>
        <w:t>applications</w:t>
      </w:r>
    </w:p>
    <w:p w:rsidR="002579E6" w:rsidP="1363F888" w:rsidRDefault="558C9639" w14:paraId="076FE9D2" w14:textId="16D8E9D9">
      <w:pPr>
        <w:spacing w:before="254" w:after="0"/>
        <w:jc w:val="both"/>
      </w:pPr>
      <w:r w:rsidRPr="1363F888">
        <w:rPr>
          <w:rFonts w:ascii="Arial" w:hAnsi="Arial" w:eastAsia="Arial" w:cs="Arial"/>
        </w:rPr>
        <w:t>Proposals will be assessed using the criteria and scoring scale shown below, designed to identify those proposals which offer the best Value for Money (VFM) overall. Assessors should complete the scoring sheet and provide a supporting narrative to justify their assessments against the following criteria:</w:t>
      </w:r>
    </w:p>
    <w:p w:rsidR="002579E6" w:rsidP="1363F888" w:rsidRDefault="558C9639" w14:paraId="55361814" w14:textId="35C32120">
      <w:pPr>
        <w:spacing w:after="0"/>
      </w:pPr>
      <w:r w:rsidRPr="1363F888">
        <w:rPr>
          <w:rFonts w:ascii="Arial" w:hAnsi="Arial" w:eastAsia="Arial" w:cs="Arial"/>
          <w:sz w:val="19"/>
          <w:szCs w:val="19"/>
        </w:rPr>
        <w:t xml:space="preserve"> </w:t>
      </w:r>
    </w:p>
    <w:p w:rsidR="002579E6" w:rsidP="1363F888" w:rsidRDefault="558C9639" w14:paraId="60ED7450" w14:textId="55308E55">
      <w:pPr>
        <w:spacing w:before="8" w:after="0"/>
      </w:pPr>
      <w:r w:rsidRPr="1363F888">
        <w:rPr>
          <w:rFonts w:ascii="Arial" w:hAnsi="Arial" w:eastAsia="Arial" w:cs="Arial"/>
          <w:sz w:val="25"/>
          <w:szCs w:val="25"/>
        </w:rPr>
        <w:t xml:space="preserve"> </w:t>
      </w:r>
    </w:p>
    <w:tbl>
      <w:tblPr>
        <w:tblW w:w="13493" w:type="dxa"/>
        <w:tblInd w:w="105" w:type="dxa"/>
        <w:tblLayout w:type="fixed"/>
        <w:tblLook w:val="01E0" w:firstRow="1" w:lastRow="1" w:firstColumn="1" w:lastColumn="1" w:noHBand="0" w:noVBand="0"/>
      </w:tblPr>
      <w:tblGrid>
        <w:gridCol w:w="1728"/>
        <w:gridCol w:w="10064"/>
        <w:gridCol w:w="1701"/>
      </w:tblGrid>
      <w:tr w:rsidR="1363F888" w:rsidTr="007B566B" w14:paraId="2FDC60AC" w14:textId="77777777">
        <w:trPr>
          <w:trHeight w:val="540"/>
        </w:trPr>
        <w:tc>
          <w:tcPr>
            <w:tcW w:w="17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5B3FA5B6" w14:textId="1EDAB3FA">
            <w:pPr>
              <w:spacing w:before="133" w:after="0"/>
            </w:pPr>
            <w:r w:rsidRPr="1363F888">
              <w:rPr>
                <w:rFonts w:ascii="Arial" w:hAnsi="Arial" w:eastAsia="Arial" w:cs="Arial"/>
                <w:b/>
                <w:bCs/>
              </w:rPr>
              <w:t>Criteria</w:t>
            </w:r>
          </w:p>
        </w:tc>
        <w:tc>
          <w:tcPr>
            <w:tcW w:w="1006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0E11FB21" w14:textId="54FA83B3">
            <w:pPr>
              <w:spacing w:before="133" w:after="0"/>
            </w:pPr>
            <w:r w:rsidRPr="1363F888">
              <w:rPr>
                <w:rFonts w:ascii="Arial" w:hAnsi="Arial" w:eastAsia="Arial" w:cs="Arial"/>
                <w:b/>
                <w:bCs/>
              </w:rPr>
              <w:t>Scoring criteria</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12C72734" w14:textId="782AF9CF">
            <w:pPr>
              <w:spacing w:before="4" w:after="0" w:line="247" w:lineRule="auto"/>
            </w:pPr>
            <w:r w:rsidRPr="1363F888">
              <w:rPr>
                <w:rFonts w:ascii="Arial" w:hAnsi="Arial" w:eastAsia="Arial" w:cs="Arial"/>
                <w:b/>
                <w:bCs/>
              </w:rPr>
              <w:t>Percentage Weighting %</w:t>
            </w:r>
          </w:p>
        </w:tc>
      </w:tr>
      <w:tr w:rsidR="1363F888" w:rsidTr="007B566B" w14:paraId="0BA3B017" w14:textId="77777777">
        <w:trPr>
          <w:trHeight w:val="4890"/>
        </w:trPr>
        <w:tc>
          <w:tcPr>
            <w:tcW w:w="17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7F00533D" w14:textId="556522A7">
            <w:pPr>
              <w:spacing w:before="40" w:after="0"/>
            </w:pPr>
            <w:r w:rsidRPr="1363F888">
              <w:rPr>
                <w:rFonts w:ascii="Arial" w:hAnsi="Arial" w:eastAsia="Arial" w:cs="Arial"/>
                <w:b/>
                <w:bCs/>
              </w:rPr>
              <w:t>1.</w:t>
            </w:r>
          </w:p>
          <w:p w:rsidR="1363F888" w:rsidP="1363F888" w:rsidRDefault="1363F888" w14:paraId="1E6A43ED" w14:textId="08AE3F0D">
            <w:pPr>
              <w:spacing w:before="49" w:after="0" w:line="247" w:lineRule="auto"/>
            </w:pPr>
            <w:r w:rsidRPr="1363F888">
              <w:rPr>
                <w:rFonts w:ascii="Arial" w:hAnsi="Arial" w:eastAsia="Arial" w:cs="Arial"/>
                <w:b/>
                <w:bCs/>
              </w:rPr>
              <w:t>Technical feasibility</w:t>
            </w:r>
          </w:p>
        </w:tc>
        <w:tc>
          <w:tcPr>
            <w:tcW w:w="1006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5BD52B42" w14:textId="67688AFB">
            <w:pPr>
              <w:spacing w:before="40" w:after="0" w:line="247" w:lineRule="auto"/>
            </w:pPr>
            <w:r w:rsidRPr="1363F888">
              <w:rPr>
                <w:rFonts w:ascii="Arial" w:hAnsi="Arial" w:eastAsia="Arial" w:cs="Arial"/>
              </w:rPr>
              <w:t>Proposals must be assessed as technically feasible within the budget, range and timeframe offered.</w:t>
            </w:r>
          </w:p>
          <w:p w:rsidR="1363F888" w:rsidP="1363F888" w:rsidRDefault="1363F888" w14:paraId="2F841A06" w14:textId="098E091B">
            <w:pPr>
              <w:spacing w:before="2" w:after="0" w:line="247" w:lineRule="auto"/>
            </w:pPr>
            <w:r w:rsidRPr="1363F888">
              <w:rPr>
                <w:rFonts w:ascii="Arial" w:hAnsi="Arial" w:eastAsia="Arial" w:cs="Arial"/>
              </w:rPr>
              <w:t>Proposals should demonstrate a realistic scope and achieve the aim of the opportunity, described in section 2 of the Call Document.</w:t>
            </w:r>
          </w:p>
          <w:p w:rsidR="1363F888" w:rsidP="1363F888" w:rsidRDefault="1363F888" w14:paraId="442D6862" w14:textId="61FE6F1B">
            <w:pPr>
              <w:spacing w:before="44" w:after="0" w:line="247" w:lineRule="auto"/>
            </w:pPr>
            <w:r w:rsidRPr="1363F888">
              <w:rPr>
                <w:rFonts w:ascii="Arial" w:hAnsi="Arial" w:eastAsia="Arial" w:cs="Arial"/>
                <w:b/>
                <w:bCs/>
              </w:rPr>
              <w:t xml:space="preserve">High scoring </w:t>
            </w:r>
            <w:r w:rsidRPr="1363F888">
              <w:rPr>
                <w:rFonts w:ascii="Arial" w:hAnsi="Arial" w:eastAsia="Arial" w:cs="Arial"/>
              </w:rPr>
              <w:t>applicants will provide a comprehensive proposal with a high probability of success, relying on evolvement or deployment of existing and working technologies. Proposals will not contain weaknesses in the techniques and/or technologies to be employed but provide excellent commercial and/or scientific opportunities. Proposals will contain realistic project deliverables against the proposed timescales with strong consideration given to technical risks of the project. Proposals will include robust plans to demonstrate the performance or development of the technology/system.</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24DC4F72" w14:textId="33638222">
            <w:pPr>
              <w:spacing w:after="0"/>
            </w:pPr>
            <w:r w:rsidRPr="1363F888">
              <w:rPr>
                <w:rFonts w:ascii="Arial" w:hAnsi="Arial" w:eastAsia="Arial" w:cs="Arial"/>
              </w:rPr>
              <w:t>30</w:t>
            </w:r>
          </w:p>
        </w:tc>
      </w:tr>
      <w:tr w:rsidR="1363F888" w:rsidTr="007B566B" w14:paraId="7A3D97BC" w14:textId="77777777">
        <w:trPr>
          <w:trHeight w:val="3840"/>
        </w:trPr>
        <w:tc>
          <w:tcPr>
            <w:tcW w:w="17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60DDA36C" w14:textId="3682D3E7">
            <w:pPr>
              <w:spacing w:before="40" w:after="0"/>
            </w:pPr>
            <w:r w:rsidRPr="1363F888">
              <w:rPr>
                <w:rFonts w:ascii="Arial" w:hAnsi="Arial" w:eastAsia="Arial" w:cs="Arial"/>
                <w:b/>
                <w:bCs/>
              </w:rPr>
              <w:lastRenderedPageBreak/>
              <w:t>2.</w:t>
            </w:r>
          </w:p>
          <w:p w:rsidR="1363F888" w:rsidP="1363F888" w:rsidRDefault="1363F888" w14:paraId="6A7B121E" w14:textId="73E24118">
            <w:pPr>
              <w:spacing w:before="47" w:after="0" w:line="250" w:lineRule="auto"/>
            </w:pPr>
            <w:r w:rsidRPr="1363F888">
              <w:rPr>
                <w:rFonts w:ascii="Arial" w:hAnsi="Arial" w:eastAsia="Arial" w:cs="Arial"/>
                <w:b/>
                <w:bCs/>
              </w:rPr>
              <w:t>Commercial sustainability</w:t>
            </w:r>
          </w:p>
        </w:tc>
        <w:tc>
          <w:tcPr>
            <w:tcW w:w="1006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4FDC1E71" w14:textId="259F86A5">
            <w:pPr>
              <w:spacing w:before="40" w:after="0" w:line="247" w:lineRule="auto"/>
            </w:pPr>
            <w:r w:rsidRPr="1363F888">
              <w:rPr>
                <w:rFonts w:ascii="Arial" w:hAnsi="Arial" w:eastAsia="Arial" w:cs="Arial"/>
              </w:rPr>
              <w:t xml:space="preserve">Proposals must be assessed against commercial understanding, </w:t>
            </w:r>
            <w:proofErr w:type="gramStart"/>
            <w:r w:rsidRPr="1363F888">
              <w:rPr>
                <w:rFonts w:ascii="Arial" w:hAnsi="Arial" w:eastAsia="Arial" w:cs="Arial"/>
              </w:rPr>
              <w:t>knowledge</w:t>
            </w:r>
            <w:proofErr w:type="gramEnd"/>
            <w:r w:rsidRPr="1363F888">
              <w:rPr>
                <w:rFonts w:ascii="Arial" w:hAnsi="Arial" w:eastAsia="Arial" w:cs="Arial"/>
              </w:rPr>
              <w:t xml:space="preserve"> and viability. The scoring should reflect your assessment of whether the proposed activity would generate a realistic and sustainable product for the UK market.</w:t>
            </w:r>
          </w:p>
          <w:p w:rsidR="1363F888" w:rsidP="1363F888" w:rsidRDefault="1363F888" w14:paraId="115E352E" w14:textId="085C6BC3">
            <w:pPr>
              <w:spacing w:before="40" w:after="0" w:line="247" w:lineRule="auto"/>
            </w:pPr>
            <w:r w:rsidRPr="1363F888">
              <w:rPr>
                <w:rFonts w:ascii="Arial" w:hAnsi="Arial" w:eastAsia="Arial" w:cs="Arial"/>
                <w:b/>
                <w:bCs/>
              </w:rPr>
              <w:t xml:space="preserve">High scoring </w:t>
            </w:r>
            <w:r w:rsidRPr="1363F888">
              <w:rPr>
                <w:rFonts w:ascii="Arial" w:hAnsi="Arial" w:eastAsia="Arial" w:cs="Arial"/>
              </w:rPr>
              <w:t>applicants will provide reliable evidence that their proposal meets the requirements of UK and global ADR markets. Proposals will demonstrate strong understanding of the current market as well as how their research will be both commercially sustainable and beneficial. Proposals will seek to develop products or services which will be evidenced as meeting future market needs</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021E222F" w14:textId="747650B1">
            <w:pPr>
              <w:spacing w:after="0"/>
            </w:pPr>
            <w:r w:rsidRPr="1363F888">
              <w:rPr>
                <w:rFonts w:ascii="Arial" w:hAnsi="Arial" w:eastAsia="Arial" w:cs="Arial"/>
              </w:rPr>
              <w:t>15</w:t>
            </w:r>
          </w:p>
        </w:tc>
      </w:tr>
      <w:tr w:rsidR="1363F888" w:rsidTr="007B566B" w14:paraId="41DCA961" w14:textId="77777777">
        <w:trPr>
          <w:trHeight w:val="3135"/>
        </w:trPr>
        <w:tc>
          <w:tcPr>
            <w:tcW w:w="17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1D7CC9C4" w14:textId="033F7884">
            <w:pPr>
              <w:spacing w:before="42" w:after="0"/>
            </w:pPr>
            <w:r w:rsidRPr="1363F888">
              <w:rPr>
                <w:rFonts w:ascii="Arial" w:hAnsi="Arial" w:eastAsia="Arial" w:cs="Arial"/>
                <w:b/>
                <w:bCs/>
              </w:rPr>
              <w:t>3.</w:t>
            </w:r>
          </w:p>
          <w:p w:rsidR="1363F888" w:rsidP="1363F888" w:rsidRDefault="1363F888" w14:paraId="2B5D5B50" w14:textId="1CA5871F">
            <w:pPr>
              <w:spacing w:before="47" w:after="0" w:line="250" w:lineRule="auto"/>
            </w:pPr>
            <w:commentRangeStart w:id="0"/>
            <w:r w:rsidRPr="1363F888">
              <w:rPr>
                <w:rFonts w:ascii="Arial" w:hAnsi="Arial" w:eastAsia="Arial" w:cs="Arial"/>
                <w:b/>
                <w:bCs/>
              </w:rPr>
              <w:t>Benefit to the UK</w:t>
            </w:r>
            <w:commentRangeEnd w:id="0"/>
            <w:r w:rsidR="00EB529D">
              <w:rPr>
                <w:rStyle w:val="CommentReference"/>
              </w:rPr>
              <w:commentReference w:id="0"/>
            </w:r>
          </w:p>
        </w:tc>
        <w:tc>
          <w:tcPr>
            <w:tcW w:w="1006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532DEA44" w14:textId="787F7788">
            <w:pPr>
              <w:spacing w:before="42" w:after="0" w:line="247" w:lineRule="auto"/>
            </w:pPr>
            <w:r w:rsidRPr="1363F888">
              <w:rPr>
                <w:rFonts w:ascii="Arial" w:hAnsi="Arial" w:eastAsia="Arial" w:cs="Arial"/>
              </w:rPr>
              <w:t>All projects will need to demonstrate that the investment sought from the UK Government represents clear value for the UK public, through measurable benefits for the UK economy.</w:t>
            </w:r>
          </w:p>
          <w:p w:rsidR="1363F888" w:rsidP="1363F888" w:rsidRDefault="1363F888" w14:paraId="56DEF21A" w14:textId="13FD7247">
            <w:pPr>
              <w:spacing w:before="41" w:after="0" w:line="247" w:lineRule="auto"/>
            </w:pPr>
            <w:r w:rsidRPr="1363F888">
              <w:rPr>
                <w:rFonts w:ascii="Arial" w:hAnsi="Arial" w:eastAsia="Arial" w:cs="Arial"/>
                <w:b/>
                <w:bCs/>
              </w:rPr>
              <w:t xml:space="preserve">High scoring </w:t>
            </w:r>
            <w:r w:rsidRPr="1363F888">
              <w:rPr>
                <w:rFonts w:ascii="Arial" w:hAnsi="Arial" w:eastAsia="Arial" w:cs="Arial"/>
              </w:rPr>
              <w:t>applicants will provide excellent, detailed evidence of the benefits that the government funding would enable them to provide to the UK economy, including UK-based employment and contract opportunities. The costs of any activities proposed for grant funding will be very well justified and strongly linked to outcomes and benefits.</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63DFAC2E" w14:textId="3E5B7508">
            <w:pPr>
              <w:spacing w:before="1" w:after="0"/>
            </w:pPr>
            <w:r w:rsidRPr="1363F888">
              <w:rPr>
                <w:rFonts w:ascii="Arial" w:hAnsi="Arial" w:eastAsia="Arial" w:cs="Arial"/>
              </w:rPr>
              <w:t>20</w:t>
            </w:r>
          </w:p>
        </w:tc>
      </w:tr>
      <w:tr w:rsidR="1363F888" w:rsidTr="007B566B" w14:paraId="3C9B3A0F" w14:textId="77777777">
        <w:trPr>
          <w:trHeight w:val="4395"/>
        </w:trPr>
        <w:tc>
          <w:tcPr>
            <w:tcW w:w="17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4EF7F99F" w14:textId="5AF296C2">
            <w:pPr>
              <w:spacing w:before="40" w:after="0"/>
            </w:pPr>
            <w:r w:rsidRPr="1363F888">
              <w:rPr>
                <w:rFonts w:ascii="Arial" w:hAnsi="Arial" w:eastAsia="Arial" w:cs="Arial"/>
                <w:b/>
                <w:bCs/>
              </w:rPr>
              <w:lastRenderedPageBreak/>
              <w:t>4.</w:t>
            </w:r>
          </w:p>
          <w:p w:rsidR="1363F888" w:rsidP="1363F888" w:rsidRDefault="1363F888" w14:paraId="433EDF1E" w14:textId="0D57B1AE">
            <w:pPr>
              <w:spacing w:before="8" w:after="0" w:line="247" w:lineRule="auto"/>
            </w:pPr>
            <w:r w:rsidRPr="1363F888">
              <w:rPr>
                <w:rFonts w:ascii="Arial" w:hAnsi="Arial" w:eastAsia="Arial" w:cs="Arial"/>
                <w:b/>
                <w:bCs/>
              </w:rPr>
              <w:t>Management and planning</w:t>
            </w:r>
          </w:p>
        </w:tc>
        <w:tc>
          <w:tcPr>
            <w:tcW w:w="1006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727CD181" w14:textId="0AEE2690">
            <w:pPr>
              <w:spacing w:after="0"/>
            </w:pPr>
            <w:r w:rsidRPr="1363F888">
              <w:rPr>
                <w:rFonts w:ascii="Arial" w:hAnsi="Arial" w:eastAsia="Arial" w:cs="Arial"/>
              </w:rPr>
              <w:t>All projects will need to demonstrate that they have an effective structure in place for managing the administration of the grant requested and demonstrate that they have a sound approach to planning to achieve their programme aims on time and within budget.</w:t>
            </w:r>
          </w:p>
          <w:p w:rsidR="1363F888" w:rsidP="1363F888" w:rsidRDefault="1363F888" w14:paraId="48CA2A22" w14:textId="6845A34F">
            <w:pPr>
              <w:spacing w:before="1" w:after="0"/>
            </w:pPr>
            <w:r w:rsidRPr="1363F888">
              <w:rPr>
                <w:rFonts w:ascii="Arial" w:hAnsi="Arial" w:eastAsia="Arial" w:cs="Arial"/>
                <w:b/>
                <w:bCs/>
              </w:rPr>
              <w:t xml:space="preserve">High scoring </w:t>
            </w:r>
            <w:r w:rsidRPr="1363F888">
              <w:rPr>
                <w:rFonts w:ascii="Arial" w:hAnsi="Arial" w:eastAsia="Arial" w:cs="Arial"/>
              </w:rPr>
              <w:t>applicants demonstrate an approach to risk and programme management that is aligned with industry best practice. A strong team will be identified and resourced to enable the project to deliver and grant funding to be administered correctly. Risks to the project management will be clearly identified alongside costed and detailed mitigations, providing a clear picture of the practicality and viability of the proposal.</w:t>
            </w:r>
          </w:p>
          <w:p w:rsidR="1363F888" w:rsidP="1363F888" w:rsidRDefault="1363F888" w14:paraId="4DE834D5" w14:textId="6D6C2BD9">
            <w:pPr>
              <w:spacing w:after="0"/>
            </w:pPr>
            <w:r w:rsidRPr="1363F888">
              <w:rPr>
                <w:rFonts w:ascii="Arial" w:hAnsi="Arial" w:eastAsia="Arial" w:cs="Arial"/>
              </w:rPr>
              <w:t>Value for money will be considered as well as good time management and clear and focused documentation of progress.</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109EED2C" w14:textId="324D23B5">
            <w:pPr>
              <w:spacing w:after="0"/>
            </w:pPr>
            <w:r w:rsidRPr="1363F888">
              <w:rPr>
                <w:rFonts w:ascii="Arial" w:hAnsi="Arial" w:eastAsia="Arial" w:cs="Arial"/>
                <w:sz w:val="24"/>
                <w:szCs w:val="24"/>
              </w:rPr>
              <w:t>20</w:t>
            </w:r>
          </w:p>
        </w:tc>
      </w:tr>
      <w:tr w:rsidR="1363F888" w:rsidTr="007B566B" w14:paraId="7875F50A" w14:textId="77777777">
        <w:trPr>
          <w:trHeight w:val="7410"/>
        </w:trPr>
        <w:tc>
          <w:tcPr>
            <w:tcW w:w="172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6667E3CA" w14:textId="703CB8A4">
            <w:pPr>
              <w:spacing w:before="40" w:after="0"/>
            </w:pPr>
            <w:r w:rsidRPr="1363F888">
              <w:rPr>
                <w:rFonts w:ascii="Arial" w:hAnsi="Arial" w:eastAsia="Arial" w:cs="Arial"/>
                <w:b/>
                <w:bCs/>
              </w:rPr>
              <w:lastRenderedPageBreak/>
              <w:t>5.</w:t>
            </w:r>
          </w:p>
          <w:p w:rsidR="1363F888" w:rsidP="1363F888" w:rsidRDefault="1363F888" w14:paraId="2C5359F7" w14:textId="4E568C53">
            <w:pPr>
              <w:spacing w:before="49" w:after="0" w:line="247" w:lineRule="auto"/>
            </w:pPr>
            <w:r w:rsidRPr="1363F888">
              <w:rPr>
                <w:rFonts w:ascii="Arial" w:hAnsi="Arial" w:eastAsia="Arial" w:cs="Arial"/>
                <w:b/>
                <w:bCs/>
              </w:rPr>
              <w:t>Value for Money</w:t>
            </w:r>
          </w:p>
        </w:tc>
        <w:tc>
          <w:tcPr>
            <w:tcW w:w="10064"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502B8862" w14:textId="01BE1E09">
            <w:pPr>
              <w:spacing w:after="0" w:line="276" w:lineRule="auto"/>
            </w:pPr>
            <w:r w:rsidRPr="1363F888">
              <w:rPr>
                <w:rFonts w:ascii="Arial" w:hAnsi="Arial" w:eastAsia="Arial" w:cs="Arial"/>
              </w:rPr>
              <w:t>All projects will need to demonstrate that they represent value for money for the taxpayer. This is demonstrated by providing appropriate budgets allocated to appropriate tasks providing significant outputs with excellent value for money.</w:t>
            </w:r>
          </w:p>
          <w:p w:rsidR="1363F888" w:rsidP="1363F888" w:rsidRDefault="1363F888" w14:paraId="1F17D6AD" w14:textId="59BC27C7">
            <w:pPr>
              <w:spacing w:after="0"/>
            </w:pPr>
            <w:r w:rsidRPr="1363F888">
              <w:rPr>
                <w:rFonts w:ascii="Arial" w:hAnsi="Arial" w:eastAsia="Arial" w:cs="Arial"/>
                <w:b/>
                <w:bCs/>
              </w:rPr>
              <w:t xml:space="preserve">High scoring </w:t>
            </w:r>
            <w:r w:rsidRPr="1363F888">
              <w:rPr>
                <w:rFonts w:ascii="Arial" w:hAnsi="Arial" w:eastAsia="Arial" w:cs="Arial"/>
              </w:rPr>
              <w:t>applicants will:</w:t>
            </w:r>
          </w:p>
          <w:p w:rsidR="1363F888" w:rsidP="1363F888" w:rsidRDefault="1363F888" w14:paraId="60DE9102" w14:textId="361EDBB2">
            <w:pPr>
              <w:pStyle w:val="ListParagraph"/>
              <w:numPr>
                <w:ilvl w:val="0"/>
                <w:numId w:val="9"/>
              </w:numPr>
              <w:spacing w:after="0"/>
              <w:rPr>
                <w:rFonts w:ascii="Arial" w:hAnsi="Arial" w:eastAsia="Arial" w:cs="Arial"/>
              </w:rPr>
            </w:pPr>
            <w:r w:rsidRPr="1363F888">
              <w:rPr>
                <w:rFonts w:ascii="Arial" w:hAnsi="Arial" w:eastAsia="Arial" w:cs="Arial"/>
              </w:rPr>
              <w:t>Demonstrate a cost-effective proposal.</w:t>
            </w:r>
          </w:p>
          <w:p w:rsidR="1363F888" w:rsidP="1363F888" w:rsidRDefault="1363F888" w14:paraId="58483D56" w14:textId="687226FD">
            <w:pPr>
              <w:pStyle w:val="ListParagraph"/>
              <w:numPr>
                <w:ilvl w:val="0"/>
                <w:numId w:val="9"/>
              </w:numPr>
              <w:spacing w:after="0"/>
              <w:rPr>
                <w:rFonts w:ascii="Arial" w:hAnsi="Arial" w:eastAsia="Arial" w:cs="Arial"/>
              </w:rPr>
            </w:pPr>
            <w:r w:rsidRPr="1363F888">
              <w:rPr>
                <w:rFonts w:ascii="Arial" w:hAnsi="Arial" w:eastAsia="Arial" w:cs="Arial"/>
              </w:rPr>
              <w:t>Demonstrate the added value that the investment will bring.</w:t>
            </w:r>
          </w:p>
          <w:p w:rsidR="1363F888" w:rsidP="1363F888" w:rsidRDefault="1363F888" w14:paraId="291A79F6" w14:textId="294543E1">
            <w:pPr>
              <w:pStyle w:val="ListParagraph"/>
              <w:numPr>
                <w:ilvl w:val="0"/>
                <w:numId w:val="9"/>
              </w:numPr>
              <w:spacing w:after="0"/>
              <w:rPr>
                <w:rFonts w:ascii="Arial" w:hAnsi="Arial" w:eastAsia="Arial" w:cs="Arial"/>
              </w:rPr>
            </w:pPr>
            <w:r w:rsidRPr="1363F888">
              <w:rPr>
                <w:rFonts w:ascii="Arial" w:hAnsi="Arial" w:eastAsia="Arial" w:cs="Arial"/>
              </w:rPr>
              <w:t>Show that the proposed resource is sufficient to deliver in the proposed timelines.</w:t>
            </w:r>
          </w:p>
          <w:p w:rsidR="1363F888" w:rsidP="1363F888" w:rsidRDefault="1363F888" w14:paraId="2B73A04F" w14:textId="3D17FF32">
            <w:pPr>
              <w:pStyle w:val="ListParagraph"/>
              <w:numPr>
                <w:ilvl w:val="0"/>
                <w:numId w:val="9"/>
              </w:numPr>
              <w:spacing w:after="0"/>
              <w:rPr>
                <w:rFonts w:ascii="Arial" w:hAnsi="Arial" w:eastAsia="Arial" w:cs="Arial"/>
              </w:rPr>
            </w:pPr>
            <w:r w:rsidRPr="1363F888">
              <w:rPr>
                <w:rFonts w:ascii="Arial" w:hAnsi="Arial" w:eastAsia="Arial" w:cs="Arial"/>
              </w:rPr>
              <w:t>Show that the proposed work, level of proposed effort and overall expense is fair, reasonable and will deliver a cost-effective outcome.</w:t>
            </w:r>
          </w:p>
          <w:p w:rsidR="1363F888" w:rsidP="1363F888" w:rsidRDefault="1363F888" w14:paraId="6F140EE8" w14:textId="4144C3B5">
            <w:pPr>
              <w:pStyle w:val="ListParagraph"/>
              <w:numPr>
                <w:ilvl w:val="0"/>
                <w:numId w:val="9"/>
              </w:numPr>
              <w:spacing w:after="0"/>
              <w:rPr>
                <w:rFonts w:ascii="Arial" w:hAnsi="Arial" w:eastAsia="Arial" w:cs="Arial"/>
              </w:rPr>
            </w:pPr>
            <w:r w:rsidRPr="1363F888">
              <w:rPr>
                <w:rFonts w:ascii="Arial" w:hAnsi="Arial" w:eastAsia="Arial" w:cs="Arial"/>
              </w:rPr>
              <w:t>Present an appropriate amount of resource allocated to work packages.</w:t>
            </w:r>
          </w:p>
          <w:p w:rsidR="1363F888" w:rsidP="1363F888" w:rsidRDefault="1363F888" w14:paraId="25961782" w14:textId="2415FAC2">
            <w:pPr>
              <w:pStyle w:val="ListParagraph"/>
              <w:numPr>
                <w:ilvl w:val="0"/>
                <w:numId w:val="9"/>
              </w:numPr>
              <w:spacing w:after="0"/>
              <w:rPr>
                <w:rFonts w:ascii="Arial" w:hAnsi="Arial" w:eastAsia="Arial" w:cs="Arial"/>
              </w:rPr>
            </w:pPr>
            <w:r w:rsidRPr="1363F888">
              <w:rPr>
                <w:rFonts w:ascii="Arial" w:hAnsi="Arial" w:eastAsia="Arial" w:cs="Arial"/>
              </w:rPr>
              <w:t xml:space="preserve">Make good use of existing project </w:t>
            </w:r>
            <w:proofErr w:type="gramStart"/>
            <w:r w:rsidRPr="1363F888">
              <w:rPr>
                <w:rFonts w:ascii="Arial" w:hAnsi="Arial" w:eastAsia="Arial" w:cs="Arial"/>
              </w:rPr>
              <w:t>technology</w:t>
            </w:r>
            <w:proofErr w:type="gramEnd"/>
          </w:p>
          <w:p w:rsidR="1363F888" w:rsidP="1363F888" w:rsidRDefault="1363F888" w14:paraId="317134C3" w14:textId="537AAEB5">
            <w:pPr>
              <w:spacing w:before="38" w:after="0" w:line="274" w:lineRule="auto"/>
            </w:pPr>
            <w:r w:rsidRPr="1363F888">
              <w:rPr>
                <w:rFonts w:ascii="Arial" w:hAnsi="Arial" w:eastAsia="Arial" w:cs="Arial"/>
              </w:rPr>
              <w:t>/outputs /partners to maximise value for money and speed of delivery.</w:t>
            </w:r>
          </w:p>
          <w:p w:rsidR="1363F888" w:rsidP="1363F888" w:rsidRDefault="1363F888" w14:paraId="702FCC4F" w14:textId="4FA70669">
            <w:pPr>
              <w:pStyle w:val="ListParagraph"/>
              <w:numPr>
                <w:ilvl w:val="0"/>
                <w:numId w:val="9"/>
              </w:numPr>
              <w:spacing w:after="0"/>
              <w:rPr>
                <w:rFonts w:ascii="Arial" w:hAnsi="Arial" w:eastAsia="Arial" w:cs="Arial"/>
              </w:rPr>
            </w:pPr>
            <w:r w:rsidRPr="1363F888">
              <w:rPr>
                <w:rFonts w:ascii="Arial" w:hAnsi="Arial" w:eastAsia="Arial" w:cs="Arial"/>
              </w:rPr>
              <w:t>Not demonstrate any financial red flags.</w:t>
            </w:r>
          </w:p>
          <w:p w:rsidR="1363F888" w:rsidP="1363F888" w:rsidRDefault="1363F888" w14:paraId="3050142B" w14:textId="485D0073">
            <w:pPr>
              <w:pStyle w:val="ListParagraph"/>
              <w:numPr>
                <w:ilvl w:val="0"/>
                <w:numId w:val="9"/>
              </w:numPr>
              <w:spacing w:after="0"/>
              <w:rPr>
                <w:rFonts w:ascii="Arial" w:hAnsi="Arial" w:eastAsia="Arial" w:cs="Arial"/>
              </w:rPr>
            </w:pPr>
            <w:r w:rsidRPr="1363F888">
              <w:rPr>
                <w:rFonts w:ascii="Arial" w:hAnsi="Arial" w:eastAsia="Arial" w:cs="Arial"/>
              </w:rPr>
              <w:t>Use freely available data / platforms where possible.</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1A876B9D" w14:textId="3DBD1A2C">
            <w:pPr>
              <w:spacing w:after="0"/>
            </w:pPr>
            <w:r w:rsidRPr="1363F888">
              <w:rPr>
                <w:rFonts w:ascii="Arial" w:hAnsi="Arial" w:eastAsia="Arial" w:cs="Arial"/>
              </w:rPr>
              <w:t>15</w:t>
            </w:r>
          </w:p>
        </w:tc>
      </w:tr>
    </w:tbl>
    <w:p w:rsidR="002579E6" w:rsidP="1363F888" w:rsidRDefault="558C9639" w14:paraId="233D302E" w14:textId="58DED2A5">
      <w:pPr>
        <w:spacing w:after="0"/>
      </w:pPr>
      <w:r w:rsidRPr="1363F888">
        <w:rPr>
          <w:rFonts w:ascii="Arial" w:hAnsi="Arial" w:eastAsia="Arial" w:cs="Arial"/>
          <w:sz w:val="19"/>
          <w:szCs w:val="19"/>
        </w:rPr>
        <w:t xml:space="preserve"> </w:t>
      </w:r>
    </w:p>
    <w:p w:rsidR="007B566B" w:rsidRDefault="007B566B" w14:paraId="3D222F36" w14:textId="77777777">
      <w:pPr>
        <w:sectPr w:rsidR="007B566B" w:rsidSect="007B566B">
          <w:headerReference w:type="even" r:id="rId16"/>
          <w:headerReference w:type="default" r:id="rId17"/>
          <w:footerReference w:type="even" r:id="rId18"/>
          <w:footerReference w:type="default" r:id="rId19"/>
          <w:headerReference w:type="first" r:id="rId20"/>
          <w:footerReference w:type="first" r:id="rId21"/>
          <w:pgSz w:w="16838" w:h="11906" w:orient="landscape"/>
          <w:pgMar w:top="1440" w:right="1440" w:bottom="1440" w:left="1440" w:header="720" w:footer="720" w:gutter="0"/>
          <w:cols w:space="720"/>
          <w:docGrid w:linePitch="360"/>
        </w:sectPr>
      </w:pPr>
    </w:p>
    <w:p w:rsidRPr="007B566B" w:rsidR="002579E6" w:rsidP="007B566B" w:rsidRDefault="002579E6" w14:paraId="1C17DC49" w14:textId="45D0504D">
      <w:pPr>
        <w:jc w:val="center"/>
        <w:rPr>
          <w:sz w:val="24"/>
          <w:szCs w:val="24"/>
          <w:u w:val="single"/>
        </w:rPr>
      </w:pPr>
      <w:r>
        <w:lastRenderedPageBreak/>
        <w:br/>
      </w:r>
      <w:r w:rsidRPr="007B566B" w:rsidR="558C9639">
        <w:rPr>
          <w:rFonts w:ascii="Arial" w:hAnsi="Arial" w:eastAsia="Arial" w:cs="Arial"/>
          <w:b/>
          <w:bCs/>
          <w:sz w:val="24"/>
          <w:szCs w:val="24"/>
          <w:u w:val="single"/>
        </w:rPr>
        <w:t>Scoring Guidance</w:t>
      </w:r>
    </w:p>
    <w:p w:rsidR="002579E6" w:rsidP="1363F888" w:rsidRDefault="558C9639" w14:paraId="41A2E3C2" w14:textId="63ACAD44">
      <w:pPr>
        <w:spacing w:before="72" w:after="0" w:line="247" w:lineRule="auto"/>
      </w:pPr>
      <w:r w:rsidRPr="1363F888">
        <w:rPr>
          <w:rFonts w:ascii="Arial" w:hAnsi="Arial" w:eastAsia="Arial" w:cs="Arial"/>
        </w:rPr>
        <w:t xml:space="preserve">The proposals will be scored on the scale of 1 to 10 for each criteria using the table below as a guide to the scale. The scores for each </w:t>
      </w:r>
      <w:proofErr w:type="gramStart"/>
      <w:r w:rsidRPr="1363F888">
        <w:rPr>
          <w:rFonts w:ascii="Arial" w:hAnsi="Arial" w:eastAsia="Arial" w:cs="Arial"/>
        </w:rPr>
        <w:t>criteria</w:t>
      </w:r>
      <w:proofErr w:type="gramEnd"/>
      <w:r w:rsidRPr="1363F888">
        <w:rPr>
          <w:rFonts w:ascii="Arial" w:hAnsi="Arial" w:eastAsia="Arial" w:cs="Arial"/>
        </w:rPr>
        <w:t xml:space="preserve"> will then be weighted using the percentages shown below.</w:t>
      </w:r>
    </w:p>
    <w:p w:rsidR="002579E6" w:rsidP="1363F888" w:rsidRDefault="558C9639" w14:paraId="0DF3EFBA" w14:textId="2028C158">
      <w:pPr>
        <w:spacing w:before="6" w:after="0"/>
      </w:pPr>
      <w:r w:rsidRPr="1363F888">
        <w:rPr>
          <w:rFonts w:ascii="Arial" w:hAnsi="Arial" w:eastAsia="Arial" w:cs="Arial"/>
          <w:sz w:val="13"/>
          <w:szCs w:val="13"/>
        </w:rPr>
        <w:t xml:space="preserve"> </w:t>
      </w:r>
    </w:p>
    <w:tbl>
      <w:tblPr>
        <w:tblW w:w="9016" w:type="dxa"/>
        <w:tblInd w:w="105" w:type="dxa"/>
        <w:tblLayout w:type="fixed"/>
        <w:tblLook w:val="01E0" w:firstRow="1" w:lastRow="1" w:firstColumn="1" w:lastColumn="1" w:noHBand="0" w:noVBand="0"/>
      </w:tblPr>
      <w:tblGrid>
        <w:gridCol w:w="1019"/>
        <w:gridCol w:w="7997"/>
      </w:tblGrid>
      <w:tr w:rsidR="1363F888" w:rsidTr="007B566B" w14:paraId="5A594FFF" w14:textId="77777777">
        <w:trPr>
          <w:trHeight w:val="375"/>
        </w:trPr>
        <w:tc>
          <w:tcPr>
            <w:tcW w:w="101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5CD1DD42" w14:textId="7DEFCE22">
            <w:pPr>
              <w:spacing w:before="40" w:after="0"/>
            </w:pPr>
            <w:r w:rsidRPr="1363F888">
              <w:rPr>
                <w:rFonts w:ascii="Arial" w:hAnsi="Arial" w:eastAsia="Arial" w:cs="Arial"/>
                <w:b/>
                <w:bCs/>
                <w:sz w:val="24"/>
                <w:szCs w:val="24"/>
              </w:rPr>
              <w:t>Score</w:t>
            </w:r>
          </w:p>
        </w:tc>
        <w:tc>
          <w:tcPr>
            <w:tcW w:w="799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565D4595" w14:textId="6EDB3447">
            <w:pPr>
              <w:spacing w:before="40" w:after="0"/>
            </w:pPr>
            <w:r w:rsidRPr="1363F888">
              <w:rPr>
                <w:rFonts w:ascii="Arial" w:hAnsi="Arial" w:eastAsia="Arial" w:cs="Arial"/>
                <w:b/>
                <w:bCs/>
                <w:sz w:val="24"/>
                <w:szCs w:val="24"/>
              </w:rPr>
              <w:t>Assessment</w:t>
            </w:r>
          </w:p>
        </w:tc>
      </w:tr>
      <w:tr w:rsidR="1363F888" w:rsidTr="007B566B" w14:paraId="08E8C1E6" w14:textId="77777777">
        <w:trPr>
          <w:trHeight w:val="360"/>
        </w:trPr>
        <w:tc>
          <w:tcPr>
            <w:tcW w:w="101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47F2DF18" w14:textId="1BBA2250">
            <w:pPr>
              <w:spacing w:before="40" w:after="0"/>
              <w:jc w:val="center"/>
            </w:pPr>
            <w:r w:rsidRPr="1363F888">
              <w:rPr>
                <w:rFonts w:ascii="Arial" w:hAnsi="Arial" w:eastAsia="Arial" w:cs="Arial"/>
              </w:rPr>
              <w:t>0</w:t>
            </w:r>
          </w:p>
        </w:tc>
        <w:tc>
          <w:tcPr>
            <w:tcW w:w="799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3148B310" w14:textId="4DC80DB0">
            <w:pPr>
              <w:spacing w:before="40" w:after="0"/>
            </w:pPr>
            <w:r w:rsidRPr="1363F888">
              <w:rPr>
                <w:rFonts w:ascii="Arial" w:hAnsi="Arial" w:eastAsia="Arial" w:cs="Arial"/>
              </w:rPr>
              <w:t>No response is offered in respect of the criteria.</w:t>
            </w:r>
          </w:p>
        </w:tc>
      </w:tr>
      <w:tr w:rsidR="1363F888" w:rsidTr="007B566B" w14:paraId="66F11C68" w14:textId="77777777">
        <w:trPr>
          <w:trHeight w:val="1140"/>
        </w:trPr>
        <w:tc>
          <w:tcPr>
            <w:tcW w:w="101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5773D37D" w14:textId="6403E9F6">
            <w:pPr>
              <w:spacing w:before="40" w:after="0"/>
              <w:jc w:val="center"/>
            </w:pPr>
            <w:r w:rsidRPr="1363F888">
              <w:rPr>
                <w:rFonts w:ascii="Arial" w:hAnsi="Arial" w:eastAsia="Arial" w:cs="Arial"/>
              </w:rPr>
              <w:t>1</w:t>
            </w:r>
          </w:p>
        </w:tc>
        <w:tc>
          <w:tcPr>
            <w:tcW w:w="799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4158342B" w14:textId="58C07917">
            <w:pPr>
              <w:spacing w:before="40" w:after="0" w:line="247" w:lineRule="auto"/>
            </w:pPr>
            <w:r w:rsidRPr="1363F888">
              <w:rPr>
                <w:rFonts w:ascii="Arial" w:hAnsi="Arial" w:eastAsia="Arial" w:cs="Arial"/>
              </w:rPr>
              <w:t xml:space="preserve">An incomplete or </w:t>
            </w:r>
            <w:r w:rsidRPr="1363F888">
              <w:rPr>
                <w:rFonts w:ascii="Arial" w:hAnsi="Arial" w:eastAsia="Arial" w:cs="Arial"/>
                <w:u w:val="single"/>
              </w:rPr>
              <w:t xml:space="preserve">very poor </w:t>
            </w:r>
            <w:r w:rsidRPr="1363F888">
              <w:rPr>
                <w:rFonts w:ascii="Arial" w:hAnsi="Arial" w:eastAsia="Arial" w:cs="Arial"/>
              </w:rPr>
              <w:t xml:space="preserve">response, which fails to address the criteria; and/or the response is not credible, with </w:t>
            </w:r>
            <w:r w:rsidRPr="1363F888">
              <w:rPr>
                <w:rFonts w:ascii="Arial" w:hAnsi="Arial" w:eastAsia="Arial" w:cs="Arial"/>
                <w:u w:val="single"/>
              </w:rPr>
              <w:t xml:space="preserve">no evidence </w:t>
            </w:r>
            <w:r w:rsidRPr="1363F888">
              <w:rPr>
                <w:rFonts w:ascii="Arial" w:hAnsi="Arial" w:eastAsia="Arial" w:cs="Arial"/>
              </w:rPr>
              <w:t xml:space="preserve">to support the claims made meaning there is </w:t>
            </w:r>
            <w:r w:rsidRPr="1363F888">
              <w:rPr>
                <w:rFonts w:ascii="Arial" w:hAnsi="Arial" w:eastAsia="Arial" w:cs="Arial"/>
                <w:u w:val="single"/>
              </w:rPr>
              <w:t xml:space="preserve">no confidence </w:t>
            </w:r>
            <w:r w:rsidRPr="1363F888">
              <w:rPr>
                <w:rFonts w:ascii="Arial" w:hAnsi="Arial" w:eastAsia="Arial" w:cs="Arial"/>
              </w:rPr>
              <w:t>of success; and/or the response is assessed as ‘</w:t>
            </w:r>
            <w:r w:rsidRPr="1363F888">
              <w:rPr>
                <w:rFonts w:ascii="Arial" w:hAnsi="Arial" w:eastAsia="Arial" w:cs="Arial"/>
                <w:u w:val="single"/>
              </w:rPr>
              <w:t>low scoring</w:t>
            </w:r>
            <w:r w:rsidRPr="1363F888">
              <w:rPr>
                <w:rFonts w:ascii="Arial" w:hAnsi="Arial" w:eastAsia="Arial" w:cs="Arial"/>
              </w:rPr>
              <w:t>’ against the scoring criteria shown in the table above.</w:t>
            </w:r>
          </w:p>
        </w:tc>
      </w:tr>
      <w:tr w:rsidR="1363F888" w:rsidTr="007B566B" w14:paraId="5E6DE661" w14:textId="77777777">
        <w:trPr>
          <w:trHeight w:val="1410"/>
        </w:trPr>
        <w:tc>
          <w:tcPr>
            <w:tcW w:w="101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6E30CA57" w14:textId="732926F3">
            <w:pPr>
              <w:spacing w:before="40" w:after="0"/>
              <w:jc w:val="center"/>
            </w:pPr>
            <w:r w:rsidRPr="1363F888">
              <w:rPr>
                <w:rFonts w:ascii="Arial" w:hAnsi="Arial" w:eastAsia="Arial" w:cs="Arial"/>
              </w:rPr>
              <w:t>2</w:t>
            </w:r>
          </w:p>
        </w:tc>
        <w:tc>
          <w:tcPr>
            <w:tcW w:w="799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32F7EAA7" w14:textId="0218290D">
            <w:pPr>
              <w:spacing w:before="40" w:after="0" w:line="247" w:lineRule="auto"/>
            </w:pPr>
            <w:r w:rsidRPr="1363F888">
              <w:rPr>
                <w:rFonts w:ascii="Arial" w:hAnsi="Arial" w:eastAsia="Arial" w:cs="Arial"/>
              </w:rPr>
              <w:t xml:space="preserve">A </w:t>
            </w:r>
            <w:r w:rsidRPr="1363F888">
              <w:rPr>
                <w:rFonts w:ascii="Arial" w:hAnsi="Arial" w:eastAsia="Arial" w:cs="Arial"/>
                <w:u w:val="single"/>
              </w:rPr>
              <w:t xml:space="preserve">poor </w:t>
            </w:r>
            <w:r w:rsidRPr="1363F888">
              <w:rPr>
                <w:rFonts w:ascii="Arial" w:hAnsi="Arial" w:eastAsia="Arial" w:cs="Arial"/>
              </w:rPr>
              <w:t xml:space="preserve">response which only partially addresses the criteria and would require significant revision to become acceptable; and/or </w:t>
            </w:r>
            <w:r w:rsidRPr="1363F888">
              <w:rPr>
                <w:rFonts w:ascii="Arial" w:hAnsi="Arial" w:eastAsia="Arial" w:cs="Arial"/>
                <w:u w:val="single"/>
              </w:rPr>
              <w:t>very limited, and inadequate</w:t>
            </w:r>
            <w:r w:rsidRPr="1363F888">
              <w:rPr>
                <w:rFonts w:ascii="Arial" w:hAnsi="Arial" w:eastAsia="Arial" w:cs="Arial"/>
              </w:rPr>
              <w:t xml:space="preserve">, evidence to support the claims made meaning </w:t>
            </w:r>
            <w:r w:rsidRPr="1363F888">
              <w:rPr>
                <w:rFonts w:ascii="Arial" w:hAnsi="Arial" w:eastAsia="Arial" w:cs="Arial"/>
                <w:u w:val="single"/>
              </w:rPr>
              <w:t xml:space="preserve">low confidence </w:t>
            </w:r>
            <w:r w:rsidRPr="1363F888">
              <w:rPr>
                <w:rFonts w:ascii="Arial" w:hAnsi="Arial" w:eastAsia="Arial" w:cs="Arial"/>
              </w:rPr>
              <w:t>of success; and/or the response is assessed as ‘</w:t>
            </w:r>
            <w:r w:rsidRPr="1363F888">
              <w:rPr>
                <w:rFonts w:ascii="Arial" w:hAnsi="Arial" w:eastAsia="Arial" w:cs="Arial"/>
                <w:u w:val="single"/>
              </w:rPr>
              <w:t xml:space="preserve">low scoring’ </w:t>
            </w:r>
            <w:r w:rsidRPr="1363F888">
              <w:rPr>
                <w:rFonts w:ascii="Arial" w:hAnsi="Arial" w:eastAsia="Arial" w:cs="Arial"/>
              </w:rPr>
              <w:t>against the scoring criteria shown in the table above.</w:t>
            </w:r>
          </w:p>
        </w:tc>
      </w:tr>
      <w:tr w:rsidR="1363F888" w:rsidTr="007B566B" w14:paraId="2EB3792D" w14:textId="77777777">
        <w:trPr>
          <w:trHeight w:val="1140"/>
        </w:trPr>
        <w:tc>
          <w:tcPr>
            <w:tcW w:w="101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72D6D335" w14:textId="7CEFFA78">
            <w:pPr>
              <w:spacing w:before="40" w:after="0"/>
              <w:jc w:val="center"/>
            </w:pPr>
            <w:r w:rsidRPr="1363F888">
              <w:rPr>
                <w:rFonts w:ascii="Arial" w:hAnsi="Arial" w:eastAsia="Arial" w:cs="Arial"/>
              </w:rPr>
              <w:t>4</w:t>
            </w:r>
          </w:p>
        </w:tc>
        <w:tc>
          <w:tcPr>
            <w:tcW w:w="799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4F90CD92" w14:textId="162B6AF5">
            <w:pPr>
              <w:spacing w:before="40" w:after="0" w:line="247" w:lineRule="auto"/>
            </w:pPr>
            <w:r w:rsidRPr="1363F888">
              <w:rPr>
                <w:rFonts w:ascii="Arial" w:hAnsi="Arial" w:eastAsia="Arial" w:cs="Arial"/>
              </w:rPr>
              <w:t xml:space="preserve">A </w:t>
            </w:r>
            <w:r w:rsidRPr="1363F888">
              <w:rPr>
                <w:rFonts w:ascii="Arial" w:hAnsi="Arial" w:eastAsia="Arial" w:cs="Arial"/>
                <w:u w:val="single"/>
              </w:rPr>
              <w:t xml:space="preserve">limited </w:t>
            </w:r>
            <w:r w:rsidRPr="1363F888">
              <w:rPr>
                <w:rFonts w:ascii="Arial" w:hAnsi="Arial" w:eastAsia="Arial" w:cs="Arial"/>
              </w:rPr>
              <w:t xml:space="preserve">response with deficiencies apparent against the criteria, requiring some revision to become acceptable; and/or </w:t>
            </w:r>
            <w:r w:rsidRPr="1363F888">
              <w:rPr>
                <w:rFonts w:ascii="Arial" w:hAnsi="Arial" w:eastAsia="Arial" w:cs="Arial"/>
                <w:u w:val="single"/>
              </w:rPr>
              <w:t xml:space="preserve">limited </w:t>
            </w:r>
            <w:r w:rsidRPr="1363F888">
              <w:rPr>
                <w:rFonts w:ascii="Arial" w:hAnsi="Arial" w:eastAsia="Arial" w:cs="Arial"/>
              </w:rPr>
              <w:t xml:space="preserve">evidence provided supporting the claims made meaning </w:t>
            </w:r>
            <w:r w:rsidRPr="1363F888">
              <w:rPr>
                <w:rFonts w:ascii="Arial" w:hAnsi="Arial" w:eastAsia="Arial" w:cs="Arial"/>
                <w:u w:val="single"/>
              </w:rPr>
              <w:t xml:space="preserve">limited </w:t>
            </w:r>
            <w:r w:rsidRPr="1363F888">
              <w:rPr>
                <w:rFonts w:ascii="Arial" w:hAnsi="Arial" w:eastAsia="Arial" w:cs="Arial"/>
              </w:rPr>
              <w:t>confidence of success; and/or the response is assessed as ‘</w:t>
            </w:r>
            <w:r w:rsidRPr="1363F888">
              <w:rPr>
                <w:rFonts w:ascii="Arial" w:hAnsi="Arial" w:eastAsia="Arial" w:cs="Arial"/>
                <w:u w:val="single"/>
              </w:rPr>
              <w:t>low scoring</w:t>
            </w:r>
            <w:r w:rsidRPr="1363F888">
              <w:rPr>
                <w:rFonts w:ascii="Arial" w:hAnsi="Arial" w:eastAsia="Arial" w:cs="Arial"/>
              </w:rPr>
              <w:t>’ against the scoring criteria.</w:t>
            </w:r>
          </w:p>
        </w:tc>
      </w:tr>
      <w:tr w:rsidR="1363F888" w:rsidTr="007B566B" w14:paraId="4DBBAB45" w14:textId="77777777">
        <w:trPr>
          <w:trHeight w:val="1410"/>
        </w:trPr>
        <w:tc>
          <w:tcPr>
            <w:tcW w:w="101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213B81C5" w14:textId="6FA9F7A1">
            <w:pPr>
              <w:spacing w:before="40" w:after="0"/>
              <w:jc w:val="center"/>
            </w:pPr>
            <w:r w:rsidRPr="1363F888">
              <w:rPr>
                <w:rFonts w:ascii="Arial" w:hAnsi="Arial" w:eastAsia="Arial" w:cs="Arial"/>
              </w:rPr>
              <w:t>5</w:t>
            </w:r>
          </w:p>
        </w:tc>
        <w:tc>
          <w:tcPr>
            <w:tcW w:w="799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5DDAD3DF" w14:textId="4291D19C">
            <w:pPr>
              <w:spacing w:before="40" w:after="0" w:line="247" w:lineRule="auto"/>
            </w:pPr>
            <w:r w:rsidRPr="1363F888">
              <w:rPr>
                <w:rFonts w:ascii="Arial" w:hAnsi="Arial" w:eastAsia="Arial" w:cs="Arial"/>
              </w:rPr>
              <w:t xml:space="preserve">An </w:t>
            </w:r>
            <w:r w:rsidRPr="1363F888">
              <w:rPr>
                <w:rFonts w:ascii="Arial" w:hAnsi="Arial" w:eastAsia="Arial" w:cs="Arial"/>
                <w:u w:val="single"/>
              </w:rPr>
              <w:t xml:space="preserve">acceptable </w:t>
            </w:r>
            <w:r w:rsidRPr="1363F888">
              <w:rPr>
                <w:rFonts w:ascii="Arial" w:hAnsi="Arial" w:eastAsia="Arial" w:cs="Arial"/>
              </w:rPr>
              <w:t xml:space="preserve">response which could have been expanded upon, with identified weaknesses correctable; and/or </w:t>
            </w:r>
            <w:r w:rsidRPr="1363F888">
              <w:rPr>
                <w:rFonts w:ascii="Arial" w:hAnsi="Arial" w:eastAsia="Arial" w:cs="Arial"/>
                <w:u w:val="single"/>
              </w:rPr>
              <w:t xml:space="preserve">just sufficient </w:t>
            </w:r>
            <w:r w:rsidRPr="1363F888">
              <w:rPr>
                <w:rFonts w:ascii="Arial" w:hAnsi="Arial" w:eastAsia="Arial" w:cs="Arial"/>
              </w:rPr>
              <w:t xml:space="preserve">evidence provided in support of the claims made meaning a </w:t>
            </w:r>
            <w:r w:rsidRPr="1363F888">
              <w:rPr>
                <w:rFonts w:ascii="Arial" w:hAnsi="Arial" w:eastAsia="Arial" w:cs="Arial"/>
                <w:u w:val="single"/>
              </w:rPr>
              <w:t xml:space="preserve">reasonable </w:t>
            </w:r>
            <w:r w:rsidRPr="1363F888">
              <w:rPr>
                <w:rFonts w:ascii="Arial" w:hAnsi="Arial" w:eastAsia="Arial" w:cs="Arial"/>
              </w:rPr>
              <w:t>confidence of success; and/or the response is assessed as ‘</w:t>
            </w:r>
            <w:r w:rsidRPr="1363F888">
              <w:rPr>
                <w:rFonts w:ascii="Arial" w:hAnsi="Arial" w:eastAsia="Arial" w:cs="Arial"/>
                <w:u w:val="single"/>
              </w:rPr>
              <w:t xml:space="preserve">moderate scoring’ </w:t>
            </w:r>
            <w:r w:rsidRPr="1363F888">
              <w:rPr>
                <w:rFonts w:ascii="Arial" w:hAnsi="Arial" w:eastAsia="Arial" w:cs="Arial"/>
              </w:rPr>
              <w:t>against the scoring criteria.</w:t>
            </w:r>
          </w:p>
        </w:tc>
      </w:tr>
      <w:tr w:rsidR="1363F888" w:rsidTr="007B566B" w14:paraId="02721984" w14:textId="77777777">
        <w:trPr>
          <w:trHeight w:val="1140"/>
        </w:trPr>
        <w:tc>
          <w:tcPr>
            <w:tcW w:w="101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05CCADFA" w14:textId="26EAB6E5">
            <w:pPr>
              <w:spacing w:before="42" w:after="0"/>
              <w:jc w:val="center"/>
            </w:pPr>
            <w:r w:rsidRPr="1363F888">
              <w:rPr>
                <w:rFonts w:ascii="Arial" w:hAnsi="Arial" w:eastAsia="Arial" w:cs="Arial"/>
              </w:rPr>
              <w:t>7</w:t>
            </w:r>
          </w:p>
        </w:tc>
        <w:tc>
          <w:tcPr>
            <w:tcW w:w="799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52917072" w14:textId="26E28D4B">
            <w:pPr>
              <w:spacing w:before="42" w:after="0" w:line="247" w:lineRule="auto"/>
            </w:pPr>
            <w:r w:rsidRPr="1363F888">
              <w:rPr>
                <w:rFonts w:ascii="Arial" w:hAnsi="Arial" w:eastAsia="Arial" w:cs="Arial"/>
              </w:rPr>
              <w:t xml:space="preserve">A </w:t>
            </w:r>
            <w:r w:rsidRPr="1363F888">
              <w:rPr>
                <w:rFonts w:ascii="Arial" w:hAnsi="Arial" w:eastAsia="Arial" w:cs="Arial"/>
                <w:u w:val="single"/>
              </w:rPr>
              <w:t xml:space="preserve">good </w:t>
            </w:r>
            <w:r w:rsidRPr="1363F888">
              <w:rPr>
                <w:rFonts w:ascii="Arial" w:hAnsi="Arial" w:eastAsia="Arial" w:cs="Arial"/>
              </w:rPr>
              <w:t xml:space="preserve">response which addresses the criteria well, with identified weaknesses readily correctable; and/or </w:t>
            </w:r>
            <w:r w:rsidRPr="1363F888">
              <w:rPr>
                <w:rFonts w:ascii="Arial" w:hAnsi="Arial" w:eastAsia="Arial" w:cs="Arial"/>
                <w:u w:val="single"/>
              </w:rPr>
              <w:t xml:space="preserve">solid </w:t>
            </w:r>
            <w:r w:rsidRPr="1363F888">
              <w:rPr>
                <w:rFonts w:ascii="Arial" w:hAnsi="Arial" w:eastAsia="Arial" w:cs="Arial"/>
              </w:rPr>
              <w:t xml:space="preserve">evidence provided in support of the claims made meaning a </w:t>
            </w:r>
            <w:r w:rsidRPr="1363F888">
              <w:rPr>
                <w:rFonts w:ascii="Arial" w:hAnsi="Arial" w:eastAsia="Arial" w:cs="Arial"/>
                <w:u w:val="single"/>
              </w:rPr>
              <w:t xml:space="preserve">solid </w:t>
            </w:r>
            <w:r w:rsidRPr="1363F888">
              <w:rPr>
                <w:rFonts w:ascii="Arial" w:hAnsi="Arial" w:eastAsia="Arial" w:cs="Arial"/>
              </w:rPr>
              <w:t>level of confidence of success; and/or the response is assessed as ‘moderate scoring’ against the scoring criteria.</w:t>
            </w:r>
          </w:p>
        </w:tc>
      </w:tr>
      <w:tr w:rsidR="1363F888" w:rsidTr="007B566B" w14:paraId="0659D794" w14:textId="77777777">
        <w:trPr>
          <w:trHeight w:val="1140"/>
        </w:trPr>
        <w:tc>
          <w:tcPr>
            <w:tcW w:w="1019"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1B112323" w14:textId="148FAFEC">
            <w:pPr>
              <w:spacing w:before="42" w:after="0"/>
              <w:jc w:val="center"/>
            </w:pPr>
            <w:r w:rsidRPr="1363F888">
              <w:rPr>
                <w:rFonts w:ascii="Arial" w:hAnsi="Arial" w:eastAsia="Arial" w:cs="Arial"/>
              </w:rPr>
              <w:t>9</w:t>
            </w:r>
          </w:p>
        </w:tc>
        <w:tc>
          <w:tcPr>
            <w:tcW w:w="7997"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1363F888" w:rsidP="1363F888" w:rsidRDefault="1363F888" w14:paraId="608E016C" w14:textId="7A2E5D0A">
            <w:pPr>
              <w:spacing w:before="42" w:after="0" w:line="247" w:lineRule="auto"/>
            </w:pPr>
            <w:r w:rsidRPr="1363F888">
              <w:rPr>
                <w:rFonts w:ascii="Arial" w:hAnsi="Arial" w:eastAsia="Arial" w:cs="Arial"/>
              </w:rPr>
              <w:t xml:space="preserve">A </w:t>
            </w:r>
            <w:r w:rsidRPr="1363F888">
              <w:rPr>
                <w:rFonts w:ascii="Arial" w:hAnsi="Arial" w:eastAsia="Arial" w:cs="Arial"/>
                <w:u w:val="single"/>
              </w:rPr>
              <w:t xml:space="preserve">very good </w:t>
            </w:r>
            <w:r w:rsidRPr="1363F888">
              <w:rPr>
                <w:rFonts w:ascii="Arial" w:hAnsi="Arial" w:eastAsia="Arial" w:cs="Arial"/>
              </w:rPr>
              <w:t xml:space="preserve">response which addresses the criteria very well with very few weaknesses; and/or </w:t>
            </w:r>
            <w:r w:rsidRPr="1363F888">
              <w:rPr>
                <w:rFonts w:ascii="Arial" w:hAnsi="Arial" w:eastAsia="Arial" w:cs="Arial"/>
                <w:u w:val="single"/>
              </w:rPr>
              <w:t xml:space="preserve">good evidence </w:t>
            </w:r>
            <w:r w:rsidRPr="1363F888">
              <w:rPr>
                <w:rFonts w:ascii="Arial" w:hAnsi="Arial" w:eastAsia="Arial" w:cs="Arial"/>
              </w:rPr>
              <w:t xml:space="preserve">provided in support of the claims made meaning a </w:t>
            </w:r>
            <w:r w:rsidRPr="1363F888">
              <w:rPr>
                <w:rFonts w:ascii="Arial" w:hAnsi="Arial" w:eastAsia="Arial" w:cs="Arial"/>
                <w:u w:val="single"/>
              </w:rPr>
              <w:t xml:space="preserve">high </w:t>
            </w:r>
            <w:r w:rsidRPr="1363F888">
              <w:rPr>
                <w:rFonts w:ascii="Arial" w:hAnsi="Arial" w:eastAsia="Arial" w:cs="Arial"/>
              </w:rPr>
              <w:t>level of confidence of success; and/or the response is assessed as ‘highest scoring’ against the scoring criteria.</w:t>
            </w:r>
          </w:p>
        </w:tc>
      </w:tr>
      <w:tr w:rsidR="1363F888" w:rsidTr="007B566B" w14:paraId="3CDD1272" w14:textId="77777777">
        <w:trPr>
          <w:trHeight w:val="1080"/>
        </w:trPr>
        <w:tc>
          <w:tcPr>
            <w:tcW w:w="1019" w:type="dxa"/>
            <w:tcBorders>
              <w:top w:val="single" w:color="000000" w:themeColor="text1" w:sz="8" w:space="0"/>
              <w:left w:val="single" w:color="000000" w:themeColor="text1" w:sz="8" w:space="0"/>
              <w:bottom w:val="nil"/>
              <w:right w:val="single" w:color="000000" w:themeColor="text1" w:sz="8" w:space="0"/>
            </w:tcBorders>
          </w:tcPr>
          <w:p w:rsidR="1363F888" w:rsidP="1363F888" w:rsidRDefault="1363F888" w14:paraId="594EC3FA" w14:textId="67090E2A">
            <w:pPr>
              <w:spacing w:before="42" w:after="0"/>
              <w:jc w:val="center"/>
            </w:pPr>
            <w:r w:rsidRPr="1363F888">
              <w:rPr>
                <w:rFonts w:ascii="Arial" w:hAnsi="Arial" w:eastAsia="Arial" w:cs="Arial"/>
              </w:rPr>
              <w:t>10</w:t>
            </w:r>
          </w:p>
        </w:tc>
        <w:tc>
          <w:tcPr>
            <w:tcW w:w="7997" w:type="dxa"/>
            <w:tcBorders>
              <w:top w:val="single" w:color="000000" w:themeColor="text1" w:sz="8" w:space="0"/>
              <w:left w:val="single" w:color="000000" w:themeColor="text1" w:sz="8" w:space="0"/>
              <w:bottom w:val="nil"/>
              <w:right w:val="single" w:color="000000" w:themeColor="text1" w:sz="8" w:space="0"/>
            </w:tcBorders>
          </w:tcPr>
          <w:p w:rsidR="1363F888" w:rsidP="1363F888" w:rsidRDefault="1363F888" w14:paraId="0D90B7D9" w14:textId="6CB508A7">
            <w:pPr>
              <w:spacing w:before="42" w:after="0" w:line="247" w:lineRule="auto"/>
            </w:pPr>
            <w:r w:rsidRPr="1363F888">
              <w:rPr>
                <w:rFonts w:ascii="Arial" w:hAnsi="Arial" w:eastAsia="Arial" w:cs="Arial"/>
              </w:rPr>
              <w:t xml:space="preserve">An </w:t>
            </w:r>
            <w:r w:rsidRPr="1363F888">
              <w:rPr>
                <w:rFonts w:ascii="Arial" w:hAnsi="Arial" w:eastAsia="Arial" w:cs="Arial"/>
                <w:u w:val="single"/>
              </w:rPr>
              <w:t xml:space="preserve">excellent </w:t>
            </w:r>
            <w:r w:rsidRPr="1363F888">
              <w:rPr>
                <w:rFonts w:ascii="Arial" w:hAnsi="Arial" w:eastAsia="Arial" w:cs="Arial"/>
              </w:rPr>
              <w:t xml:space="preserve">response which is considered to absolutely address the criteria without weakness; and/or </w:t>
            </w:r>
            <w:r w:rsidRPr="1363F888">
              <w:rPr>
                <w:rFonts w:ascii="Arial" w:hAnsi="Arial" w:eastAsia="Arial" w:cs="Arial"/>
                <w:u w:val="single"/>
              </w:rPr>
              <w:t xml:space="preserve">compelling </w:t>
            </w:r>
            <w:r w:rsidRPr="1363F888">
              <w:rPr>
                <w:rFonts w:ascii="Arial" w:hAnsi="Arial" w:eastAsia="Arial" w:cs="Arial"/>
              </w:rPr>
              <w:t xml:space="preserve">evidence provided in support of the claims made meaning success </w:t>
            </w:r>
            <w:proofErr w:type="gramStart"/>
            <w:r w:rsidRPr="1363F888">
              <w:rPr>
                <w:rFonts w:ascii="Arial" w:hAnsi="Arial" w:eastAsia="Arial" w:cs="Arial"/>
              </w:rPr>
              <w:t>is considered to be</w:t>
            </w:r>
            <w:proofErr w:type="gramEnd"/>
            <w:r w:rsidRPr="1363F888">
              <w:rPr>
                <w:rFonts w:ascii="Arial" w:hAnsi="Arial" w:eastAsia="Arial" w:cs="Arial"/>
              </w:rPr>
              <w:t xml:space="preserve"> </w:t>
            </w:r>
            <w:r w:rsidRPr="1363F888">
              <w:rPr>
                <w:rFonts w:ascii="Arial" w:hAnsi="Arial" w:eastAsia="Arial" w:cs="Arial"/>
                <w:u w:val="single"/>
              </w:rPr>
              <w:t>virtually assured</w:t>
            </w:r>
            <w:r w:rsidRPr="1363F888">
              <w:rPr>
                <w:rFonts w:ascii="Arial" w:hAnsi="Arial" w:eastAsia="Arial" w:cs="Arial"/>
              </w:rPr>
              <w:t>; and/or the response is assessed as ‘highest scoring’ against the scoring criteria.</w:t>
            </w:r>
          </w:p>
        </w:tc>
      </w:tr>
      <w:tr w:rsidR="1363F888" w:rsidTr="007B566B" w14:paraId="5AD06DC0" w14:textId="77777777">
        <w:trPr>
          <w:trHeight w:val="60"/>
        </w:trPr>
        <w:tc>
          <w:tcPr>
            <w:tcW w:w="1019" w:type="dxa"/>
            <w:tcBorders>
              <w:top w:val="nil"/>
              <w:left w:val="single" w:color="000000" w:themeColor="text1" w:sz="8" w:space="0"/>
              <w:bottom w:val="single" w:color="000000" w:themeColor="text1" w:sz="8" w:space="0"/>
              <w:right w:val="single" w:color="000000" w:themeColor="text1" w:sz="8" w:space="0"/>
            </w:tcBorders>
          </w:tcPr>
          <w:p w:rsidR="1363F888" w:rsidP="1363F888" w:rsidRDefault="1363F888" w14:paraId="22589AC6" w14:textId="1F11DFFF">
            <w:pPr>
              <w:spacing w:after="0"/>
            </w:pPr>
            <w:r w:rsidRPr="1363F888">
              <w:rPr>
                <w:rFonts w:ascii="Calibri" w:hAnsi="Calibri" w:eastAsia="Calibri" w:cs="Calibri"/>
              </w:rPr>
              <w:t xml:space="preserve"> </w:t>
            </w:r>
          </w:p>
        </w:tc>
        <w:tc>
          <w:tcPr>
            <w:tcW w:w="7997" w:type="dxa"/>
            <w:tcBorders>
              <w:top w:val="nil"/>
              <w:left w:val="single" w:color="000000" w:themeColor="text1" w:sz="8" w:space="0"/>
              <w:bottom w:val="single" w:color="000000" w:themeColor="text1" w:sz="8" w:space="0"/>
              <w:right w:val="single" w:color="000000" w:themeColor="text1" w:sz="8" w:space="0"/>
            </w:tcBorders>
          </w:tcPr>
          <w:p w:rsidR="1363F888" w:rsidP="1363F888" w:rsidRDefault="1363F888" w14:paraId="574B5AF3" w14:textId="34762126">
            <w:pPr>
              <w:spacing w:after="0"/>
              <w:rPr>
                <w:rFonts w:ascii="Calibri" w:hAnsi="Calibri" w:eastAsia="Calibri" w:cs="Calibri"/>
              </w:rPr>
            </w:pPr>
          </w:p>
        </w:tc>
      </w:tr>
    </w:tbl>
    <w:p w:rsidR="002579E6" w:rsidP="1363F888" w:rsidRDefault="002579E6" w14:paraId="5E5787A5" w14:textId="2E9AB710"/>
    <w:sectPr w:rsidR="002579E6" w:rsidSect="007B566B">
      <w:pgSz w:w="11906" w:h="16838"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MC" w:author="Collinson, Miles (UKSA)" w:date="2023-10-17T11:05:00Z" w:id="0">
    <w:p w:rsidR="00F73628" w:rsidP="00F0244C" w:rsidRDefault="00EB529D" w14:paraId="505B2B37" w14:textId="77777777">
      <w:pPr>
        <w:pStyle w:val="CommentText"/>
      </w:pPr>
      <w:r>
        <w:rPr>
          <w:rStyle w:val="CommentReference"/>
        </w:rPr>
        <w:annotationRef/>
      </w:r>
      <w:r w:rsidR="00F73628">
        <w:t xml:space="preserve">Maybe change to catalysing investment and reword to focus on the level of investment it will catalyse rather then the benefit to the UK.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5B2B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2C9BEB3" w16cex:dateUtc="2023-10-17T1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5B2B37" w16cid:durableId="62C9BE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622B" w:rsidP="00755171" w:rsidRDefault="0087622B" w14:paraId="247D1F1B" w14:textId="77777777">
      <w:pPr>
        <w:spacing w:after="0" w:line="240" w:lineRule="auto"/>
      </w:pPr>
      <w:r>
        <w:separator/>
      </w:r>
    </w:p>
  </w:endnote>
  <w:endnote w:type="continuationSeparator" w:id="0">
    <w:p w:rsidR="0087622B" w:rsidP="00755171" w:rsidRDefault="0087622B" w14:paraId="13D29A41" w14:textId="77777777">
      <w:pPr>
        <w:spacing w:after="0" w:line="240" w:lineRule="auto"/>
      </w:pPr>
      <w:r>
        <w:continuationSeparator/>
      </w:r>
    </w:p>
  </w:endnote>
  <w:endnote w:type="continuationNotice" w:id="1">
    <w:p w:rsidR="0087622B" w:rsidRDefault="0087622B" w14:paraId="3B37E1F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5804" w:rsidRDefault="000E5804" w14:paraId="29A55D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5804" w:rsidRDefault="000E5804" w14:paraId="79154C4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5804" w:rsidRDefault="000E5804" w14:paraId="0DDC49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622B" w:rsidP="00755171" w:rsidRDefault="0087622B" w14:paraId="5FBAFB9C" w14:textId="77777777">
      <w:pPr>
        <w:spacing w:after="0" w:line="240" w:lineRule="auto"/>
      </w:pPr>
      <w:r>
        <w:separator/>
      </w:r>
    </w:p>
  </w:footnote>
  <w:footnote w:type="continuationSeparator" w:id="0">
    <w:p w:rsidR="0087622B" w:rsidP="00755171" w:rsidRDefault="0087622B" w14:paraId="567E84A9" w14:textId="77777777">
      <w:pPr>
        <w:spacing w:after="0" w:line="240" w:lineRule="auto"/>
      </w:pPr>
      <w:r>
        <w:continuationSeparator/>
      </w:r>
    </w:p>
  </w:footnote>
  <w:footnote w:type="continuationNotice" w:id="1">
    <w:p w:rsidR="0087622B" w:rsidRDefault="0087622B" w14:paraId="7026A40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5804" w:rsidRDefault="000E5804" w14:paraId="0C3F0C4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5804" w:rsidRDefault="000E5804" w14:paraId="1F47165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5804" w:rsidRDefault="000E5804" w14:paraId="0D4D05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50144"/>
    <w:multiLevelType w:val="hybridMultilevel"/>
    <w:tmpl w:val="1EB8CACA"/>
    <w:lvl w:ilvl="0" w:tplc="47AE3CB6">
      <w:start w:val="1"/>
      <w:numFmt w:val="bullet"/>
      <w:lvlText w:val="·"/>
      <w:lvlJc w:val="left"/>
      <w:pPr>
        <w:ind w:left="720" w:hanging="360"/>
      </w:pPr>
      <w:rPr>
        <w:rFonts w:hint="default" w:ascii="Symbol" w:hAnsi="Symbol"/>
      </w:rPr>
    </w:lvl>
    <w:lvl w:ilvl="1" w:tplc="78247938">
      <w:start w:val="1"/>
      <w:numFmt w:val="bullet"/>
      <w:lvlText w:val="o"/>
      <w:lvlJc w:val="left"/>
      <w:pPr>
        <w:ind w:left="1440" w:hanging="360"/>
      </w:pPr>
      <w:rPr>
        <w:rFonts w:hint="default" w:ascii="Courier New" w:hAnsi="Courier New"/>
      </w:rPr>
    </w:lvl>
    <w:lvl w:ilvl="2" w:tplc="D504B6C8">
      <w:start w:val="1"/>
      <w:numFmt w:val="bullet"/>
      <w:lvlText w:val=""/>
      <w:lvlJc w:val="left"/>
      <w:pPr>
        <w:ind w:left="2160" w:hanging="360"/>
      </w:pPr>
      <w:rPr>
        <w:rFonts w:hint="default" w:ascii="Wingdings" w:hAnsi="Wingdings"/>
      </w:rPr>
    </w:lvl>
    <w:lvl w:ilvl="3" w:tplc="BE4AD7F4">
      <w:start w:val="1"/>
      <w:numFmt w:val="bullet"/>
      <w:lvlText w:val=""/>
      <w:lvlJc w:val="left"/>
      <w:pPr>
        <w:ind w:left="2880" w:hanging="360"/>
      </w:pPr>
      <w:rPr>
        <w:rFonts w:hint="default" w:ascii="Symbol" w:hAnsi="Symbol"/>
      </w:rPr>
    </w:lvl>
    <w:lvl w:ilvl="4" w:tplc="34CCFD14">
      <w:start w:val="1"/>
      <w:numFmt w:val="bullet"/>
      <w:lvlText w:val="o"/>
      <w:lvlJc w:val="left"/>
      <w:pPr>
        <w:ind w:left="3600" w:hanging="360"/>
      </w:pPr>
      <w:rPr>
        <w:rFonts w:hint="default" w:ascii="Courier New" w:hAnsi="Courier New"/>
      </w:rPr>
    </w:lvl>
    <w:lvl w:ilvl="5" w:tplc="73B46316">
      <w:start w:val="1"/>
      <w:numFmt w:val="bullet"/>
      <w:lvlText w:val=""/>
      <w:lvlJc w:val="left"/>
      <w:pPr>
        <w:ind w:left="4320" w:hanging="360"/>
      </w:pPr>
      <w:rPr>
        <w:rFonts w:hint="default" w:ascii="Wingdings" w:hAnsi="Wingdings"/>
      </w:rPr>
    </w:lvl>
    <w:lvl w:ilvl="6" w:tplc="D8E2E25A">
      <w:start w:val="1"/>
      <w:numFmt w:val="bullet"/>
      <w:lvlText w:val=""/>
      <w:lvlJc w:val="left"/>
      <w:pPr>
        <w:ind w:left="5040" w:hanging="360"/>
      </w:pPr>
      <w:rPr>
        <w:rFonts w:hint="default" w:ascii="Symbol" w:hAnsi="Symbol"/>
      </w:rPr>
    </w:lvl>
    <w:lvl w:ilvl="7" w:tplc="5C5A4B8E">
      <w:start w:val="1"/>
      <w:numFmt w:val="bullet"/>
      <w:lvlText w:val="o"/>
      <w:lvlJc w:val="left"/>
      <w:pPr>
        <w:ind w:left="5760" w:hanging="360"/>
      </w:pPr>
      <w:rPr>
        <w:rFonts w:hint="default" w:ascii="Courier New" w:hAnsi="Courier New"/>
      </w:rPr>
    </w:lvl>
    <w:lvl w:ilvl="8" w:tplc="F1CA9D64">
      <w:start w:val="1"/>
      <w:numFmt w:val="bullet"/>
      <w:lvlText w:val=""/>
      <w:lvlJc w:val="left"/>
      <w:pPr>
        <w:ind w:left="6480" w:hanging="360"/>
      </w:pPr>
      <w:rPr>
        <w:rFonts w:hint="default" w:ascii="Wingdings" w:hAnsi="Wingdings"/>
      </w:rPr>
    </w:lvl>
  </w:abstractNum>
  <w:abstractNum w:abstractNumId="1" w15:restartNumberingAfterBreak="0">
    <w:nsid w:val="1CA1E448"/>
    <w:multiLevelType w:val="hybridMultilevel"/>
    <w:tmpl w:val="362C99DC"/>
    <w:lvl w:ilvl="0" w:tplc="1690021A">
      <w:start w:val="1"/>
      <w:numFmt w:val="bullet"/>
      <w:lvlText w:val="·"/>
      <w:lvlJc w:val="left"/>
      <w:pPr>
        <w:ind w:left="720" w:hanging="360"/>
      </w:pPr>
      <w:rPr>
        <w:rFonts w:hint="default" w:ascii="Symbol" w:hAnsi="Symbol"/>
      </w:rPr>
    </w:lvl>
    <w:lvl w:ilvl="1" w:tplc="220C8428">
      <w:start w:val="1"/>
      <w:numFmt w:val="bullet"/>
      <w:lvlText w:val="o"/>
      <w:lvlJc w:val="left"/>
      <w:pPr>
        <w:ind w:left="1440" w:hanging="360"/>
      </w:pPr>
      <w:rPr>
        <w:rFonts w:hint="default" w:ascii="Courier New" w:hAnsi="Courier New"/>
      </w:rPr>
    </w:lvl>
    <w:lvl w:ilvl="2" w:tplc="8A58C5A0">
      <w:start w:val="1"/>
      <w:numFmt w:val="bullet"/>
      <w:lvlText w:val=""/>
      <w:lvlJc w:val="left"/>
      <w:pPr>
        <w:ind w:left="2160" w:hanging="360"/>
      </w:pPr>
      <w:rPr>
        <w:rFonts w:hint="default" w:ascii="Wingdings" w:hAnsi="Wingdings"/>
      </w:rPr>
    </w:lvl>
    <w:lvl w:ilvl="3" w:tplc="48CE7BE8">
      <w:start w:val="1"/>
      <w:numFmt w:val="bullet"/>
      <w:lvlText w:val=""/>
      <w:lvlJc w:val="left"/>
      <w:pPr>
        <w:ind w:left="2880" w:hanging="360"/>
      </w:pPr>
      <w:rPr>
        <w:rFonts w:hint="default" w:ascii="Symbol" w:hAnsi="Symbol"/>
      </w:rPr>
    </w:lvl>
    <w:lvl w:ilvl="4" w:tplc="E4B82D3A">
      <w:start w:val="1"/>
      <w:numFmt w:val="bullet"/>
      <w:lvlText w:val="o"/>
      <w:lvlJc w:val="left"/>
      <w:pPr>
        <w:ind w:left="3600" w:hanging="360"/>
      </w:pPr>
      <w:rPr>
        <w:rFonts w:hint="default" w:ascii="Courier New" w:hAnsi="Courier New"/>
      </w:rPr>
    </w:lvl>
    <w:lvl w:ilvl="5" w:tplc="748C8524">
      <w:start w:val="1"/>
      <w:numFmt w:val="bullet"/>
      <w:lvlText w:val=""/>
      <w:lvlJc w:val="left"/>
      <w:pPr>
        <w:ind w:left="4320" w:hanging="360"/>
      </w:pPr>
      <w:rPr>
        <w:rFonts w:hint="default" w:ascii="Wingdings" w:hAnsi="Wingdings"/>
      </w:rPr>
    </w:lvl>
    <w:lvl w:ilvl="6" w:tplc="5BE8309C">
      <w:start w:val="1"/>
      <w:numFmt w:val="bullet"/>
      <w:lvlText w:val=""/>
      <w:lvlJc w:val="left"/>
      <w:pPr>
        <w:ind w:left="5040" w:hanging="360"/>
      </w:pPr>
      <w:rPr>
        <w:rFonts w:hint="default" w:ascii="Symbol" w:hAnsi="Symbol"/>
      </w:rPr>
    </w:lvl>
    <w:lvl w:ilvl="7" w:tplc="55202FA8">
      <w:start w:val="1"/>
      <w:numFmt w:val="bullet"/>
      <w:lvlText w:val="o"/>
      <w:lvlJc w:val="left"/>
      <w:pPr>
        <w:ind w:left="5760" w:hanging="360"/>
      </w:pPr>
      <w:rPr>
        <w:rFonts w:hint="default" w:ascii="Courier New" w:hAnsi="Courier New"/>
      </w:rPr>
    </w:lvl>
    <w:lvl w:ilvl="8" w:tplc="92EAAE46">
      <w:start w:val="1"/>
      <w:numFmt w:val="bullet"/>
      <w:lvlText w:val=""/>
      <w:lvlJc w:val="left"/>
      <w:pPr>
        <w:ind w:left="6480" w:hanging="360"/>
      </w:pPr>
      <w:rPr>
        <w:rFonts w:hint="default" w:ascii="Wingdings" w:hAnsi="Wingdings"/>
      </w:rPr>
    </w:lvl>
  </w:abstractNum>
  <w:abstractNum w:abstractNumId="2" w15:restartNumberingAfterBreak="0">
    <w:nsid w:val="31BE6687"/>
    <w:multiLevelType w:val="hybridMultilevel"/>
    <w:tmpl w:val="198ED69E"/>
    <w:lvl w:ilvl="0" w:tplc="04EE6594">
      <w:start w:val="1"/>
      <w:numFmt w:val="bullet"/>
      <w:lvlText w:val="·"/>
      <w:lvlJc w:val="left"/>
      <w:pPr>
        <w:ind w:left="720" w:hanging="360"/>
      </w:pPr>
      <w:rPr>
        <w:rFonts w:hint="default" w:ascii="Symbol" w:hAnsi="Symbol"/>
      </w:rPr>
    </w:lvl>
    <w:lvl w:ilvl="1" w:tplc="60A87812">
      <w:start w:val="1"/>
      <w:numFmt w:val="bullet"/>
      <w:lvlText w:val="o"/>
      <w:lvlJc w:val="left"/>
      <w:pPr>
        <w:ind w:left="1440" w:hanging="360"/>
      </w:pPr>
      <w:rPr>
        <w:rFonts w:hint="default" w:ascii="Courier New" w:hAnsi="Courier New"/>
      </w:rPr>
    </w:lvl>
    <w:lvl w:ilvl="2" w:tplc="E102B108">
      <w:start w:val="1"/>
      <w:numFmt w:val="bullet"/>
      <w:lvlText w:val=""/>
      <w:lvlJc w:val="left"/>
      <w:pPr>
        <w:ind w:left="2160" w:hanging="360"/>
      </w:pPr>
      <w:rPr>
        <w:rFonts w:hint="default" w:ascii="Wingdings" w:hAnsi="Wingdings"/>
      </w:rPr>
    </w:lvl>
    <w:lvl w:ilvl="3" w:tplc="227C552C">
      <w:start w:val="1"/>
      <w:numFmt w:val="bullet"/>
      <w:lvlText w:val=""/>
      <w:lvlJc w:val="left"/>
      <w:pPr>
        <w:ind w:left="2880" w:hanging="360"/>
      </w:pPr>
      <w:rPr>
        <w:rFonts w:hint="default" w:ascii="Symbol" w:hAnsi="Symbol"/>
      </w:rPr>
    </w:lvl>
    <w:lvl w:ilvl="4" w:tplc="0284EB48">
      <w:start w:val="1"/>
      <w:numFmt w:val="bullet"/>
      <w:lvlText w:val="o"/>
      <w:lvlJc w:val="left"/>
      <w:pPr>
        <w:ind w:left="3600" w:hanging="360"/>
      </w:pPr>
      <w:rPr>
        <w:rFonts w:hint="default" w:ascii="Courier New" w:hAnsi="Courier New"/>
      </w:rPr>
    </w:lvl>
    <w:lvl w:ilvl="5" w:tplc="C37ABF70">
      <w:start w:val="1"/>
      <w:numFmt w:val="bullet"/>
      <w:lvlText w:val=""/>
      <w:lvlJc w:val="left"/>
      <w:pPr>
        <w:ind w:left="4320" w:hanging="360"/>
      </w:pPr>
      <w:rPr>
        <w:rFonts w:hint="default" w:ascii="Wingdings" w:hAnsi="Wingdings"/>
      </w:rPr>
    </w:lvl>
    <w:lvl w:ilvl="6" w:tplc="E49CEA62">
      <w:start w:val="1"/>
      <w:numFmt w:val="bullet"/>
      <w:lvlText w:val=""/>
      <w:lvlJc w:val="left"/>
      <w:pPr>
        <w:ind w:left="5040" w:hanging="360"/>
      </w:pPr>
      <w:rPr>
        <w:rFonts w:hint="default" w:ascii="Symbol" w:hAnsi="Symbol"/>
      </w:rPr>
    </w:lvl>
    <w:lvl w:ilvl="7" w:tplc="4D669838">
      <w:start w:val="1"/>
      <w:numFmt w:val="bullet"/>
      <w:lvlText w:val="o"/>
      <w:lvlJc w:val="left"/>
      <w:pPr>
        <w:ind w:left="5760" w:hanging="360"/>
      </w:pPr>
      <w:rPr>
        <w:rFonts w:hint="default" w:ascii="Courier New" w:hAnsi="Courier New"/>
      </w:rPr>
    </w:lvl>
    <w:lvl w:ilvl="8" w:tplc="014E6F76">
      <w:start w:val="1"/>
      <w:numFmt w:val="bullet"/>
      <w:lvlText w:val=""/>
      <w:lvlJc w:val="left"/>
      <w:pPr>
        <w:ind w:left="6480" w:hanging="360"/>
      </w:pPr>
      <w:rPr>
        <w:rFonts w:hint="default" w:ascii="Wingdings" w:hAnsi="Wingdings"/>
      </w:rPr>
    </w:lvl>
  </w:abstractNum>
  <w:abstractNum w:abstractNumId="3" w15:restartNumberingAfterBreak="0">
    <w:nsid w:val="37649C04"/>
    <w:multiLevelType w:val="hybridMultilevel"/>
    <w:tmpl w:val="653C3650"/>
    <w:lvl w:ilvl="0" w:tplc="0700E20C">
      <w:start w:val="1"/>
      <w:numFmt w:val="bullet"/>
      <w:lvlText w:val="·"/>
      <w:lvlJc w:val="left"/>
      <w:pPr>
        <w:ind w:left="720" w:hanging="360"/>
      </w:pPr>
      <w:rPr>
        <w:rFonts w:hint="default" w:ascii="Symbol" w:hAnsi="Symbol"/>
      </w:rPr>
    </w:lvl>
    <w:lvl w:ilvl="1" w:tplc="A59E3E60">
      <w:start w:val="1"/>
      <w:numFmt w:val="bullet"/>
      <w:lvlText w:val="o"/>
      <w:lvlJc w:val="left"/>
      <w:pPr>
        <w:ind w:left="1440" w:hanging="360"/>
      </w:pPr>
      <w:rPr>
        <w:rFonts w:hint="default" w:ascii="Courier New" w:hAnsi="Courier New"/>
      </w:rPr>
    </w:lvl>
    <w:lvl w:ilvl="2" w:tplc="77C8B0D6">
      <w:start w:val="1"/>
      <w:numFmt w:val="bullet"/>
      <w:lvlText w:val=""/>
      <w:lvlJc w:val="left"/>
      <w:pPr>
        <w:ind w:left="2160" w:hanging="360"/>
      </w:pPr>
      <w:rPr>
        <w:rFonts w:hint="default" w:ascii="Wingdings" w:hAnsi="Wingdings"/>
      </w:rPr>
    </w:lvl>
    <w:lvl w:ilvl="3" w:tplc="97BEDE84">
      <w:start w:val="1"/>
      <w:numFmt w:val="bullet"/>
      <w:lvlText w:val=""/>
      <w:lvlJc w:val="left"/>
      <w:pPr>
        <w:ind w:left="2880" w:hanging="360"/>
      </w:pPr>
      <w:rPr>
        <w:rFonts w:hint="default" w:ascii="Symbol" w:hAnsi="Symbol"/>
      </w:rPr>
    </w:lvl>
    <w:lvl w:ilvl="4" w:tplc="16E4781A">
      <w:start w:val="1"/>
      <w:numFmt w:val="bullet"/>
      <w:lvlText w:val="o"/>
      <w:lvlJc w:val="left"/>
      <w:pPr>
        <w:ind w:left="3600" w:hanging="360"/>
      </w:pPr>
      <w:rPr>
        <w:rFonts w:hint="default" w:ascii="Courier New" w:hAnsi="Courier New"/>
      </w:rPr>
    </w:lvl>
    <w:lvl w:ilvl="5" w:tplc="EE62B292">
      <w:start w:val="1"/>
      <w:numFmt w:val="bullet"/>
      <w:lvlText w:val=""/>
      <w:lvlJc w:val="left"/>
      <w:pPr>
        <w:ind w:left="4320" w:hanging="360"/>
      </w:pPr>
      <w:rPr>
        <w:rFonts w:hint="default" w:ascii="Wingdings" w:hAnsi="Wingdings"/>
      </w:rPr>
    </w:lvl>
    <w:lvl w:ilvl="6" w:tplc="FF8083C0">
      <w:start w:val="1"/>
      <w:numFmt w:val="bullet"/>
      <w:lvlText w:val=""/>
      <w:lvlJc w:val="left"/>
      <w:pPr>
        <w:ind w:left="5040" w:hanging="360"/>
      </w:pPr>
      <w:rPr>
        <w:rFonts w:hint="default" w:ascii="Symbol" w:hAnsi="Symbol"/>
      </w:rPr>
    </w:lvl>
    <w:lvl w:ilvl="7" w:tplc="ED046882">
      <w:start w:val="1"/>
      <w:numFmt w:val="bullet"/>
      <w:lvlText w:val="o"/>
      <w:lvlJc w:val="left"/>
      <w:pPr>
        <w:ind w:left="5760" w:hanging="360"/>
      </w:pPr>
      <w:rPr>
        <w:rFonts w:hint="default" w:ascii="Courier New" w:hAnsi="Courier New"/>
      </w:rPr>
    </w:lvl>
    <w:lvl w:ilvl="8" w:tplc="C7C4366C">
      <w:start w:val="1"/>
      <w:numFmt w:val="bullet"/>
      <w:lvlText w:val=""/>
      <w:lvlJc w:val="left"/>
      <w:pPr>
        <w:ind w:left="6480" w:hanging="360"/>
      </w:pPr>
      <w:rPr>
        <w:rFonts w:hint="default" w:ascii="Wingdings" w:hAnsi="Wingdings"/>
      </w:rPr>
    </w:lvl>
  </w:abstractNum>
  <w:abstractNum w:abstractNumId="4" w15:restartNumberingAfterBreak="0">
    <w:nsid w:val="3D42C408"/>
    <w:multiLevelType w:val="hybridMultilevel"/>
    <w:tmpl w:val="32ECEE44"/>
    <w:lvl w:ilvl="0" w:tplc="453A2D66">
      <w:start w:val="1"/>
      <w:numFmt w:val="bullet"/>
      <w:lvlText w:val="·"/>
      <w:lvlJc w:val="left"/>
      <w:pPr>
        <w:ind w:left="720" w:hanging="360"/>
      </w:pPr>
      <w:rPr>
        <w:rFonts w:hint="default" w:ascii="Symbol" w:hAnsi="Symbol"/>
      </w:rPr>
    </w:lvl>
    <w:lvl w:ilvl="1" w:tplc="12A48106">
      <w:start w:val="1"/>
      <w:numFmt w:val="bullet"/>
      <w:lvlText w:val="o"/>
      <w:lvlJc w:val="left"/>
      <w:pPr>
        <w:ind w:left="1440" w:hanging="360"/>
      </w:pPr>
      <w:rPr>
        <w:rFonts w:hint="default" w:ascii="Courier New" w:hAnsi="Courier New"/>
      </w:rPr>
    </w:lvl>
    <w:lvl w:ilvl="2" w:tplc="3F9EF4D0">
      <w:start w:val="1"/>
      <w:numFmt w:val="bullet"/>
      <w:lvlText w:val=""/>
      <w:lvlJc w:val="left"/>
      <w:pPr>
        <w:ind w:left="2160" w:hanging="360"/>
      </w:pPr>
      <w:rPr>
        <w:rFonts w:hint="default" w:ascii="Wingdings" w:hAnsi="Wingdings"/>
      </w:rPr>
    </w:lvl>
    <w:lvl w:ilvl="3" w:tplc="6A2C8212">
      <w:start w:val="1"/>
      <w:numFmt w:val="bullet"/>
      <w:lvlText w:val=""/>
      <w:lvlJc w:val="left"/>
      <w:pPr>
        <w:ind w:left="2880" w:hanging="360"/>
      </w:pPr>
      <w:rPr>
        <w:rFonts w:hint="default" w:ascii="Symbol" w:hAnsi="Symbol"/>
      </w:rPr>
    </w:lvl>
    <w:lvl w:ilvl="4" w:tplc="7D7C8C76">
      <w:start w:val="1"/>
      <w:numFmt w:val="bullet"/>
      <w:lvlText w:val="o"/>
      <w:lvlJc w:val="left"/>
      <w:pPr>
        <w:ind w:left="3600" w:hanging="360"/>
      </w:pPr>
      <w:rPr>
        <w:rFonts w:hint="default" w:ascii="Courier New" w:hAnsi="Courier New"/>
      </w:rPr>
    </w:lvl>
    <w:lvl w:ilvl="5" w:tplc="044C4332">
      <w:start w:val="1"/>
      <w:numFmt w:val="bullet"/>
      <w:lvlText w:val=""/>
      <w:lvlJc w:val="left"/>
      <w:pPr>
        <w:ind w:left="4320" w:hanging="360"/>
      </w:pPr>
      <w:rPr>
        <w:rFonts w:hint="default" w:ascii="Wingdings" w:hAnsi="Wingdings"/>
      </w:rPr>
    </w:lvl>
    <w:lvl w:ilvl="6" w:tplc="3DAC3DC0">
      <w:start w:val="1"/>
      <w:numFmt w:val="bullet"/>
      <w:lvlText w:val=""/>
      <w:lvlJc w:val="left"/>
      <w:pPr>
        <w:ind w:left="5040" w:hanging="360"/>
      </w:pPr>
      <w:rPr>
        <w:rFonts w:hint="default" w:ascii="Symbol" w:hAnsi="Symbol"/>
      </w:rPr>
    </w:lvl>
    <w:lvl w:ilvl="7" w:tplc="57A8650A">
      <w:start w:val="1"/>
      <w:numFmt w:val="bullet"/>
      <w:lvlText w:val="o"/>
      <w:lvlJc w:val="left"/>
      <w:pPr>
        <w:ind w:left="5760" w:hanging="360"/>
      </w:pPr>
      <w:rPr>
        <w:rFonts w:hint="default" w:ascii="Courier New" w:hAnsi="Courier New"/>
      </w:rPr>
    </w:lvl>
    <w:lvl w:ilvl="8" w:tplc="98A0A5FE">
      <w:start w:val="1"/>
      <w:numFmt w:val="bullet"/>
      <w:lvlText w:val=""/>
      <w:lvlJc w:val="left"/>
      <w:pPr>
        <w:ind w:left="6480" w:hanging="360"/>
      </w:pPr>
      <w:rPr>
        <w:rFonts w:hint="default" w:ascii="Wingdings" w:hAnsi="Wingdings"/>
      </w:rPr>
    </w:lvl>
  </w:abstractNum>
  <w:abstractNum w:abstractNumId="5" w15:restartNumberingAfterBreak="0">
    <w:nsid w:val="4F8A645A"/>
    <w:multiLevelType w:val="hybridMultilevel"/>
    <w:tmpl w:val="693CBFF4"/>
    <w:lvl w:ilvl="0" w:tplc="A78086DC">
      <w:start w:val="1"/>
      <w:numFmt w:val="bullet"/>
      <w:lvlText w:val="·"/>
      <w:lvlJc w:val="left"/>
      <w:pPr>
        <w:ind w:left="720" w:hanging="360"/>
      </w:pPr>
      <w:rPr>
        <w:rFonts w:hint="default" w:ascii="Symbol" w:hAnsi="Symbol"/>
      </w:rPr>
    </w:lvl>
    <w:lvl w:ilvl="1" w:tplc="2F24D856">
      <w:start w:val="1"/>
      <w:numFmt w:val="bullet"/>
      <w:lvlText w:val="o"/>
      <w:lvlJc w:val="left"/>
      <w:pPr>
        <w:ind w:left="1440" w:hanging="360"/>
      </w:pPr>
      <w:rPr>
        <w:rFonts w:hint="default" w:ascii="Courier New" w:hAnsi="Courier New"/>
      </w:rPr>
    </w:lvl>
    <w:lvl w:ilvl="2" w:tplc="E1EA6084">
      <w:start w:val="1"/>
      <w:numFmt w:val="bullet"/>
      <w:lvlText w:val=""/>
      <w:lvlJc w:val="left"/>
      <w:pPr>
        <w:ind w:left="2160" w:hanging="360"/>
      </w:pPr>
      <w:rPr>
        <w:rFonts w:hint="default" w:ascii="Wingdings" w:hAnsi="Wingdings"/>
      </w:rPr>
    </w:lvl>
    <w:lvl w:ilvl="3" w:tplc="453695F2">
      <w:start w:val="1"/>
      <w:numFmt w:val="bullet"/>
      <w:lvlText w:val=""/>
      <w:lvlJc w:val="left"/>
      <w:pPr>
        <w:ind w:left="2880" w:hanging="360"/>
      </w:pPr>
      <w:rPr>
        <w:rFonts w:hint="default" w:ascii="Symbol" w:hAnsi="Symbol"/>
      </w:rPr>
    </w:lvl>
    <w:lvl w:ilvl="4" w:tplc="00EA8AFA">
      <w:start w:val="1"/>
      <w:numFmt w:val="bullet"/>
      <w:lvlText w:val="o"/>
      <w:lvlJc w:val="left"/>
      <w:pPr>
        <w:ind w:left="3600" w:hanging="360"/>
      </w:pPr>
      <w:rPr>
        <w:rFonts w:hint="default" w:ascii="Courier New" w:hAnsi="Courier New"/>
      </w:rPr>
    </w:lvl>
    <w:lvl w:ilvl="5" w:tplc="0308873E">
      <w:start w:val="1"/>
      <w:numFmt w:val="bullet"/>
      <w:lvlText w:val=""/>
      <w:lvlJc w:val="left"/>
      <w:pPr>
        <w:ind w:left="4320" w:hanging="360"/>
      </w:pPr>
      <w:rPr>
        <w:rFonts w:hint="default" w:ascii="Wingdings" w:hAnsi="Wingdings"/>
      </w:rPr>
    </w:lvl>
    <w:lvl w:ilvl="6" w:tplc="BA1EAA5C">
      <w:start w:val="1"/>
      <w:numFmt w:val="bullet"/>
      <w:lvlText w:val=""/>
      <w:lvlJc w:val="left"/>
      <w:pPr>
        <w:ind w:left="5040" w:hanging="360"/>
      </w:pPr>
      <w:rPr>
        <w:rFonts w:hint="default" w:ascii="Symbol" w:hAnsi="Symbol"/>
      </w:rPr>
    </w:lvl>
    <w:lvl w:ilvl="7" w:tplc="400C9D3A">
      <w:start w:val="1"/>
      <w:numFmt w:val="bullet"/>
      <w:lvlText w:val="o"/>
      <w:lvlJc w:val="left"/>
      <w:pPr>
        <w:ind w:left="5760" w:hanging="360"/>
      </w:pPr>
      <w:rPr>
        <w:rFonts w:hint="default" w:ascii="Courier New" w:hAnsi="Courier New"/>
      </w:rPr>
    </w:lvl>
    <w:lvl w:ilvl="8" w:tplc="2F9AA5B8">
      <w:start w:val="1"/>
      <w:numFmt w:val="bullet"/>
      <w:lvlText w:val=""/>
      <w:lvlJc w:val="left"/>
      <w:pPr>
        <w:ind w:left="6480" w:hanging="360"/>
      </w:pPr>
      <w:rPr>
        <w:rFonts w:hint="default" w:ascii="Wingdings" w:hAnsi="Wingdings"/>
      </w:rPr>
    </w:lvl>
  </w:abstractNum>
  <w:abstractNum w:abstractNumId="6" w15:restartNumberingAfterBreak="0">
    <w:nsid w:val="6190155A"/>
    <w:multiLevelType w:val="hybridMultilevel"/>
    <w:tmpl w:val="5D7E0394"/>
    <w:lvl w:ilvl="0" w:tplc="BA584014">
      <w:start w:val="1"/>
      <w:numFmt w:val="bullet"/>
      <w:lvlText w:val="·"/>
      <w:lvlJc w:val="left"/>
      <w:pPr>
        <w:ind w:left="720" w:hanging="360"/>
      </w:pPr>
      <w:rPr>
        <w:rFonts w:hint="default" w:ascii="Symbol" w:hAnsi="Symbol"/>
      </w:rPr>
    </w:lvl>
    <w:lvl w:ilvl="1" w:tplc="C4765650">
      <w:start w:val="1"/>
      <w:numFmt w:val="bullet"/>
      <w:lvlText w:val="o"/>
      <w:lvlJc w:val="left"/>
      <w:pPr>
        <w:ind w:left="1440" w:hanging="360"/>
      </w:pPr>
      <w:rPr>
        <w:rFonts w:hint="default" w:ascii="Courier New" w:hAnsi="Courier New"/>
      </w:rPr>
    </w:lvl>
    <w:lvl w:ilvl="2" w:tplc="8E6AE382">
      <w:start w:val="1"/>
      <w:numFmt w:val="bullet"/>
      <w:lvlText w:val=""/>
      <w:lvlJc w:val="left"/>
      <w:pPr>
        <w:ind w:left="2160" w:hanging="360"/>
      </w:pPr>
      <w:rPr>
        <w:rFonts w:hint="default" w:ascii="Wingdings" w:hAnsi="Wingdings"/>
      </w:rPr>
    </w:lvl>
    <w:lvl w:ilvl="3" w:tplc="8230E4D2">
      <w:start w:val="1"/>
      <w:numFmt w:val="bullet"/>
      <w:lvlText w:val=""/>
      <w:lvlJc w:val="left"/>
      <w:pPr>
        <w:ind w:left="2880" w:hanging="360"/>
      </w:pPr>
      <w:rPr>
        <w:rFonts w:hint="default" w:ascii="Symbol" w:hAnsi="Symbol"/>
      </w:rPr>
    </w:lvl>
    <w:lvl w:ilvl="4" w:tplc="E82A4066">
      <w:start w:val="1"/>
      <w:numFmt w:val="bullet"/>
      <w:lvlText w:val="o"/>
      <w:lvlJc w:val="left"/>
      <w:pPr>
        <w:ind w:left="3600" w:hanging="360"/>
      </w:pPr>
      <w:rPr>
        <w:rFonts w:hint="default" w:ascii="Courier New" w:hAnsi="Courier New"/>
      </w:rPr>
    </w:lvl>
    <w:lvl w:ilvl="5" w:tplc="E702F23A">
      <w:start w:val="1"/>
      <w:numFmt w:val="bullet"/>
      <w:lvlText w:val=""/>
      <w:lvlJc w:val="left"/>
      <w:pPr>
        <w:ind w:left="4320" w:hanging="360"/>
      </w:pPr>
      <w:rPr>
        <w:rFonts w:hint="default" w:ascii="Wingdings" w:hAnsi="Wingdings"/>
      </w:rPr>
    </w:lvl>
    <w:lvl w:ilvl="6" w:tplc="5DBC8260">
      <w:start w:val="1"/>
      <w:numFmt w:val="bullet"/>
      <w:lvlText w:val=""/>
      <w:lvlJc w:val="left"/>
      <w:pPr>
        <w:ind w:left="5040" w:hanging="360"/>
      </w:pPr>
      <w:rPr>
        <w:rFonts w:hint="default" w:ascii="Symbol" w:hAnsi="Symbol"/>
      </w:rPr>
    </w:lvl>
    <w:lvl w:ilvl="7" w:tplc="FD1250FC">
      <w:start w:val="1"/>
      <w:numFmt w:val="bullet"/>
      <w:lvlText w:val="o"/>
      <w:lvlJc w:val="left"/>
      <w:pPr>
        <w:ind w:left="5760" w:hanging="360"/>
      </w:pPr>
      <w:rPr>
        <w:rFonts w:hint="default" w:ascii="Courier New" w:hAnsi="Courier New"/>
      </w:rPr>
    </w:lvl>
    <w:lvl w:ilvl="8" w:tplc="6680C334">
      <w:start w:val="1"/>
      <w:numFmt w:val="bullet"/>
      <w:lvlText w:val=""/>
      <w:lvlJc w:val="left"/>
      <w:pPr>
        <w:ind w:left="6480" w:hanging="360"/>
      </w:pPr>
      <w:rPr>
        <w:rFonts w:hint="default" w:ascii="Wingdings" w:hAnsi="Wingdings"/>
      </w:rPr>
    </w:lvl>
  </w:abstractNum>
  <w:abstractNum w:abstractNumId="7" w15:restartNumberingAfterBreak="0">
    <w:nsid w:val="633FB4B8"/>
    <w:multiLevelType w:val="hybridMultilevel"/>
    <w:tmpl w:val="2F54083E"/>
    <w:lvl w:ilvl="0" w:tplc="97868FD0">
      <w:start w:val="1"/>
      <w:numFmt w:val="bullet"/>
      <w:lvlText w:val="·"/>
      <w:lvlJc w:val="left"/>
      <w:pPr>
        <w:ind w:left="720" w:hanging="360"/>
      </w:pPr>
      <w:rPr>
        <w:rFonts w:hint="default" w:ascii="Symbol" w:hAnsi="Symbol"/>
      </w:rPr>
    </w:lvl>
    <w:lvl w:ilvl="1" w:tplc="8A928162">
      <w:start w:val="1"/>
      <w:numFmt w:val="bullet"/>
      <w:lvlText w:val="o"/>
      <w:lvlJc w:val="left"/>
      <w:pPr>
        <w:ind w:left="1440" w:hanging="360"/>
      </w:pPr>
      <w:rPr>
        <w:rFonts w:hint="default" w:ascii="Courier New" w:hAnsi="Courier New"/>
      </w:rPr>
    </w:lvl>
    <w:lvl w:ilvl="2" w:tplc="0F0A31B4">
      <w:start w:val="1"/>
      <w:numFmt w:val="bullet"/>
      <w:lvlText w:val=""/>
      <w:lvlJc w:val="left"/>
      <w:pPr>
        <w:ind w:left="2160" w:hanging="360"/>
      </w:pPr>
      <w:rPr>
        <w:rFonts w:hint="default" w:ascii="Wingdings" w:hAnsi="Wingdings"/>
      </w:rPr>
    </w:lvl>
    <w:lvl w:ilvl="3" w:tplc="3C9CADC8">
      <w:start w:val="1"/>
      <w:numFmt w:val="bullet"/>
      <w:lvlText w:val=""/>
      <w:lvlJc w:val="left"/>
      <w:pPr>
        <w:ind w:left="2880" w:hanging="360"/>
      </w:pPr>
      <w:rPr>
        <w:rFonts w:hint="default" w:ascii="Symbol" w:hAnsi="Symbol"/>
      </w:rPr>
    </w:lvl>
    <w:lvl w:ilvl="4" w:tplc="7F3208C0">
      <w:start w:val="1"/>
      <w:numFmt w:val="bullet"/>
      <w:lvlText w:val="o"/>
      <w:lvlJc w:val="left"/>
      <w:pPr>
        <w:ind w:left="3600" w:hanging="360"/>
      </w:pPr>
      <w:rPr>
        <w:rFonts w:hint="default" w:ascii="Courier New" w:hAnsi="Courier New"/>
      </w:rPr>
    </w:lvl>
    <w:lvl w:ilvl="5" w:tplc="EC2627FE">
      <w:start w:val="1"/>
      <w:numFmt w:val="bullet"/>
      <w:lvlText w:val=""/>
      <w:lvlJc w:val="left"/>
      <w:pPr>
        <w:ind w:left="4320" w:hanging="360"/>
      </w:pPr>
      <w:rPr>
        <w:rFonts w:hint="default" w:ascii="Wingdings" w:hAnsi="Wingdings"/>
      </w:rPr>
    </w:lvl>
    <w:lvl w:ilvl="6" w:tplc="BED0B1F2">
      <w:start w:val="1"/>
      <w:numFmt w:val="bullet"/>
      <w:lvlText w:val=""/>
      <w:lvlJc w:val="left"/>
      <w:pPr>
        <w:ind w:left="5040" w:hanging="360"/>
      </w:pPr>
      <w:rPr>
        <w:rFonts w:hint="default" w:ascii="Symbol" w:hAnsi="Symbol"/>
      </w:rPr>
    </w:lvl>
    <w:lvl w:ilvl="7" w:tplc="0A3C1FB8">
      <w:start w:val="1"/>
      <w:numFmt w:val="bullet"/>
      <w:lvlText w:val="o"/>
      <w:lvlJc w:val="left"/>
      <w:pPr>
        <w:ind w:left="5760" w:hanging="360"/>
      </w:pPr>
      <w:rPr>
        <w:rFonts w:hint="default" w:ascii="Courier New" w:hAnsi="Courier New"/>
      </w:rPr>
    </w:lvl>
    <w:lvl w:ilvl="8" w:tplc="1E3E9838">
      <w:start w:val="1"/>
      <w:numFmt w:val="bullet"/>
      <w:lvlText w:val=""/>
      <w:lvlJc w:val="left"/>
      <w:pPr>
        <w:ind w:left="6480" w:hanging="360"/>
      </w:pPr>
      <w:rPr>
        <w:rFonts w:hint="default" w:ascii="Wingdings" w:hAnsi="Wingdings"/>
      </w:rPr>
    </w:lvl>
  </w:abstractNum>
  <w:abstractNum w:abstractNumId="8" w15:restartNumberingAfterBreak="0">
    <w:nsid w:val="6A4FF4C3"/>
    <w:multiLevelType w:val="hybridMultilevel"/>
    <w:tmpl w:val="2F486A98"/>
    <w:lvl w:ilvl="0" w:tplc="C5F2744C">
      <w:start w:val="1"/>
      <w:numFmt w:val="bullet"/>
      <w:lvlText w:val="·"/>
      <w:lvlJc w:val="left"/>
      <w:pPr>
        <w:ind w:left="720" w:hanging="360"/>
      </w:pPr>
      <w:rPr>
        <w:rFonts w:hint="default" w:ascii="Symbol" w:hAnsi="Symbol"/>
      </w:rPr>
    </w:lvl>
    <w:lvl w:ilvl="1" w:tplc="13C6D59A">
      <w:start w:val="1"/>
      <w:numFmt w:val="bullet"/>
      <w:lvlText w:val="o"/>
      <w:lvlJc w:val="left"/>
      <w:pPr>
        <w:ind w:left="1440" w:hanging="360"/>
      </w:pPr>
      <w:rPr>
        <w:rFonts w:hint="default" w:ascii="Courier New" w:hAnsi="Courier New"/>
      </w:rPr>
    </w:lvl>
    <w:lvl w:ilvl="2" w:tplc="15BAF6D8">
      <w:start w:val="1"/>
      <w:numFmt w:val="bullet"/>
      <w:lvlText w:val=""/>
      <w:lvlJc w:val="left"/>
      <w:pPr>
        <w:ind w:left="2160" w:hanging="360"/>
      </w:pPr>
      <w:rPr>
        <w:rFonts w:hint="default" w:ascii="Wingdings" w:hAnsi="Wingdings"/>
      </w:rPr>
    </w:lvl>
    <w:lvl w:ilvl="3" w:tplc="45485858">
      <w:start w:val="1"/>
      <w:numFmt w:val="bullet"/>
      <w:lvlText w:val=""/>
      <w:lvlJc w:val="left"/>
      <w:pPr>
        <w:ind w:left="2880" w:hanging="360"/>
      </w:pPr>
      <w:rPr>
        <w:rFonts w:hint="default" w:ascii="Symbol" w:hAnsi="Symbol"/>
      </w:rPr>
    </w:lvl>
    <w:lvl w:ilvl="4" w:tplc="ACD85E00">
      <w:start w:val="1"/>
      <w:numFmt w:val="bullet"/>
      <w:lvlText w:val="o"/>
      <w:lvlJc w:val="left"/>
      <w:pPr>
        <w:ind w:left="3600" w:hanging="360"/>
      </w:pPr>
      <w:rPr>
        <w:rFonts w:hint="default" w:ascii="Courier New" w:hAnsi="Courier New"/>
      </w:rPr>
    </w:lvl>
    <w:lvl w:ilvl="5" w:tplc="BEB2268C">
      <w:start w:val="1"/>
      <w:numFmt w:val="bullet"/>
      <w:lvlText w:val=""/>
      <w:lvlJc w:val="left"/>
      <w:pPr>
        <w:ind w:left="4320" w:hanging="360"/>
      </w:pPr>
      <w:rPr>
        <w:rFonts w:hint="default" w:ascii="Wingdings" w:hAnsi="Wingdings"/>
      </w:rPr>
    </w:lvl>
    <w:lvl w:ilvl="6" w:tplc="282A5738">
      <w:start w:val="1"/>
      <w:numFmt w:val="bullet"/>
      <w:lvlText w:val=""/>
      <w:lvlJc w:val="left"/>
      <w:pPr>
        <w:ind w:left="5040" w:hanging="360"/>
      </w:pPr>
      <w:rPr>
        <w:rFonts w:hint="default" w:ascii="Symbol" w:hAnsi="Symbol"/>
      </w:rPr>
    </w:lvl>
    <w:lvl w:ilvl="7" w:tplc="88D6E6E4">
      <w:start w:val="1"/>
      <w:numFmt w:val="bullet"/>
      <w:lvlText w:val="o"/>
      <w:lvlJc w:val="left"/>
      <w:pPr>
        <w:ind w:left="5760" w:hanging="360"/>
      </w:pPr>
      <w:rPr>
        <w:rFonts w:hint="default" w:ascii="Courier New" w:hAnsi="Courier New"/>
      </w:rPr>
    </w:lvl>
    <w:lvl w:ilvl="8" w:tplc="39C475C0">
      <w:start w:val="1"/>
      <w:numFmt w:val="bullet"/>
      <w:lvlText w:val=""/>
      <w:lvlJc w:val="left"/>
      <w:pPr>
        <w:ind w:left="6480" w:hanging="360"/>
      </w:pPr>
      <w:rPr>
        <w:rFonts w:hint="default" w:ascii="Wingdings" w:hAnsi="Wingdings"/>
      </w:rPr>
    </w:lvl>
  </w:abstractNum>
  <w:num w:numId="1" w16cid:durableId="614410808">
    <w:abstractNumId w:val="0"/>
  </w:num>
  <w:num w:numId="2" w16cid:durableId="1798639373">
    <w:abstractNumId w:val="2"/>
  </w:num>
  <w:num w:numId="3" w16cid:durableId="86970199">
    <w:abstractNumId w:val="6"/>
  </w:num>
  <w:num w:numId="4" w16cid:durableId="257523664">
    <w:abstractNumId w:val="4"/>
  </w:num>
  <w:num w:numId="5" w16cid:durableId="2135705653">
    <w:abstractNumId w:val="5"/>
  </w:num>
  <w:num w:numId="6" w16cid:durableId="93012763">
    <w:abstractNumId w:val="1"/>
  </w:num>
  <w:num w:numId="7" w16cid:durableId="2132702127">
    <w:abstractNumId w:val="8"/>
  </w:num>
  <w:num w:numId="8" w16cid:durableId="336621651">
    <w:abstractNumId w:val="7"/>
  </w:num>
  <w:num w:numId="9" w16cid:durableId="86240127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llinson, Miles (UKSA)">
    <w15:presenceInfo w15:providerId="AD" w15:userId="S::Miles.Collinson@ukspaceagency.gov.uk::b98e34a3-7812-4c6a-8e36-3017907d2d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EF48A7"/>
    <w:rsid w:val="000E5804"/>
    <w:rsid w:val="002579E6"/>
    <w:rsid w:val="00755171"/>
    <w:rsid w:val="007B566B"/>
    <w:rsid w:val="0087622B"/>
    <w:rsid w:val="00AC5DB7"/>
    <w:rsid w:val="00C350E1"/>
    <w:rsid w:val="00EB529D"/>
    <w:rsid w:val="00ED207A"/>
    <w:rsid w:val="00F73628"/>
    <w:rsid w:val="04D12E52"/>
    <w:rsid w:val="1363F888"/>
    <w:rsid w:val="23EF48A7"/>
    <w:rsid w:val="5458E2E5"/>
    <w:rsid w:val="558C96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48A7"/>
  <w15:chartTrackingRefBased/>
  <w15:docId w15:val="{8ED30F35-20DB-495C-ABE3-9A0AC0CD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755171"/>
    <w:pPr>
      <w:tabs>
        <w:tab w:val="center" w:pos="4513"/>
        <w:tab w:val="right" w:pos="9026"/>
      </w:tabs>
      <w:spacing w:after="0" w:line="240" w:lineRule="auto"/>
    </w:pPr>
  </w:style>
  <w:style w:type="character" w:styleId="HeaderChar" w:customStyle="1">
    <w:name w:val="Header Char"/>
    <w:basedOn w:val="DefaultParagraphFont"/>
    <w:link w:val="Header"/>
    <w:uiPriority w:val="99"/>
    <w:rsid w:val="00755171"/>
  </w:style>
  <w:style w:type="paragraph" w:styleId="Footer">
    <w:name w:val="footer"/>
    <w:basedOn w:val="Normal"/>
    <w:link w:val="FooterChar"/>
    <w:uiPriority w:val="99"/>
    <w:unhideWhenUsed/>
    <w:rsid w:val="00755171"/>
    <w:pPr>
      <w:tabs>
        <w:tab w:val="center" w:pos="4513"/>
        <w:tab w:val="right" w:pos="9026"/>
      </w:tabs>
      <w:spacing w:after="0" w:line="240" w:lineRule="auto"/>
    </w:pPr>
  </w:style>
  <w:style w:type="character" w:styleId="FooterChar" w:customStyle="1">
    <w:name w:val="Footer Char"/>
    <w:basedOn w:val="DefaultParagraphFont"/>
    <w:link w:val="Footer"/>
    <w:uiPriority w:val="99"/>
    <w:rsid w:val="00755171"/>
  </w:style>
  <w:style w:type="character" w:styleId="CommentReference">
    <w:name w:val="annotation reference"/>
    <w:basedOn w:val="DefaultParagraphFont"/>
    <w:uiPriority w:val="99"/>
    <w:semiHidden/>
    <w:unhideWhenUsed/>
    <w:rsid w:val="00EB529D"/>
    <w:rPr>
      <w:sz w:val="16"/>
      <w:szCs w:val="16"/>
    </w:rPr>
  </w:style>
  <w:style w:type="paragraph" w:styleId="CommentText">
    <w:name w:val="annotation text"/>
    <w:basedOn w:val="Normal"/>
    <w:link w:val="CommentTextChar"/>
    <w:uiPriority w:val="99"/>
    <w:unhideWhenUsed/>
    <w:rsid w:val="00EB529D"/>
    <w:pPr>
      <w:spacing w:line="240" w:lineRule="auto"/>
    </w:pPr>
    <w:rPr>
      <w:sz w:val="20"/>
      <w:szCs w:val="20"/>
    </w:rPr>
  </w:style>
  <w:style w:type="character" w:styleId="CommentTextChar" w:customStyle="1">
    <w:name w:val="Comment Text Char"/>
    <w:basedOn w:val="DefaultParagraphFont"/>
    <w:link w:val="CommentText"/>
    <w:uiPriority w:val="99"/>
    <w:rsid w:val="00EB529D"/>
    <w:rPr>
      <w:sz w:val="20"/>
      <w:szCs w:val="20"/>
    </w:rPr>
  </w:style>
  <w:style w:type="paragraph" w:styleId="CommentSubject">
    <w:name w:val="annotation subject"/>
    <w:basedOn w:val="CommentText"/>
    <w:next w:val="CommentText"/>
    <w:link w:val="CommentSubjectChar"/>
    <w:uiPriority w:val="99"/>
    <w:semiHidden/>
    <w:unhideWhenUsed/>
    <w:rsid w:val="00EB529D"/>
    <w:rPr>
      <w:b/>
      <w:bCs/>
    </w:rPr>
  </w:style>
  <w:style w:type="character" w:styleId="CommentSubjectChar" w:customStyle="1">
    <w:name w:val="Comment Subject Char"/>
    <w:basedOn w:val="CommentTextChar"/>
    <w:link w:val="CommentSubject"/>
    <w:uiPriority w:val="99"/>
    <w:semiHidden/>
    <w:rsid w:val="00EB52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68633208C46C04AA8747E9D3E7B05D3" ma:contentTypeVersion="25" ma:contentTypeDescription="Create a new document." ma:contentTypeScope="" ma:versionID="860dc4df16352b3e97f5eb717665810d">
  <xsd:schema xmlns:xsd="http://www.w3.org/2001/XMLSchema" xmlns:xs="http://www.w3.org/2001/XMLSchema" xmlns:p="http://schemas.microsoft.com/office/2006/metadata/properties" xmlns:ns2="d7facf5a-b7c1-48f8-ba8d-8426d8965e0b" xmlns:ns3="0063f72e-ace3-48fb-9c1f-5b513408b31f" xmlns:ns4="b413c3fd-5a3b-4239-b985-69032e371c04" xmlns:ns5="a8f60570-4bd3-4f2b-950b-a996de8ab151" xmlns:ns6="aaacb922-5235-4a66-b188-303b9b46fbd7" xmlns:ns7="d88158f8-c26b-4d10-b98c-2c5259a67739" targetNamespace="http://schemas.microsoft.com/office/2006/metadata/properties" ma:root="true" ma:fieldsID="90b36fbcec03122d358341b83259b381" ns2:_="" ns3:_="" ns4:_="" ns5:_="" ns6:_="" ns7:_="">
    <xsd:import namespace="d7facf5a-b7c1-48f8-ba8d-8426d8965e0b"/>
    <xsd:import namespace="0063f72e-ace3-48fb-9c1f-5b513408b31f"/>
    <xsd:import namespace="b413c3fd-5a3b-4239-b985-69032e371c04"/>
    <xsd:import namespace="a8f60570-4bd3-4f2b-950b-a996de8ab151"/>
    <xsd:import namespace="aaacb922-5235-4a66-b188-303b9b46fbd7"/>
    <xsd:import namespace="d88158f8-c26b-4d10-b98c-2c5259a67739"/>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7:MediaLengthInSeconds" minOccurs="0"/>
                <xsd:element ref="ns7:lcf76f155ced4ddcb4097134ff3c332f" minOccurs="0"/>
                <xsd:element ref="ns7: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acf5a-b7c1-48f8-ba8d-8426d8965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UK Space Agency|e94dee48-3a05-4a12-8e11-f3f2fb95bcf1"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4e547dda-68cc-43b7-9a0d-a7a6271c62fc}" ma:internalName="TaxCatchAll" ma:showField="CatchAllData"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4e547dda-68cc-43b7-9a0d-a7a6271c62fc}" ma:internalName="TaxCatchAllLabel" ma:readOnly="true" ma:showField="CatchAllDataLabel" ma:web="d7facf5a-b7c1-48f8-ba8d-8426d8965e0b">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UK Space Agency"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158f8-c26b-4d10-b98c-2c5259a6773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7facf5a-b7c1-48f8-ba8d-8426d8965e0b">TZRPUJ7CWHEN-1957105252-304539</_dlc_DocId>
    <TaxCatchAll xmlns="d7facf5a-b7c1-48f8-ba8d-8426d8965e0b">
      <Value>1</Value>
    </TaxCatchAll>
    <m975189f4ba442ecbf67d4147307b177 xmlns="d7facf5a-b7c1-48f8-ba8d-8426d8965e0b">
      <Terms xmlns="http://schemas.microsoft.com/office/infopath/2007/PartnerControls">
        <TermInfo xmlns="http://schemas.microsoft.com/office/infopath/2007/PartnerControls">
          <TermName xmlns="http://schemas.microsoft.com/office/infopath/2007/PartnerControls">UK Space Agency</TermName>
          <TermId xmlns="http://schemas.microsoft.com/office/infopath/2007/PartnerControls">e94dee48-3a05-4a12-8e11-f3f2fb95bcf1</TermId>
        </TermInfo>
      </Terms>
    </m975189f4ba442ecbf67d4147307b177>
    <Government_x0020_Body xmlns="b413c3fd-5a3b-4239-b985-69032e371c04">UK Space Agency</Government_x0020_Body>
    <Date_x0020_Opened xmlns="b413c3fd-5a3b-4239-b985-69032e371c04">2023-10-09T15:09:47+00:00</Date_x0020_Opened>
    <Security_x0020_Classification xmlns="0063f72e-ace3-48fb-9c1f-5b513408b31f">OFFICIAL</Security_x0020_Classification>
    <_dlc_DocIdUrl xmlns="d7facf5a-b7c1-48f8-ba8d-8426d8965e0b">
      <Url>https://beisgov.sharepoint.com/sites/UKSACommercialTeam/_layouts/15/DocIdRedir.aspx?ID=TZRPUJ7CWHEN-1957105252-304539</Url>
      <Description>TZRPUJ7CWHEN-1957105252-304539</Description>
    </_dlc_DocIdUrl>
    <LegacyData xmlns="aaacb922-5235-4a66-b188-303b9b46fbd7" xsi:nil="true"/>
    <Descriptor xmlns="0063f72e-ace3-48fb-9c1f-5b513408b31f" xsi:nil="true"/>
    <lcf76f155ced4ddcb4097134ff3c332f xmlns="d88158f8-c26b-4d10-b98c-2c5259a67739">
      <Terms xmlns="http://schemas.microsoft.com/office/infopath/2007/PartnerControls"/>
    </lcf76f155ced4ddcb4097134ff3c332f>
    <Retention_x0020_Label xmlns="a8f60570-4bd3-4f2b-950b-a996de8ab151" xsi:nil="true"/>
    <Date_x0020_Closed xmlns="b413c3fd-5a3b-4239-b985-69032e371c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AFA45-4A23-4751-A9DE-A10429429F77}">
  <ds:schemaRefs>
    <ds:schemaRef ds:uri="http://schemas.microsoft.com/sharepoint/events"/>
  </ds:schemaRefs>
</ds:datastoreItem>
</file>

<file path=customXml/itemProps2.xml><?xml version="1.0" encoding="utf-8"?>
<ds:datastoreItem xmlns:ds="http://schemas.openxmlformats.org/officeDocument/2006/customXml" ds:itemID="{DE855E39-C982-472E-BC05-6EE054FE6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acf5a-b7c1-48f8-ba8d-8426d8965e0b"/>
    <ds:schemaRef ds:uri="0063f72e-ace3-48fb-9c1f-5b513408b31f"/>
    <ds:schemaRef ds:uri="b413c3fd-5a3b-4239-b985-69032e371c04"/>
    <ds:schemaRef ds:uri="a8f60570-4bd3-4f2b-950b-a996de8ab151"/>
    <ds:schemaRef ds:uri="aaacb922-5235-4a66-b188-303b9b46fbd7"/>
    <ds:schemaRef ds:uri="d88158f8-c26b-4d10-b98c-2c5259a67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51A01-5569-49A0-BEF1-75E1863092C6}">
  <ds:schemaRefs>
    <ds:schemaRef ds:uri="http://schemas.microsoft.com/office/2006/metadata/properties"/>
    <ds:schemaRef ds:uri="http://schemas.microsoft.com/office/infopath/2007/PartnerControls"/>
    <ds:schemaRef ds:uri="d7facf5a-b7c1-48f8-ba8d-8426d8965e0b"/>
    <ds:schemaRef ds:uri="b413c3fd-5a3b-4239-b985-69032e371c04"/>
    <ds:schemaRef ds:uri="0063f72e-ace3-48fb-9c1f-5b513408b31f"/>
    <ds:schemaRef ds:uri="aaacb922-5235-4a66-b188-303b9b46fbd7"/>
    <ds:schemaRef ds:uri="d88158f8-c26b-4d10-b98c-2c5259a67739"/>
    <ds:schemaRef ds:uri="a8f60570-4bd3-4f2b-950b-a996de8ab151"/>
  </ds:schemaRefs>
</ds:datastoreItem>
</file>

<file path=customXml/itemProps4.xml><?xml version="1.0" encoding="utf-8"?>
<ds:datastoreItem xmlns:ds="http://schemas.openxmlformats.org/officeDocument/2006/customXml" ds:itemID="{F1A77C6F-E31C-41C7-9480-FE988600D7F1}">
  <ds:schemaRefs>
    <ds:schemaRef ds:uri="http://schemas.microsoft.com/sharepoint/v3/contenttype/forms"/>
  </ds:schemaRefs>
</ds:datastoreItem>
</file>

<file path=customXml/itemProps5.xml><?xml version="1.0" encoding="utf-8"?>
<ds:datastoreItem xmlns:ds="http://schemas.openxmlformats.org/officeDocument/2006/customXml" ds:itemID="{F377C3D9-4046-4097-BCCF-0A76392C040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Collinson, Miles (UKSA)</dc:creator>
  <cp:keywords/>
  <dc:description/>
  <cp:lastModifiedBy>Bann, Chris (UKSA)</cp:lastModifiedBy>
  <cp:revision>10</cp:revision>
  <dcterms:created xsi:type="dcterms:W3CDTF">2023-10-09T22:09:00Z</dcterms:created>
  <dcterms:modified xsi:type="dcterms:W3CDTF">2023-10-19T15:20:52Z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1;#UK Space Agency|e94dee48-3a05-4a12-8e11-f3f2fb95bcf1</vt:lpwstr>
  </property>
  <property fmtid="{D5CDD505-2E9C-101B-9397-08002B2CF9AE}" pid="3" name="ContentTypeId">
    <vt:lpwstr>0x010100068633208C46C04AA8747E9D3E7B05D3</vt:lpwstr>
  </property>
  <property fmtid="{D5CDD505-2E9C-101B-9397-08002B2CF9AE}" pid="4" name="_dlc_DocIdItemGuid">
    <vt:lpwstr>c2c0fb06-7e90-4bd9-bdb0-e212e494bcd0</vt:lpwstr>
  </property>
  <property fmtid="{D5CDD505-2E9C-101B-9397-08002B2CF9AE}" pid="5" name="MediaServiceImageTags">
    <vt:lpwstr/>
  </property>
  <property fmtid="{D5CDD505-2E9C-101B-9397-08002B2CF9AE}" pid="6" name="MSIP_Label_ba62f585-b40f-4ab9-bafe-39150f03d124_Enabled">
    <vt:lpwstr>true</vt:lpwstr>
  </property>
  <property fmtid="{D5CDD505-2E9C-101B-9397-08002B2CF9AE}" pid="7" name="MSIP_Label_ba62f585-b40f-4ab9-bafe-39150f03d124_SetDate">
    <vt:lpwstr>2023-10-09T14:09:54Z</vt:lpwstr>
  </property>
  <property fmtid="{D5CDD505-2E9C-101B-9397-08002B2CF9AE}" pid="8" name="MSIP_Label_ba62f585-b40f-4ab9-bafe-39150f03d124_Method">
    <vt:lpwstr>Standard</vt:lpwstr>
  </property>
  <property fmtid="{D5CDD505-2E9C-101B-9397-08002B2CF9AE}" pid="9" name="MSIP_Label_ba62f585-b40f-4ab9-bafe-39150f03d124_Name">
    <vt:lpwstr>OFFICIAL</vt:lpwstr>
  </property>
  <property fmtid="{D5CDD505-2E9C-101B-9397-08002B2CF9AE}" pid="10" name="MSIP_Label_ba62f585-b40f-4ab9-bafe-39150f03d124_SiteId">
    <vt:lpwstr>cbac7005-02c1-43eb-b497-e6492d1b2dd8</vt:lpwstr>
  </property>
  <property fmtid="{D5CDD505-2E9C-101B-9397-08002B2CF9AE}" pid="11" name="MSIP_Label_ba62f585-b40f-4ab9-bafe-39150f03d124_ActionId">
    <vt:lpwstr>c4aa2022-1e74-40b1-9aba-29f0bc398200</vt:lpwstr>
  </property>
  <property fmtid="{D5CDD505-2E9C-101B-9397-08002B2CF9AE}" pid="12" name="MSIP_Label_ba62f585-b40f-4ab9-bafe-39150f03d124_ContentBits">
    <vt:lpwstr>0</vt:lpwstr>
  </property>
</Properties>
</file>