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lastRenderedPageBreak/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D8426E" w:rsidRPr="00D8426E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1E1FCF34" w:rsidR="00966606" w:rsidRPr="00D8426E" w:rsidRDefault="0035076F" w:rsidP="00213E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LEICESTER &amp; LEICESTERSHIRE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D8426E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25A23EA2" w:rsidR="00966606" w:rsidRPr="00D8426E" w:rsidRDefault="00D8426E" w:rsidP="003507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itt_</w:t>
            </w:r>
            <w:r w:rsidR="00B41A6E">
              <w:rPr>
                <w:rFonts w:ascii="Calibri" w:eastAsia="Times New Roman" w:hAnsi="Calibri" w:cs="Times New Roman"/>
                <w:b/>
                <w:bCs/>
                <w:lang w:eastAsia="en-GB"/>
              </w:rPr>
              <w:t>299</w:t>
            </w:r>
            <w:r w:rsidR="0035076F">
              <w:rPr>
                <w:rFonts w:ascii="Calibri" w:eastAsia="Times New Roman" w:hAnsi="Calibri" w:cs="Times New Roman"/>
                <w:b/>
                <w:bCs/>
                <w:lang w:eastAsia="en-GB"/>
              </w:rPr>
              <w:t>19</w:t>
            </w:r>
          </w:p>
        </w:tc>
      </w:tr>
      <w:tr w:rsidR="00D8426E" w:rsidRPr="00D8426E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4272C598" w:rsidR="00966606" w:rsidRPr="00D8426E" w:rsidRDefault="0035076F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NEET AND YOUTH UNEMPLOYED SUPPORT (AGED &lt;24)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5C49A6C4" w:rsidR="00966606" w:rsidRPr="00D8426E" w:rsidRDefault="0035076F" w:rsidP="00213E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21-003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  <w:bookmarkStart w:id="1" w:name="_GoBack"/>
            <w:bookmarkEnd w:id="1"/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14:paraId="2FD463B2" w14:textId="77777777" w:rsidTr="00443E30">
      <w:tc>
        <w:tcPr>
          <w:tcW w:w="6974" w:type="dxa"/>
        </w:tcPr>
        <w:p w14:paraId="55582733" w14:textId="3DD8DD67" w:rsidR="002A19EE" w:rsidRPr="00443E30" w:rsidRDefault="00654561" w:rsidP="0035076F">
          <w:pPr>
            <w:pStyle w:val="Footer"/>
            <w:rPr>
              <w:sz w:val="16"/>
              <w:szCs w:val="16"/>
            </w:rPr>
          </w:pPr>
          <w:r w:rsidRPr="00654561">
            <w:rPr>
              <w:sz w:val="16"/>
              <w:szCs w:val="16"/>
            </w:rPr>
            <w:t xml:space="preserve">IP1.2 </w:t>
          </w:r>
          <w:r w:rsidR="0035076F">
            <w:rPr>
              <w:sz w:val="16"/>
              <w:szCs w:val="16"/>
            </w:rPr>
            <w:t>Leicester &amp; Leicestershire 29919-21-003</w:t>
          </w:r>
        </w:p>
      </w:tc>
      <w:tc>
        <w:tcPr>
          <w:tcW w:w="6974" w:type="dxa"/>
          <w:vAlign w:val="center"/>
        </w:tcPr>
        <w:p w14:paraId="31E4C132" w14:textId="77777777"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35076F">
            <w:rPr>
              <w:b/>
              <w:bCs/>
              <w:noProof/>
              <w:sz w:val="16"/>
              <w:szCs w:val="16"/>
            </w:rPr>
            <w:t>1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35076F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21F251B9" w:rsidR="00443E30" w:rsidRDefault="00F94327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19733B"/>
    <w:rsid w:val="001F59AE"/>
    <w:rsid w:val="00213EDD"/>
    <w:rsid w:val="00234A0C"/>
    <w:rsid w:val="00252C12"/>
    <w:rsid w:val="002A19EE"/>
    <w:rsid w:val="0032144F"/>
    <w:rsid w:val="0035076F"/>
    <w:rsid w:val="003F05BE"/>
    <w:rsid w:val="00434F68"/>
    <w:rsid w:val="00443E30"/>
    <w:rsid w:val="004548B1"/>
    <w:rsid w:val="004A6358"/>
    <w:rsid w:val="0052780A"/>
    <w:rsid w:val="00654561"/>
    <w:rsid w:val="00656E7A"/>
    <w:rsid w:val="00791A02"/>
    <w:rsid w:val="007C5F58"/>
    <w:rsid w:val="008239EA"/>
    <w:rsid w:val="00831163"/>
    <w:rsid w:val="00956076"/>
    <w:rsid w:val="00966606"/>
    <w:rsid w:val="00982DDF"/>
    <w:rsid w:val="009C6994"/>
    <w:rsid w:val="00A1210F"/>
    <w:rsid w:val="00A42E3B"/>
    <w:rsid w:val="00B41A6E"/>
    <w:rsid w:val="00C47F83"/>
    <w:rsid w:val="00CB0900"/>
    <w:rsid w:val="00D252E4"/>
    <w:rsid w:val="00D370FB"/>
    <w:rsid w:val="00D5336F"/>
    <w:rsid w:val="00D8426E"/>
    <w:rsid w:val="00DB0A32"/>
    <w:rsid w:val="00E63B0C"/>
    <w:rsid w:val="00E9234B"/>
    <w:rsid w:val="00F142DB"/>
    <w:rsid w:val="00F61C5B"/>
    <w:rsid w:val="00F94327"/>
    <w:rsid w:val="00FB3EBE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cb7936e3a1f9b5794d8b500596b26311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19b323539fad755bbd2b622f33284adb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4102E-243F-42B1-B5B0-042DB414A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AA6D9-A1FC-46AD-BB61-395FFE3D1F3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7662250-88eb-4feb-ad90-0853014cc4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2</cp:revision>
  <dcterms:created xsi:type="dcterms:W3CDTF">2015-12-02T15:47:00Z</dcterms:created>
  <dcterms:modified xsi:type="dcterms:W3CDTF">2015-12-02T15:47:00Z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