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C9D10" w14:textId="77777777" w:rsidR="00026DE6" w:rsidRPr="00EF7963" w:rsidRDefault="00026DE6" w:rsidP="00F3554C">
      <w:pPr>
        <w:rPr>
          <w:sz w:val="12"/>
          <w:szCs w:val="12"/>
        </w:rPr>
        <w:sectPr w:rsidR="00026DE6" w:rsidRPr="00EF7963" w:rsidSect="00104D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851" w:left="851" w:header="567" w:footer="227" w:gutter="0"/>
          <w:cols w:space="708"/>
          <w:titlePg/>
          <w:docGrid w:linePitch="360"/>
        </w:sectPr>
      </w:pPr>
    </w:p>
    <w:p w14:paraId="25521CBF" w14:textId="77777777" w:rsidR="00F3554C" w:rsidRPr="006F31EE" w:rsidRDefault="00F3554C" w:rsidP="00F3554C"/>
    <w:p w14:paraId="5A258C20" w14:textId="77777777" w:rsidR="00792F47" w:rsidRDefault="00792F47" w:rsidP="00792F47">
      <w:pPr>
        <w:rPr>
          <w:rFonts w:asciiTheme="minorHAnsi" w:hAnsiTheme="minorHAnsi" w:cstheme="minorHAnsi"/>
          <w:sz w:val="28"/>
          <w:szCs w:val="28"/>
        </w:rPr>
      </w:pPr>
    </w:p>
    <w:p w14:paraId="6D7D7F10" w14:textId="13980F18" w:rsidR="00792F47" w:rsidRPr="007F5515" w:rsidRDefault="00390DCC" w:rsidP="007F5515">
      <w:pPr>
        <w:spacing w:after="120"/>
        <w:rPr>
          <w:rFonts w:cstheme="minorHAnsi"/>
          <w:szCs w:val="24"/>
        </w:rPr>
      </w:pPr>
      <w:r w:rsidRPr="007F5515">
        <w:rPr>
          <w:rFonts w:cstheme="minorHAnsi"/>
          <w:szCs w:val="24"/>
        </w:rPr>
        <w:t xml:space="preserve">Title: </w:t>
      </w:r>
      <w:r w:rsidR="00B244DC" w:rsidRPr="00B244DC">
        <w:rPr>
          <w:rFonts w:cstheme="minorHAnsi"/>
          <w:szCs w:val="24"/>
        </w:rPr>
        <w:t xml:space="preserve">Electrochemical </w:t>
      </w:r>
      <w:r w:rsidR="00B244DC">
        <w:rPr>
          <w:rFonts w:cstheme="minorHAnsi"/>
          <w:szCs w:val="24"/>
        </w:rPr>
        <w:t>P</w:t>
      </w:r>
      <w:r w:rsidR="00B244DC" w:rsidRPr="00B244DC">
        <w:rPr>
          <w:rFonts w:cstheme="minorHAnsi"/>
          <w:szCs w:val="24"/>
        </w:rPr>
        <w:t xml:space="preserve">rocess and </w:t>
      </w:r>
      <w:r w:rsidR="00B244DC">
        <w:rPr>
          <w:rFonts w:cstheme="minorHAnsi"/>
          <w:szCs w:val="24"/>
        </w:rPr>
        <w:t>E</w:t>
      </w:r>
      <w:r w:rsidR="00B244DC" w:rsidRPr="00B244DC">
        <w:rPr>
          <w:rFonts w:cstheme="minorHAnsi"/>
          <w:szCs w:val="24"/>
        </w:rPr>
        <w:t xml:space="preserve">quipment </w:t>
      </w:r>
      <w:r w:rsidR="00B244DC">
        <w:rPr>
          <w:rFonts w:cstheme="minorHAnsi"/>
          <w:szCs w:val="24"/>
        </w:rPr>
        <w:t>D</w:t>
      </w:r>
      <w:r w:rsidR="00B244DC" w:rsidRPr="00B244DC">
        <w:rPr>
          <w:rFonts w:cstheme="minorHAnsi"/>
          <w:szCs w:val="24"/>
        </w:rPr>
        <w:t xml:space="preserve">evelopment </w:t>
      </w:r>
      <w:r w:rsidR="00B244DC">
        <w:rPr>
          <w:rFonts w:cstheme="minorHAnsi"/>
          <w:szCs w:val="24"/>
        </w:rPr>
        <w:t>Framework</w:t>
      </w:r>
    </w:p>
    <w:p w14:paraId="0280880B" w14:textId="5F77937E" w:rsidR="00792F47" w:rsidRPr="007F5515" w:rsidRDefault="00390DCC" w:rsidP="007F5515">
      <w:pPr>
        <w:spacing w:after="120"/>
        <w:rPr>
          <w:rFonts w:cstheme="minorHAnsi"/>
          <w:szCs w:val="24"/>
        </w:rPr>
      </w:pPr>
      <w:r w:rsidRPr="007F5515">
        <w:rPr>
          <w:rFonts w:cstheme="minorHAnsi"/>
          <w:szCs w:val="24"/>
        </w:rPr>
        <w:t xml:space="preserve">Procurement Ref: </w:t>
      </w:r>
      <w:r w:rsidR="00B244DC" w:rsidRPr="00AD6061">
        <w:rPr>
          <w:rFonts w:cstheme="minorHAnsi"/>
          <w:szCs w:val="24"/>
        </w:rPr>
        <w:t>NNLC493F</w:t>
      </w:r>
    </w:p>
    <w:p w14:paraId="17EFD1F5" w14:textId="7A2DDC1F" w:rsidR="00792F47" w:rsidRPr="007F5515" w:rsidRDefault="00390DCC" w:rsidP="00792F47">
      <w:pPr>
        <w:rPr>
          <w:rFonts w:cstheme="minorHAnsi"/>
          <w:szCs w:val="24"/>
        </w:rPr>
      </w:pPr>
      <w:r w:rsidRPr="007F5515">
        <w:rPr>
          <w:rFonts w:cstheme="minorHAnsi"/>
          <w:szCs w:val="24"/>
        </w:rPr>
        <w:t xml:space="preserve">Date of Issue: </w:t>
      </w:r>
      <w:r w:rsidR="002B02FA">
        <w:rPr>
          <w:rFonts w:cstheme="minorHAnsi"/>
          <w:szCs w:val="24"/>
        </w:rPr>
        <w:t>TBC</w:t>
      </w:r>
    </w:p>
    <w:p w14:paraId="6656742D" w14:textId="77777777" w:rsidR="007E02F1" w:rsidRDefault="007E02F1" w:rsidP="00F3554C"/>
    <w:p w14:paraId="1DB3E0D4" w14:textId="77777777" w:rsidR="00792F47" w:rsidRPr="00EF7963" w:rsidRDefault="00792F47" w:rsidP="00792F47">
      <w:pPr>
        <w:rPr>
          <w:sz w:val="12"/>
          <w:szCs w:val="12"/>
        </w:rPr>
        <w:sectPr w:rsidR="00792F47" w:rsidRPr="00EF7963" w:rsidSect="00104D82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567" w:right="851" w:bottom="851" w:left="851" w:header="567" w:footer="227" w:gutter="0"/>
          <w:cols w:space="708"/>
          <w:titlePg/>
          <w:docGrid w:linePitch="360"/>
        </w:sectPr>
      </w:pPr>
    </w:p>
    <w:p w14:paraId="18C4EFDF" w14:textId="77777777" w:rsidR="00792F47" w:rsidRPr="006F31EE" w:rsidRDefault="00792F47" w:rsidP="00792F47"/>
    <w:p w14:paraId="56330318" w14:textId="77777777" w:rsidR="00792F47" w:rsidRDefault="00792F47" w:rsidP="00792F47"/>
    <w:p w14:paraId="473172B4" w14:textId="77777777" w:rsidR="00792F47" w:rsidRDefault="00390DCC" w:rsidP="00792F47">
      <w:r>
        <w:br w:type="page"/>
      </w:r>
    </w:p>
    <w:p w14:paraId="0141B97F" w14:textId="77777777" w:rsidR="00792F47" w:rsidRDefault="00792F47" w:rsidP="00792F47">
      <w:bookmarkStart w:id="1" w:name="_SignaturePageStart"/>
      <w:bookmarkEnd w:id="1"/>
    </w:p>
    <w:p w14:paraId="5175DC62" w14:textId="77777777" w:rsidR="00792F47" w:rsidRDefault="00792F47" w:rsidP="00792F47">
      <w:bookmarkStart w:id="2" w:name="_SignaturePageEnd"/>
      <w:bookmarkEnd w:id="2"/>
    </w:p>
    <w:sdt>
      <w:sdtPr>
        <w:rPr>
          <w:rFonts w:ascii="Verdana" w:eastAsiaTheme="minorHAnsi" w:hAnsi="Verdana" w:cstheme="minorBidi"/>
          <w:color w:val="000000" w:themeColor="text1"/>
          <w:sz w:val="20"/>
          <w:szCs w:val="22"/>
          <w:lang w:val="en-GB"/>
        </w:rPr>
        <w:id w:val="-1492170982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noProof/>
          <w:color w:val="auto"/>
          <w:sz w:val="18"/>
          <w:szCs w:val="18"/>
        </w:rPr>
      </w:sdtEndPr>
      <w:sdtContent>
        <w:p w14:paraId="1E834A6B" w14:textId="77777777" w:rsidR="00792F47" w:rsidRPr="004E1581" w:rsidRDefault="00390DCC" w:rsidP="00792F47">
          <w:pPr>
            <w:pStyle w:val="TOCHeading"/>
            <w:rPr>
              <w:rFonts w:ascii="Verdana" w:hAnsi="Verdana"/>
              <w:color w:val="auto"/>
              <w:sz w:val="20"/>
              <w:szCs w:val="20"/>
            </w:rPr>
          </w:pPr>
          <w:r w:rsidRPr="004E1581">
            <w:rPr>
              <w:rFonts w:ascii="Verdana" w:hAnsi="Verdana"/>
              <w:color w:val="auto"/>
              <w:sz w:val="20"/>
              <w:szCs w:val="20"/>
            </w:rPr>
            <w:t>Contents</w:t>
          </w:r>
        </w:p>
        <w:p w14:paraId="3B66697C" w14:textId="3F1725B5" w:rsidR="00DE69D7" w:rsidRDefault="00390DCC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 w:rsidRPr="004E1581">
            <w:rPr>
              <w:b/>
              <w:bCs/>
              <w:sz w:val="18"/>
              <w:szCs w:val="18"/>
            </w:rPr>
            <w:fldChar w:fldCharType="begin"/>
          </w:r>
          <w:r w:rsidRPr="004E1581">
            <w:rPr>
              <w:b/>
              <w:bCs/>
              <w:sz w:val="18"/>
              <w:szCs w:val="18"/>
            </w:rPr>
            <w:instrText xml:space="preserve"> TOC \o "1-3" \h \z \u </w:instrText>
          </w:r>
          <w:r w:rsidRPr="004E1581">
            <w:rPr>
              <w:b/>
              <w:bCs/>
              <w:sz w:val="18"/>
              <w:szCs w:val="18"/>
            </w:rPr>
            <w:fldChar w:fldCharType="separate"/>
          </w:r>
          <w:hyperlink w:anchor="_Toc171415287" w:history="1">
            <w:r w:rsidR="00DE69D7" w:rsidRPr="00EA436D">
              <w:rPr>
                <w:rStyle w:val="Hyperlink"/>
              </w:rPr>
              <w:t>1.</w:t>
            </w:r>
            <w:r w:rsidR="00DE69D7">
              <w:rPr>
                <w:rFonts w:asciiTheme="minorHAnsi" w:eastAsiaTheme="minorEastAsia" w:hAnsiTheme="minorHAnsi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DE69D7" w:rsidRPr="00EA436D">
              <w:rPr>
                <w:rStyle w:val="Hyperlink"/>
              </w:rPr>
              <w:t>Introduction</w:t>
            </w:r>
            <w:r w:rsidR="00DE69D7">
              <w:rPr>
                <w:webHidden/>
              </w:rPr>
              <w:tab/>
            </w:r>
            <w:r w:rsidR="00DE69D7">
              <w:rPr>
                <w:webHidden/>
              </w:rPr>
              <w:fldChar w:fldCharType="begin"/>
            </w:r>
            <w:r w:rsidR="00DE69D7">
              <w:rPr>
                <w:webHidden/>
              </w:rPr>
              <w:instrText xml:space="preserve"> PAGEREF _Toc171415287 \h </w:instrText>
            </w:r>
            <w:r w:rsidR="00DE69D7">
              <w:rPr>
                <w:webHidden/>
              </w:rPr>
            </w:r>
            <w:r w:rsidR="00DE69D7">
              <w:rPr>
                <w:webHidden/>
              </w:rPr>
              <w:fldChar w:fldCharType="separate"/>
            </w:r>
            <w:r w:rsidR="00DE69D7">
              <w:rPr>
                <w:webHidden/>
              </w:rPr>
              <w:t>4</w:t>
            </w:r>
            <w:r w:rsidR="00DE69D7">
              <w:rPr>
                <w:webHidden/>
              </w:rPr>
              <w:fldChar w:fldCharType="end"/>
            </w:r>
          </w:hyperlink>
        </w:p>
        <w:p w14:paraId="62E998D4" w14:textId="4ED2BF9E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88" w:history="1">
            <w:r w:rsidRPr="00EA436D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Specification Outline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8F49A" w14:textId="5AD51131" w:rsidR="00DE69D7" w:rsidRDefault="00DE69D7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89" w:history="1">
            <w:r w:rsidRPr="00EA436D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</w:rPr>
              <w:t>Scope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_Toc171415289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4EC8DE4" w14:textId="68A8A9B7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0" w:history="1">
            <w:r w:rsidRPr="00EA436D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Electrochemical engineering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C246B" w14:textId="3E5EC78A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1" w:history="1">
            <w:r w:rsidRPr="00EA436D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Lot 1 : Practical electrochemical engineering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DE660" w14:textId="6D2EACA7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2" w:history="1">
            <w:r w:rsidRPr="00EA436D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Lot 2 : Electrochemical consultation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DBD1FB" w14:textId="0C59960D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3" w:history="1">
            <w:r w:rsidRPr="00EA436D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Environmental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3739C" w14:textId="40C765B4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4" w:history="1">
            <w:r w:rsidRPr="00EA436D">
              <w:rPr>
                <w:rStyle w:val="Hyperlink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Mandatory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6F0F4" w14:textId="4630E60F" w:rsidR="00DE69D7" w:rsidRDefault="00DE69D7">
          <w:pPr>
            <w:pStyle w:val="TOC1"/>
            <w:rPr>
              <w:rFonts w:asciiTheme="minorHAnsi" w:eastAsiaTheme="minorEastAsia" w:hAnsiTheme="minorHAnsi"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5" w:history="1">
            <w:r w:rsidRPr="00EA436D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</w:rPr>
              <w:t>Other Requirements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_Toc171415295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968CD7" w14:textId="4D324237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6" w:history="1">
            <w:r w:rsidRPr="00EA436D">
              <w:rPr>
                <w:rStyle w:val="Hyperlink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609E5" w14:textId="1D42DCDC" w:rsidR="00DE69D7" w:rsidRDefault="00DE69D7">
          <w:pPr>
            <w:pStyle w:val="TOC2"/>
            <w:tabs>
              <w:tab w:val="right" w:leader="dot" w:pos="1019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1415297" w:history="1">
            <w:r w:rsidRPr="00EA436D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EA436D">
              <w:rPr>
                <w:rStyle w:val="Hyperlink"/>
                <w:noProof/>
              </w:rPr>
              <w:t>Maintenance / servicing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_Toc171415297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4C504" w14:textId="54D65E59" w:rsidR="00792F47" w:rsidRPr="004E1581" w:rsidRDefault="00390DCC" w:rsidP="00792F47">
          <w:pPr>
            <w:rPr>
              <w:sz w:val="18"/>
              <w:szCs w:val="18"/>
            </w:rPr>
          </w:pPr>
          <w:r w:rsidRPr="004E1581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14:paraId="582721F6" w14:textId="77777777" w:rsidR="00792F47" w:rsidRDefault="00792F47" w:rsidP="00792F47"/>
    <w:p w14:paraId="5EA29C1F" w14:textId="77777777" w:rsidR="00792F47" w:rsidRPr="004E1581" w:rsidRDefault="00390DCC" w:rsidP="00792F47">
      <w:pPr>
        <w:pStyle w:val="Heading1Numbered-NNL"/>
        <w:rPr>
          <w:rFonts w:ascii="Verdana" w:hAnsi="Verdana"/>
          <w:color w:val="auto"/>
          <w:sz w:val="20"/>
          <w:szCs w:val="20"/>
        </w:rPr>
      </w:pPr>
      <w:bookmarkStart w:id="3" w:name="_Toc426550589"/>
      <w:bookmarkStart w:id="4" w:name="_Toc32227644"/>
      <w:bookmarkStart w:id="5" w:name="_Toc171415287"/>
      <w:r w:rsidRPr="004E1581">
        <w:rPr>
          <w:rFonts w:ascii="Verdana" w:hAnsi="Verdana"/>
          <w:color w:val="auto"/>
          <w:sz w:val="20"/>
          <w:szCs w:val="20"/>
        </w:rPr>
        <w:lastRenderedPageBreak/>
        <w:t>Introduction</w:t>
      </w:r>
      <w:bookmarkEnd w:id="3"/>
      <w:bookmarkEnd w:id="4"/>
      <w:bookmarkEnd w:id="5"/>
    </w:p>
    <w:p w14:paraId="1F4C337F" w14:textId="5645C765" w:rsidR="00792F47" w:rsidRDefault="00390DCC" w:rsidP="00792F47">
      <w:pPr>
        <w:pStyle w:val="Heading2Numbered-NNL"/>
        <w:tabs>
          <w:tab w:val="clear" w:pos="1276"/>
        </w:tabs>
        <w:ind w:left="851" w:hanging="851"/>
        <w:rPr>
          <w:rFonts w:ascii="Verdana" w:hAnsi="Verdana"/>
          <w:szCs w:val="20"/>
        </w:rPr>
      </w:pPr>
      <w:bookmarkStart w:id="6" w:name="_Toc489605027"/>
      <w:bookmarkStart w:id="7" w:name="_Toc32227646"/>
      <w:bookmarkStart w:id="8" w:name="_Toc171415288"/>
      <w:r>
        <w:rPr>
          <w:rFonts w:ascii="Verdana" w:hAnsi="Verdana"/>
          <w:szCs w:val="20"/>
        </w:rPr>
        <w:t>S</w:t>
      </w:r>
      <w:r w:rsidRPr="004E058E">
        <w:rPr>
          <w:rFonts w:ascii="Verdana" w:hAnsi="Verdana"/>
          <w:szCs w:val="20"/>
        </w:rPr>
        <w:t>pecification</w:t>
      </w:r>
      <w:bookmarkEnd w:id="6"/>
      <w:bookmarkEnd w:id="7"/>
      <w:r w:rsidRPr="004E058E">
        <w:rPr>
          <w:rFonts w:ascii="Verdana" w:hAnsi="Verdana"/>
          <w:szCs w:val="20"/>
        </w:rPr>
        <w:t xml:space="preserve"> Outline</w:t>
      </w:r>
      <w:bookmarkEnd w:id="8"/>
    </w:p>
    <w:p w14:paraId="35910E49" w14:textId="7E3BF110" w:rsidR="00C6012D" w:rsidRDefault="00C6012D" w:rsidP="00C6012D">
      <w:r>
        <w:t>The National Nuclear Laboratory supports a wide range of customers and deliver environmentally and financially affordable solutions to some of the biggest challenges of the twenty-first century. We are building on the world-class solutions and successes we have already delivered as part of a new agenda with four Focus Areas: Clean Energy, Environmental Restoration, Health and Nuclear Medicine and Security and Non-Proliferation.</w:t>
      </w:r>
    </w:p>
    <w:p w14:paraId="118F7CBC" w14:textId="678CD9B2" w:rsidR="008D5FF7" w:rsidRDefault="00A15824" w:rsidP="00C6012D">
      <w:r>
        <w:t>D</w:t>
      </w:r>
      <w:r w:rsidR="00C6012D">
        <w:t xml:space="preserve">elivery </w:t>
      </w:r>
      <w:r>
        <w:t xml:space="preserve">of </w:t>
      </w:r>
      <w:r w:rsidR="008D5FF7">
        <w:t>sustainable</w:t>
      </w:r>
      <w:r w:rsidR="00C6012D">
        <w:t xml:space="preserve"> solutions to current and future challenges </w:t>
      </w:r>
      <w:r w:rsidR="008D5FF7">
        <w:t>will include the development of electrochemical processes and equipment. Electrochemical processes offer unique benefits to the constrain</w:t>
      </w:r>
      <w:r>
        <w:t>t</w:t>
      </w:r>
      <w:r w:rsidR="008D5FF7">
        <w:t>s that the nuclear industry works under, as they offer can offer efficiency and selectivity benefits over con</w:t>
      </w:r>
      <w:r>
        <w:t>vention</w:t>
      </w:r>
      <w:r w:rsidR="008D5FF7">
        <w:t xml:space="preserve">al chemical processes. This procurement specification aims to develop a framework contract to allow the selected companies to work with NNL </w:t>
      </w:r>
      <w:r>
        <w:t>to</w:t>
      </w:r>
      <w:r w:rsidR="008D5FF7">
        <w:t xml:space="preserve"> develop electrochemical processes and equipment. This framework is d</w:t>
      </w:r>
      <w:r w:rsidR="00235293">
        <w:t>i</w:t>
      </w:r>
      <w:r w:rsidR="008D5FF7">
        <w:t>vided into two lots:</w:t>
      </w:r>
    </w:p>
    <w:p w14:paraId="226651B2" w14:textId="4C3C04D0" w:rsidR="008D5FF7" w:rsidRDefault="00DE69D7" w:rsidP="00C6012D">
      <w:r>
        <w:t xml:space="preserve">Lot 1 </w:t>
      </w:r>
      <w:r w:rsidR="008D5FF7">
        <w:t>– Practical electrochemistry – the development of electrochemical processes and equipment</w:t>
      </w:r>
    </w:p>
    <w:p w14:paraId="307908FF" w14:textId="1B39C205" w:rsidR="008D5FF7" w:rsidRDefault="00DE69D7" w:rsidP="00C6012D">
      <w:r>
        <w:t xml:space="preserve">Lot 2 </w:t>
      </w:r>
      <w:r w:rsidR="008D5FF7">
        <w:t>– Consultation o</w:t>
      </w:r>
      <w:r w:rsidR="00A15824">
        <w:t>n</w:t>
      </w:r>
      <w:r w:rsidR="008D5FF7">
        <w:t xml:space="preserve"> electrochemical processes and equipment</w:t>
      </w:r>
    </w:p>
    <w:p w14:paraId="642BA49E" w14:textId="795728A5" w:rsidR="00C6012D" w:rsidRDefault="00C6012D" w:rsidP="00C6012D"/>
    <w:p w14:paraId="1FBF4DAF" w14:textId="77777777" w:rsidR="00C6012D" w:rsidRDefault="00C6012D" w:rsidP="00C6012D"/>
    <w:p w14:paraId="0DA8EA0C" w14:textId="77777777" w:rsidR="00792F47" w:rsidRPr="004E058E" w:rsidRDefault="00390DCC" w:rsidP="00792F47">
      <w:pPr>
        <w:pStyle w:val="Heading1Numbered-NNL"/>
        <w:pageBreakBefore w:val="0"/>
        <w:tabs>
          <w:tab w:val="clear" w:pos="851"/>
        </w:tabs>
        <w:rPr>
          <w:rFonts w:ascii="Verdana" w:hAnsi="Verdana"/>
          <w:color w:val="auto"/>
          <w:sz w:val="20"/>
          <w:szCs w:val="20"/>
        </w:rPr>
      </w:pPr>
      <w:bookmarkStart w:id="9" w:name="_Toc32227647"/>
      <w:bookmarkStart w:id="10" w:name="_Toc171415289"/>
      <w:r w:rsidRPr="004E058E">
        <w:rPr>
          <w:rFonts w:ascii="Verdana" w:hAnsi="Verdana"/>
          <w:color w:val="auto"/>
          <w:sz w:val="20"/>
          <w:szCs w:val="20"/>
        </w:rPr>
        <w:t>Scope</w:t>
      </w:r>
      <w:bookmarkEnd w:id="9"/>
      <w:bookmarkEnd w:id="10"/>
    </w:p>
    <w:p w14:paraId="056D6098" w14:textId="2F290463" w:rsidR="002735C4" w:rsidRDefault="00242CF7" w:rsidP="00792F4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11" w:name="_Toc32227648"/>
      <w:bookmarkStart w:id="12" w:name="_Toc171415290"/>
      <w:r>
        <w:rPr>
          <w:rFonts w:ascii="Verdana" w:hAnsi="Verdana"/>
          <w:szCs w:val="20"/>
        </w:rPr>
        <w:t>E</w:t>
      </w:r>
      <w:r w:rsidR="002735C4">
        <w:rPr>
          <w:rFonts w:ascii="Verdana" w:hAnsi="Verdana"/>
          <w:szCs w:val="20"/>
        </w:rPr>
        <w:t>lectrochemical engineering</w:t>
      </w:r>
      <w:bookmarkEnd w:id="12"/>
    </w:p>
    <w:p w14:paraId="6973CA8F" w14:textId="6A70FF5B" w:rsidR="002735C4" w:rsidRDefault="002735C4" w:rsidP="002735C4">
      <w:r>
        <w:t xml:space="preserve">The development of processes in the nuclear industry requires a detailed understanding of chemistry and equipment to </w:t>
      </w:r>
      <w:r w:rsidR="00A15824">
        <w:t>e</w:t>
      </w:r>
      <w:r>
        <w:t xml:space="preserve">nsure that environment, conventual and nuclear safety is maintained. A range </w:t>
      </w:r>
      <w:r w:rsidR="00235293">
        <w:t xml:space="preserve">of </w:t>
      </w:r>
      <w:r>
        <w:t>practical electrochemical projects can be foreseen in the fu</w:t>
      </w:r>
      <w:r w:rsidR="00235293">
        <w:t>ture</w:t>
      </w:r>
      <w:r>
        <w:t>, to deliver t</w:t>
      </w:r>
      <w:r w:rsidR="00242CF7">
        <w:t>hese projects a range of exper</w:t>
      </w:r>
      <w:r w:rsidR="00235293">
        <w:t>tise</w:t>
      </w:r>
      <w:r w:rsidR="00242CF7">
        <w:t xml:space="preserve"> are needed. These will include: </w:t>
      </w:r>
    </w:p>
    <w:p w14:paraId="691C9A5D" w14:textId="5E1E080B" w:rsidR="00F5294B" w:rsidRDefault="00F5294B" w:rsidP="00F5294B">
      <w:pPr>
        <w:pStyle w:val="ListParagraph"/>
        <w:numPr>
          <w:ilvl w:val="0"/>
          <w:numId w:val="4"/>
        </w:numPr>
      </w:pPr>
      <w:r>
        <w:t xml:space="preserve">Working with NNL technical and engineering teams to perform optioneering and develop designs (from concept to detailed) for electrochemical engineering solutions. </w:t>
      </w:r>
      <w:r w:rsidR="00406BD1">
        <w:t xml:space="preserve">It is highly desirable to have </w:t>
      </w:r>
      <w:r w:rsidR="00406BD1" w:rsidRPr="00406BD1">
        <w:t>design experience for nuclear applications</w:t>
      </w:r>
      <w:r w:rsidR="00406BD1">
        <w:t xml:space="preserve">. </w:t>
      </w:r>
    </w:p>
    <w:p w14:paraId="51E7452E" w14:textId="40F22F04" w:rsidR="00242CF7" w:rsidRDefault="00F5294B" w:rsidP="00242CF7">
      <w:pPr>
        <w:pStyle w:val="ListParagraph"/>
        <w:numPr>
          <w:ilvl w:val="0"/>
          <w:numId w:val="4"/>
        </w:numPr>
      </w:pPr>
      <w:r>
        <w:t>The d</w:t>
      </w:r>
      <w:r w:rsidR="00242CF7">
        <w:t>evelop</w:t>
      </w:r>
      <w:r w:rsidR="00235293">
        <w:t>ment of</w:t>
      </w:r>
      <w:r w:rsidR="00242CF7">
        <w:t xml:space="preserve"> unique pieces of equipment </w:t>
      </w:r>
      <w:r w:rsidR="00B85071">
        <w:t xml:space="preserve">for the purpose of </w:t>
      </w:r>
      <w:r>
        <w:t>performing</w:t>
      </w:r>
      <w:r w:rsidR="00242CF7">
        <w:t xml:space="preserve"> in-house </w:t>
      </w:r>
      <w:r>
        <w:t xml:space="preserve">assessment </w:t>
      </w:r>
      <w:r w:rsidR="00242CF7">
        <w:t xml:space="preserve">or </w:t>
      </w:r>
      <w:r>
        <w:t xml:space="preserve">the </w:t>
      </w:r>
      <w:r w:rsidR="00242CF7">
        <w:t xml:space="preserve">supply </w:t>
      </w:r>
      <w:r>
        <w:t xml:space="preserve">of equipment </w:t>
      </w:r>
      <w:r w:rsidR="00242CF7">
        <w:t>to NNL</w:t>
      </w:r>
      <w:r>
        <w:t>,</w:t>
      </w:r>
      <w:r w:rsidR="00242CF7">
        <w:t xml:space="preserve"> who </w:t>
      </w:r>
      <w:r>
        <w:t>would then</w:t>
      </w:r>
      <w:r w:rsidR="00242CF7">
        <w:t xml:space="preserve"> carry out research and development studies.</w:t>
      </w:r>
      <w:r w:rsidR="003F24B5">
        <w:t xml:space="preserve"> </w:t>
      </w:r>
      <w:r w:rsidR="00406BD1">
        <w:t xml:space="preserve">The equipment must be </w:t>
      </w:r>
      <w:r w:rsidR="00406BD1" w:rsidRPr="00406BD1">
        <w:t>UKCA marking (CE marking)</w:t>
      </w:r>
      <w:r w:rsidR="00406BD1">
        <w:t>, where appropriate.</w:t>
      </w:r>
    </w:p>
    <w:p w14:paraId="69A6C052" w14:textId="260278CF" w:rsidR="00F5294B" w:rsidRPr="00B22524" w:rsidRDefault="00F5294B" w:rsidP="00F5294B">
      <w:pPr>
        <w:pStyle w:val="ListParagraph"/>
        <w:numPr>
          <w:ilvl w:val="0"/>
          <w:numId w:val="4"/>
        </w:numPr>
      </w:pPr>
      <w:r>
        <w:t xml:space="preserve">Construct and test process-scale electrochemical equipment for use in nuclear environment. </w:t>
      </w:r>
    </w:p>
    <w:p w14:paraId="6AD83C5D" w14:textId="4E26E98D" w:rsidR="00235293" w:rsidRDefault="00235293" w:rsidP="00242CF7">
      <w:pPr>
        <w:pStyle w:val="ListParagraph"/>
        <w:numPr>
          <w:ilvl w:val="0"/>
          <w:numId w:val="4"/>
        </w:numPr>
      </w:pPr>
      <w:r>
        <w:t xml:space="preserve">Technical input and support </w:t>
      </w:r>
      <w:r w:rsidR="00F5294B">
        <w:t>for</w:t>
      </w:r>
      <w:r>
        <w:t xml:space="preserve"> the preparation of safety </w:t>
      </w:r>
      <w:r w:rsidR="00B85071">
        <w:t xml:space="preserve">case </w:t>
      </w:r>
      <w:r w:rsidR="00F5294B">
        <w:t xml:space="preserve">related </w:t>
      </w:r>
      <w:r>
        <w:t>documentation</w:t>
      </w:r>
      <w:r w:rsidR="00F5294B">
        <w:t xml:space="preserve"> or assessments (e.g. DSEAR assessments, HAZOP workshops etc.), a requirement for use of equipment in a nuclear environment.</w:t>
      </w:r>
    </w:p>
    <w:p w14:paraId="7E56CE93" w14:textId="3409AF01" w:rsidR="00406BD1" w:rsidRDefault="00406BD1" w:rsidP="00242CF7">
      <w:pPr>
        <w:pStyle w:val="ListParagraph"/>
        <w:numPr>
          <w:ilvl w:val="0"/>
          <w:numId w:val="4"/>
        </w:numPr>
      </w:pPr>
      <w:r>
        <w:t xml:space="preserve">It is essential that the </w:t>
      </w:r>
      <w:r w:rsidRPr="00406BD1">
        <w:t>company ha</w:t>
      </w:r>
      <w:r>
        <w:t>s</w:t>
      </w:r>
      <w:r w:rsidRPr="00406BD1">
        <w:t xml:space="preserve"> staff that could achieve necessary security clearance</w:t>
      </w:r>
      <w:r w:rsidR="001B7A97">
        <w:rPr>
          <w:rStyle w:val="FootnoteReference"/>
        </w:rPr>
        <w:footnoteReference w:id="2"/>
      </w:r>
      <w:r w:rsidRPr="00406BD1">
        <w:t xml:space="preserve"> (if necessary).</w:t>
      </w:r>
    </w:p>
    <w:p w14:paraId="602BD636" w14:textId="0CC5BA8D" w:rsidR="002735C4" w:rsidRDefault="002735C4" w:rsidP="002735C4"/>
    <w:p w14:paraId="5471D0A6" w14:textId="59AADA28" w:rsidR="00242CF7" w:rsidRDefault="00242CF7" w:rsidP="00242CF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13" w:name="_Toc171415291"/>
      <w:r>
        <w:rPr>
          <w:rFonts w:ascii="Verdana" w:hAnsi="Verdana"/>
          <w:szCs w:val="20"/>
        </w:rPr>
        <w:t xml:space="preserve">Lot </w:t>
      </w:r>
      <w:r w:rsidR="00DE69D7">
        <w:rPr>
          <w:rFonts w:ascii="Verdana" w:hAnsi="Verdana"/>
          <w:szCs w:val="20"/>
        </w:rPr>
        <w:t>1</w:t>
      </w:r>
      <w:r>
        <w:rPr>
          <w:rFonts w:ascii="Verdana" w:hAnsi="Verdana"/>
          <w:szCs w:val="20"/>
        </w:rPr>
        <w:t xml:space="preserve"> : Practical electrochemical engineering</w:t>
      </w:r>
      <w:bookmarkEnd w:id="13"/>
    </w:p>
    <w:p w14:paraId="181AC1CC" w14:textId="35F07135" w:rsidR="006A126B" w:rsidRDefault="006A126B" w:rsidP="002735C4">
      <w:r>
        <w:t xml:space="preserve">Lot </w:t>
      </w:r>
      <w:r w:rsidR="00DE69D7">
        <w:t>1</w:t>
      </w:r>
      <w:r>
        <w:t xml:space="preserve"> include</w:t>
      </w:r>
      <w:r w:rsidR="00235293">
        <w:t>s</w:t>
      </w:r>
      <w:r>
        <w:t xml:space="preserve"> th</w:t>
      </w:r>
      <w:r w:rsidR="00985D79">
        <w:t>e construction</w:t>
      </w:r>
      <w:r>
        <w:t xml:space="preserve"> and </w:t>
      </w:r>
      <w:r w:rsidR="00985D79">
        <w:t>testing of the electrochemical equipment</w:t>
      </w:r>
      <w:r w:rsidR="00235293">
        <w:t>. This</w:t>
      </w:r>
      <w:r w:rsidR="00985D79">
        <w:t xml:space="preserve"> is a key step to </w:t>
      </w:r>
    </w:p>
    <w:p w14:paraId="18925A0A" w14:textId="1BCD9DF2" w:rsidR="002735C4" w:rsidRDefault="00985D79" w:rsidP="002735C4">
      <w:r>
        <w:t>the u</w:t>
      </w:r>
      <w:r w:rsidR="00235293">
        <w:t>tilisation</w:t>
      </w:r>
      <w:r>
        <w:t xml:space="preserve"> of equipment in a nuclear environment. Key capabilities and experiences to carrying out practical studies include: </w:t>
      </w:r>
    </w:p>
    <w:p w14:paraId="3A8F372C" w14:textId="04BDA652" w:rsidR="00985D79" w:rsidRDefault="00985D79" w:rsidP="00985D79">
      <w:pPr>
        <w:pStyle w:val="ListParagraph"/>
        <w:numPr>
          <w:ilvl w:val="0"/>
          <w:numId w:val="4"/>
        </w:numPr>
      </w:pPr>
      <w:r>
        <w:t>Technical and practical background in applied electrochemistry.</w:t>
      </w:r>
    </w:p>
    <w:p w14:paraId="448C3299" w14:textId="37394F3C" w:rsidR="00985D79" w:rsidRDefault="00985D79" w:rsidP="00847DCF">
      <w:pPr>
        <w:pStyle w:val="ListParagraph"/>
        <w:numPr>
          <w:ilvl w:val="0"/>
          <w:numId w:val="4"/>
        </w:numPr>
      </w:pPr>
      <w:r>
        <w:t xml:space="preserve">Facilities, </w:t>
      </w:r>
      <w:r w:rsidR="0067617B">
        <w:t>expertise,</w:t>
      </w:r>
      <w:r>
        <w:t xml:space="preserve"> and personnel to </w:t>
      </w:r>
      <w:r w:rsidR="006A126B">
        <w:t xml:space="preserve">construct and </w:t>
      </w:r>
      <w:r>
        <w:t xml:space="preserve">carry out </w:t>
      </w:r>
      <w:r w:rsidR="006A126B">
        <w:t xml:space="preserve">laboratory or process equipment </w:t>
      </w:r>
      <w:r>
        <w:t>applied electrochemical studies</w:t>
      </w:r>
      <w:r w:rsidR="00F2183C">
        <w:t>.</w:t>
      </w:r>
    </w:p>
    <w:p w14:paraId="5719D281" w14:textId="461A972E" w:rsidR="00985D79" w:rsidRDefault="00F2183C" w:rsidP="00D72822">
      <w:pPr>
        <w:pStyle w:val="ListParagraph"/>
        <w:numPr>
          <w:ilvl w:val="0"/>
          <w:numId w:val="4"/>
        </w:numPr>
      </w:pPr>
      <w:r>
        <w:lastRenderedPageBreak/>
        <w:t>A</w:t>
      </w:r>
      <w:r w:rsidR="00985D79">
        <w:t>nalytical equipment and experienced laboratory personnel to allow analysis of samples from electrochemical processes to understand key process parameters.</w:t>
      </w:r>
    </w:p>
    <w:p w14:paraId="75199B46" w14:textId="432FA0AE" w:rsidR="00104D82" w:rsidRDefault="00104D82" w:rsidP="00D72822">
      <w:pPr>
        <w:pStyle w:val="ListParagraph"/>
        <w:numPr>
          <w:ilvl w:val="0"/>
          <w:numId w:val="4"/>
        </w:numPr>
      </w:pPr>
      <w:r>
        <w:t>Awareness/experience of nuclear engineering design principles.</w:t>
      </w:r>
    </w:p>
    <w:p w14:paraId="35A51834" w14:textId="77777777" w:rsidR="00985D79" w:rsidRDefault="00985D79" w:rsidP="00AD6061"/>
    <w:p w14:paraId="242779D2" w14:textId="6E87BFC2" w:rsidR="00792F47" w:rsidRDefault="002735C4" w:rsidP="00792F4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14" w:name="_Toc171415292"/>
      <w:bookmarkEnd w:id="11"/>
      <w:r>
        <w:rPr>
          <w:rFonts w:ascii="Verdana" w:hAnsi="Verdana"/>
          <w:szCs w:val="20"/>
        </w:rPr>
        <w:t xml:space="preserve">Lot </w:t>
      </w:r>
      <w:r w:rsidR="00DE69D7">
        <w:rPr>
          <w:rFonts w:ascii="Verdana" w:hAnsi="Verdana"/>
          <w:szCs w:val="20"/>
        </w:rPr>
        <w:t>2</w:t>
      </w:r>
      <w:r>
        <w:rPr>
          <w:rFonts w:ascii="Verdana" w:hAnsi="Verdana"/>
          <w:szCs w:val="20"/>
        </w:rPr>
        <w:t xml:space="preserve"> : Electrochemical consultation</w:t>
      </w:r>
      <w:bookmarkEnd w:id="14"/>
    </w:p>
    <w:p w14:paraId="7C2E987C" w14:textId="2919433A" w:rsidR="002735C4" w:rsidRDefault="006A126B" w:rsidP="002735C4">
      <w:r>
        <w:t xml:space="preserve">Desk based studies </w:t>
      </w:r>
      <w:r w:rsidR="0067617B">
        <w:t xml:space="preserve">are a key part of the selection and development of an engineering solution and safety case for any new equipment or process in the nuclear industry. There are two main types of </w:t>
      </w:r>
      <w:proofErr w:type="gramStart"/>
      <w:r w:rsidR="0067617B">
        <w:t>desk based</w:t>
      </w:r>
      <w:proofErr w:type="gramEnd"/>
      <w:r w:rsidR="0067617B">
        <w:t xml:space="preserve"> studies, including:</w:t>
      </w:r>
    </w:p>
    <w:p w14:paraId="4934C31D" w14:textId="75D08DCB" w:rsidR="0067617B" w:rsidRDefault="0067617B" w:rsidP="0067617B">
      <w:pPr>
        <w:pStyle w:val="ListParagraph"/>
        <w:numPr>
          <w:ilvl w:val="0"/>
          <w:numId w:val="4"/>
        </w:numPr>
      </w:pPr>
      <w:r>
        <w:t>Review of application or process</w:t>
      </w:r>
    </w:p>
    <w:p w14:paraId="431DCBA9" w14:textId="7644E899" w:rsidR="00104D82" w:rsidRDefault="00104D82" w:rsidP="0067617B">
      <w:pPr>
        <w:pStyle w:val="ListParagraph"/>
        <w:numPr>
          <w:ilvl w:val="0"/>
          <w:numId w:val="4"/>
        </w:numPr>
      </w:pPr>
      <w:r>
        <w:t>Review of process equipment, such as compatibility of materials with process chemistry.</w:t>
      </w:r>
    </w:p>
    <w:p w14:paraId="5CDC9211" w14:textId="1504FD1D" w:rsidR="0067617B" w:rsidRDefault="0067617B" w:rsidP="00AD6061">
      <w:pPr>
        <w:pStyle w:val="ListParagraph"/>
        <w:numPr>
          <w:ilvl w:val="0"/>
          <w:numId w:val="4"/>
        </w:numPr>
      </w:pPr>
      <w:r>
        <w:t xml:space="preserve">Involvement in engineering and safety case development process. </w:t>
      </w:r>
    </w:p>
    <w:p w14:paraId="1F12DC55" w14:textId="77777777" w:rsidR="002735C4" w:rsidRPr="00B22524" w:rsidRDefault="002735C4" w:rsidP="00AD6061"/>
    <w:p w14:paraId="4D485988" w14:textId="7B6EEE57" w:rsidR="00792F47" w:rsidRDefault="00390DCC" w:rsidP="00792F4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15" w:name="_Toc32227653"/>
      <w:bookmarkStart w:id="16" w:name="_Toc171415293"/>
      <w:r w:rsidRPr="004E058E">
        <w:rPr>
          <w:rFonts w:ascii="Verdana" w:hAnsi="Verdana"/>
          <w:szCs w:val="20"/>
        </w:rPr>
        <w:t>Environmental conditions</w:t>
      </w:r>
      <w:bookmarkEnd w:id="15"/>
      <w:bookmarkEnd w:id="16"/>
    </w:p>
    <w:p w14:paraId="69BA7145" w14:textId="2BDC6271" w:rsidR="0067617B" w:rsidRDefault="0067617B" w:rsidP="0067617B">
      <w:r>
        <w:t xml:space="preserve">This is a general framework, so specific equipment environmental conditions are not detailed, several examples are provided. </w:t>
      </w:r>
    </w:p>
    <w:p w14:paraId="496A085D" w14:textId="77777777" w:rsidR="00B22524" w:rsidRDefault="00B22524" w:rsidP="00B22524">
      <w:pPr>
        <w:pStyle w:val="ListParagraph"/>
        <w:numPr>
          <w:ilvl w:val="0"/>
          <w:numId w:val="4"/>
        </w:numPr>
      </w:pPr>
      <w:r>
        <w:t xml:space="preserve">The front-end of the nuclear fuel cycle makes extensive use of fluorine chemistry, which requires careful material selection and operating practises. </w:t>
      </w:r>
    </w:p>
    <w:p w14:paraId="40B95853" w14:textId="1B6E85EE" w:rsidR="0067617B" w:rsidRDefault="0067617B" w:rsidP="00104D82">
      <w:pPr>
        <w:pStyle w:val="ListParagraph"/>
        <w:numPr>
          <w:ilvl w:val="0"/>
          <w:numId w:val="4"/>
        </w:numPr>
      </w:pPr>
      <w:r>
        <w:t xml:space="preserve">Many of the chemical process </w:t>
      </w:r>
      <w:r w:rsidR="00235293">
        <w:t xml:space="preserve">at the </w:t>
      </w:r>
      <w:proofErr w:type="gramStart"/>
      <w:r w:rsidR="00235293">
        <w:t>back-end</w:t>
      </w:r>
      <w:proofErr w:type="gramEnd"/>
      <w:r w:rsidR="00235293">
        <w:t xml:space="preserve"> of the fuel cycle </w:t>
      </w:r>
      <w:r>
        <w:t>operate in nitric acid (0.01-10 mol/l) under reducing and highly oxidising conditions. The</w:t>
      </w:r>
      <w:r w:rsidR="00235293">
        <w:t>se</w:t>
      </w:r>
      <w:r>
        <w:t xml:space="preserve"> conditions are further complicated by trace to </w:t>
      </w:r>
      <w:proofErr w:type="gramStart"/>
      <w:r>
        <w:t>high-activities</w:t>
      </w:r>
      <w:proofErr w:type="gramEnd"/>
      <w:r>
        <w:t xml:space="preserve"> of radioactivity and radiation, which places further demands on materials and operating practices. </w:t>
      </w:r>
      <w:r w:rsidR="00104D82">
        <w:t xml:space="preserve">Radiolysis can lead to enhanced material degradation rates, such as </w:t>
      </w:r>
      <w:proofErr w:type="gramStart"/>
      <w:r w:rsidR="00104D82">
        <w:t>alpha-radiolysis</w:t>
      </w:r>
      <w:proofErr w:type="gramEnd"/>
      <w:r w:rsidR="00104D82">
        <w:t xml:space="preserve"> of </w:t>
      </w:r>
      <w:proofErr w:type="spellStart"/>
      <w:r w:rsidR="00104D82">
        <w:t>Nafion</w:t>
      </w:r>
      <w:proofErr w:type="spellEnd"/>
      <w:r w:rsidR="00104D82">
        <w:t xml:space="preserve"> separator. </w:t>
      </w:r>
      <w:r>
        <w:t>Radiolysis o</w:t>
      </w:r>
      <w:r w:rsidR="00104D82">
        <w:t>f</w:t>
      </w:r>
      <w:r>
        <w:t xml:space="preserve"> electrochemical processes can produce potentially flammable atmospheres so management of these hazards must also be considered. </w:t>
      </w:r>
    </w:p>
    <w:p w14:paraId="10318022" w14:textId="77777777" w:rsidR="00E423FD" w:rsidRDefault="00B22524" w:rsidP="000928BA">
      <w:pPr>
        <w:pStyle w:val="ListParagraph"/>
        <w:numPr>
          <w:ilvl w:val="0"/>
          <w:numId w:val="4"/>
        </w:numPr>
      </w:pPr>
      <w:r>
        <w:t xml:space="preserve">Decontamination process </w:t>
      </w:r>
      <w:r w:rsidR="00235293">
        <w:t>can be</w:t>
      </w:r>
      <w:r>
        <w:t xml:space="preserve"> carried out in dilute aqueous solutions, complexing </w:t>
      </w:r>
      <w:proofErr w:type="gramStart"/>
      <w:r>
        <w:t>media</w:t>
      </w:r>
      <w:proofErr w:type="gramEnd"/>
      <w:r>
        <w:t xml:space="preserve"> or highly acidic solutions. The radioactivity of items to be decontaminated could range from low contact handle items to high </w:t>
      </w:r>
      <w:r w:rsidR="00B504A9">
        <w:t xml:space="preserve">activity and radiation remote access. </w:t>
      </w:r>
    </w:p>
    <w:p w14:paraId="5EB65A7B" w14:textId="12F617D0" w:rsidR="0067617B" w:rsidRPr="00B22524" w:rsidRDefault="00E423FD" w:rsidP="000928BA">
      <w:pPr>
        <w:pStyle w:val="ListParagraph"/>
        <w:numPr>
          <w:ilvl w:val="0"/>
          <w:numId w:val="4"/>
        </w:numPr>
      </w:pPr>
      <w:r>
        <w:t>T</w:t>
      </w:r>
      <w:r w:rsidRPr="00E423FD">
        <w:t>here is an increasing interest in the use of molten salt in nuclear applications. These are typically at high temperatures, &gt;500</w:t>
      </w:r>
      <w:r>
        <w:t> </w:t>
      </w:r>
      <w:r>
        <w:sym w:font="Symbol" w:char="F0B0"/>
      </w:r>
      <w:r w:rsidRPr="00E423FD">
        <w:t>C and are very corrosive in the presence of oxygen and moisture. Handling such materials required specialist equipment and the ability to do this would be a significant advantage</w:t>
      </w:r>
      <w:r>
        <w:t>.</w:t>
      </w:r>
    </w:p>
    <w:p w14:paraId="733B19CE" w14:textId="65454993" w:rsidR="00B504A9" w:rsidRDefault="00B504A9" w:rsidP="00792F47">
      <w:pPr>
        <w:rPr>
          <w:sz w:val="18"/>
          <w:szCs w:val="18"/>
        </w:rPr>
      </w:pPr>
    </w:p>
    <w:p w14:paraId="4088A8D0" w14:textId="302ED59D" w:rsidR="00792F47" w:rsidRPr="004E058E" w:rsidRDefault="00390DCC" w:rsidP="00792F4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17" w:name="_Toc32227655"/>
      <w:bookmarkStart w:id="18" w:name="_Toc171415294"/>
      <w:r w:rsidRPr="004E058E">
        <w:rPr>
          <w:rFonts w:ascii="Verdana" w:hAnsi="Verdana"/>
          <w:szCs w:val="20"/>
        </w:rPr>
        <w:t>Mandatory Requirements</w:t>
      </w:r>
      <w:bookmarkEnd w:id="17"/>
      <w:bookmarkEnd w:id="18"/>
    </w:p>
    <w:p w14:paraId="71630CF1" w14:textId="0E193ACA" w:rsidR="00B504A9" w:rsidRDefault="00B504A9" w:rsidP="00AD6061">
      <w:r>
        <w:t xml:space="preserve">Essential requirements: </w:t>
      </w:r>
    </w:p>
    <w:p w14:paraId="75F32650" w14:textId="15B5295B" w:rsidR="00B504A9" w:rsidRDefault="00B504A9" w:rsidP="00B504A9">
      <w:pPr>
        <w:pStyle w:val="ListParagraph"/>
        <w:numPr>
          <w:ilvl w:val="0"/>
          <w:numId w:val="4"/>
        </w:numPr>
      </w:pPr>
      <w:r>
        <w:t>Technical expertise in electrochemical process development</w:t>
      </w:r>
      <w:r w:rsidR="00A5089F">
        <w:t xml:space="preserve"> and manufacture</w:t>
      </w:r>
      <w:r w:rsidR="00F2183C">
        <w:t>.</w:t>
      </w:r>
    </w:p>
    <w:p w14:paraId="10980444" w14:textId="4021C678" w:rsidR="00B504A9" w:rsidRDefault="00B504A9" w:rsidP="00B504A9">
      <w:pPr>
        <w:pStyle w:val="ListParagraph"/>
        <w:numPr>
          <w:ilvl w:val="0"/>
          <w:numId w:val="4"/>
        </w:numPr>
      </w:pPr>
      <w:r>
        <w:t>Proven track record at the conducting laboratory scale electrochemical experiments</w:t>
      </w:r>
      <w:r w:rsidR="00F2183C">
        <w:t>.</w:t>
      </w:r>
    </w:p>
    <w:p w14:paraId="5255DE79" w14:textId="2E887ADB" w:rsidR="00B504A9" w:rsidRDefault="00216042" w:rsidP="00B504A9">
      <w:pPr>
        <w:pStyle w:val="ListParagraph"/>
        <w:numPr>
          <w:ilvl w:val="0"/>
          <w:numId w:val="4"/>
        </w:numPr>
      </w:pPr>
      <w:r>
        <w:t>Facilities</w:t>
      </w:r>
      <w:r w:rsidR="00B504A9">
        <w:t xml:space="preserve">, </w:t>
      </w:r>
      <w:proofErr w:type="gramStart"/>
      <w:r w:rsidR="00B504A9">
        <w:t>equipment</w:t>
      </w:r>
      <w:proofErr w:type="gramEnd"/>
      <w:r w:rsidR="00B504A9">
        <w:t xml:space="preserve"> and personnel to carry out supporting analysis</w:t>
      </w:r>
      <w:r w:rsidR="00B85645">
        <w:t xml:space="preserve"> of samples</w:t>
      </w:r>
      <w:r w:rsidR="00F2183C">
        <w:t>.</w:t>
      </w:r>
    </w:p>
    <w:p w14:paraId="688A9153" w14:textId="4F1CC97C" w:rsidR="00B504A9" w:rsidRDefault="00B504A9" w:rsidP="00B504A9">
      <w:pPr>
        <w:pStyle w:val="ListParagraph"/>
        <w:numPr>
          <w:ilvl w:val="0"/>
          <w:numId w:val="4"/>
        </w:numPr>
      </w:pPr>
      <w:r>
        <w:t xml:space="preserve">Proven </w:t>
      </w:r>
      <w:r w:rsidR="00216042">
        <w:t>track</w:t>
      </w:r>
      <w:r>
        <w:t xml:space="preserve"> record </w:t>
      </w:r>
      <w:r w:rsidR="00216042">
        <w:t xml:space="preserve">of </w:t>
      </w:r>
      <w:r>
        <w:t>scale up of electrochemical equipment, testing and deployment</w:t>
      </w:r>
      <w:r w:rsidR="00F2183C">
        <w:t>.</w:t>
      </w:r>
    </w:p>
    <w:p w14:paraId="3FE397A6" w14:textId="214E8204" w:rsidR="00B504A9" w:rsidRDefault="00B504A9" w:rsidP="00B504A9">
      <w:pPr>
        <w:pStyle w:val="ListParagraph"/>
        <w:numPr>
          <w:ilvl w:val="0"/>
          <w:numId w:val="4"/>
        </w:numPr>
      </w:pPr>
      <w:r>
        <w:t>Technical staff to carry out technical review of electrochemical application or process</w:t>
      </w:r>
      <w:r w:rsidR="00F2183C">
        <w:t>.</w:t>
      </w:r>
    </w:p>
    <w:p w14:paraId="193D96F2" w14:textId="21EC96D1" w:rsidR="00B504A9" w:rsidRDefault="005A7EDC" w:rsidP="00B504A9">
      <w:pPr>
        <w:pStyle w:val="ListParagraph"/>
        <w:numPr>
          <w:ilvl w:val="0"/>
          <w:numId w:val="4"/>
        </w:numPr>
      </w:pPr>
      <w:r>
        <w:t xml:space="preserve">Demonstrable expertise to lead or contribute to </w:t>
      </w:r>
      <w:r w:rsidR="00B504A9">
        <w:t xml:space="preserve">in engineering and safety case development process. </w:t>
      </w:r>
    </w:p>
    <w:p w14:paraId="2F806873" w14:textId="6C33DBF7" w:rsidR="00B504A9" w:rsidRDefault="00B504A9" w:rsidP="00B504A9">
      <w:pPr>
        <w:rPr>
          <w:sz w:val="18"/>
          <w:szCs w:val="18"/>
          <w:highlight w:val="cyan"/>
        </w:rPr>
      </w:pPr>
    </w:p>
    <w:p w14:paraId="26DB3772" w14:textId="60B8B5FE" w:rsidR="00792F47" w:rsidRPr="00514BD1" w:rsidRDefault="00155528" w:rsidP="00792F47">
      <w:pPr>
        <w:pStyle w:val="Heading1Numbered-NNL"/>
        <w:pageBreakBefore w:val="0"/>
        <w:rPr>
          <w:rFonts w:ascii="Verdana" w:hAnsi="Verdana"/>
          <w:color w:val="auto"/>
          <w:sz w:val="20"/>
          <w:szCs w:val="20"/>
        </w:rPr>
      </w:pPr>
      <w:bookmarkStart w:id="19" w:name="_Toc32227677"/>
      <w:r>
        <w:rPr>
          <w:rFonts w:ascii="Verdana" w:hAnsi="Verdana"/>
          <w:color w:val="auto"/>
          <w:sz w:val="20"/>
          <w:szCs w:val="20"/>
        </w:rPr>
        <w:br w:type="column"/>
      </w:r>
      <w:bookmarkStart w:id="20" w:name="_Toc171415295"/>
      <w:r w:rsidR="00390DCC" w:rsidRPr="00514BD1">
        <w:rPr>
          <w:rFonts w:ascii="Verdana" w:hAnsi="Verdana"/>
          <w:color w:val="auto"/>
          <w:sz w:val="20"/>
          <w:szCs w:val="20"/>
        </w:rPr>
        <w:lastRenderedPageBreak/>
        <w:t>Other Requirements</w:t>
      </w:r>
      <w:bookmarkEnd w:id="19"/>
      <w:bookmarkEnd w:id="20"/>
    </w:p>
    <w:p w14:paraId="42EAC4FA" w14:textId="77777777" w:rsidR="00792F47" w:rsidRDefault="00390DCC" w:rsidP="00792F47">
      <w:pPr>
        <w:pStyle w:val="Heading2Numbered-NNL"/>
        <w:tabs>
          <w:tab w:val="left" w:pos="851"/>
        </w:tabs>
        <w:rPr>
          <w:rFonts w:ascii="Verdana" w:hAnsi="Verdana"/>
          <w:szCs w:val="20"/>
        </w:rPr>
      </w:pPr>
      <w:bookmarkStart w:id="21" w:name="_Toc32227678"/>
      <w:bookmarkStart w:id="22" w:name="_Toc171415296"/>
      <w:r w:rsidRPr="00514BD1">
        <w:rPr>
          <w:rFonts w:ascii="Verdana" w:hAnsi="Verdana"/>
          <w:szCs w:val="20"/>
        </w:rPr>
        <w:t>Security</w:t>
      </w:r>
      <w:bookmarkEnd w:id="21"/>
      <w:bookmarkEnd w:id="22"/>
    </w:p>
    <w:p w14:paraId="313E1974" w14:textId="46CF2C42" w:rsidR="00E423FD" w:rsidRPr="00E423FD" w:rsidRDefault="00E423FD" w:rsidP="00E423FD">
      <w:r>
        <w:t>Some projects may require clearance</w:t>
      </w:r>
      <w:r w:rsidR="00155528">
        <w:t>, for these cases the willingness of the contracting company to undergo security clearance will be essential.</w:t>
      </w:r>
    </w:p>
    <w:p w14:paraId="4CBA5083" w14:textId="77777777" w:rsidR="009425D1" w:rsidRDefault="009425D1" w:rsidP="00792F47">
      <w:pPr>
        <w:tabs>
          <w:tab w:val="left" w:pos="851"/>
        </w:tabs>
        <w:rPr>
          <w:sz w:val="18"/>
          <w:szCs w:val="18"/>
        </w:rPr>
      </w:pPr>
    </w:p>
    <w:p w14:paraId="30A86F5C" w14:textId="00BC722B" w:rsidR="00155528" w:rsidRPr="00104D82" w:rsidRDefault="00390DCC" w:rsidP="00155528">
      <w:pPr>
        <w:pStyle w:val="Heading2Numbered-NNL"/>
        <w:rPr>
          <w:rFonts w:ascii="Verdana" w:hAnsi="Verdana"/>
        </w:rPr>
      </w:pPr>
      <w:bookmarkStart w:id="23" w:name="_Toc171415297"/>
      <w:r w:rsidRPr="00104D82">
        <w:rPr>
          <w:rFonts w:ascii="Verdana" w:hAnsi="Verdana"/>
        </w:rPr>
        <w:t>Maintenance / servicing requirements</w:t>
      </w:r>
      <w:bookmarkEnd w:id="23"/>
    </w:p>
    <w:p w14:paraId="2D93FC73" w14:textId="55094C15" w:rsidR="00155528" w:rsidRPr="00155528" w:rsidRDefault="00155528" w:rsidP="00792F47">
      <w:pPr>
        <w:tabs>
          <w:tab w:val="left" w:pos="851"/>
        </w:tabs>
      </w:pPr>
      <w:r>
        <w:t>A key aspect of the development sustainable solutions is to do develop solutions that fore fill the service lifetime and be maintainable.</w:t>
      </w:r>
    </w:p>
    <w:p w14:paraId="677780AF" w14:textId="77777777" w:rsidR="007F5515" w:rsidRDefault="007F5515" w:rsidP="00792F47">
      <w:pPr>
        <w:tabs>
          <w:tab w:val="left" w:pos="851"/>
        </w:tabs>
        <w:rPr>
          <w:sz w:val="18"/>
          <w:szCs w:val="18"/>
        </w:rPr>
      </w:pPr>
    </w:p>
    <w:sectPr w:rsidR="007F5515" w:rsidSect="00104D82">
      <w:type w:val="continuous"/>
      <w:pgSz w:w="11906" w:h="16838" w:code="9"/>
      <w:pgMar w:top="567" w:right="851" w:bottom="851" w:left="851" w:header="567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EFBCF" w14:textId="77777777" w:rsidR="00104D82" w:rsidRDefault="00104D82">
      <w:r>
        <w:separator/>
      </w:r>
    </w:p>
  </w:endnote>
  <w:endnote w:type="continuationSeparator" w:id="0">
    <w:p w14:paraId="2A8F3471" w14:textId="77777777" w:rsidR="00104D82" w:rsidRDefault="00104D82">
      <w:r>
        <w:continuationSeparator/>
      </w:r>
    </w:p>
  </w:endnote>
  <w:endnote w:type="continuationNotice" w:id="1">
    <w:p w14:paraId="3B92FCD8" w14:textId="77777777" w:rsidR="00104D82" w:rsidRDefault="00104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C8D6" w14:textId="77777777" w:rsidR="002B02FA" w:rsidRDefault="002B0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015"/>
      <w:gridCol w:w="5081"/>
    </w:tblGrid>
    <w:tr w:rsidR="00D35329" w14:paraId="6DD9E96E" w14:textId="77777777" w:rsidTr="009630EB">
      <w:tc>
        <w:tcPr>
          <w:tcW w:w="5102" w:type="dxa"/>
        </w:tcPr>
        <w:p w14:paraId="34E34C5C" w14:textId="77777777" w:rsidR="00C12291" w:rsidRDefault="00C12291" w:rsidP="009630EB">
          <w:pPr>
            <w:pStyle w:val="Footer"/>
          </w:pPr>
        </w:p>
      </w:tc>
      <w:tc>
        <w:tcPr>
          <w:tcW w:w="5158" w:type="dxa"/>
        </w:tcPr>
        <w:p w14:paraId="0EF526B0" w14:textId="77777777" w:rsidR="00C12291" w:rsidRPr="002E7106" w:rsidRDefault="00390DCC" w:rsidP="009630EB">
          <w:pPr>
            <w:pStyle w:val="Footer"/>
            <w:jc w:val="right"/>
            <w:rPr>
              <w:sz w:val="18"/>
              <w:szCs w:val="18"/>
            </w:rPr>
          </w:pP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prqdocnumber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IMS-PROC-TEM-IN2A</w:t>
          </w:r>
          <w:r w:rsidRPr="002E7106">
            <w:rPr>
              <w:sz w:val="18"/>
              <w:szCs w:val="18"/>
            </w:rPr>
            <w:fldChar w:fldCharType="end"/>
          </w:r>
          <w:r w:rsidRPr="002E7106">
            <w:rPr>
              <w:sz w:val="18"/>
              <w:szCs w:val="18"/>
            </w:rPr>
            <w:t xml:space="preserve"> </w:t>
          </w:r>
          <w:r w:rsidR="005B04B6">
            <w:rPr>
              <w:sz w:val="18"/>
              <w:szCs w:val="18"/>
            </w:rPr>
            <w:t xml:space="preserve"> </w:t>
          </w:r>
          <w:r w:rsidRPr="002E7106">
            <w:rPr>
              <w:sz w:val="18"/>
              <w:szCs w:val="18"/>
            </w:rPr>
            <w:t>v</w:t>
          </w: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prqdocissue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3</w:t>
          </w:r>
          <w:r w:rsidRPr="002E7106">
            <w:rPr>
              <w:sz w:val="18"/>
              <w:szCs w:val="18"/>
            </w:rPr>
            <w:fldChar w:fldCharType="end"/>
          </w:r>
        </w:p>
      </w:tc>
    </w:tr>
  </w:tbl>
  <w:p w14:paraId="5BDD0357" w14:textId="77777777" w:rsidR="00C12291" w:rsidRPr="005D6CA4" w:rsidRDefault="00C12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015"/>
      <w:gridCol w:w="5081"/>
    </w:tblGrid>
    <w:tr w:rsidR="00D35329" w14:paraId="40ACC080" w14:textId="77777777" w:rsidTr="009630EB">
      <w:tc>
        <w:tcPr>
          <w:tcW w:w="5102" w:type="dxa"/>
        </w:tcPr>
        <w:p w14:paraId="31F957D1" w14:textId="77777777" w:rsidR="00C12291" w:rsidRDefault="00C12291" w:rsidP="009630EB">
          <w:pPr>
            <w:pStyle w:val="Footer"/>
          </w:pPr>
        </w:p>
      </w:tc>
      <w:tc>
        <w:tcPr>
          <w:tcW w:w="5158" w:type="dxa"/>
        </w:tcPr>
        <w:p w14:paraId="45AAB349" w14:textId="77777777" w:rsidR="00C12291" w:rsidRPr="002E7106" w:rsidRDefault="00390DCC" w:rsidP="009630EB">
          <w:pPr>
            <w:pStyle w:val="Footer"/>
            <w:jc w:val="right"/>
            <w:rPr>
              <w:sz w:val="18"/>
              <w:szCs w:val="18"/>
            </w:rPr>
          </w:pP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prqdocnumber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IMS-PROC-TEM-IN2A</w:t>
          </w:r>
          <w:r w:rsidRPr="002E7106">
            <w:rPr>
              <w:sz w:val="18"/>
              <w:szCs w:val="18"/>
            </w:rPr>
            <w:fldChar w:fldCharType="end"/>
          </w:r>
          <w:r w:rsidRPr="002E7106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2E7106">
            <w:rPr>
              <w:sz w:val="18"/>
              <w:szCs w:val="18"/>
            </w:rPr>
            <w:t>v</w:t>
          </w: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prqdocissue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3</w:t>
          </w:r>
          <w:r w:rsidRPr="002E7106">
            <w:rPr>
              <w:sz w:val="18"/>
              <w:szCs w:val="18"/>
            </w:rPr>
            <w:fldChar w:fldCharType="end"/>
          </w:r>
        </w:p>
      </w:tc>
    </w:tr>
  </w:tbl>
  <w:p w14:paraId="3E61C531" w14:textId="77777777" w:rsidR="00C12291" w:rsidRPr="005D6CA4" w:rsidRDefault="00C122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011"/>
      <w:gridCol w:w="5085"/>
    </w:tblGrid>
    <w:tr w:rsidR="00D35329" w14:paraId="0CC40302" w14:textId="77777777" w:rsidTr="009630EB">
      <w:tc>
        <w:tcPr>
          <w:tcW w:w="5102" w:type="dxa"/>
        </w:tcPr>
        <w:p w14:paraId="6EB616C5" w14:textId="77777777" w:rsidR="00792F47" w:rsidRDefault="00792F47" w:rsidP="009630EB">
          <w:pPr>
            <w:pStyle w:val="Footer"/>
          </w:pPr>
        </w:p>
      </w:tc>
      <w:tc>
        <w:tcPr>
          <w:tcW w:w="5158" w:type="dxa"/>
        </w:tcPr>
        <w:p w14:paraId="5A9477C7" w14:textId="77777777" w:rsidR="00792F47" w:rsidRPr="002E7106" w:rsidRDefault="00390DCC" w:rsidP="009630EB">
          <w:pPr>
            <w:pStyle w:val="Footer"/>
            <w:jc w:val="right"/>
            <w:rPr>
              <w:sz w:val="18"/>
              <w:szCs w:val="18"/>
            </w:rPr>
          </w:pP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prqdocnumber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IMS-PROC-TEM-IN2A</w:t>
          </w:r>
          <w:r w:rsidRPr="002E7106"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>PROC-TEM-IN2A</w:t>
          </w:r>
          <w:r w:rsidRPr="002E7106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2E7106">
            <w:rPr>
              <w:sz w:val="18"/>
              <w:szCs w:val="18"/>
            </w:rPr>
            <w:t>v</w:t>
          </w:r>
          <w:r>
            <w:rPr>
              <w:sz w:val="18"/>
              <w:szCs w:val="18"/>
            </w:rPr>
            <w:t>1</w:t>
          </w:r>
        </w:p>
      </w:tc>
    </w:tr>
  </w:tbl>
  <w:p w14:paraId="56B424EA" w14:textId="77777777" w:rsidR="00792F47" w:rsidRPr="005D6CA4" w:rsidRDefault="00792F4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015"/>
      <w:gridCol w:w="5081"/>
    </w:tblGrid>
    <w:tr w:rsidR="00D35329" w14:paraId="21E39C9A" w14:textId="77777777" w:rsidTr="009630EB">
      <w:tc>
        <w:tcPr>
          <w:tcW w:w="5102" w:type="dxa"/>
        </w:tcPr>
        <w:p w14:paraId="3957FE24" w14:textId="77777777" w:rsidR="00792F47" w:rsidRDefault="00792F47" w:rsidP="009630EB">
          <w:pPr>
            <w:pStyle w:val="Footer"/>
          </w:pPr>
        </w:p>
      </w:tc>
      <w:tc>
        <w:tcPr>
          <w:tcW w:w="5158" w:type="dxa"/>
        </w:tcPr>
        <w:p w14:paraId="7FBD72A2" w14:textId="77777777" w:rsidR="00792F47" w:rsidRPr="002E7106" w:rsidRDefault="00390DCC" w:rsidP="009630EB">
          <w:pPr>
            <w:pStyle w:val="Footer"/>
            <w:jc w:val="right"/>
            <w:rPr>
              <w:sz w:val="18"/>
              <w:szCs w:val="18"/>
            </w:rPr>
          </w:pP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prqdocnumber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IMS-PROC-TEM-IN2A</w:t>
          </w:r>
          <w:r w:rsidRPr="002E7106">
            <w:rPr>
              <w:sz w:val="18"/>
              <w:szCs w:val="18"/>
            </w:rPr>
            <w:fldChar w:fldCharType="end"/>
          </w:r>
          <w:r w:rsidRPr="002E7106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2E7106">
            <w:rPr>
              <w:sz w:val="18"/>
              <w:szCs w:val="18"/>
            </w:rPr>
            <w:t>v</w:t>
          </w:r>
          <w:r w:rsidRPr="002E7106">
            <w:rPr>
              <w:sz w:val="18"/>
              <w:szCs w:val="18"/>
            </w:rPr>
            <w:fldChar w:fldCharType="begin"/>
          </w:r>
          <w:r w:rsidRPr="002E7106">
            <w:rPr>
              <w:sz w:val="18"/>
              <w:szCs w:val="18"/>
            </w:rPr>
            <w:instrText xml:space="preserve"> DOCPROPERTY  prqdocissue  \* MERGEFORMAT </w:instrText>
          </w:r>
          <w:r w:rsidRPr="002E7106"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3</w:t>
          </w:r>
          <w:r w:rsidRPr="002E7106">
            <w:rPr>
              <w:sz w:val="18"/>
              <w:szCs w:val="18"/>
            </w:rPr>
            <w:fldChar w:fldCharType="end"/>
          </w:r>
        </w:p>
      </w:tc>
    </w:tr>
  </w:tbl>
  <w:p w14:paraId="33FB7B37" w14:textId="77777777" w:rsidR="00792F47" w:rsidRPr="005D6CA4" w:rsidRDefault="007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1EE5A" w14:textId="77777777" w:rsidR="00104D82" w:rsidRDefault="00104D82">
      <w:r>
        <w:separator/>
      </w:r>
    </w:p>
  </w:footnote>
  <w:footnote w:type="continuationSeparator" w:id="0">
    <w:p w14:paraId="46078F5D" w14:textId="77777777" w:rsidR="00104D82" w:rsidRDefault="00104D82">
      <w:r>
        <w:continuationSeparator/>
      </w:r>
    </w:p>
  </w:footnote>
  <w:footnote w:type="continuationNotice" w:id="1">
    <w:p w14:paraId="53ADA86F" w14:textId="77777777" w:rsidR="00104D82" w:rsidRDefault="00104D82"/>
  </w:footnote>
  <w:footnote w:id="2">
    <w:p w14:paraId="6324281F" w14:textId="7BAAF704" w:rsidR="001B7A97" w:rsidRDefault="001B7A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32E01">
          <w:rPr>
            <w:rStyle w:val="Hyperlink"/>
          </w:rPr>
          <w:t>https://www.gov.uk/government/publications/united-kingdom-security-vetting-clearance-levels/national-security-vetting-clearance-levels</w:t>
        </w:r>
      </w:hyperlink>
      <w:r>
        <w:t xml:space="preserve"> e.g. BPSS.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944BD" w14:textId="77777777" w:rsidR="002B02FA" w:rsidRDefault="002B0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193"/>
      <w:gridCol w:w="3903"/>
    </w:tblGrid>
    <w:tr w:rsidR="00D35329" w14:paraId="758614A9" w14:textId="77777777" w:rsidTr="00E42D53">
      <w:trPr>
        <w:trHeight w:val="354"/>
      </w:trPr>
      <w:tc>
        <w:tcPr>
          <w:tcW w:w="6300" w:type="dxa"/>
          <w:tcBorders>
            <w:bottom w:val="single" w:sz="4" w:space="0" w:color="auto"/>
          </w:tcBorders>
        </w:tcPr>
        <w:p w14:paraId="390CA7C4" w14:textId="77777777" w:rsidR="00C12291" w:rsidRPr="002E7106" w:rsidRDefault="00C12291" w:rsidP="002E7106">
          <w:pPr>
            <w:pStyle w:val="Header"/>
            <w:spacing w:after="60"/>
            <w:rPr>
              <w:b/>
              <w:sz w:val="28"/>
              <w:szCs w:val="28"/>
            </w:rPr>
          </w:pPr>
        </w:p>
      </w:tc>
      <w:tc>
        <w:tcPr>
          <w:tcW w:w="3960" w:type="dxa"/>
          <w:tcBorders>
            <w:bottom w:val="single" w:sz="4" w:space="0" w:color="auto"/>
          </w:tcBorders>
        </w:tcPr>
        <w:p w14:paraId="358CCC4A" w14:textId="77777777" w:rsidR="00C12291" w:rsidRPr="002E7106" w:rsidRDefault="00390DCC" w:rsidP="002E7106">
          <w:pPr>
            <w:pStyle w:val="Header"/>
            <w:jc w:val="right"/>
          </w:pPr>
          <w:r w:rsidRPr="002E7106">
            <w:t xml:space="preserve">Page </w:t>
          </w:r>
          <w:r w:rsidRPr="002E7106">
            <w:fldChar w:fldCharType="begin"/>
          </w:r>
          <w:r w:rsidRPr="002E7106">
            <w:instrText xml:space="preserve"> PAGE </w:instrText>
          </w:r>
          <w:r w:rsidRPr="002E7106">
            <w:fldChar w:fldCharType="separate"/>
          </w:r>
          <w:r w:rsidR="005E56CE">
            <w:rPr>
              <w:noProof/>
            </w:rPr>
            <w:t>2</w:t>
          </w:r>
          <w:r w:rsidRPr="002E7106">
            <w:fldChar w:fldCharType="end"/>
          </w:r>
          <w:r w:rsidRPr="002E7106">
            <w:t xml:space="preserve"> of </w:t>
          </w:r>
          <w:r w:rsidR="00216042">
            <w:fldChar w:fldCharType="begin"/>
          </w:r>
          <w:r w:rsidR="00216042">
            <w:instrText xml:space="preserve"> NUMPAGES </w:instrText>
          </w:r>
          <w:r w:rsidR="00216042">
            <w:fldChar w:fldCharType="separate"/>
          </w:r>
          <w:r w:rsidR="005E56CE">
            <w:rPr>
              <w:noProof/>
            </w:rPr>
            <w:t>1</w:t>
          </w:r>
          <w:r w:rsidR="00216042">
            <w:rPr>
              <w:noProof/>
            </w:rPr>
            <w:fldChar w:fldCharType="end"/>
          </w:r>
        </w:p>
      </w:tc>
    </w:tr>
  </w:tbl>
  <w:p w14:paraId="33D3992C" w14:textId="77777777" w:rsidR="00C12291" w:rsidRPr="001A4DDE" w:rsidRDefault="00C12291" w:rsidP="001A4D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76"/>
      <w:gridCol w:w="4185"/>
    </w:tblGrid>
    <w:tr w:rsidR="00D35329" w14:paraId="7EA76A9B" w14:textId="77777777" w:rsidTr="009630EB">
      <w:trPr>
        <w:trHeight w:val="184"/>
      </w:trPr>
      <w:tc>
        <w:tcPr>
          <w:tcW w:w="10261" w:type="dxa"/>
          <w:gridSpan w:val="2"/>
        </w:tcPr>
        <w:p w14:paraId="56CFD83C" w14:textId="77777777" w:rsidR="00C12291" w:rsidRPr="008E2A35" w:rsidRDefault="00C12291" w:rsidP="009630EB">
          <w:pPr>
            <w:pStyle w:val="Header"/>
            <w:jc w:val="center"/>
            <w:rPr>
              <w:noProof/>
              <w:color w:val="FF0000"/>
              <w:sz w:val="16"/>
              <w:szCs w:val="16"/>
            </w:rPr>
          </w:pPr>
        </w:p>
      </w:tc>
    </w:tr>
    <w:tr w:rsidR="00D35329" w14:paraId="14957857" w14:textId="77777777" w:rsidTr="009630EB">
      <w:trPr>
        <w:trHeight w:val="344"/>
      </w:trPr>
      <w:tc>
        <w:tcPr>
          <w:tcW w:w="6076" w:type="dxa"/>
        </w:tcPr>
        <w:p w14:paraId="77B1C354" w14:textId="77777777" w:rsidR="00C12291" w:rsidRPr="002E7106" w:rsidRDefault="00C12291" w:rsidP="009630EB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4185" w:type="dxa"/>
          <w:vMerge w:val="restart"/>
        </w:tcPr>
        <w:p w14:paraId="799F53A4" w14:textId="77777777" w:rsidR="00C12291" w:rsidRDefault="00390DCC" w:rsidP="009630E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54771CC" wp14:editId="30E57C3F">
                <wp:extent cx="2533650" cy="847725"/>
                <wp:effectExtent l="0" t="0" r="0" b="0"/>
                <wp:docPr id="2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22985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58AA98" w14:textId="77777777" w:rsidR="00EF7963" w:rsidRPr="002E7106" w:rsidRDefault="00EF7963" w:rsidP="009630EB">
          <w:pPr>
            <w:pStyle w:val="Header"/>
          </w:pPr>
        </w:p>
      </w:tc>
    </w:tr>
    <w:bookmarkStart w:id="0" w:name="_Hlk161659416"/>
    <w:tr w:rsidR="00D35329" w14:paraId="62C8465E" w14:textId="77777777" w:rsidTr="009630EB">
      <w:trPr>
        <w:trHeight w:val="345"/>
      </w:trPr>
      <w:tc>
        <w:tcPr>
          <w:tcW w:w="6076" w:type="dxa"/>
          <w:vMerge w:val="restart"/>
          <w:vAlign w:val="center"/>
        </w:tcPr>
        <w:p w14:paraId="45366378" w14:textId="77777777" w:rsidR="00C12291" w:rsidRPr="00026DE6" w:rsidRDefault="00390DCC" w:rsidP="009630EB">
          <w:pPr>
            <w:pStyle w:val="Header"/>
            <w:jc w:val="center"/>
            <w:rPr>
              <w:b/>
              <w:szCs w:val="24"/>
            </w:rPr>
          </w:pPr>
          <w:r w:rsidRPr="00026DE6">
            <w:rPr>
              <w:b/>
              <w:szCs w:val="24"/>
            </w:rPr>
            <w:fldChar w:fldCharType="begin"/>
          </w:r>
          <w:r w:rsidRPr="00026DE6">
            <w:rPr>
              <w:b/>
              <w:szCs w:val="24"/>
            </w:rPr>
            <w:instrText xml:space="preserve"> DOCPROPERTY  prqdoctitle  \* MERGEFORMAT </w:instrText>
          </w:r>
          <w:r w:rsidRPr="00026DE6">
            <w:rPr>
              <w:b/>
              <w:szCs w:val="24"/>
            </w:rPr>
            <w:fldChar w:fldCharType="separate"/>
          </w:r>
          <w:r>
            <w:rPr>
              <w:b/>
              <w:szCs w:val="24"/>
            </w:rPr>
            <w:t>Procurement Specification - Technical Requirements</w:t>
          </w:r>
          <w:r w:rsidRPr="00026DE6">
            <w:rPr>
              <w:b/>
              <w:szCs w:val="24"/>
            </w:rPr>
            <w:fldChar w:fldCharType="end"/>
          </w:r>
          <w:bookmarkEnd w:id="0"/>
        </w:p>
      </w:tc>
      <w:tc>
        <w:tcPr>
          <w:tcW w:w="4185" w:type="dxa"/>
          <w:vMerge/>
        </w:tcPr>
        <w:p w14:paraId="5292BF78" w14:textId="77777777" w:rsidR="00C12291" w:rsidRPr="002E7106" w:rsidRDefault="00C12291" w:rsidP="009630EB">
          <w:pPr>
            <w:pStyle w:val="Header"/>
          </w:pPr>
        </w:p>
      </w:tc>
    </w:tr>
    <w:tr w:rsidR="00D35329" w14:paraId="4D1C537B" w14:textId="77777777" w:rsidTr="009630EB">
      <w:trPr>
        <w:trHeight w:val="223"/>
      </w:trPr>
      <w:tc>
        <w:tcPr>
          <w:tcW w:w="6076" w:type="dxa"/>
          <w:vMerge/>
          <w:tcBorders>
            <w:bottom w:val="single" w:sz="4" w:space="0" w:color="auto"/>
          </w:tcBorders>
        </w:tcPr>
        <w:p w14:paraId="384073F1" w14:textId="77777777" w:rsidR="00C12291" w:rsidRPr="002E7106" w:rsidRDefault="00C12291" w:rsidP="009630EB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4185" w:type="dxa"/>
          <w:tcBorders>
            <w:bottom w:val="single" w:sz="4" w:space="0" w:color="auto"/>
          </w:tcBorders>
        </w:tcPr>
        <w:p w14:paraId="1BACBEB1" w14:textId="77777777" w:rsidR="00C12291" w:rsidRPr="002E7106" w:rsidRDefault="00390DCC" w:rsidP="009630EB">
          <w:pPr>
            <w:pStyle w:val="Header"/>
            <w:spacing w:after="60"/>
            <w:jc w:val="right"/>
          </w:pPr>
          <w:r w:rsidRPr="002E7106">
            <w:t xml:space="preserve">Page </w:t>
          </w:r>
          <w:r w:rsidRPr="002E7106">
            <w:fldChar w:fldCharType="begin"/>
          </w:r>
          <w:r w:rsidRPr="002E7106">
            <w:instrText xml:space="preserve"> PAGE </w:instrText>
          </w:r>
          <w:r w:rsidRPr="002E7106">
            <w:fldChar w:fldCharType="separate"/>
          </w:r>
          <w:r w:rsidRPr="002E7106">
            <w:t>1</w:t>
          </w:r>
          <w:r w:rsidRPr="002E7106">
            <w:fldChar w:fldCharType="end"/>
          </w:r>
          <w:r w:rsidRPr="002E7106">
            <w:t xml:space="preserve"> of </w:t>
          </w:r>
          <w:r w:rsidR="00216042">
            <w:fldChar w:fldCharType="begin"/>
          </w:r>
          <w:r w:rsidR="00216042">
            <w:instrText xml:space="preserve"> NUMPAGES </w:instrText>
          </w:r>
          <w:r w:rsidR="00216042">
            <w:fldChar w:fldCharType="separate"/>
          </w:r>
          <w:r w:rsidRPr="002E7106">
            <w:t>9</w:t>
          </w:r>
          <w:r w:rsidR="00216042">
            <w:fldChar w:fldCharType="end"/>
          </w:r>
        </w:p>
      </w:tc>
    </w:tr>
  </w:tbl>
  <w:p w14:paraId="52BB84F4" w14:textId="77777777" w:rsidR="00C12291" w:rsidRPr="00EF7963" w:rsidRDefault="00C12291" w:rsidP="00EF7963">
    <w:pPr>
      <w:pStyle w:val="Header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193"/>
      <w:gridCol w:w="3903"/>
    </w:tblGrid>
    <w:tr w:rsidR="00D35329" w14:paraId="2DC0893B" w14:textId="77777777" w:rsidTr="00E42D53">
      <w:trPr>
        <w:trHeight w:val="354"/>
      </w:trPr>
      <w:tc>
        <w:tcPr>
          <w:tcW w:w="6300" w:type="dxa"/>
          <w:tcBorders>
            <w:bottom w:val="single" w:sz="4" w:space="0" w:color="auto"/>
          </w:tcBorders>
        </w:tcPr>
        <w:p w14:paraId="15DEB4C7" w14:textId="77777777" w:rsidR="00792F47" w:rsidRPr="002E7106" w:rsidRDefault="00792F47" w:rsidP="002E7106">
          <w:pPr>
            <w:pStyle w:val="Header"/>
            <w:spacing w:after="60"/>
            <w:rPr>
              <w:b/>
              <w:sz w:val="28"/>
              <w:szCs w:val="28"/>
            </w:rPr>
          </w:pPr>
        </w:p>
      </w:tc>
      <w:tc>
        <w:tcPr>
          <w:tcW w:w="3960" w:type="dxa"/>
          <w:tcBorders>
            <w:bottom w:val="single" w:sz="4" w:space="0" w:color="auto"/>
          </w:tcBorders>
        </w:tcPr>
        <w:p w14:paraId="1BC9F4C9" w14:textId="77777777" w:rsidR="00792F47" w:rsidRPr="002E7106" w:rsidRDefault="00390DCC" w:rsidP="002E7106">
          <w:pPr>
            <w:pStyle w:val="Header"/>
            <w:jc w:val="right"/>
          </w:pPr>
          <w:r w:rsidRPr="002E7106">
            <w:t xml:space="preserve">Page </w:t>
          </w:r>
          <w:r w:rsidRPr="002E7106">
            <w:fldChar w:fldCharType="begin"/>
          </w:r>
          <w:r w:rsidRPr="002E7106">
            <w:instrText xml:space="preserve"> PAGE </w:instrText>
          </w:r>
          <w:r w:rsidRPr="002E7106">
            <w:fldChar w:fldCharType="separate"/>
          </w:r>
          <w:r w:rsidRPr="002E7106">
            <w:t>9</w:t>
          </w:r>
          <w:r w:rsidRPr="002E7106">
            <w:fldChar w:fldCharType="end"/>
          </w:r>
          <w:r w:rsidRPr="002E7106">
            <w:t xml:space="preserve"> of </w:t>
          </w:r>
          <w:r w:rsidR="00216042">
            <w:fldChar w:fldCharType="begin"/>
          </w:r>
          <w:r w:rsidR="00216042">
            <w:instrText xml:space="preserve"> NUMPAGES </w:instrText>
          </w:r>
          <w:r w:rsidR="00216042">
            <w:fldChar w:fldCharType="separate"/>
          </w:r>
          <w:r w:rsidRPr="002E7106">
            <w:t>9</w:t>
          </w:r>
          <w:r w:rsidR="00216042">
            <w:fldChar w:fldCharType="end"/>
          </w:r>
        </w:p>
      </w:tc>
    </w:tr>
  </w:tbl>
  <w:sdt>
    <w:sdtPr>
      <w:rPr>
        <w:sz w:val="18"/>
        <w:szCs w:val="18"/>
      </w:rPr>
      <w:id w:val="304283479"/>
      <w:docPartObj>
        <w:docPartGallery w:val="Watermarks"/>
        <w:docPartUnique/>
      </w:docPartObj>
    </w:sdtPr>
    <w:sdtContent>
      <w:p w14:paraId="4E5D577A" w14:textId="11F898FB" w:rsidR="00792F47" w:rsidRPr="001A4DDE" w:rsidRDefault="002B02FA" w:rsidP="001A4DDE">
        <w:pPr>
          <w:pStyle w:val="Header"/>
          <w:rPr>
            <w:sz w:val="18"/>
            <w:szCs w:val="18"/>
          </w:rPr>
        </w:pPr>
        <w:r w:rsidRPr="002B02FA">
          <w:rPr>
            <w:noProof/>
            <w:sz w:val="18"/>
            <w:szCs w:val="18"/>
          </w:rPr>
          <w:pict w14:anchorId="04039A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76"/>
      <w:gridCol w:w="4185"/>
    </w:tblGrid>
    <w:tr w:rsidR="00D35329" w14:paraId="253BA4B9" w14:textId="77777777" w:rsidTr="009630EB">
      <w:trPr>
        <w:trHeight w:val="184"/>
      </w:trPr>
      <w:tc>
        <w:tcPr>
          <w:tcW w:w="10261" w:type="dxa"/>
          <w:gridSpan w:val="2"/>
        </w:tcPr>
        <w:p w14:paraId="067DDAB2" w14:textId="77777777" w:rsidR="00792F47" w:rsidRPr="008E2A35" w:rsidRDefault="00792F47" w:rsidP="009630EB">
          <w:pPr>
            <w:pStyle w:val="Header"/>
            <w:jc w:val="center"/>
            <w:rPr>
              <w:noProof/>
              <w:color w:val="FF0000"/>
              <w:sz w:val="16"/>
              <w:szCs w:val="16"/>
            </w:rPr>
          </w:pPr>
        </w:p>
      </w:tc>
    </w:tr>
    <w:tr w:rsidR="00D35329" w14:paraId="20169D79" w14:textId="77777777" w:rsidTr="009630EB">
      <w:trPr>
        <w:trHeight w:val="344"/>
      </w:trPr>
      <w:tc>
        <w:tcPr>
          <w:tcW w:w="6076" w:type="dxa"/>
        </w:tcPr>
        <w:p w14:paraId="7C2B20AC" w14:textId="77777777" w:rsidR="00792F47" w:rsidRPr="002E7106" w:rsidRDefault="00792F47" w:rsidP="009630EB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4185" w:type="dxa"/>
          <w:vMerge w:val="restart"/>
        </w:tcPr>
        <w:p w14:paraId="1D917407" w14:textId="77777777" w:rsidR="00792F47" w:rsidRDefault="00390DCC" w:rsidP="009630E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6EDC4E42" wp14:editId="14B31DDC">
                <wp:extent cx="2533650" cy="847725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8712167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1CE8A9" w14:textId="77777777" w:rsidR="00792F47" w:rsidRPr="002E7106" w:rsidRDefault="00792F47" w:rsidP="009630EB">
          <w:pPr>
            <w:pStyle w:val="Header"/>
          </w:pPr>
        </w:p>
      </w:tc>
    </w:tr>
    <w:tr w:rsidR="00D35329" w14:paraId="5DBCA2A8" w14:textId="77777777" w:rsidTr="009630EB">
      <w:trPr>
        <w:trHeight w:val="345"/>
      </w:trPr>
      <w:tc>
        <w:tcPr>
          <w:tcW w:w="6076" w:type="dxa"/>
          <w:vMerge w:val="restart"/>
          <w:vAlign w:val="center"/>
        </w:tcPr>
        <w:p w14:paraId="1EA3EB06" w14:textId="77777777" w:rsidR="00792F47" w:rsidRPr="00026DE6" w:rsidRDefault="00792F47" w:rsidP="009630EB">
          <w:pPr>
            <w:pStyle w:val="Header"/>
            <w:jc w:val="center"/>
            <w:rPr>
              <w:b/>
              <w:szCs w:val="24"/>
            </w:rPr>
          </w:pPr>
        </w:p>
      </w:tc>
      <w:tc>
        <w:tcPr>
          <w:tcW w:w="4185" w:type="dxa"/>
          <w:vMerge/>
        </w:tcPr>
        <w:p w14:paraId="117C0446" w14:textId="77777777" w:rsidR="00792F47" w:rsidRPr="002E7106" w:rsidRDefault="00792F47" w:rsidP="009630EB">
          <w:pPr>
            <w:pStyle w:val="Header"/>
          </w:pPr>
        </w:p>
      </w:tc>
    </w:tr>
    <w:tr w:rsidR="00D35329" w14:paraId="73F84E0C" w14:textId="77777777" w:rsidTr="009630EB">
      <w:trPr>
        <w:trHeight w:val="223"/>
      </w:trPr>
      <w:tc>
        <w:tcPr>
          <w:tcW w:w="6076" w:type="dxa"/>
          <w:vMerge/>
          <w:tcBorders>
            <w:bottom w:val="single" w:sz="4" w:space="0" w:color="auto"/>
          </w:tcBorders>
        </w:tcPr>
        <w:p w14:paraId="28B8EDD6" w14:textId="77777777" w:rsidR="00792F47" w:rsidRPr="002E7106" w:rsidRDefault="00792F47" w:rsidP="009630EB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4185" w:type="dxa"/>
          <w:tcBorders>
            <w:bottom w:val="single" w:sz="4" w:space="0" w:color="auto"/>
          </w:tcBorders>
        </w:tcPr>
        <w:p w14:paraId="5988E64F" w14:textId="77777777" w:rsidR="00792F47" w:rsidRPr="002E7106" w:rsidRDefault="00390DCC" w:rsidP="009630EB">
          <w:pPr>
            <w:pStyle w:val="Header"/>
            <w:spacing w:after="60"/>
            <w:jc w:val="right"/>
          </w:pPr>
          <w:r w:rsidRPr="002E7106">
            <w:t xml:space="preserve">Page </w:t>
          </w:r>
          <w:r w:rsidRPr="002E7106">
            <w:fldChar w:fldCharType="begin"/>
          </w:r>
          <w:r w:rsidRPr="002E7106">
            <w:instrText xml:space="preserve"> PAGE </w:instrText>
          </w:r>
          <w:r w:rsidRPr="002E7106">
            <w:fldChar w:fldCharType="separate"/>
          </w:r>
          <w:r>
            <w:rPr>
              <w:noProof/>
            </w:rPr>
            <w:t>1</w:t>
          </w:r>
          <w:r w:rsidRPr="002E7106">
            <w:fldChar w:fldCharType="end"/>
          </w:r>
          <w:r w:rsidRPr="002E7106">
            <w:t xml:space="preserve"> of </w:t>
          </w:r>
          <w:r w:rsidR="00216042">
            <w:fldChar w:fldCharType="begin"/>
          </w:r>
          <w:r w:rsidR="00216042">
            <w:instrText xml:space="preserve"> NUMPAGES </w:instrText>
          </w:r>
          <w:r w:rsidR="00216042">
            <w:fldChar w:fldCharType="separate"/>
          </w:r>
          <w:r>
            <w:rPr>
              <w:noProof/>
            </w:rPr>
            <w:t>1</w:t>
          </w:r>
          <w:r w:rsidR="00216042">
            <w:rPr>
              <w:noProof/>
            </w:rPr>
            <w:fldChar w:fldCharType="end"/>
          </w:r>
        </w:p>
      </w:tc>
    </w:tr>
  </w:tbl>
  <w:p w14:paraId="17D70B09" w14:textId="77777777" w:rsidR="00792F47" w:rsidRPr="00EF7963" w:rsidRDefault="00792F47" w:rsidP="00EF796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448B4"/>
    <w:multiLevelType w:val="hybridMultilevel"/>
    <w:tmpl w:val="51906C58"/>
    <w:lvl w:ilvl="0" w:tplc="B70A6AE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A22E7"/>
    <w:multiLevelType w:val="multilevel"/>
    <w:tmpl w:val="FD1E0E64"/>
    <w:lvl w:ilvl="0">
      <w:start w:val="1"/>
      <w:numFmt w:val="decimal"/>
      <w:pStyle w:val="Heading1Numbered-NNL"/>
      <w:lvlText w:val="%1."/>
      <w:lvlJc w:val="left"/>
      <w:pPr>
        <w:ind w:left="851" w:hanging="851"/>
      </w:pPr>
      <w:rPr>
        <w:sz w:val="20"/>
        <w:szCs w:val="20"/>
      </w:rPr>
    </w:lvl>
    <w:lvl w:ilvl="1">
      <w:start w:val="1"/>
      <w:numFmt w:val="decimal"/>
      <w:pStyle w:val="Heading2Numbered-NNL"/>
      <w:lvlText w:val="%1.%2."/>
      <w:lvlJc w:val="left"/>
      <w:pPr>
        <w:ind w:left="1418" w:hanging="1276"/>
      </w:pPr>
      <w:rPr>
        <w:sz w:val="20"/>
        <w:szCs w:val="20"/>
      </w:rPr>
    </w:lvl>
    <w:lvl w:ilvl="2">
      <w:start w:val="1"/>
      <w:numFmt w:val="decimal"/>
      <w:pStyle w:val="Heading3Numbered-NNL"/>
      <w:lvlText w:val="%1.%2.%3."/>
      <w:lvlJc w:val="left"/>
      <w:pPr>
        <w:ind w:left="1304" w:hanging="1304"/>
      </w:pPr>
    </w:lvl>
    <w:lvl w:ilvl="3">
      <w:start w:val="1"/>
      <w:numFmt w:val="decimal"/>
      <w:pStyle w:val="Heading4Numbered-NNL"/>
      <w:lvlText w:val="%1.%2.%3.%4."/>
      <w:lvlJc w:val="left"/>
      <w:pPr>
        <w:ind w:left="1304" w:hanging="1304"/>
      </w:pPr>
    </w:lvl>
    <w:lvl w:ilvl="4">
      <w:start w:val="1"/>
      <w:numFmt w:val="decimal"/>
      <w:pStyle w:val="Heading5Numbered-NNL"/>
      <w:lvlText w:val="%1.%2.%3.%4.%5."/>
      <w:lvlJc w:val="left"/>
      <w:pPr>
        <w:ind w:left="1531" w:hanging="1531"/>
      </w:pPr>
    </w:lvl>
    <w:lvl w:ilvl="5">
      <w:start w:val="1"/>
      <w:numFmt w:val="decimal"/>
      <w:pStyle w:val="Heading6Numbered-NNL"/>
      <w:lvlText w:val="%1.%2.%3.%4.%5.%6."/>
      <w:lvlJc w:val="left"/>
      <w:pPr>
        <w:ind w:left="1758" w:hanging="175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B93824"/>
    <w:multiLevelType w:val="hybridMultilevel"/>
    <w:tmpl w:val="DF0676D6"/>
    <w:lvl w:ilvl="0" w:tplc="2FC4F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CE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467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C3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48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388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8D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A3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6B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D53BB"/>
    <w:multiLevelType w:val="hybridMultilevel"/>
    <w:tmpl w:val="4790ADF2"/>
    <w:lvl w:ilvl="0" w:tplc="F8822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D358">
      <w:numFmt w:val="bullet"/>
      <w:lvlText w:val="•"/>
      <w:lvlJc w:val="left"/>
      <w:pPr>
        <w:ind w:left="1800" w:hanging="720"/>
      </w:pPr>
      <w:rPr>
        <w:rFonts w:ascii="Verdana" w:eastAsiaTheme="minorHAnsi" w:hAnsi="Verdana" w:cstheme="minorBidi" w:hint="default"/>
      </w:rPr>
    </w:lvl>
    <w:lvl w:ilvl="2" w:tplc="7A382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C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AA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6A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1A0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27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2EE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114">
    <w:abstractNumId w:val="1"/>
  </w:num>
  <w:num w:numId="2" w16cid:durableId="1161502558">
    <w:abstractNumId w:val="3"/>
  </w:num>
  <w:num w:numId="3" w16cid:durableId="116141902">
    <w:abstractNumId w:val="2"/>
  </w:num>
  <w:num w:numId="4" w16cid:durableId="1811970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alQPulse_CurrentDateTime" w:val="&lt;QPulse_CurrentDateTime&gt;"/>
    <w:docVar w:name="InternalQPulse_CurrentUserName" w:val="&lt;QPulse_CurrentUserName&gt;"/>
    <w:docVar w:name="InternalQPulse_DatabaseAlias" w:val="&lt;QPulse_DatabaseAlias&gt;"/>
    <w:docVar w:name="InternalQPulse_DocActiveDate" w:val="&lt;QPulse_DocActiveDate&gt;"/>
    <w:docVar w:name="InternalQPulse_DocAuthor" w:val="&lt;QPulse_DocAuthor&gt;"/>
    <w:docVar w:name="InternalQPulse_DocChangeDetails" w:val="&lt;QPulse_DocChangeDetails&gt;"/>
    <w:docVar w:name="InternalQPulse_DocLastReviewDate" w:val="&lt;QPulse_DocLastReviewDate&gt;"/>
    <w:docVar w:name="InternalQPulse_DocLastReviewDetails" w:val="&lt;QPulse_DocLastReviewDetails&gt;"/>
    <w:docVar w:name="InternalQPulse_DocLastReviewOwner" w:val="&lt;QPulse_DocLastReviewOwner&gt;"/>
    <w:docVar w:name="InternalQPulse_DocNumber" w:val="&lt;QPulse_DocNumber&gt;"/>
    <w:docVar w:name="InternalQPulse_DocOwner" w:val="&lt;QPulse_DocOwner&gt;"/>
    <w:docVar w:name="InternalQPulse_DocReviewDate" w:val="&lt;QPulse_DocReviewDate&gt;"/>
    <w:docVar w:name="InternalQPulse_DocRevisionNumber" w:val="&lt;QPulse_DocRevisionNumber&gt;"/>
    <w:docVar w:name="InternalQPulse_DocStatus" w:val="&lt;QPulse_DocStatus&gt;"/>
    <w:docVar w:name="InternalQPulse_DocTitle" w:val="&lt;QPulse_DocTitle&gt;"/>
    <w:docVar w:name="InternalQPulse_DocType" w:val="&lt;QPulse_DocType&gt;"/>
    <w:docVar w:name="QPulse_CurrentDateTime" w:val="&lt;QPulse_CurrentDateTime&gt;"/>
    <w:docVar w:name="QPulse_CurrentUserName" w:val="&lt;QPulse_CurrentUserName&gt;"/>
    <w:docVar w:name="QPulse_DatabaseAlias" w:val="&lt;QPulse_DatabaseAlias&gt;"/>
    <w:docVar w:name="QPulse_DocActiveDate" w:val="&lt;QPulse_DocActiveDate&gt;"/>
    <w:docVar w:name="QPulse_DocAuthor" w:val="&lt;QPulse_DocAuthor&gt;"/>
    <w:docVar w:name="QPulse_DocChangeDetails" w:val="&lt;QPulse_DocChangeDetails&gt;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&lt;QPulse_DocNumber&gt;"/>
    <w:docVar w:name="QPulse_DocOwner" w:val="&lt;QPulse_DocOwner&gt;"/>
    <w:docVar w:name="QPulse_DocReviewDate" w:val="&lt;QPulse_DocReviewDate&gt;"/>
    <w:docVar w:name="QPulse_DocRevisionNumber" w:val="&lt;QPulse_DocRevisionNumber&gt;"/>
    <w:docVar w:name="QPulse_DocStatus" w:val="&lt;QPulse_DocStatus&gt;"/>
    <w:docVar w:name="QPulse_DocTitle" w:val="&lt;QPulse_DocTitle&gt;"/>
    <w:docVar w:name="QPulse_DocType" w:val="&lt;QPulse_DocType&gt;"/>
  </w:docVars>
  <w:rsids>
    <w:rsidRoot w:val="00120056"/>
    <w:rsid w:val="00002D54"/>
    <w:rsid w:val="0002103F"/>
    <w:rsid w:val="00026DE6"/>
    <w:rsid w:val="00036992"/>
    <w:rsid w:val="00037496"/>
    <w:rsid w:val="000677AA"/>
    <w:rsid w:val="00096B28"/>
    <w:rsid w:val="000C40AB"/>
    <w:rsid w:val="000E7733"/>
    <w:rsid w:val="000F12E9"/>
    <w:rsid w:val="00101D01"/>
    <w:rsid w:val="00104D82"/>
    <w:rsid w:val="00111DCA"/>
    <w:rsid w:val="00120056"/>
    <w:rsid w:val="00122663"/>
    <w:rsid w:val="001533FD"/>
    <w:rsid w:val="00155528"/>
    <w:rsid w:val="001A4DDE"/>
    <w:rsid w:val="001B7A97"/>
    <w:rsid w:val="001C39B4"/>
    <w:rsid w:val="00216042"/>
    <w:rsid w:val="00221867"/>
    <w:rsid w:val="00225183"/>
    <w:rsid w:val="00226D15"/>
    <w:rsid w:val="00235293"/>
    <w:rsid w:val="00242CF7"/>
    <w:rsid w:val="002454F4"/>
    <w:rsid w:val="00266C47"/>
    <w:rsid w:val="002735C4"/>
    <w:rsid w:val="00282F16"/>
    <w:rsid w:val="00292875"/>
    <w:rsid w:val="00296A00"/>
    <w:rsid w:val="002B02FA"/>
    <w:rsid w:val="002C20B2"/>
    <w:rsid w:val="002E7106"/>
    <w:rsid w:val="002F21E9"/>
    <w:rsid w:val="00390DCC"/>
    <w:rsid w:val="00391FDC"/>
    <w:rsid w:val="003A5095"/>
    <w:rsid w:val="003B18F7"/>
    <w:rsid w:val="003E16C8"/>
    <w:rsid w:val="003F24B5"/>
    <w:rsid w:val="00406BD1"/>
    <w:rsid w:val="00422D42"/>
    <w:rsid w:val="00447590"/>
    <w:rsid w:val="00496D46"/>
    <w:rsid w:val="004B2373"/>
    <w:rsid w:val="004E058E"/>
    <w:rsid w:val="004E1581"/>
    <w:rsid w:val="00514BD1"/>
    <w:rsid w:val="00520449"/>
    <w:rsid w:val="005324F6"/>
    <w:rsid w:val="00547DDE"/>
    <w:rsid w:val="005517F9"/>
    <w:rsid w:val="00575495"/>
    <w:rsid w:val="00595543"/>
    <w:rsid w:val="00596639"/>
    <w:rsid w:val="005A7EDC"/>
    <w:rsid w:val="005B04B6"/>
    <w:rsid w:val="005D6CA4"/>
    <w:rsid w:val="005E28AB"/>
    <w:rsid w:val="005E56CE"/>
    <w:rsid w:val="00634352"/>
    <w:rsid w:val="0067617B"/>
    <w:rsid w:val="006828F0"/>
    <w:rsid w:val="00693319"/>
    <w:rsid w:val="006A126B"/>
    <w:rsid w:val="006E3F44"/>
    <w:rsid w:val="006F31EE"/>
    <w:rsid w:val="0076093D"/>
    <w:rsid w:val="00762D22"/>
    <w:rsid w:val="00792F47"/>
    <w:rsid w:val="007E02F1"/>
    <w:rsid w:val="007F5515"/>
    <w:rsid w:val="007F555B"/>
    <w:rsid w:val="00855CB3"/>
    <w:rsid w:val="00865D5A"/>
    <w:rsid w:val="008B3DCD"/>
    <w:rsid w:val="008C2F0C"/>
    <w:rsid w:val="008D5FF7"/>
    <w:rsid w:val="008E2A35"/>
    <w:rsid w:val="008E3A39"/>
    <w:rsid w:val="009425D1"/>
    <w:rsid w:val="009456B7"/>
    <w:rsid w:val="00946705"/>
    <w:rsid w:val="009575EE"/>
    <w:rsid w:val="009630EB"/>
    <w:rsid w:val="00985D79"/>
    <w:rsid w:val="00997D72"/>
    <w:rsid w:val="009B2589"/>
    <w:rsid w:val="009D6687"/>
    <w:rsid w:val="009E77DA"/>
    <w:rsid w:val="009F1FE8"/>
    <w:rsid w:val="00A15824"/>
    <w:rsid w:val="00A5089F"/>
    <w:rsid w:val="00A766F2"/>
    <w:rsid w:val="00A80138"/>
    <w:rsid w:val="00AA3014"/>
    <w:rsid w:val="00AD6061"/>
    <w:rsid w:val="00B22524"/>
    <w:rsid w:val="00B244DC"/>
    <w:rsid w:val="00B504A9"/>
    <w:rsid w:val="00B676FA"/>
    <w:rsid w:val="00B82B38"/>
    <w:rsid w:val="00B85071"/>
    <w:rsid w:val="00B85645"/>
    <w:rsid w:val="00B96841"/>
    <w:rsid w:val="00B97239"/>
    <w:rsid w:val="00BA7E8E"/>
    <w:rsid w:val="00BF5F9E"/>
    <w:rsid w:val="00C0620B"/>
    <w:rsid w:val="00C12291"/>
    <w:rsid w:val="00C579DC"/>
    <w:rsid w:val="00C6012D"/>
    <w:rsid w:val="00CC5E49"/>
    <w:rsid w:val="00CD103F"/>
    <w:rsid w:val="00D11ECC"/>
    <w:rsid w:val="00D26BF1"/>
    <w:rsid w:val="00D35329"/>
    <w:rsid w:val="00D57980"/>
    <w:rsid w:val="00D9692F"/>
    <w:rsid w:val="00DA084A"/>
    <w:rsid w:val="00DC7B1D"/>
    <w:rsid w:val="00DE3F48"/>
    <w:rsid w:val="00DE69D7"/>
    <w:rsid w:val="00E2122C"/>
    <w:rsid w:val="00E331E7"/>
    <w:rsid w:val="00E423FD"/>
    <w:rsid w:val="00E42D53"/>
    <w:rsid w:val="00E66FD0"/>
    <w:rsid w:val="00EA3B52"/>
    <w:rsid w:val="00EB1662"/>
    <w:rsid w:val="00EE6ECE"/>
    <w:rsid w:val="00EF7963"/>
    <w:rsid w:val="00F2183C"/>
    <w:rsid w:val="00F314B5"/>
    <w:rsid w:val="00F3554C"/>
    <w:rsid w:val="00F5294B"/>
    <w:rsid w:val="00F82251"/>
    <w:rsid w:val="00FD0449"/>
    <w:rsid w:val="00FE2DD4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DDB630"/>
  <w14:defaultImageDpi w14:val="96"/>
  <w15:docId w15:val="{86F3F8ED-C895-49B9-BBBD-6A362122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2D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2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2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2F16"/>
    <w:rPr>
      <w:sz w:val="24"/>
    </w:rPr>
  </w:style>
  <w:style w:type="paragraph" w:styleId="Footer">
    <w:name w:val="footer"/>
    <w:basedOn w:val="Normal"/>
    <w:link w:val="FooterChar"/>
    <w:uiPriority w:val="99"/>
    <w:rsid w:val="00282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F16"/>
    <w:rPr>
      <w:sz w:val="24"/>
    </w:rPr>
  </w:style>
  <w:style w:type="table" w:styleId="TableGrid">
    <w:name w:val="Table Grid"/>
    <w:basedOn w:val="TableNormal"/>
    <w:rsid w:val="00F3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53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33FD"/>
    <w:rPr>
      <w:rFonts w:ascii="Tahoma" w:hAnsi="Tahoma" w:cs="Tahoma"/>
      <w:sz w:val="16"/>
      <w:szCs w:val="16"/>
      <w:lang w:val="x-none" w:eastAsia="en-US"/>
    </w:rPr>
  </w:style>
  <w:style w:type="paragraph" w:customStyle="1" w:styleId="NormalLayout-NNL">
    <w:name w:val="Normal Layout - NNL"/>
    <w:semiHidden/>
    <w:qFormat/>
    <w:rsid w:val="00792F47"/>
    <w:pPr>
      <w:spacing w:line="280" w:lineRule="atLeast"/>
    </w:pPr>
    <w:rPr>
      <w:rFonts w:ascii="Verdana" w:eastAsiaTheme="minorHAnsi" w:hAnsi="Verdana" w:cstheme="minorBidi"/>
      <w:color w:val="000000" w:themeColor="text1"/>
      <w:szCs w:val="22"/>
      <w:lang w:eastAsia="en-US"/>
    </w:rPr>
  </w:style>
  <w:style w:type="paragraph" w:styleId="Signature">
    <w:name w:val="Signature"/>
    <w:basedOn w:val="Normal"/>
    <w:link w:val="SignatureChar"/>
    <w:semiHidden/>
    <w:rsid w:val="00792F47"/>
    <w:pPr>
      <w:spacing w:before="360" w:after="360" w:line="280" w:lineRule="atLeast"/>
    </w:pPr>
    <w:rPr>
      <w:rFonts w:eastAsiaTheme="minorHAnsi" w:cstheme="minorBidi"/>
      <w:color w:val="000000" w:themeColor="text1"/>
      <w:szCs w:val="22"/>
    </w:rPr>
  </w:style>
  <w:style w:type="character" w:customStyle="1" w:styleId="SignatureChar">
    <w:name w:val="Signature Char"/>
    <w:basedOn w:val="DefaultParagraphFont"/>
    <w:link w:val="Signature"/>
    <w:semiHidden/>
    <w:rsid w:val="00792F47"/>
    <w:rPr>
      <w:rFonts w:ascii="Verdana" w:eastAsiaTheme="minorHAnsi" w:hAnsi="Verdana" w:cstheme="minorBidi"/>
      <w:color w:val="000000" w:themeColor="text1"/>
      <w:szCs w:val="22"/>
      <w:lang w:eastAsia="en-US"/>
    </w:rPr>
  </w:style>
  <w:style w:type="character" w:customStyle="1" w:styleId="Highlighted-NNL">
    <w:name w:val="Highlighted - NNL"/>
    <w:uiPriority w:val="2"/>
    <w:qFormat/>
    <w:rsid w:val="00792F47"/>
    <w:rPr>
      <w:b/>
      <w:bCs/>
      <w:color w:val="4F81BD" w:themeColor="accent1"/>
    </w:rPr>
  </w:style>
  <w:style w:type="paragraph" w:customStyle="1" w:styleId="Heading1Text-NNL">
    <w:name w:val="Heading 1 (Text) - NNL"/>
    <w:basedOn w:val="Normal"/>
    <w:next w:val="Normal"/>
    <w:semiHidden/>
    <w:qFormat/>
    <w:rsid w:val="00792F47"/>
    <w:pPr>
      <w:keepNext/>
      <w:keepLines/>
      <w:spacing w:before="200" w:after="360"/>
    </w:pPr>
    <w:rPr>
      <w:rFonts w:eastAsiaTheme="minorHAnsi" w:cstheme="minorBidi"/>
      <w:b/>
      <w:bCs/>
      <w:color w:val="4F81BD" w:themeColor="accent1"/>
      <w:sz w:val="32"/>
      <w:szCs w:val="28"/>
    </w:rPr>
  </w:style>
  <w:style w:type="paragraph" w:customStyle="1" w:styleId="Heading2Text-NNL">
    <w:name w:val="Heading 2 (Text) - NNL"/>
    <w:basedOn w:val="Normal"/>
    <w:next w:val="Normal"/>
    <w:semiHidden/>
    <w:qFormat/>
    <w:rsid w:val="00792F47"/>
    <w:pPr>
      <w:keepNext/>
      <w:keepLines/>
      <w:spacing w:before="320" w:after="280"/>
    </w:pPr>
    <w:rPr>
      <w:rFonts w:eastAsiaTheme="minorHAnsi" w:cstheme="minorBidi"/>
      <w:b/>
      <w:bCs/>
      <w:color w:val="C0504D" w:themeColor="accent2"/>
      <w:sz w:val="28"/>
      <w:szCs w:val="26"/>
    </w:rPr>
  </w:style>
  <w:style w:type="paragraph" w:customStyle="1" w:styleId="Heading1Numbered-NNL">
    <w:name w:val="Heading 1 (Numbered) - NNL"/>
    <w:basedOn w:val="Normal"/>
    <w:next w:val="Normal"/>
    <w:uiPriority w:val="21"/>
    <w:qFormat/>
    <w:rsid w:val="00792F47"/>
    <w:pPr>
      <w:keepNext/>
      <w:keepLines/>
      <w:pageBreakBefore/>
      <w:numPr>
        <w:numId w:val="1"/>
      </w:numPr>
      <w:tabs>
        <w:tab w:val="left" w:pos="851"/>
      </w:tabs>
      <w:spacing w:before="200" w:after="360"/>
      <w:outlineLvl w:val="0"/>
    </w:pPr>
    <w:rPr>
      <w:rFonts w:ascii="Calibri" w:eastAsiaTheme="majorEastAsia" w:hAnsi="Calibri" w:cstheme="majorBidi"/>
      <w:b/>
      <w:bCs/>
      <w:color w:val="4F81BD" w:themeColor="accent1"/>
      <w:sz w:val="32"/>
      <w:szCs w:val="28"/>
    </w:rPr>
  </w:style>
  <w:style w:type="paragraph" w:customStyle="1" w:styleId="Heading2Numbered-NNL">
    <w:name w:val="Heading 2 (Numbered) - NNL"/>
    <w:basedOn w:val="Normal"/>
    <w:next w:val="Normal"/>
    <w:uiPriority w:val="23"/>
    <w:qFormat/>
    <w:rsid w:val="00792F47"/>
    <w:pPr>
      <w:keepNext/>
      <w:keepLines/>
      <w:numPr>
        <w:ilvl w:val="1"/>
        <w:numId w:val="1"/>
      </w:numPr>
      <w:tabs>
        <w:tab w:val="left" w:pos="1276"/>
      </w:tabs>
      <w:spacing w:before="320" w:after="280"/>
      <w:ind w:left="1276"/>
      <w:outlineLvl w:val="1"/>
    </w:pPr>
    <w:rPr>
      <w:rFonts w:ascii="Calibri" w:eastAsiaTheme="majorEastAsia" w:hAnsi="Calibri" w:cstheme="majorBidi"/>
      <w:b/>
      <w:bCs/>
      <w:szCs w:val="26"/>
    </w:rPr>
  </w:style>
  <w:style w:type="paragraph" w:customStyle="1" w:styleId="Heading3Numbered-NNL">
    <w:name w:val="Heading 3 (Numbered) - NNL"/>
    <w:basedOn w:val="Normal"/>
    <w:next w:val="Normal"/>
    <w:uiPriority w:val="25"/>
    <w:qFormat/>
    <w:rsid w:val="00792F47"/>
    <w:pPr>
      <w:keepNext/>
      <w:keepLines/>
      <w:numPr>
        <w:ilvl w:val="2"/>
        <w:numId w:val="1"/>
      </w:numPr>
      <w:tabs>
        <w:tab w:val="left" w:pos="1304"/>
      </w:tabs>
      <w:spacing w:before="200" w:after="240"/>
      <w:outlineLvl w:val="2"/>
    </w:pPr>
    <w:rPr>
      <w:rFonts w:eastAsiaTheme="majorEastAsia" w:cstheme="majorBidi"/>
      <w:b/>
      <w:bCs/>
      <w:color w:val="9BBB59" w:themeColor="accent3"/>
      <w:szCs w:val="22"/>
    </w:rPr>
  </w:style>
  <w:style w:type="paragraph" w:customStyle="1" w:styleId="Heading4Numbered-NNL">
    <w:name w:val="Heading 4 (Numbered) - NNL"/>
    <w:basedOn w:val="Normal"/>
    <w:next w:val="Normal"/>
    <w:uiPriority w:val="27"/>
    <w:qFormat/>
    <w:rsid w:val="00792F47"/>
    <w:pPr>
      <w:keepNext/>
      <w:keepLines/>
      <w:numPr>
        <w:ilvl w:val="3"/>
        <w:numId w:val="1"/>
      </w:numPr>
      <w:tabs>
        <w:tab w:val="left" w:pos="1304"/>
      </w:tabs>
      <w:spacing w:before="200" w:after="200"/>
      <w:outlineLvl w:val="3"/>
    </w:pPr>
    <w:rPr>
      <w:rFonts w:eastAsiaTheme="majorEastAsia" w:cstheme="majorBidi"/>
      <w:b/>
      <w:bCs/>
      <w:iCs/>
      <w:color w:val="8064A2" w:themeColor="accent4"/>
      <w:szCs w:val="22"/>
    </w:rPr>
  </w:style>
  <w:style w:type="paragraph" w:customStyle="1" w:styleId="Heading5Numbered-NNL">
    <w:name w:val="Heading 5 (Numbered) - NNL"/>
    <w:basedOn w:val="Normal"/>
    <w:next w:val="Normal"/>
    <w:uiPriority w:val="29"/>
    <w:qFormat/>
    <w:rsid w:val="00792F47"/>
    <w:pPr>
      <w:keepNext/>
      <w:keepLines/>
      <w:numPr>
        <w:ilvl w:val="4"/>
        <w:numId w:val="1"/>
      </w:numPr>
      <w:tabs>
        <w:tab w:val="left" w:pos="1531"/>
      </w:tabs>
      <w:spacing w:before="200" w:after="160"/>
      <w:outlineLvl w:val="4"/>
    </w:pPr>
    <w:rPr>
      <w:rFonts w:eastAsiaTheme="majorEastAsia" w:cstheme="majorBidi"/>
      <w:b/>
      <w:color w:val="4BACC6" w:themeColor="accent5"/>
      <w:szCs w:val="22"/>
    </w:rPr>
  </w:style>
  <w:style w:type="paragraph" w:customStyle="1" w:styleId="Heading6Numbered-NNL">
    <w:name w:val="Heading 6 (Numbered) - NNL"/>
    <w:basedOn w:val="Normal"/>
    <w:next w:val="Normal"/>
    <w:uiPriority w:val="31"/>
    <w:qFormat/>
    <w:rsid w:val="00792F47"/>
    <w:pPr>
      <w:keepNext/>
      <w:keepLines/>
      <w:numPr>
        <w:ilvl w:val="5"/>
        <w:numId w:val="1"/>
      </w:numPr>
      <w:tabs>
        <w:tab w:val="left" w:pos="1758"/>
      </w:tabs>
      <w:spacing w:before="200" w:after="120"/>
      <w:outlineLvl w:val="5"/>
    </w:pPr>
    <w:rPr>
      <w:rFonts w:eastAsiaTheme="majorEastAsia" w:cstheme="majorBidi"/>
      <w:b/>
      <w:iCs/>
      <w:color w:val="000000" w:themeColor="text1"/>
      <w:szCs w:val="22"/>
    </w:rPr>
  </w:style>
  <w:style w:type="paragraph" w:styleId="ListParagraph">
    <w:name w:val="List Paragraph"/>
    <w:basedOn w:val="Normal"/>
    <w:uiPriority w:val="34"/>
    <w:rsid w:val="00792F47"/>
    <w:pPr>
      <w:spacing w:after="140" w:line="280" w:lineRule="atLeast"/>
      <w:ind w:left="720"/>
      <w:contextualSpacing/>
    </w:pPr>
    <w:rPr>
      <w:rFonts w:eastAsiaTheme="minorHAnsi" w:cstheme="minorBidi"/>
      <w:color w:val="000000" w:themeColor="text1"/>
      <w:szCs w:val="22"/>
    </w:rPr>
  </w:style>
  <w:style w:type="paragraph" w:styleId="TOC1">
    <w:name w:val="toc 1"/>
    <w:basedOn w:val="NormalLayout-NNL"/>
    <w:next w:val="Normal"/>
    <w:autoRedefine/>
    <w:uiPriority w:val="39"/>
    <w:unhideWhenUsed/>
    <w:qFormat/>
    <w:rsid w:val="00792F47"/>
    <w:pPr>
      <w:keepNext/>
      <w:tabs>
        <w:tab w:val="left" w:pos="440"/>
        <w:tab w:val="right" w:leader="dot" w:pos="9452"/>
      </w:tabs>
      <w:spacing w:after="100"/>
      <w:ind w:left="442" w:hanging="442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92F47"/>
    <w:pPr>
      <w:spacing w:after="100" w:line="280" w:lineRule="atLeast"/>
      <w:ind w:left="1271" w:hanging="851"/>
    </w:pPr>
    <w:rPr>
      <w:rFonts w:eastAsiaTheme="minorHAnsi" w:cstheme="minorBidi"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792F47"/>
    <w:rPr>
      <w:color w:val="0000FF" w:themeColor="hyperlink"/>
      <w:u w:val="single"/>
    </w:rPr>
  </w:style>
  <w:style w:type="table" w:customStyle="1" w:styleId="Table2-NNL-FewColumns">
    <w:name w:val="Table 2 - NNL - Few Columns"/>
    <w:basedOn w:val="TableNormal"/>
    <w:uiPriority w:val="2"/>
    <w:rsid w:val="00792F47"/>
    <w:pPr>
      <w:keepNext/>
      <w:spacing w:after="200" w:line="257" w:lineRule="auto"/>
      <w:ind w:left="80" w:right="80"/>
    </w:pPr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8064A2" w:themeColor="accent4"/>
        <w:bottom w:val="single" w:sz="4" w:space="0" w:color="8064A2" w:themeColor="accent4"/>
        <w:insideH w:val="dotted" w:sz="4" w:space="0" w:color="4BACC6" w:themeColor="accent5"/>
        <w:insideV w:val="dotted" w:sz="4" w:space="0" w:color="4BACC6" w:themeColor="accent5"/>
      </w:tblBorders>
      <w:tblCellMar>
        <w:top w:w="80" w:type="dxa"/>
        <w:left w:w="0" w:type="dxa"/>
        <w:bottom w:w="80" w:type="dxa"/>
        <w:right w:w="0" w:type="dxa"/>
      </w:tblCellMar>
    </w:tblPr>
    <w:trPr>
      <w:cantSplit/>
      <w:jc w:val="center"/>
    </w:tr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</w:tcBorders>
      </w:tcPr>
    </w:tblStylePr>
  </w:style>
  <w:style w:type="table" w:customStyle="1" w:styleId="Table4-NNL-FewColumns">
    <w:name w:val="Table 4 - NNL - Few Columns"/>
    <w:basedOn w:val="TableNormal"/>
    <w:uiPriority w:val="4"/>
    <w:rsid w:val="00792F47"/>
    <w:pPr>
      <w:keepNext/>
      <w:spacing w:after="200" w:line="257" w:lineRule="auto"/>
      <w:ind w:left="80" w:right="80"/>
    </w:pPr>
    <w:rPr>
      <w:rFonts w:asciiTheme="minorHAnsi" w:eastAsiaTheme="minorHAnsi" w:hAnsiTheme="minorHAnsi" w:cstheme="minorBidi"/>
      <w:sz w:val="22"/>
      <w:szCs w:val="22"/>
      <w:lang w:eastAsia="en-US"/>
    </w:rPr>
    <w:tblPr>
      <w:jc w:val="center"/>
      <w:tblBorders>
        <w:top w:val="single" w:sz="4" w:space="0" w:color="8064A2" w:themeColor="accent4"/>
        <w:bottom w:val="single" w:sz="4" w:space="0" w:color="8064A2" w:themeColor="accent4"/>
        <w:insideH w:val="dotted" w:sz="4" w:space="0" w:color="4BACC6" w:themeColor="accent5"/>
        <w:insideV w:val="dotted" w:sz="4" w:space="0" w:color="4BACC6" w:themeColor="accent5"/>
      </w:tblBorders>
      <w:tblCellMar>
        <w:top w:w="80" w:type="dxa"/>
        <w:left w:w="0" w:type="dxa"/>
        <w:bottom w:w="80" w:type="dxa"/>
        <w:right w:w="0" w:type="dxa"/>
      </w:tblCellMar>
    </w:tblPr>
    <w:trPr>
      <w:cantSplit/>
      <w:jc w:val="center"/>
    </w:tr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  <w:insideH w:val="none" w:sz="0" w:space="0" w:color="auto"/>
          <w:insideV w:val="none" w:sz="0" w:space="0" w:color="auto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single" w:sz="4" w:space="0" w:color="8064A2" w:themeColor="accent4"/>
          <w:insideH w:val="none" w:sz="0" w:space="0" w:color="auto"/>
          <w:insideV w:val="none" w:sz="0" w:space="0" w:color="auto"/>
        </w:tcBorders>
        <w:shd w:val="clear" w:color="auto" w:fill="D2EAF1" w:themeFill="accent5" w:themeFillTint="3F"/>
      </w:tcPr>
    </w:tblStylePr>
    <w:tblStylePr w:type="nwCell">
      <w:tblPr/>
      <w:tcPr>
        <w:tcBorders>
          <w:top w:val="nil"/>
          <w:left w:val="nil"/>
          <w:bottom w:val="single" w:sz="2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FFFFFF"/>
      </w:tcPr>
    </w:tblStylePr>
  </w:style>
  <w:style w:type="table" w:customStyle="1" w:styleId="TOC-NNL">
    <w:name w:val="TOC - NNL"/>
    <w:basedOn w:val="Table2-NNL-FewColumns"/>
    <w:uiPriority w:val="10"/>
    <w:rsid w:val="00792F47"/>
    <w:tblPr>
      <w:tblStyleRowBandSize w:val="1"/>
    </w:tblPr>
    <w:tblStylePr w:type="firstRow">
      <w:pPr>
        <w:keepNext/>
        <w:widowControl w:val="0"/>
        <w:spacing w:before="120" w:after="120"/>
        <w:jc w:val="left"/>
      </w:pPr>
      <w:tblPr/>
      <w:trPr>
        <w:cantSplit/>
        <w:tblHeader/>
      </w:trPr>
      <w:tcPr>
        <w:tcBorders>
          <w:top w:val="single" w:sz="4" w:space="0" w:color="8064A2" w:themeColor="accent4"/>
          <w:left w:val="nil"/>
          <w:bottom w:val="single" w:sz="24" w:space="0" w:color="8064A2" w:themeColor="accent4"/>
          <w:right w:val="nil"/>
        </w:tcBorders>
      </w:tcPr>
    </w:tblStylePr>
    <w:tblStylePr w:type="band1Horz">
      <w:tblPr/>
      <w:trPr>
        <w:cantSplit w:val="0"/>
      </w:trPr>
    </w:tblStylePr>
    <w:tblStylePr w:type="band2Horz">
      <w:tblPr/>
      <w:trPr>
        <w:cantSplit w:val="0"/>
      </w:trPr>
    </w:tblStylePr>
  </w:style>
  <w:style w:type="paragraph" w:customStyle="1" w:styleId="Hidden">
    <w:name w:val="Hidden"/>
    <w:basedOn w:val="Normal"/>
    <w:rsid w:val="00792F47"/>
    <w:pPr>
      <w:spacing w:after="120" w:line="240" w:lineRule="atLeast"/>
    </w:pPr>
    <w:rPr>
      <w:vanish/>
      <w:color w:val="0000FF"/>
    </w:rPr>
  </w:style>
  <w:style w:type="character" w:customStyle="1" w:styleId="Heading1Char">
    <w:name w:val="Heading 1 Char"/>
    <w:basedOn w:val="DefaultParagraphFont"/>
    <w:link w:val="Heading1"/>
    <w:rsid w:val="00792F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92F47"/>
    <w:pPr>
      <w:spacing w:line="259" w:lineRule="auto"/>
      <w:outlineLvl w:val="9"/>
    </w:pPr>
    <w:rPr>
      <w:lang w:val="en-US"/>
    </w:rPr>
  </w:style>
  <w:style w:type="paragraph" w:customStyle="1" w:styleId="ContentsTabs">
    <w:name w:val="ContentsTabs"/>
    <w:basedOn w:val="Normal"/>
    <w:rsid w:val="00792F47"/>
    <w:pPr>
      <w:tabs>
        <w:tab w:val="left" w:pos="720"/>
        <w:tab w:val="right" w:pos="8998"/>
      </w:tabs>
      <w:spacing w:after="240" w:line="288" w:lineRule="auto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semiHidden/>
    <w:unhideWhenUsed/>
    <w:rsid w:val="00C601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012D"/>
  </w:style>
  <w:style w:type="character" w:customStyle="1" w:styleId="CommentTextChar">
    <w:name w:val="Comment Text Char"/>
    <w:basedOn w:val="DefaultParagraphFont"/>
    <w:link w:val="CommentText"/>
    <w:rsid w:val="00C6012D"/>
    <w:rPr>
      <w:rFonts w:ascii="Bembo" w:hAnsi="Bemb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012D"/>
    <w:rPr>
      <w:rFonts w:ascii="Bembo" w:hAnsi="Bembo"/>
      <w:b/>
      <w:bCs/>
      <w:lang w:eastAsia="en-US"/>
    </w:rPr>
  </w:style>
  <w:style w:type="paragraph" w:styleId="Revision">
    <w:name w:val="Revision"/>
    <w:hidden/>
    <w:uiPriority w:val="99"/>
    <w:semiHidden/>
    <w:rsid w:val="00235293"/>
    <w:rPr>
      <w:rFonts w:ascii="Verdana" w:hAnsi="Verdana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104D82"/>
  </w:style>
  <w:style w:type="character" w:customStyle="1" w:styleId="FootnoteTextChar">
    <w:name w:val="Footnote Text Char"/>
    <w:basedOn w:val="DefaultParagraphFont"/>
    <w:link w:val="FootnoteText"/>
    <w:semiHidden/>
    <w:rsid w:val="00104D82"/>
    <w:rPr>
      <w:rFonts w:ascii="Verdana" w:hAnsi="Verdana"/>
      <w:lang w:eastAsia="en-US"/>
    </w:rPr>
  </w:style>
  <w:style w:type="character" w:styleId="FootnoteReference">
    <w:name w:val="footnote reference"/>
    <w:basedOn w:val="DefaultParagraphFont"/>
    <w:semiHidden/>
    <w:unhideWhenUsed/>
    <w:rsid w:val="00104D82"/>
    <w:rPr>
      <w:vertAlign w:val="superscript"/>
    </w:rPr>
  </w:style>
  <w:style w:type="character" w:styleId="UnresolvedMention">
    <w:name w:val="Unresolved Mention"/>
    <w:basedOn w:val="DefaultParagraphFont"/>
    <w:rsid w:val="0010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united-kingdom-security-vetting-clearance-levels/national-security-vetting-clearance-level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ACD6E45-BDA2-451D-97CC-EDC67961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Template for Portrait Forms</vt:lpstr>
    </vt:vector>
  </TitlesOfParts>
  <Company>NNL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Template for Portrait Forms</dc:title>
  <dc:creator>CT75</dc:creator>
  <cp:lastModifiedBy>Gemma Slocombe</cp:lastModifiedBy>
  <cp:revision>3</cp:revision>
  <dcterms:created xsi:type="dcterms:W3CDTF">2024-07-09T10:01:00Z</dcterms:created>
  <dcterms:modified xsi:type="dcterms:W3CDTF">2024-07-09T10:02:00Z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qcsadd1">
    <vt:lpwstr>
    </vt:lpwstr>
  </property>
  <property fmtid="{D5CDD505-2E9C-101B-9397-08002B2CF9AE}" pid="3" name="prqcsadd2">
    <vt:lpwstr>
    </vt:lpwstr>
  </property>
  <property fmtid="{D5CDD505-2E9C-101B-9397-08002B2CF9AE}" pid="4" name="prqcsadd3">
    <vt:lpwstr>
    </vt:lpwstr>
  </property>
  <property fmtid="{D5CDD505-2E9C-101B-9397-08002B2CF9AE}" pid="5" name="prqcsadd4">
    <vt:lpwstr>
    </vt:lpwstr>
  </property>
  <property fmtid="{D5CDD505-2E9C-101B-9397-08002B2CF9AE}" pid="6" name="prqcsadd5">
    <vt:lpwstr>
    </vt:lpwstr>
  </property>
  <property fmtid="{D5CDD505-2E9C-101B-9397-08002B2CF9AE}" pid="7" name="prqcscomment">
    <vt:lpwstr>
    </vt:lpwstr>
  </property>
  <property fmtid="{D5CDD505-2E9C-101B-9397-08002B2CF9AE}" pid="8" name="prqcsconame">
    <vt:lpwstr>
    </vt:lpwstr>
  </property>
  <property fmtid="{D5CDD505-2E9C-101B-9397-08002B2CF9AE}" pid="9" name="prqcscontact">
    <vt:lpwstr>
    </vt:lpwstr>
  </property>
  <property fmtid="{D5CDD505-2E9C-101B-9397-08002B2CF9AE}" pid="10" name="prqcscountry">
    <vt:lpwstr>
    </vt:lpwstr>
  </property>
  <property fmtid="{D5CDD505-2E9C-101B-9397-08002B2CF9AE}" pid="11" name="prqcsdate">
    <vt:lpwstr>
    </vt:lpwstr>
  </property>
  <property fmtid="{D5CDD505-2E9C-101B-9397-08002B2CF9AE}" pid="12" name="prqcsemail">
    <vt:lpwstr>
    </vt:lpwstr>
  </property>
  <property fmtid="{D5CDD505-2E9C-101B-9397-08002B2CF9AE}" pid="13" name="prqcsfax">
    <vt:lpwstr>
    </vt:lpwstr>
  </property>
  <property fmtid="{D5CDD505-2E9C-101B-9397-08002B2CF9AE}" pid="14" name="prqcsnumber">
    <vt:lpwstr>
    </vt:lpwstr>
  </property>
  <property fmtid="{D5CDD505-2E9C-101B-9397-08002B2CF9AE}" pid="15" name="prqcsphone">
    <vt:lpwstr>
    </vt:lpwstr>
  </property>
  <property fmtid="{D5CDD505-2E9C-101B-9397-08002B2CF9AE}" pid="16" name="prqcsposition">
    <vt:lpwstr>
    </vt:lpwstr>
  </property>
  <property fmtid="{D5CDD505-2E9C-101B-9397-08002B2CF9AE}" pid="17" name="prqcsraisedby">
    <vt:lpwstr>
    </vt:lpwstr>
  </property>
  <property fmtid="{D5CDD505-2E9C-101B-9397-08002B2CF9AE}" pid="18" name="prqcsraisedbyname">
    <vt:lpwstr>
    </vt:lpwstr>
  </property>
  <property fmtid="{D5CDD505-2E9C-101B-9397-08002B2CF9AE}" pid="19" name="prqcssalutation">
    <vt:lpwstr>
    </vt:lpwstr>
  </property>
  <property fmtid="{D5CDD505-2E9C-101B-9397-08002B2CF9AE}" pid="20" name="prqcssignoff">
    <vt:lpwstr>
    </vt:lpwstr>
  </property>
  <property fmtid="{D5CDD505-2E9C-101B-9397-08002B2CF9AE}" pid="21" name="prqcstime">
    <vt:lpwstr>
    </vt:lpwstr>
  </property>
  <property fmtid="{D5CDD505-2E9C-101B-9397-08002B2CF9AE}" pid="22" name="prqcszip">
    <vt:lpwstr>
    </vt:lpwstr>
  </property>
  <property fmtid="{D5CDD505-2E9C-101B-9397-08002B2CF9AE}" pid="23" name="prqdocapos">
    <vt:lpwstr>
    </vt:lpwstr>
  </property>
  <property fmtid="{D5CDD505-2E9C-101B-9397-08002B2CF9AE}" pid="24" name="prqdocaut">
    <vt:lpwstr>PAULA.SMITH</vt:lpwstr>
  </property>
  <property fmtid="{D5CDD505-2E9C-101B-9397-08002B2CF9AE}" pid="25" name="prqdocauthor">
    <vt:lpwstr>Paula Smith </vt:lpwstr>
  </property>
  <property fmtid="{D5CDD505-2E9C-101B-9397-08002B2CF9AE}" pid="26" name="prqdocconverted">
    <vt:lpwstr>1</vt:lpwstr>
  </property>
  <property fmtid="{D5CDD505-2E9C-101B-9397-08002B2CF9AE}" pid="27" name="prqdocdate">
    <vt:lpwstr>25/08/2021</vt:lpwstr>
  </property>
  <property fmtid="{D5CDD505-2E9C-101B-9397-08002B2CF9AE}" pid="28" name="prqdocdraft">
    <vt:lpwstr>Issued (Uncontrolled when Printed)</vt:lpwstr>
  </property>
  <property fmtid="{D5CDD505-2E9C-101B-9397-08002B2CF9AE}" pid="29" name="prqdochistdetails001">
    <vt:lpwstr>new doc</vt:lpwstr>
  </property>
  <property fmtid="{D5CDD505-2E9C-101B-9397-08002B2CF9AE}" pid="30" name="prqdochistdetails002">
    <vt:lpwstr>Minor amendments</vt:lpwstr>
  </property>
  <property fmtid="{D5CDD505-2E9C-101B-9397-08002B2CF9AE}" pid="31" name="prqdochistdetails003">
    <vt:lpwstr>Further update for the template show / hide references.</vt:lpwstr>
  </property>
  <property fmtid="{D5CDD505-2E9C-101B-9397-08002B2CF9AE}" pid="32" name="prqdochistlastdetails001">
    <vt:lpwstr>Minor amendments</vt:lpwstr>
  </property>
  <property fmtid="{D5CDD505-2E9C-101B-9397-08002B2CF9AE}" pid="33" name="prqdochistlastreasons001">
    <vt:lpwstr>
    </vt:lpwstr>
  </property>
  <property fmtid="{D5CDD505-2E9C-101B-9397-08002B2CF9AE}" pid="34" name="prqdochistlastreleasedate001">
    <vt:lpwstr>26/08/2020 00:00:00</vt:lpwstr>
  </property>
  <property fmtid="{D5CDD505-2E9C-101B-9397-08002B2CF9AE}" pid="35" name="prqdochistlastrequested001">
    <vt:lpwstr>DONNA.MCVEY-BARRON</vt:lpwstr>
  </property>
  <property fmtid="{D5CDD505-2E9C-101B-9397-08002B2CF9AE}" pid="36" name="prqdochistlastrevision001">
    <vt:lpwstr>2</vt:lpwstr>
  </property>
  <property fmtid="{D5CDD505-2E9C-101B-9397-08002B2CF9AE}" pid="37" name="prqdochistreasons001">
    <vt:lpwstr>
    </vt:lpwstr>
  </property>
  <property fmtid="{D5CDD505-2E9C-101B-9397-08002B2CF9AE}" pid="38" name="prqdochistreasons002">
    <vt:lpwstr>
    </vt:lpwstr>
  </property>
  <property fmtid="{D5CDD505-2E9C-101B-9397-08002B2CF9AE}" pid="39" name="prqdochistreasons003">
    <vt:lpwstr>Updated for the input display requirements.</vt:lpwstr>
  </property>
  <property fmtid="{D5CDD505-2E9C-101B-9397-08002B2CF9AE}" pid="40" name="prqdochistreleasedate001">
    <vt:lpwstr>14/05/2020 00:00:00</vt:lpwstr>
  </property>
  <property fmtid="{D5CDD505-2E9C-101B-9397-08002B2CF9AE}" pid="41" name="prqdochistreleasedate002">
    <vt:lpwstr>26/08/2020 00:00:00</vt:lpwstr>
  </property>
  <property fmtid="{D5CDD505-2E9C-101B-9397-08002B2CF9AE}" pid="42" name="prqdochistreleasedate003">
    <vt:lpwstr>05/02/2014 00:00:00</vt:lpwstr>
  </property>
  <property fmtid="{D5CDD505-2E9C-101B-9397-08002B2CF9AE}" pid="43" name="prqdochistrequested001">
    <vt:lpwstr>DONNA.MCVEY-BARRON</vt:lpwstr>
  </property>
  <property fmtid="{D5CDD505-2E9C-101B-9397-08002B2CF9AE}" pid="44" name="prqdochistrequested002">
    <vt:lpwstr>DONNA.MCVEY-BARRON</vt:lpwstr>
  </property>
  <property fmtid="{D5CDD505-2E9C-101B-9397-08002B2CF9AE}" pid="45" name="prqdochistrequested003">
    <vt:lpwstr>CT75</vt:lpwstr>
  </property>
  <property fmtid="{D5CDD505-2E9C-101B-9397-08002B2CF9AE}" pid="46" name="prqdochistrevision001">
    <vt:lpwstr>1</vt:lpwstr>
  </property>
  <property fmtid="{D5CDD505-2E9C-101B-9397-08002B2CF9AE}" pid="47" name="prqdochistrevision002">
    <vt:lpwstr>2</vt:lpwstr>
  </property>
  <property fmtid="{D5CDD505-2E9C-101B-9397-08002B2CF9AE}" pid="48" name="prqdochistrevision003">
    <vt:lpwstr>3</vt:lpwstr>
  </property>
  <property fmtid="{D5CDD505-2E9C-101B-9397-08002B2CF9AE}" pid="49" name="prqdocissue">
    <vt:lpwstr>3</vt:lpwstr>
  </property>
  <property fmtid="{D5CDD505-2E9C-101B-9397-08002B2CF9AE}" pid="50" name="prqdocnumber">
    <vt:lpwstr>IMS-PROC-TEM-IN2A</vt:lpwstr>
  </property>
  <property fmtid="{D5CDD505-2E9C-101B-9397-08002B2CF9AE}" pid="51" name="prqdocorgdesc1">
    <vt:lpwstr>NNL</vt:lpwstr>
  </property>
  <property fmtid="{D5CDD505-2E9C-101B-9397-08002B2CF9AE}" pid="52" name="prqdocorgdesc2">
    <vt:lpwstr>Professional Services</vt:lpwstr>
  </property>
  <property fmtid="{D5CDD505-2E9C-101B-9397-08002B2CF9AE}" pid="53" name="prqdocorgdesc3">
    <vt:lpwstr>Procurement</vt:lpwstr>
  </property>
  <property fmtid="{D5CDD505-2E9C-101B-9397-08002B2CF9AE}" pid="54" name="prqdocorgdesc4">
    <vt:lpwstr>
    </vt:lpwstr>
  </property>
  <property fmtid="{D5CDD505-2E9C-101B-9397-08002B2CF9AE}" pid="55" name="prqdocorgdesc5">
    <vt:lpwstr>
    </vt:lpwstr>
  </property>
  <property fmtid="{D5CDD505-2E9C-101B-9397-08002B2CF9AE}" pid="56" name="prqdocspos">
    <vt:lpwstr>
    </vt:lpwstr>
  </property>
  <property fmtid="{D5CDD505-2E9C-101B-9397-08002B2CF9AE}" pid="57" name="prqdocsub">
    <vt:lpwstr>JANET.ALBION</vt:lpwstr>
  </property>
  <property fmtid="{D5CDD505-2E9C-101B-9397-08002B2CF9AE}" pid="58" name="prqdocsubauthor">
    <vt:lpwstr>Janet Albion </vt:lpwstr>
  </property>
  <property fmtid="{D5CDD505-2E9C-101B-9397-08002B2CF9AE}" pid="59" name="prqdocsubtype">
    <vt:lpwstr>Form</vt:lpwstr>
  </property>
  <property fmtid="{D5CDD505-2E9C-101B-9397-08002B2CF9AE}" pid="60" name="prqdoctitle">
    <vt:lpwstr>Procurement Specification - Technical Requirements</vt:lpwstr>
  </property>
  <property fmtid="{D5CDD505-2E9C-101B-9397-08002B2CF9AE}" pid="61" name="prqdoctype">
    <vt:lpwstr>FUNCTIONS FORM</vt:lpwstr>
  </property>
  <property fmtid="{D5CDD505-2E9C-101B-9397-08002B2CF9AE}" pid="62" name="prqdoctypedesc">
    <vt:lpwstr>Forms for Professional Services areas inc Finance, Customer Experience, Commerci</vt:lpwstr>
  </property>
  <property fmtid="{D5CDD505-2E9C-101B-9397-08002B2CF9AE}" pid="63" name="prqfullorgdesc">
    <vt:lpwstr>NNL-Professional Services-Procurement</vt:lpwstr>
  </property>
  <property fmtid="{D5CDD505-2E9C-101B-9397-08002B2CF9AE}" pid="64" name="prqlinkdocno001">
    <vt:lpwstr>IMS-WF-SP-0001</vt:lpwstr>
  </property>
  <property fmtid="{D5CDD505-2E9C-101B-9397-08002B2CF9AE}" pid="65" name="prqlinktitle001">
    <vt:lpwstr>Windscale Safe System of Work - Procedure</vt:lpwstr>
  </property>
  <property fmtid="{D5CDD505-2E9C-101B-9397-08002B2CF9AE}" pid="66" name="prqrevdate">
    <vt:lpwstr>25/08/2026</vt:lpwstr>
  </property>
  <property fmtid="{D5CDD505-2E9C-101B-9397-08002B2CF9AE}" pid="67" name="prquserfield1">
    <vt:lpwstr>Official</vt:lpwstr>
  </property>
  <property fmtid="{D5CDD505-2E9C-101B-9397-08002B2CF9AE}" pid="68" name="prquserfield10">
    <vt:lpwstr>_x000d_    </vt:lpwstr>
  </property>
  <property fmtid="{D5CDD505-2E9C-101B-9397-08002B2CF9AE}" pid="69" name="prquserfield2">
    <vt:lpwstr>
    </vt:lpwstr>
  </property>
  <property fmtid="{D5CDD505-2E9C-101B-9397-08002B2CF9AE}" pid="70" name="prquserfield3">
    <vt:lpwstr>EHSS and Q - Delivery Operations</vt:lpwstr>
  </property>
  <property fmtid="{D5CDD505-2E9C-101B-9397-08002B2CF9AE}" pid="71" name="prquserfield4">
    <vt:lpwstr>Procurement</vt:lpwstr>
  </property>
  <property fmtid="{D5CDD505-2E9C-101B-9397-08002B2CF9AE}" pid="72" name="prqusermemo1">
    <vt:lpwstr>
    </vt:lpwstr>
  </property>
</Properties>
</file>