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890EA2">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890EA2">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890EA2">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890EA2">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890EA2"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890EA2">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890EA2">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890EA2">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890EA2">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890EA2">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890EA2">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890EA2">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w:t>
      </w:r>
      <w:proofErr w:type="gramStart"/>
      <w:r>
        <w:t>Non Compliance</w:t>
      </w:r>
      <w:proofErr w:type="gramEnd"/>
      <w:r>
        <w:t>;</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w:t>
      </w:r>
      <w:proofErr w:type="gramStart"/>
      <w:r w:rsidRPr="002438DC">
        <w:t>effect</w:t>
      </w:r>
      <w:proofErr w:type="gramEnd"/>
      <w:r w:rsidRPr="002438DC">
        <w:t xml:space="preserve">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w:t>
      </w:r>
      <w:proofErr w:type="gramStart"/>
      <w:r>
        <w:t>Third Party</w:t>
      </w:r>
      <w:proofErr w:type="gramEnd"/>
      <w:r>
        <w:t xml:space="preserve">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4CBABE3B" w14:textId="77777777" w:rsidR="00661527" w:rsidRPr="00723B9F" w:rsidRDefault="00661527" w:rsidP="00661527"/>
    <w:p w14:paraId="3320C762" w14:textId="57EEAA91" w:rsidR="00661527" w:rsidRDefault="00AA7E2B" w:rsidP="001724D7">
      <w:pPr>
        <w:ind w:left="0" w:right="52" w:firstLine="0"/>
      </w:pPr>
      <w:r>
        <w:t>Please see Appendix A – Special Terms Schedule</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r>
        <w:t>non</w:t>
      </w:r>
      <w:r w:rsidR="009D60E6">
        <w:t xml:space="preserve"> </w:t>
      </w:r>
      <w:r>
        <w:t>payment</w:t>
      </w:r>
      <w:proofErr w:type="spell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w:t>
      </w:r>
      <w:r w:rsidR="00A57D07">
        <w:t xml:space="preserve"> </w:t>
      </w:r>
      <w:r>
        <w:t>payment</w:t>
      </w:r>
      <w:proofErr w:type="spell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6D1FE2B9" w:rsidR="00906CB0" w:rsidRPr="00FC3D3C" w:rsidRDefault="00906CB0" w:rsidP="00A7297A">
      <w:pPr>
        <w:keepNext/>
        <w:numPr>
          <w:ilvl w:val="2"/>
          <w:numId w:val="67"/>
        </w:numPr>
        <w:spacing w:after="0" w:line="240" w:lineRule="auto"/>
        <w:rPr>
          <w:b/>
        </w:rPr>
      </w:pPr>
      <w:r w:rsidRPr="002438DC">
        <w:t xml:space="preserve">The contact details of the Controller’s Data Protection Officer are: </w:t>
      </w:r>
      <w:r w:rsidR="00A7297A" w:rsidRPr="00A7297A">
        <w:t>REDACTED TEXT under FOIA Section 40, Personal Information</w:t>
      </w:r>
    </w:p>
    <w:p w14:paraId="17266993" w14:textId="4C8D505E" w:rsidR="00906CB0" w:rsidRPr="002438DC" w:rsidRDefault="00906CB0" w:rsidP="0021005C">
      <w:pPr>
        <w:keepNext/>
        <w:numPr>
          <w:ilvl w:val="2"/>
          <w:numId w:val="67"/>
        </w:numPr>
        <w:spacing w:after="0" w:line="240" w:lineRule="auto"/>
      </w:pPr>
      <w:r w:rsidRPr="002438DC">
        <w:t>The contact details of the Processor’s Data Protection Officer are:</w:t>
      </w:r>
      <w:bookmarkStart w:id="300" w:name="_Hlk150856600"/>
      <w:r w:rsidRPr="002438DC">
        <w:t xml:space="preserve"> </w:t>
      </w:r>
      <w:bookmarkEnd w:id="300"/>
      <w:r w:rsidR="00A7297A" w:rsidRPr="00A7297A">
        <w:t>REDACTED TEXT under FOIA Section 40, Personal Information</w:t>
      </w:r>
      <w:bookmarkStart w:id="301" w:name="_GoBack"/>
      <w:bookmarkEnd w:id="301"/>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Default="00906CB0" w:rsidP="0021005C">
      <w:pPr>
        <w:keepNext/>
        <w:numPr>
          <w:ilvl w:val="2"/>
          <w:numId w:val="67"/>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007977B2">
        <w:trPr>
          <w:gridAfter w:val="1"/>
          <w:wAfter w:w="12" w:type="dxa"/>
          <w:trHeight w:val="1620"/>
        </w:trPr>
        <w:tc>
          <w:tcPr>
            <w:tcW w:w="3119" w:type="dxa"/>
            <w:gridSpan w:val="3"/>
            <w:shd w:val="clear" w:color="auto" w:fill="auto"/>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shd w:val="clear" w:color="auto" w:fill="auto"/>
          </w:tcPr>
          <w:p w14:paraId="689E0AE1" w14:textId="79D6C67B" w:rsidR="00906CB0" w:rsidRPr="002438DC" w:rsidRDefault="00906CB0" w:rsidP="007977B2">
            <w:pPr>
              <w:spacing w:after="0" w:line="240" w:lineRule="auto"/>
              <w:ind w:left="8"/>
            </w:pPr>
            <w:r w:rsidRPr="002438DC">
              <w:t xml:space="preserve">The Parties acknowledge that for the purposes of the Data Protection Legislation, the Customer is the Controller and the Contractor is the Processor in accordance </w:t>
            </w:r>
            <w:r w:rsidRPr="00FC3D3C">
              <w:t xml:space="preserve">with Clause </w:t>
            </w:r>
            <w:r w:rsidR="00432086" w:rsidRPr="00FC3D3C">
              <w:fldChar w:fldCharType="begin"/>
            </w:r>
            <w:r w:rsidR="00432086" w:rsidRPr="00FC3D3C">
              <w:instrText xml:space="preserve"> REF _Ref534988365 \r \h </w:instrText>
            </w:r>
            <w:r w:rsidR="00423768" w:rsidRPr="00FC3D3C">
              <w:instrText xml:space="preserve"> \* MERGEFORMAT </w:instrText>
            </w:r>
            <w:r w:rsidR="00432086" w:rsidRPr="00FC3D3C">
              <w:fldChar w:fldCharType="separate"/>
            </w:r>
            <w:r w:rsidR="001F798B" w:rsidRPr="00FC3D3C">
              <w:t>23.25</w:t>
            </w:r>
            <w:r w:rsidR="00432086" w:rsidRPr="00FC3D3C">
              <w:fldChar w:fldCharType="end"/>
            </w:r>
            <w:r w:rsidRPr="00FC3D3C">
              <w:t>.</w:t>
            </w:r>
          </w:p>
          <w:p w14:paraId="1214383A" w14:textId="77777777" w:rsidR="00906CB0" w:rsidRPr="00FC3D3C" w:rsidRDefault="00906CB0" w:rsidP="00906CB0">
            <w:pPr>
              <w:spacing w:after="0" w:line="240" w:lineRule="auto"/>
            </w:pPr>
          </w:p>
          <w:p w14:paraId="649EDB46" w14:textId="673EC748" w:rsidR="00906CB0" w:rsidRPr="00FC3D3C" w:rsidRDefault="00906CB0" w:rsidP="00FC3D3C">
            <w:pPr>
              <w:spacing w:after="0" w:line="240" w:lineRule="auto"/>
              <w:ind w:left="16"/>
            </w:pP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7977B2">
            <w:pPr>
              <w:spacing w:after="200" w:line="240" w:lineRule="auto"/>
              <w:ind w:left="8"/>
            </w:pPr>
            <w:r w:rsidRPr="002438DC">
              <w:t>Subject matter of the processing</w:t>
            </w:r>
          </w:p>
        </w:tc>
        <w:tc>
          <w:tcPr>
            <w:tcW w:w="7140" w:type="dxa"/>
            <w:gridSpan w:val="3"/>
            <w:shd w:val="clear" w:color="auto" w:fill="auto"/>
          </w:tcPr>
          <w:p w14:paraId="6C29A2C6" w14:textId="55F19D45" w:rsidR="00FC3D3C" w:rsidRPr="00FC3D3C" w:rsidRDefault="00FC3D3C" w:rsidP="00FC3D3C">
            <w:pPr>
              <w:ind w:left="1447" w:hanging="1514"/>
            </w:pPr>
            <w:r w:rsidRPr="00FC3D3C">
              <w:t>The delivery of a training offer to 13 Cyber Security Degree apprentices.</w:t>
            </w:r>
          </w:p>
          <w:p w14:paraId="2317E885" w14:textId="77777777" w:rsidR="00906CB0" w:rsidRPr="002438DC" w:rsidRDefault="00906CB0" w:rsidP="00906CB0">
            <w:pPr>
              <w:spacing w:after="0" w:line="240" w:lineRule="auto"/>
            </w:pPr>
          </w:p>
        </w:tc>
      </w:tr>
      <w:tr w:rsidR="00906CB0" w14:paraId="6ACF12C6" w14:textId="77777777" w:rsidTr="007977B2">
        <w:trPr>
          <w:gridBefore w:val="1"/>
          <w:wBefore w:w="34" w:type="dxa"/>
          <w:trHeight w:val="640"/>
        </w:trPr>
        <w:tc>
          <w:tcPr>
            <w:tcW w:w="3045" w:type="dxa"/>
            <w:shd w:val="clear" w:color="auto" w:fill="auto"/>
          </w:tcPr>
          <w:p w14:paraId="1BA52F27" w14:textId="77777777" w:rsidR="00906CB0" w:rsidRPr="002438DC" w:rsidRDefault="00906CB0" w:rsidP="007977B2">
            <w:pPr>
              <w:spacing w:after="200" w:line="240" w:lineRule="auto"/>
              <w:ind w:left="8"/>
            </w:pPr>
            <w:r w:rsidRPr="002438DC">
              <w:t>Duration of the processing</w:t>
            </w:r>
          </w:p>
        </w:tc>
        <w:tc>
          <w:tcPr>
            <w:tcW w:w="7140" w:type="dxa"/>
            <w:gridSpan w:val="3"/>
            <w:shd w:val="clear" w:color="auto" w:fill="auto"/>
          </w:tcPr>
          <w:p w14:paraId="2B0E9DF9" w14:textId="339129BE" w:rsidR="00906CB0" w:rsidRPr="002438DC" w:rsidRDefault="00FC3D3C" w:rsidP="007977B2">
            <w:pPr>
              <w:spacing w:after="0" w:line="240" w:lineRule="auto"/>
              <w:ind w:left="8"/>
            </w:pPr>
            <w:r w:rsidRPr="00FC3D3C">
              <w:t>For the duration of the Contract (30 Months)</w:t>
            </w:r>
          </w:p>
        </w:tc>
      </w:tr>
      <w:tr w:rsidR="00906CB0" w14:paraId="36D241B4" w14:textId="77777777" w:rsidTr="007977B2">
        <w:trPr>
          <w:gridBefore w:val="1"/>
          <w:wBefore w:w="34" w:type="dxa"/>
          <w:trHeight w:val="1520"/>
        </w:trPr>
        <w:tc>
          <w:tcPr>
            <w:tcW w:w="3045" w:type="dxa"/>
            <w:shd w:val="clear" w:color="auto" w:fill="auto"/>
          </w:tcPr>
          <w:p w14:paraId="25103469" w14:textId="77777777" w:rsidR="00906CB0" w:rsidRPr="002438DC" w:rsidRDefault="00906CB0" w:rsidP="007977B2">
            <w:pPr>
              <w:spacing w:after="200" w:line="240" w:lineRule="auto"/>
              <w:ind w:left="8"/>
            </w:pPr>
            <w:r w:rsidRPr="002438DC">
              <w:t>Nature and purposes of the processing</w:t>
            </w:r>
          </w:p>
        </w:tc>
        <w:tc>
          <w:tcPr>
            <w:tcW w:w="7140" w:type="dxa"/>
            <w:gridSpan w:val="3"/>
            <w:shd w:val="clear" w:color="auto" w:fill="auto"/>
          </w:tcPr>
          <w:p w14:paraId="1CF778DC" w14:textId="77777777" w:rsidR="00FC3D3C" w:rsidRDefault="00FC3D3C" w:rsidP="00FC3D3C">
            <w:pPr>
              <w:spacing w:after="0" w:line="240" w:lineRule="auto"/>
              <w:ind w:left="8"/>
            </w:pPr>
            <w:r>
              <w:t xml:space="preserve">Collection, holding, disclosure and deletion of data. </w:t>
            </w:r>
          </w:p>
          <w:p w14:paraId="5CE46138" w14:textId="77777777" w:rsidR="00FC3D3C" w:rsidRDefault="00FC3D3C" w:rsidP="00FC3D3C">
            <w:pPr>
              <w:spacing w:after="0" w:line="240" w:lineRule="auto"/>
              <w:ind w:left="8"/>
            </w:pPr>
          </w:p>
          <w:p w14:paraId="25C94E6C" w14:textId="40727E41" w:rsidR="00906CB0" w:rsidRPr="002438DC" w:rsidRDefault="00FC3D3C" w:rsidP="00FC3D3C">
            <w:pPr>
              <w:spacing w:after="0" w:line="240" w:lineRule="auto"/>
              <w:ind w:left="8"/>
            </w:pPr>
            <w:r>
              <w:t>For the purpose of delivery of a training offer to Cyber Security apprentices.</w:t>
            </w:r>
          </w:p>
        </w:tc>
      </w:tr>
      <w:tr w:rsidR="00906CB0" w14:paraId="765E1F7C" w14:textId="77777777" w:rsidTr="007977B2">
        <w:trPr>
          <w:gridBefore w:val="1"/>
          <w:wBefore w:w="34" w:type="dxa"/>
          <w:trHeight w:val="740"/>
        </w:trPr>
        <w:tc>
          <w:tcPr>
            <w:tcW w:w="3045" w:type="dxa"/>
            <w:shd w:val="clear" w:color="auto" w:fill="auto"/>
          </w:tcPr>
          <w:p w14:paraId="3B2F6045" w14:textId="77777777" w:rsidR="00906CB0" w:rsidRPr="002438DC" w:rsidRDefault="00906CB0" w:rsidP="007977B2">
            <w:pPr>
              <w:spacing w:after="200" w:line="240" w:lineRule="auto"/>
              <w:ind w:left="8"/>
            </w:pPr>
            <w:r w:rsidRPr="002438DC">
              <w:t>Type of Personal Data being Processed</w:t>
            </w:r>
          </w:p>
        </w:tc>
        <w:tc>
          <w:tcPr>
            <w:tcW w:w="7140" w:type="dxa"/>
            <w:gridSpan w:val="3"/>
            <w:shd w:val="clear" w:color="auto" w:fill="auto"/>
          </w:tcPr>
          <w:p w14:paraId="238D14A7" w14:textId="75BB6F84" w:rsidR="00906CB0" w:rsidRPr="002438DC" w:rsidRDefault="00FC3D3C" w:rsidP="007977B2">
            <w:pPr>
              <w:spacing w:after="0" w:line="240" w:lineRule="auto"/>
              <w:ind w:left="8"/>
            </w:pPr>
            <w:r w:rsidRPr="00FC3D3C">
              <w:t>Name, address, email address, job title, employer, learning outcomes, reasonable adjustments/health, learning data, candidate progress and assignment portfolios.</w:t>
            </w:r>
          </w:p>
        </w:tc>
      </w:tr>
      <w:tr w:rsidR="00906CB0" w14:paraId="04B9646E" w14:textId="77777777" w:rsidTr="007977B2">
        <w:trPr>
          <w:gridBefore w:val="1"/>
          <w:wBefore w:w="34" w:type="dxa"/>
          <w:trHeight w:val="1280"/>
        </w:trPr>
        <w:tc>
          <w:tcPr>
            <w:tcW w:w="3045" w:type="dxa"/>
            <w:shd w:val="clear" w:color="auto" w:fill="auto"/>
          </w:tcPr>
          <w:p w14:paraId="13EAC991" w14:textId="77777777" w:rsidR="00906CB0" w:rsidRPr="002438DC" w:rsidRDefault="00906CB0" w:rsidP="007977B2">
            <w:pPr>
              <w:spacing w:after="200" w:line="240" w:lineRule="auto"/>
              <w:ind w:left="8"/>
            </w:pPr>
            <w:r w:rsidRPr="002438DC">
              <w:t>Categories of Data Subject</w:t>
            </w:r>
          </w:p>
        </w:tc>
        <w:tc>
          <w:tcPr>
            <w:tcW w:w="7140" w:type="dxa"/>
            <w:gridSpan w:val="3"/>
            <w:shd w:val="clear" w:color="auto" w:fill="auto"/>
          </w:tcPr>
          <w:p w14:paraId="31E487F4" w14:textId="77777777" w:rsidR="00906CB0" w:rsidRDefault="00FC3D3C" w:rsidP="007977B2">
            <w:pPr>
              <w:spacing w:after="0" w:line="240" w:lineRule="auto"/>
              <w:ind w:left="8"/>
            </w:pPr>
            <w:r w:rsidRPr="00FC3D3C">
              <w:t>Apprentices</w:t>
            </w:r>
          </w:p>
          <w:p w14:paraId="31437A59" w14:textId="6FD3F82B" w:rsidR="00FC3D3C" w:rsidRPr="002438DC" w:rsidRDefault="00FC3D3C" w:rsidP="007977B2">
            <w:pPr>
              <w:spacing w:after="0" w:line="240" w:lineRule="auto"/>
              <w:ind w:left="8"/>
            </w:pPr>
          </w:p>
        </w:tc>
      </w:tr>
      <w:tr w:rsidR="00906CB0" w14:paraId="53394B34" w14:textId="77777777" w:rsidTr="007977B2">
        <w:trPr>
          <w:gridAfter w:val="1"/>
          <w:wAfter w:w="12" w:type="dxa"/>
          <w:trHeight w:val="1660"/>
        </w:trPr>
        <w:tc>
          <w:tcPr>
            <w:tcW w:w="3119" w:type="dxa"/>
            <w:gridSpan w:val="3"/>
            <w:shd w:val="clear" w:color="auto" w:fill="auto"/>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0A0E1838" w14:textId="77777777" w:rsidR="00FC3D3C" w:rsidRPr="00FC3D3C" w:rsidRDefault="00FC3D3C" w:rsidP="00FC3D3C">
            <w:pPr>
              <w:ind w:hanging="1426"/>
            </w:pPr>
            <w:r w:rsidRPr="00FC3D3C">
              <w:t>All data to be destroyed or returned at conclusion of the contract.</w:t>
            </w:r>
          </w:p>
          <w:p w14:paraId="186AC5F7" w14:textId="37912C59" w:rsidR="00906CB0" w:rsidRPr="002438DC" w:rsidRDefault="00906CB0" w:rsidP="007977B2">
            <w:pPr>
              <w:spacing w:after="0" w:line="240" w:lineRule="auto"/>
              <w:ind w:left="8"/>
            </w:pPr>
            <w:r w:rsidRPr="00FC3D3C">
              <w:t xml:space="preserve"> </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2" w:name="_Toc3894346"/>
      <w:bookmarkStart w:id="303" w:name="_Toc4715587"/>
      <w:r w:rsidRPr="002438DC">
        <w:rPr>
          <w:color w:val="auto"/>
          <w:u w:val="none"/>
        </w:rPr>
        <w:lastRenderedPageBreak/>
        <w:t>CONTRACT</w:t>
      </w:r>
      <w:bookmarkEnd w:id="302"/>
      <w:r w:rsidR="00033A3D">
        <w:rPr>
          <w:color w:val="auto"/>
          <w:u w:val="none"/>
        </w:rPr>
        <w:t xml:space="preserve"> </w:t>
      </w:r>
      <w:r w:rsidRPr="002438DC">
        <w:rPr>
          <w:color w:val="auto"/>
          <w:u w:val="none"/>
        </w:rPr>
        <w:t>SCHEDULE 8: JOINT CONTROLLER AGREEMENT</w:t>
      </w:r>
      <w:bookmarkEnd w:id="303"/>
    </w:p>
    <w:p w14:paraId="1DAEABE8" w14:textId="6780E285" w:rsidR="004615E7" w:rsidRPr="002438DC" w:rsidRDefault="00AA7E2B" w:rsidP="00AA7E2B">
      <w:pPr>
        <w:spacing w:after="200" w:line="240" w:lineRule="auto"/>
        <w:ind w:left="494"/>
      </w:pPr>
      <w:r>
        <w:rPr>
          <w:b/>
          <w:highlight w:val="yellow"/>
        </w:rPr>
        <w:t>NOT USED</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4" w:name="_Toc4715588"/>
      <w:r>
        <w:rPr>
          <w:color w:val="auto"/>
          <w:sz w:val="24"/>
          <w:szCs w:val="24"/>
          <w:u w:val="none"/>
        </w:rPr>
        <w:t>CONTRACT SCHEDULE 9</w:t>
      </w:r>
      <w:r w:rsidR="00A40215" w:rsidRPr="002438DC">
        <w:rPr>
          <w:color w:val="auto"/>
          <w:sz w:val="24"/>
          <w:szCs w:val="24"/>
          <w:u w:val="none"/>
        </w:rPr>
        <w:t>: TRANSPARENCY REPORTS</w:t>
      </w:r>
      <w:bookmarkEnd w:id="304"/>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2438DC" w:rsidRDefault="00DD000E">
            <w:pPr>
              <w:ind w:left="0" w:firstLine="0"/>
            </w:pPr>
            <w:r w:rsidRPr="002438DC">
              <w:t>[</w:t>
            </w:r>
            <w:r w:rsidRPr="002438DC">
              <w:rPr>
                <w:highlight w:val="green"/>
              </w:rPr>
              <w:t>Performance</w:t>
            </w:r>
            <w:r w:rsidRPr="002438DC">
              <w:t>]</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2438DC" w:rsidRDefault="00DD000E">
            <w:pPr>
              <w:ind w:left="0" w:firstLine="0"/>
            </w:pPr>
            <w:r w:rsidRPr="002438DC">
              <w:t>[</w:t>
            </w:r>
            <w:r w:rsidRPr="002438DC">
              <w:rPr>
                <w:highlight w:val="green"/>
              </w:rPr>
              <w:t>Call off Contract Charges</w:t>
            </w:r>
            <w:r w:rsidRPr="002438DC">
              <w:t>]</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2438DC" w:rsidRDefault="00DD000E" w:rsidP="002438DC">
            <w:pPr>
              <w:ind w:left="0" w:firstLine="0"/>
              <w:jc w:val="left"/>
            </w:pPr>
            <w:r w:rsidRPr="002438DC">
              <w:t>[</w:t>
            </w:r>
            <w:r w:rsidRPr="002438DC">
              <w:rPr>
                <w:highlight w:val="green"/>
              </w:rPr>
              <w:t>Key Sub</w:t>
            </w:r>
            <w:r w:rsidR="008F10B0">
              <w:rPr>
                <w:highlight w:val="green"/>
              </w:rPr>
              <w:t>-</w:t>
            </w:r>
            <w:r w:rsidRPr="002438DC">
              <w:rPr>
                <w:highlight w:val="green"/>
              </w:rPr>
              <w:t>contractors</w:t>
            </w:r>
            <w:r w:rsidRPr="002438DC">
              <w:t>]</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2438DC" w:rsidRDefault="00DD000E">
            <w:pPr>
              <w:ind w:left="0" w:firstLine="0"/>
            </w:pPr>
            <w:r w:rsidRPr="002438DC">
              <w:t>[</w:t>
            </w:r>
            <w:r w:rsidRPr="002438DC">
              <w:rPr>
                <w:highlight w:val="green"/>
              </w:rPr>
              <w:t>Technical</w:t>
            </w:r>
            <w:r w:rsidRPr="002438DC">
              <w:t>]</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2438DC">
              <w:rPr>
                <w:highlight w:val="green"/>
              </w:rPr>
              <w:t>Performance management</w:t>
            </w:r>
            <w:r w:rsidRPr="002438DC">
              <w: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5" w:name="_Toc4715589"/>
      <w:bookmarkStart w:id="306" w:name="_Toc316562"/>
      <w:r>
        <w:rPr>
          <w:color w:val="000000"/>
          <w:u w:val="none" w:color="000000"/>
        </w:rPr>
        <w:t>CONTRACT SCHEDULE 10: EXIT MANAGEMENT</w:t>
      </w:r>
      <w:bookmarkEnd w:id="305"/>
      <w:r>
        <w:rPr>
          <w:color w:val="000000"/>
          <w:u w:val="none" w:color="000000"/>
        </w:rPr>
        <w:t xml:space="preserve"> </w:t>
      </w:r>
      <w:bookmarkEnd w:id="306"/>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lastRenderedPageBreak/>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w:t>
            </w:r>
            <w:proofErr w:type="gramStart"/>
            <w:r>
              <w:t>paragraph</w:t>
            </w:r>
            <w:proofErr w:type="gramEnd"/>
            <w:r>
              <w:t xml:space="preserve">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w:t>
            </w:r>
            <w:proofErr w:type="gramStart"/>
            <w:r>
              <w:t>10.</w:t>
            </w:r>
            <w:proofErr w:type="gramEnd"/>
            <w:r>
              <w:t xml:space="preserve">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w:t>
      </w:r>
      <w:r>
        <w:lastRenderedPageBreak/>
        <w:t xml:space="preserve">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w:t>
      </w:r>
      <w:proofErr w:type="gramStart"/>
      <w:r w:rsidR="00800221">
        <w:t>Non Exclusive</w:t>
      </w:r>
      <w:proofErr w:type="gramEnd"/>
      <w:r w:rsidR="00800221">
        <w:t xml:space="preser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lastRenderedPageBreak/>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w:t>
      </w:r>
      <w:proofErr w:type="gramStart"/>
      <w:r>
        <w:t>third party</w:t>
      </w:r>
      <w:proofErr w:type="gramEnd"/>
      <w:r>
        <w:t xml:space="preserve">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w:t>
      </w:r>
      <w:r>
        <w:lastRenderedPageBreak/>
        <w:t xml:space="preserve">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lastRenderedPageBreak/>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w:t>
      </w:r>
      <w:proofErr w:type="gramStart"/>
      <w:r>
        <w:t>effect</w:t>
      </w:r>
      <w:proofErr w:type="gramEnd"/>
      <w:r>
        <w:t xml:space="preserve">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lastRenderedPageBreak/>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w:t>
      </w:r>
      <w:r>
        <w:lastRenderedPageBreak/>
        <w:t xml:space="preserve">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w:t>
      </w:r>
      <w:r>
        <w:lastRenderedPageBreak/>
        <w:t xml:space="preserve">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lastRenderedPageBreak/>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lastRenderedPageBreak/>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7" w:name="_Toc4715590"/>
      <w:bookmarkStart w:id="308" w:name="_Toc316568"/>
      <w:r>
        <w:rPr>
          <w:color w:val="000000"/>
          <w:u w:val="none" w:color="000000"/>
        </w:rPr>
        <w:t>CONTRACT SCHEDULE 11: VARIATION FORM</w:t>
      </w:r>
      <w:bookmarkEnd w:id="307"/>
      <w:r>
        <w:rPr>
          <w:color w:val="000000"/>
          <w:u w:val="none" w:color="000000"/>
        </w:rPr>
        <w:t xml:space="preserve"> </w:t>
      </w:r>
      <w:bookmarkEnd w:id="308"/>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lastRenderedPageBreak/>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 xml:space="preserve">This Contract, including any previous Variations, shall remain effective and unaltered except as amended by this </w:t>
      </w:r>
      <w:proofErr w:type="gramStart"/>
      <w:r w:rsidRPr="00DC2924">
        <w:rPr>
          <w:rFonts w:eastAsia="Calibri"/>
        </w:rPr>
        <w:t>Variation</w:t>
      </w:r>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9" w:name="_Toc4715591"/>
      <w:bookmarkStart w:id="310" w:name="_Toc316571"/>
      <w:r>
        <w:rPr>
          <w:color w:val="000000"/>
          <w:u w:val="none" w:color="000000"/>
        </w:rPr>
        <w:t>CONTRACT SCHEDULE 12: ALTERNATIVE AND/OR ADDITIONAL CLAUSES</w:t>
      </w:r>
      <w:bookmarkEnd w:id="309"/>
      <w:r>
        <w:rPr>
          <w:color w:val="000000"/>
          <w:u w:val="none" w:color="000000"/>
        </w:rPr>
        <w:t xml:space="preserve"> </w:t>
      </w:r>
      <w:bookmarkEnd w:id="310"/>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lastRenderedPageBreak/>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lastRenderedPageBreak/>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In Clause 36.2.1(b)(</w:t>
      </w:r>
      <w:proofErr w:type="spellStart"/>
      <w:r>
        <w:t>i</w:t>
      </w:r>
      <w:proofErr w:type="spellEnd"/>
      <w:r>
        <w:t xml:space="preserve">)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524599">
        <w:t>[enter monetary amount in words] [£ X]</w:t>
      </w:r>
      <w:r>
        <w:t xml:space="preserve"> </w:t>
      </w:r>
    </w:p>
    <w:p w14:paraId="24E042FB" w14:textId="77777777" w:rsidR="00DC2924" w:rsidRDefault="00DC2924" w:rsidP="00524599">
      <w:pPr>
        <w:tabs>
          <w:tab w:val="center" w:pos="1133"/>
          <w:tab w:val="center" w:pos="5298"/>
        </w:tabs>
        <w:spacing w:after="206" w:line="259" w:lineRule="auto"/>
        <w:ind w:left="0" w:firstLine="0"/>
        <w:jc w:val="left"/>
      </w:pPr>
      <w:r w:rsidRPr="00524599">
        <w:tab/>
      </w:r>
      <w:r>
        <w:t xml:space="preserve"> </w:t>
      </w:r>
      <w:r>
        <w:tab/>
      </w:r>
      <w:r w:rsidRPr="00524599">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524599">
        <w:t>[enter monetary amount in words] [£ X]</w:t>
      </w:r>
      <w:r>
        <w:t xml:space="preserve"> </w:t>
      </w:r>
    </w:p>
    <w:p w14:paraId="51C7752B" w14:textId="77777777" w:rsidR="00DC2924" w:rsidRDefault="00DC2924" w:rsidP="00524599">
      <w:pPr>
        <w:tabs>
          <w:tab w:val="center" w:pos="1133"/>
          <w:tab w:val="center" w:pos="5298"/>
        </w:tabs>
        <w:spacing w:after="206" w:line="259" w:lineRule="auto"/>
        <w:ind w:left="0" w:firstLine="0"/>
        <w:jc w:val="left"/>
      </w:pPr>
      <w:r w:rsidRPr="00524599">
        <w:tab/>
      </w:r>
      <w:r>
        <w:t xml:space="preserve"> </w:t>
      </w:r>
      <w:r>
        <w:tab/>
      </w:r>
      <w:r w:rsidRPr="00524599">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524599">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sidRPr="00524599">
        <w:tab/>
      </w:r>
      <w:r>
        <w:t xml:space="preserve"> </w:t>
      </w:r>
      <w:r>
        <w:tab/>
      </w:r>
      <w:r w:rsidRPr="00524599">
        <w:t>[enter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sidRPr="00524599">
        <w:t>[58]</w:t>
      </w:r>
      <w:r>
        <w:t xml:space="preserve"> shall apply: </w:t>
      </w:r>
    </w:p>
    <w:p w14:paraId="59F1295D" w14:textId="087500B2"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sidRPr="00524599">
        <w:rPr>
          <w:shd w:val="clear" w:color="auto" w:fill="auto"/>
        </w:rP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t>
      </w:r>
      <w:r>
        <w:lastRenderedPageBreak/>
        <w:t xml:space="preserve">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w:t>
      </w:r>
      <w:r>
        <w:lastRenderedPageBreak/>
        <w:t xml:space="preserve">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w:t>
      </w:r>
      <w:r>
        <w:lastRenderedPageBreak/>
        <w:t xml:space="preserve">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lastRenderedPageBreak/>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lastRenderedPageBreak/>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w:t>
      </w:r>
      <w:r>
        <w:lastRenderedPageBreak/>
        <w:t>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5F174D01" w:rsidR="00DC2924" w:rsidRDefault="00DC2924" w:rsidP="00DC2924">
      <w:pPr>
        <w:numPr>
          <w:ilvl w:val="0"/>
          <w:numId w:val="97"/>
        </w:numPr>
        <w:spacing w:after="235" w:line="249" w:lineRule="auto"/>
        <w:ind w:right="184" w:hanging="360"/>
      </w:pPr>
      <w:r>
        <w:rPr>
          <w:b/>
        </w:rPr>
        <w:t xml:space="preserve">NHS ADDITIONAL CLAUSES </w:t>
      </w:r>
      <w:r w:rsidR="003116FF">
        <w:rPr>
          <w:b/>
        </w:rPr>
        <w:t>Not Used</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524599">
        <w:t>[59]</w:t>
      </w:r>
      <w:r>
        <w:t xml:space="preserve"> shall apply: </w:t>
      </w:r>
    </w:p>
    <w:p w14:paraId="2B7C64A8" w14:textId="77777777" w:rsidR="00DC2924" w:rsidRPr="00524599" w:rsidRDefault="00DC2924" w:rsidP="00DC2924">
      <w:pPr>
        <w:pStyle w:val="Heading3"/>
        <w:ind w:left="1469"/>
        <w:rPr>
          <w:shd w:val="clear" w:color="auto" w:fill="auto"/>
        </w:rPr>
      </w:pPr>
      <w:proofErr w:type="gramStart"/>
      <w:r w:rsidRPr="00524599">
        <w:rPr>
          <w:shd w:val="clear" w:color="auto" w:fill="auto"/>
        </w:rPr>
        <w:t>59.  [</w:t>
      </w:r>
      <w:proofErr w:type="gramEnd"/>
      <w:r w:rsidRPr="00524599">
        <w:rPr>
          <w:shd w:val="clear" w:color="auto" w:fill="auto"/>
        </w:rPr>
        <w:t>CODING REQUIREMENTS]</w:t>
      </w:r>
      <w:r w:rsidRPr="003116FF">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lastRenderedPageBreak/>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1C446081" w:rsidR="00DC2924" w:rsidRDefault="00DC2924" w:rsidP="00DC2924">
      <w:pPr>
        <w:numPr>
          <w:ilvl w:val="0"/>
          <w:numId w:val="98"/>
        </w:numPr>
        <w:spacing w:after="235" w:line="249" w:lineRule="auto"/>
        <w:ind w:right="184" w:hanging="360"/>
      </w:pPr>
      <w:r>
        <w:rPr>
          <w:b/>
        </w:rPr>
        <w:t xml:space="preserve">MOD ADDITIONAL CLAUSES </w:t>
      </w:r>
      <w:r w:rsidR="003116FF">
        <w:rPr>
          <w:b/>
        </w:rPr>
        <w:t>Not Used</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w:t>
      </w:r>
      <w:r>
        <w:lastRenderedPageBreak/>
        <w:t xml:space="preserve">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sidRPr="00524599">
        <w:t>[60]</w:t>
      </w:r>
      <w:r>
        <w:t xml:space="preserve"> shall apply: </w:t>
      </w:r>
    </w:p>
    <w:p w14:paraId="511A202A" w14:textId="77777777" w:rsidR="00DC2924" w:rsidRPr="00524599" w:rsidRDefault="00DC2924" w:rsidP="00DC2924">
      <w:pPr>
        <w:pStyle w:val="Heading3"/>
        <w:ind w:left="1469"/>
        <w:rPr>
          <w:shd w:val="clear" w:color="auto" w:fill="auto"/>
        </w:rPr>
      </w:pPr>
      <w:r w:rsidRPr="00524599">
        <w:rPr>
          <w:shd w:val="clear" w:color="auto" w:fill="auto"/>
        </w:rPr>
        <w:t>60. [ACCESS TO MOD SITES]</w:t>
      </w:r>
      <w:r w:rsidRPr="003116FF">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w:t>
      </w:r>
      <w:r>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t>make arrangements</w:t>
      </w:r>
      <w:proofErr w:type="gramEnd"/>
      <w:r>
        <w:t xml:space="preserve"> for payments, converted at the prevailing </w:t>
      </w:r>
      <w:r>
        <w:lastRenderedPageBreak/>
        <w:t>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sidRPr="00524599">
        <w:t>[14</w:t>
      </w:r>
      <w:r w:rsidRPr="00524599">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sidRPr="00524599">
        <w:rPr>
          <w:b/>
        </w:rPr>
        <w:t>[1</w:t>
      </w:r>
      <w:r w:rsidR="00702281" w:rsidRPr="00524599">
        <w:rPr>
          <w:b/>
        </w:rPr>
        <w:t>4</w:t>
      </w:r>
      <w:r w:rsidRPr="00524599">
        <w:rPr>
          <w:b/>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lastRenderedPageBreak/>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4792DC7B" w:rsidR="00702281" w:rsidRDefault="00702281" w:rsidP="00524599">
      <w:pPr>
        <w:pStyle w:val="Heading1"/>
        <w:spacing w:after="218"/>
        <w:ind w:left="236" w:right="2080" w:firstLine="0"/>
      </w:pPr>
      <w:bookmarkStart w:id="311" w:name="_Toc316572"/>
      <w:bookmarkStart w:id="312" w:name="_Toc4715592"/>
      <w:r>
        <w:rPr>
          <w:color w:val="000000"/>
          <w:u w:val="none" w:color="000000"/>
        </w:rPr>
        <w:t>CONTRACT SCHEDULE 13: CONTRACT TENDER</w:t>
      </w:r>
      <w:bookmarkEnd w:id="311"/>
      <w:bookmarkEnd w:id="312"/>
      <w:r w:rsidR="003116FF">
        <w:rPr>
          <w:color w:val="000000"/>
          <w:u w:val="none" w:color="000000"/>
        </w:rPr>
        <w:t xml:space="preserve"> Not Used</w:t>
      </w:r>
    </w:p>
    <w:p w14:paraId="3C0C199B" w14:textId="453D17DC" w:rsidR="00702281" w:rsidRDefault="00702281" w:rsidP="00524599">
      <w:pPr>
        <w:spacing w:after="225" w:line="259" w:lineRule="auto"/>
        <w:ind w:left="236" w:firstLine="0"/>
      </w:pPr>
    </w:p>
    <w:p w14:paraId="49957E9C" w14:textId="77777777" w:rsidR="00702281" w:rsidRPr="00DC2924" w:rsidRDefault="00702281" w:rsidP="00741EA3">
      <w:pPr>
        <w:ind w:left="510"/>
      </w:pPr>
    </w:p>
    <w:sectPr w:rsidR="00702281" w:rsidRPr="00DC2924">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92746" w14:textId="77777777" w:rsidR="00890EA2" w:rsidRDefault="00890EA2">
      <w:pPr>
        <w:spacing w:after="0" w:line="240" w:lineRule="auto"/>
      </w:pPr>
      <w:r>
        <w:separator/>
      </w:r>
    </w:p>
  </w:endnote>
  <w:endnote w:type="continuationSeparator" w:id="0">
    <w:p w14:paraId="76DAE341" w14:textId="77777777" w:rsidR="00890EA2" w:rsidRDefault="0089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FFE" w14:textId="77777777" w:rsidR="0035561E" w:rsidRDefault="0035561E">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54E4" w14:textId="1C9A7813" w:rsidR="0035561E" w:rsidRDefault="0035561E">
    <w:pPr>
      <w:spacing w:after="0" w:line="259" w:lineRule="auto"/>
      <w:ind w:left="1301" w:firstLine="0"/>
      <w:jc w:val="center"/>
    </w:pPr>
    <w:r>
      <w:fldChar w:fldCharType="begin"/>
    </w:r>
    <w:r>
      <w:instrText xml:space="preserve"> PAGE   \* MERGEFORMAT </w:instrText>
    </w:r>
    <w:r>
      <w:fldChar w:fldCharType="separate"/>
    </w:r>
    <w:r>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8597" w14:textId="77777777" w:rsidR="0035561E" w:rsidRDefault="0035561E">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8A357" w14:textId="77777777" w:rsidR="00890EA2" w:rsidRDefault="00890EA2">
      <w:pPr>
        <w:spacing w:after="0" w:line="240" w:lineRule="auto"/>
      </w:pPr>
      <w:r>
        <w:separator/>
      </w:r>
    </w:p>
  </w:footnote>
  <w:footnote w:type="continuationSeparator" w:id="0">
    <w:p w14:paraId="0CB772F4" w14:textId="77777777" w:rsidR="00890EA2" w:rsidRDefault="00890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AAF8" w14:textId="568B9F6F" w:rsidR="0035561E" w:rsidRDefault="0035561E">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35561E" w:rsidRDefault="0035561E">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5161" w14:textId="45705724" w:rsidR="0035561E" w:rsidRDefault="0035561E">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35561E" w:rsidRDefault="003556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4267" w14:textId="7A743113" w:rsidR="0035561E" w:rsidRDefault="0035561E">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35561E" w:rsidRDefault="0035561E">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5"/>
  </w:num>
  <w:num w:numId="2">
    <w:abstractNumId w:val="29"/>
  </w:num>
  <w:num w:numId="3">
    <w:abstractNumId w:val="8"/>
  </w:num>
  <w:num w:numId="4">
    <w:abstractNumId w:val="90"/>
  </w:num>
  <w:num w:numId="5">
    <w:abstractNumId w:val="43"/>
  </w:num>
  <w:num w:numId="6">
    <w:abstractNumId w:val="17"/>
  </w:num>
  <w:num w:numId="7">
    <w:abstractNumId w:val="51"/>
  </w:num>
  <w:num w:numId="8">
    <w:abstractNumId w:val="30"/>
  </w:num>
  <w:num w:numId="9">
    <w:abstractNumId w:val="88"/>
  </w:num>
  <w:num w:numId="10">
    <w:abstractNumId w:val="87"/>
  </w:num>
  <w:num w:numId="11">
    <w:abstractNumId w:val="58"/>
  </w:num>
  <w:num w:numId="12">
    <w:abstractNumId w:val="28"/>
  </w:num>
  <w:num w:numId="13">
    <w:abstractNumId w:val="14"/>
  </w:num>
  <w:num w:numId="14">
    <w:abstractNumId w:val="73"/>
  </w:num>
  <w:num w:numId="15">
    <w:abstractNumId w:val="38"/>
  </w:num>
  <w:num w:numId="16">
    <w:abstractNumId w:val="91"/>
  </w:num>
  <w:num w:numId="17">
    <w:abstractNumId w:val="56"/>
  </w:num>
  <w:num w:numId="18">
    <w:abstractNumId w:val="21"/>
  </w:num>
  <w:num w:numId="19">
    <w:abstractNumId w:val="62"/>
  </w:num>
  <w:num w:numId="20">
    <w:abstractNumId w:val="83"/>
  </w:num>
  <w:num w:numId="21">
    <w:abstractNumId w:val="49"/>
  </w:num>
  <w:num w:numId="22">
    <w:abstractNumId w:val="12"/>
  </w:num>
  <w:num w:numId="23">
    <w:abstractNumId w:val="40"/>
  </w:num>
  <w:num w:numId="24">
    <w:abstractNumId w:val="65"/>
  </w:num>
  <w:num w:numId="25">
    <w:abstractNumId w:val="69"/>
  </w:num>
  <w:num w:numId="26">
    <w:abstractNumId w:val="16"/>
  </w:num>
  <w:num w:numId="27">
    <w:abstractNumId w:val="71"/>
  </w:num>
  <w:num w:numId="28">
    <w:abstractNumId w:val="5"/>
  </w:num>
  <w:num w:numId="29">
    <w:abstractNumId w:val="94"/>
  </w:num>
  <w:num w:numId="30">
    <w:abstractNumId w:val="6"/>
  </w:num>
  <w:num w:numId="31">
    <w:abstractNumId w:val="66"/>
  </w:num>
  <w:num w:numId="32">
    <w:abstractNumId w:val="50"/>
  </w:num>
  <w:num w:numId="33">
    <w:abstractNumId w:val="10"/>
  </w:num>
  <w:num w:numId="34">
    <w:abstractNumId w:val="92"/>
  </w:num>
  <w:num w:numId="35">
    <w:abstractNumId w:val="45"/>
  </w:num>
  <w:num w:numId="36">
    <w:abstractNumId w:val="41"/>
  </w:num>
  <w:num w:numId="37">
    <w:abstractNumId w:val="86"/>
  </w:num>
  <w:num w:numId="38">
    <w:abstractNumId w:val="33"/>
  </w:num>
  <w:num w:numId="39">
    <w:abstractNumId w:val="54"/>
  </w:num>
  <w:num w:numId="40">
    <w:abstractNumId w:val="24"/>
  </w:num>
  <w:num w:numId="41">
    <w:abstractNumId w:val="27"/>
  </w:num>
  <w:num w:numId="42">
    <w:abstractNumId w:val="93"/>
  </w:num>
  <w:num w:numId="43">
    <w:abstractNumId w:val="35"/>
  </w:num>
  <w:num w:numId="44">
    <w:abstractNumId w:val="55"/>
  </w:num>
  <w:num w:numId="45">
    <w:abstractNumId w:val="61"/>
  </w:num>
  <w:num w:numId="46">
    <w:abstractNumId w:val="46"/>
  </w:num>
  <w:num w:numId="47">
    <w:abstractNumId w:val="68"/>
  </w:num>
  <w:num w:numId="48">
    <w:abstractNumId w:val="15"/>
  </w:num>
  <w:num w:numId="49">
    <w:abstractNumId w:val="76"/>
  </w:num>
  <w:num w:numId="50">
    <w:abstractNumId w:val="25"/>
  </w:num>
  <w:num w:numId="51">
    <w:abstractNumId w:val="75"/>
  </w:num>
  <w:num w:numId="52">
    <w:abstractNumId w:val="63"/>
  </w:num>
  <w:num w:numId="53">
    <w:abstractNumId w:val="79"/>
  </w:num>
  <w:num w:numId="54">
    <w:abstractNumId w:val="70"/>
  </w:num>
  <w:num w:numId="55">
    <w:abstractNumId w:val="44"/>
  </w:num>
  <w:num w:numId="56">
    <w:abstractNumId w:val="60"/>
  </w:num>
  <w:num w:numId="57">
    <w:abstractNumId w:val="32"/>
  </w:num>
  <w:num w:numId="58">
    <w:abstractNumId w:val="78"/>
  </w:num>
  <w:num w:numId="59">
    <w:abstractNumId w:val="64"/>
  </w:num>
  <w:num w:numId="60">
    <w:abstractNumId w:val="26"/>
  </w:num>
  <w:num w:numId="61">
    <w:abstractNumId w:val="1"/>
  </w:num>
  <w:num w:numId="62">
    <w:abstractNumId w:val="2"/>
  </w:num>
  <w:num w:numId="63">
    <w:abstractNumId w:val="42"/>
  </w:num>
  <w:num w:numId="64">
    <w:abstractNumId w:val="0"/>
  </w:num>
  <w:num w:numId="65">
    <w:abstractNumId w:val="18"/>
  </w:num>
  <w:num w:numId="66">
    <w:abstractNumId w:val="20"/>
  </w:num>
  <w:num w:numId="67">
    <w:abstractNumId w:val="3"/>
  </w:num>
  <w:num w:numId="68">
    <w:abstractNumId w:val="84"/>
  </w:num>
  <w:num w:numId="69">
    <w:abstractNumId w:val="39"/>
  </w:num>
  <w:num w:numId="70">
    <w:abstractNumId w:val="57"/>
  </w:num>
  <w:num w:numId="71">
    <w:abstractNumId w:val="4"/>
  </w:num>
  <w:num w:numId="72">
    <w:abstractNumId w:val="74"/>
  </w:num>
  <w:num w:numId="73">
    <w:abstractNumId w:val="13"/>
  </w:num>
  <w:num w:numId="74">
    <w:abstractNumId w:val="7"/>
  </w:num>
  <w:num w:numId="75">
    <w:abstractNumId w:val="9"/>
  </w:num>
  <w:num w:numId="76">
    <w:abstractNumId w:val="52"/>
  </w:num>
  <w:num w:numId="77">
    <w:abstractNumId w:val="81"/>
  </w:num>
  <w:num w:numId="78">
    <w:abstractNumId w:val="59"/>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7"/>
    <w:lvlOverride w:ilvl="0">
      <w:startOverride w:val="1"/>
    </w:lvlOverride>
    <w:lvlOverride w:ilvl="1">
      <w:startOverride w:val="5"/>
    </w:lvlOverride>
  </w:num>
  <w:num w:numId="82">
    <w:abstractNumId w:val="7"/>
    <w:lvlOverride w:ilvl="0">
      <w:startOverride w:val="1"/>
    </w:lvlOverride>
    <w:lvlOverride w:ilvl="1">
      <w:startOverride w:val="5"/>
    </w:lvlOverride>
  </w:num>
  <w:num w:numId="83">
    <w:abstractNumId w:val="53"/>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num>
  <w:num w:numId="90">
    <w:abstractNumId w:val="77"/>
  </w:num>
  <w:num w:numId="91">
    <w:abstractNumId w:val="36"/>
  </w:num>
  <w:num w:numId="92">
    <w:abstractNumId w:val="80"/>
  </w:num>
  <w:num w:numId="93">
    <w:abstractNumId w:val="22"/>
  </w:num>
  <w:num w:numId="94">
    <w:abstractNumId w:val="19"/>
  </w:num>
  <w:num w:numId="95">
    <w:abstractNumId w:val="89"/>
  </w:num>
  <w:num w:numId="96">
    <w:abstractNumId w:val="23"/>
  </w:num>
  <w:num w:numId="97">
    <w:abstractNumId w:val="11"/>
  </w:num>
  <w:num w:numId="9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24537"/>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64DF7"/>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116FF"/>
    <w:rsid w:val="003203C1"/>
    <w:rsid w:val="00321895"/>
    <w:rsid w:val="00323105"/>
    <w:rsid w:val="00325CE4"/>
    <w:rsid w:val="00326A0E"/>
    <w:rsid w:val="00330EDC"/>
    <w:rsid w:val="00333418"/>
    <w:rsid w:val="00340F0E"/>
    <w:rsid w:val="00341649"/>
    <w:rsid w:val="003453B0"/>
    <w:rsid w:val="003474A9"/>
    <w:rsid w:val="003531EC"/>
    <w:rsid w:val="0035561E"/>
    <w:rsid w:val="00356D48"/>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24599"/>
    <w:rsid w:val="00535B86"/>
    <w:rsid w:val="005426B7"/>
    <w:rsid w:val="00546A74"/>
    <w:rsid w:val="00550F26"/>
    <w:rsid w:val="00553EC4"/>
    <w:rsid w:val="00557414"/>
    <w:rsid w:val="00560547"/>
    <w:rsid w:val="0056483D"/>
    <w:rsid w:val="00571A04"/>
    <w:rsid w:val="005741CF"/>
    <w:rsid w:val="00575ECA"/>
    <w:rsid w:val="00581060"/>
    <w:rsid w:val="00590E09"/>
    <w:rsid w:val="005956EE"/>
    <w:rsid w:val="005A2CC6"/>
    <w:rsid w:val="005B3903"/>
    <w:rsid w:val="005C13B5"/>
    <w:rsid w:val="005C6F61"/>
    <w:rsid w:val="005D5E66"/>
    <w:rsid w:val="005E6AEA"/>
    <w:rsid w:val="005E77E1"/>
    <w:rsid w:val="005F045F"/>
    <w:rsid w:val="00601506"/>
    <w:rsid w:val="00606101"/>
    <w:rsid w:val="00610A44"/>
    <w:rsid w:val="00621138"/>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3006"/>
    <w:rsid w:val="00696DD9"/>
    <w:rsid w:val="006A15F5"/>
    <w:rsid w:val="006D461D"/>
    <w:rsid w:val="006D470C"/>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01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0992"/>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44B4"/>
    <w:rsid w:val="00845378"/>
    <w:rsid w:val="00855053"/>
    <w:rsid w:val="0085532A"/>
    <w:rsid w:val="008619D8"/>
    <w:rsid w:val="00864FA6"/>
    <w:rsid w:val="00872856"/>
    <w:rsid w:val="00886E36"/>
    <w:rsid w:val="008876D2"/>
    <w:rsid w:val="00890EA2"/>
    <w:rsid w:val="008A01D9"/>
    <w:rsid w:val="008A0F16"/>
    <w:rsid w:val="008A6DFC"/>
    <w:rsid w:val="008B13B7"/>
    <w:rsid w:val="008B3247"/>
    <w:rsid w:val="008B4A64"/>
    <w:rsid w:val="008B56F3"/>
    <w:rsid w:val="008B7EF8"/>
    <w:rsid w:val="008E2770"/>
    <w:rsid w:val="008E27F6"/>
    <w:rsid w:val="008E32D7"/>
    <w:rsid w:val="008E6413"/>
    <w:rsid w:val="008F10B0"/>
    <w:rsid w:val="00900C89"/>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297A"/>
    <w:rsid w:val="00A745FD"/>
    <w:rsid w:val="00A75147"/>
    <w:rsid w:val="00A80A8B"/>
    <w:rsid w:val="00A95526"/>
    <w:rsid w:val="00A97546"/>
    <w:rsid w:val="00AA7E2B"/>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7177"/>
    <w:rsid w:val="00C0150D"/>
    <w:rsid w:val="00C01F75"/>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3D3C"/>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7946">
      <w:bodyDiv w:val="1"/>
      <w:marLeft w:val="0"/>
      <w:marRight w:val="0"/>
      <w:marTop w:val="0"/>
      <w:marBottom w:val="0"/>
      <w:divBdr>
        <w:top w:val="none" w:sz="0" w:space="0" w:color="auto"/>
        <w:left w:val="none" w:sz="0" w:space="0" w:color="auto"/>
        <w:bottom w:val="none" w:sz="0" w:space="0" w:color="auto"/>
        <w:right w:val="none" w:sz="0" w:space="0" w:color="auto"/>
      </w:divBdr>
    </w:div>
    <w:div w:id="575094557">
      <w:bodyDiv w:val="1"/>
      <w:marLeft w:val="0"/>
      <w:marRight w:val="0"/>
      <w:marTop w:val="0"/>
      <w:marBottom w:val="0"/>
      <w:divBdr>
        <w:top w:val="none" w:sz="0" w:space="0" w:color="auto"/>
        <w:left w:val="none" w:sz="0" w:space="0" w:color="auto"/>
        <w:bottom w:val="none" w:sz="0" w:space="0" w:color="auto"/>
        <w:right w:val="none" w:sz="0" w:space="0" w:color="auto"/>
      </w:divBdr>
    </w:div>
    <w:div w:id="178391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footer" Target="footer2.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009F5-5A0A-495D-955D-691ED3E5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163</Pages>
  <Words>55805</Words>
  <Characters>318093</Characters>
  <Application>Microsoft Office Word</Application>
  <DocSecurity>0</DocSecurity>
  <Lines>2650</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2023-11-14T14:15:00Z</dcterms:created>
  <dcterms:modified xsi:type="dcterms:W3CDTF">2023-11-14T14:15:00Z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