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Award Form</w:t>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sz w:val="24"/>
          <w:szCs w:val="24"/>
          <w:rtl w:val="0"/>
        </w:rPr>
        <w:t xml:space="preserve">This Award Form creates this Contract. It summarises the main features of the procurement and includes the Buyer and the Supplier’s contact details.</w:t>
      </w:r>
    </w:p>
    <w:tbl>
      <w:tblPr>
        <w:tblStyle w:val="Table1"/>
        <w:tblW w:w="9498.0" w:type="dxa"/>
        <w:jc w:val="left"/>
        <w:tblInd w:w="-10.0" w:type="dxa"/>
        <w:tblBorders>
          <w:top w:color="000000" w:space="0" w:sz="8" w:val="single"/>
          <w:left w:color="000000" w:space="0" w:sz="8" w:val="single"/>
          <w:bottom w:color="000000" w:space="0" w:sz="8" w:val="single"/>
          <w:right w:color="000000" w:space="0" w:sz="8" w:val="single"/>
          <w:insideH w:color="95b3d7" w:space="0" w:sz="4" w:val="single"/>
          <w:insideV w:color="95b3d7" w:space="0" w:sz="4" w:val="single"/>
        </w:tblBorders>
        <w:tblLayout w:type="fixed"/>
        <w:tblLook w:val="0000"/>
      </w:tblPr>
      <w:tblGrid>
        <w:gridCol w:w="426"/>
        <w:gridCol w:w="1842"/>
        <w:gridCol w:w="7230"/>
        <w:tblGridChange w:id="0">
          <w:tblGrid>
            <w:gridCol w:w="426"/>
            <w:gridCol w:w="1842"/>
            <w:gridCol w:w="7230"/>
          </w:tblGrid>
        </w:tblGridChange>
      </w:tblGrid>
      <w:tr>
        <w:trPr>
          <w:cantSplit w:val="0"/>
          <w:trHeight w:val="1060" w:hRule="atLeast"/>
          <w:tblHeader w:val="0"/>
        </w:trPr>
        <w:tc>
          <w:tcPr/>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w:t>
            </w:r>
          </w:p>
        </w:tc>
        <w:tc>
          <w:tcPr/>
          <w:p w:rsidR="00000000" w:rsidDel="00000000" w:rsidP="00000000" w:rsidRDefault="00000000" w:rsidRPr="00000000" w14:paraId="0000000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Government Property Agency (GPA) </w:t>
            </w:r>
          </w:p>
          <w:p w:rsidR="00000000" w:rsidDel="00000000" w:rsidP="00000000" w:rsidRDefault="00000000" w:rsidRPr="00000000" w14:paraId="00000007">
            <w:pPr>
              <w:spacing w:after="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Its offices are on:</w:t>
            </w:r>
          </w:p>
          <w:p w:rsidR="00000000" w:rsidDel="00000000" w:rsidP="00000000" w:rsidRDefault="00000000" w:rsidRPr="00000000" w14:paraId="00000008">
            <w:pPr>
              <w:spacing w:after="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23 Stephenson Street </w:t>
            </w:r>
          </w:p>
          <w:p w:rsidR="00000000" w:rsidDel="00000000" w:rsidP="00000000" w:rsidRDefault="00000000" w:rsidRPr="00000000" w14:paraId="00000009">
            <w:pPr>
              <w:spacing w:after="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Birmingham </w:t>
            </w:r>
          </w:p>
          <w:p w:rsidR="00000000" w:rsidDel="00000000" w:rsidP="00000000" w:rsidRDefault="00000000" w:rsidRPr="00000000" w14:paraId="0000000A">
            <w:pPr>
              <w:spacing w:after="0" w:lineRule="auto"/>
              <w:rPr>
                <w:rFonts w:ascii="Arial" w:cs="Arial" w:eastAsia="Arial" w:hAnsi="Arial"/>
                <w:color w:val="000000"/>
                <w:sz w:val="24"/>
                <w:szCs w:val="24"/>
                <w:highlight w:val="yellow"/>
              </w:rPr>
            </w:pPr>
            <w:r w:rsidDel="00000000" w:rsidR="00000000" w:rsidRPr="00000000">
              <w:rPr>
                <w:rFonts w:ascii="Arial" w:cs="Arial" w:eastAsia="Arial" w:hAnsi="Arial"/>
                <w:color w:val="000000"/>
                <w:sz w:val="24"/>
                <w:szCs w:val="24"/>
                <w:rtl w:val="0"/>
              </w:rPr>
              <w:t xml:space="preserve">B2 4BJ</w:t>
            </w:r>
            <w:r w:rsidDel="00000000" w:rsidR="00000000" w:rsidRPr="00000000">
              <w:rPr>
                <w:rtl w:val="0"/>
              </w:rPr>
            </w:r>
          </w:p>
        </w:tc>
      </w:tr>
      <w:tr>
        <w:trPr>
          <w:cantSplit w:val="0"/>
          <w:trHeight w:val="2870" w:hRule="atLeast"/>
          <w:tblHeader w:val="0"/>
        </w:trPr>
        <w:tc>
          <w:tcPr/>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w:t>
            </w:r>
          </w:p>
        </w:tc>
        <w:tc>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Rule="auto"/>
              <w:rPr>
                <w:rFonts w:ascii="Arial" w:cs="Arial" w:eastAsia="Arial" w:hAnsi="Arial"/>
                <w:b w:val="1"/>
                <w:color w:val="000000"/>
                <w:sz w:val="24"/>
                <w:szCs w:val="24"/>
              </w:rPr>
            </w:pPr>
            <w:r w:rsidDel="00000000" w:rsidR="00000000" w:rsidRPr="00000000">
              <w:rPr>
                <w:rtl w:val="0"/>
              </w:rPr>
            </w:r>
          </w:p>
          <w:tbl>
            <w:tblPr>
              <w:tblStyle w:val="Table2"/>
              <w:tblW w:w="613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96"/>
              <w:gridCol w:w="3836"/>
              <w:tblGridChange w:id="0">
                <w:tblGrid>
                  <w:gridCol w:w="2296"/>
                  <w:gridCol w:w="3836"/>
                </w:tblGrid>
              </w:tblGridChange>
            </w:tblGrid>
            <w:tr>
              <w:trPr>
                <w:cantSplit w:val="0"/>
                <w:tblHeader w:val="0"/>
              </w:trPr>
              <w:tc>
                <w:tcPr>
                  <w:shd w:fill="auto" w:val="clear"/>
                </w:tcPr>
                <w:p w:rsidR="00000000" w:rsidDel="00000000" w:rsidP="00000000" w:rsidRDefault="00000000" w:rsidRPr="00000000" w14:paraId="0000000E">
                  <w:pPr>
                    <w:spacing w:after="120" w:before="120" w:line="240" w:lineRule="auto"/>
                    <w:ind w:left="-7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Name: </w:t>
                  </w:r>
                </w:p>
              </w:tc>
              <w:tc>
                <w:tcPr/>
                <w:p w:rsidR="00000000" w:rsidDel="00000000" w:rsidP="00000000" w:rsidRDefault="00000000" w:rsidRPr="00000000" w14:paraId="0000000F">
                  <w:pPr>
                    <w:spacing w:after="120" w:before="120" w:line="240" w:lineRule="auto"/>
                    <w:rPr>
                      <w:rFonts w:ascii="Arial" w:cs="Arial" w:eastAsia="Arial" w:hAnsi="Arial"/>
                      <w:b w:val="1"/>
                      <w:i w:val="1"/>
                      <w:color w:val="000000"/>
                      <w:sz w:val="24"/>
                      <w:szCs w:val="24"/>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name (registered name if registered)]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0">
                  <w:pPr>
                    <w:spacing w:after="120" w:before="120" w:line="240" w:lineRule="auto"/>
                    <w:ind w:left="-7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Address: </w:t>
                  </w:r>
                </w:p>
              </w:tc>
              <w:tc>
                <w:tcPr/>
                <w:p w:rsidR="00000000" w:rsidDel="00000000" w:rsidP="00000000" w:rsidRDefault="00000000" w:rsidRPr="00000000" w14:paraId="00000011">
                  <w:pPr>
                    <w:spacing w:after="120" w:before="120" w:line="240" w:lineRule="auto"/>
                    <w:rPr>
                      <w:rFonts w:ascii="Arial" w:cs="Arial" w:eastAsia="Arial" w:hAnsi="Arial"/>
                      <w:b w:val="1"/>
                      <w:i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w:t>
                  </w:r>
                  <w:r w:rsidDel="00000000" w:rsidR="00000000" w:rsidRPr="00000000">
                    <w:rPr>
                      <w:rFonts w:ascii="Arial" w:cs="Arial" w:eastAsia="Arial" w:hAnsi="Arial"/>
                      <w:b w:val="1"/>
                      <w:i w:val="1"/>
                      <w:color w:val="000000"/>
                      <w:sz w:val="24"/>
                      <w:szCs w:val="24"/>
                      <w:highlight w:val="yellow"/>
                      <w:rtl w:val="0"/>
                    </w:rPr>
                    <w:t xml:space="preserve"> </w:t>
                  </w:r>
                  <w:r w:rsidDel="00000000" w:rsidR="00000000" w:rsidRPr="00000000">
                    <w:rPr>
                      <w:rFonts w:ascii="Arial" w:cs="Arial" w:eastAsia="Arial" w:hAnsi="Arial"/>
                      <w:color w:val="000000"/>
                      <w:sz w:val="24"/>
                      <w:szCs w:val="24"/>
                      <w:highlight w:val="yellow"/>
                      <w:rtl w:val="0"/>
                    </w:rPr>
                    <w:t xml:space="preserve">address registered address if registered]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2">
                  <w:pPr>
                    <w:spacing w:after="120" w:before="120" w:line="240" w:lineRule="auto"/>
                    <w:ind w:left="-7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Registration number: </w:t>
                  </w:r>
                </w:p>
              </w:tc>
              <w:tc>
                <w:tcPr/>
                <w:p w:rsidR="00000000" w:rsidDel="00000000" w:rsidP="00000000" w:rsidRDefault="00000000" w:rsidRPr="00000000" w14:paraId="00000013">
                  <w:pPr>
                    <w:spacing w:after="120" w:before="120" w:line="240" w:lineRule="auto"/>
                    <w:rPr>
                      <w:rFonts w:ascii="Arial" w:cs="Arial" w:eastAsia="Arial" w:hAnsi="Arial"/>
                      <w:b w:val="1"/>
                      <w:i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w:t>
                  </w:r>
                  <w:r w:rsidDel="00000000" w:rsidR="00000000" w:rsidRPr="00000000">
                    <w:rPr>
                      <w:rFonts w:ascii="Arial" w:cs="Arial" w:eastAsia="Arial" w:hAnsi="Arial"/>
                      <w:b w:val="1"/>
                      <w:i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registration number if registered]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4">
                  <w:pPr>
                    <w:spacing w:after="120" w:before="120" w:line="240" w:lineRule="auto"/>
                    <w:ind w:left="-7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SID4GOV ID:</w:t>
                  </w:r>
                </w:p>
              </w:tc>
              <w:tc>
                <w:tcPr/>
                <w:p w:rsidR="00000000" w:rsidDel="00000000" w:rsidP="00000000" w:rsidRDefault="00000000" w:rsidRPr="00000000" w14:paraId="00000015">
                  <w:pPr>
                    <w:spacing w:after="120" w:before="120" w:line="240" w:lineRule="auto"/>
                    <w:rPr>
                      <w:rFonts w:ascii="Arial" w:cs="Arial" w:eastAsia="Arial" w:hAnsi="Arial"/>
                      <w:b w:val="1"/>
                      <w:i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w:t>
                  </w:r>
                  <w:r w:rsidDel="00000000" w:rsidR="00000000" w:rsidRPr="00000000">
                    <w:rPr>
                      <w:rFonts w:ascii="Arial" w:cs="Arial" w:eastAsia="Arial" w:hAnsi="Arial"/>
                      <w:b w:val="1"/>
                      <w:i w:val="1"/>
                      <w:color w:val="000000"/>
                      <w:sz w:val="24"/>
                      <w:szCs w:val="24"/>
                      <w:highlight w:val="yellow"/>
                      <w:rtl w:val="0"/>
                    </w:rPr>
                    <w:t xml:space="preserve"> </w:t>
                  </w:r>
                  <w:r w:rsidDel="00000000" w:rsidR="00000000" w:rsidRPr="00000000">
                    <w:rPr>
                      <w:rFonts w:ascii="Arial" w:cs="Arial" w:eastAsia="Arial" w:hAnsi="Arial"/>
                      <w:color w:val="000000"/>
                      <w:sz w:val="24"/>
                      <w:szCs w:val="24"/>
                      <w:highlight w:val="yellow"/>
                      <w:rtl w:val="0"/>
                    </w:rPr>
                    <w:t xml:space="preserve">SID4GOV ID if you have one]</w:t>
                  </w:r>
                  <w:r w:rsidDel="00000000" w:rsidR="00000000" w:rsidRPr="00000000">
                    <w:rPr>
                      <w:rtl w:val="0"/>
                    </w:rPr>
                  </w:r>
                </w:p>
              </w:tc>
            </w:tr>
          </w:tbl>
          <w:p w:rsidR="00000000" w:rsidDel="00000000" w:rsidP="00000000" w:rsidRDefault="00000000" w:rsidRPr="00000000" w14:paraId="00000016">
            <w:pPr>
              <w:spacing w:after="120" w:before="120" w:line="240" w:lineRule="auto"/>
              <w:rPr>
                <w:rFonts w:ascii="Arial" w:cs="Arial" w:eastAsia="Arial" w:hAnsi="Arial"/>
                <w:sz w:val="24"/>
                <w:szCs w:val="24"/>
              </w:rPr>
            </w:pPr>
            <w:r w:rsidDel="00000000" w:rsidR="00000000" w:rsidRPr="00000000">
              <w:rPr>
                <w:rtl w:val="0"/>
              </w:rPr>
            </w:r>
          </w:p>
        </w:tc>
      </w:tr>
      <w:tr>
        <w:trPr>
          <w:cantSplit w:val="0"/>
          <w:trHeight w:val="1440" w:hRule="atLeast"/>
          <w:tblHeader w:val="0"/>
        </w:trPr>
        <w:tc>
          <w:tcPr/>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Contract</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Contract between the Buyer and the Supplier for the</w:t>
            </w:r>
            <w:r w:rsidDel="00000000" w:rsidR="00000000" w:rsidRPr="00000000">
              <w:rPr>
                <w:rFonts w:ascii="Arial" w:cs="Arial" w:eastAsia="Arial" w:hAnsi="Arial"/>
                <w:color w:val="000000"/>
                <w:rtl w:val="0"/>
              </w:rPr>
              <w:t xml:space="preserve"> delivery of GovPrint Cloud, a shared cloud print management service for its future Authority hubs, other Authority locations and non Authority locations.  See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4"/>
                <w:szCs w:val="24"/>
                <w:rtl w:val="0"/>
              </w:rPr>
              <w:t xml:space="preserve">Schedule 2 (Specification) for full details.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yellow"/>
              </w:rPr>
            </w:pPr>
            <w:r w:rsidDel="00000000" w:rsidR="00000000" w:rsidRPr="00000000">
              <w:rPr>
                <w:rFonts w:ascii="Arial" w:cs="Arial" w:eastAsia="Arial" w:hAnsi="Arial"/>
                <w:color w:val="000000"/>
                <w:sz w:val="24"/>
                <w:szCs w:val="24"/>
                <w:rtl w:val="0"/>
              </w:rPr>
              <w:t xml:space="preserve">This opportunity is advertised in this Contract Notice in Find A Tender, reference C1000862 (FTS Contract Notice).</w:t>
            </w: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120" w:before="120" w:line="240" w:lineRule="auto"/>
              <w:ind w:left="357" w:hanging="357"/>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Contract reference</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i w:val="1"/>
                <w:color w:val="000000"/>
                <w:sz w:val="24"/>
                <w:szCs w:val="24"/>
              </w:rPr>
            </w:pPr>
            <w:r w:rsidDel="00000000" w:rsidR="00000000" w:rsidRPr="00000000">
              <w:rPr>
                <w:rFonts w:ascii="Arial" w:cs="Arial" w:eastAsia="Arial" w:hAnsi="Arial"/>
                <w:b w:val="1"/>
                <w:color w:val="000000"/>
                <w:sz w:val="24"/>
                <w:szCs w:val="24"/>
                <w:rtl w:val="0"/>
              </w:rPr>
              <w:t xml:space="preserve">C1000862</w:t>
            </w: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 Cause</w:t>
            </w:r>
          </w:p>
        </w:tc>
        <w:tc>
          <w:tcPr/>
          <w:p w:rsidR="00000000" w:rsidDel="00000000" w:rsidP="00000000" w:rsidRDefault="00000000" w:rsidRPr="00000000" w14:paraId="00000020">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Any material breach of the obligations of the Buyer or any other default, act, omission, negligence or statement of the Buyer, of its employees, servants, agents in connection with or in relation to the subject-matter of this Contract and in respect of which the Buyer is liable to the Supplier.</w:t>
            </w:r>
          </w:p>
        </w:tc>
      </w:tr>
      <w:tr>
        <w:trPr>
          <w:cantSplit w:val="0"/>
          <w:trHeight w:val="460" w:hRule="atLeast"/>
          <w:tblHeader w:val="0"/>
        </w:trPr>
        <w:tc>
          <w:tcPr/>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Collaborative working principles</w:t>
            </w:r>
          </w:p>
        </w:tc>
        <w:tc>
          <w:tcPr/>
          <w:p w:rsidR="00000000" w:rsidDel="00000000" w:rsidP="00000000" w:rsidRDefault="00000000" w:rsidRPr="00000000" w14:paraId="00000023">
            <w:pPr>
              <w:spacing w:after="120" w:before="120" w:line="240" w:lineRule="auto"/>
              <w:ind w:right="936"/>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Collaborative Working Principles do not apply to this Contract.</w:t>
            </w:r>
          </w:p>
          <w:p w:rsidR="00000000" w:rsidDel="00000000" w:rsidP="00000000" w:rsidRDefault="00000000" w:rsidRPr="00000000" w14:paraId="00000024">
            <w:pPr>
              <w:spacing w:after="120" w:before="120" w:line="240" w:lineRule="auto"/>
              <w:ind w:right="936"/>
              <w:rPr>
                <w:rFonts w:ascii="Arial" w:cs="Arial" w:eastAsia="Arial" w:hAnsi="Arial"/>
                <w:color w:val="000000"/>
                <w:sz w:val="24"/>
                <w:szCs w:val="24"/>
                <w:highlight w:val="yellow"/>
              </w:rPr>
            </w:pPr>
            <w:r w:rsidDel="00000000" w:rsidR="00000000" w:rsidRPr="00000000">
              <w:rPr>
                <w:rFonts w:ascii="Arial" w:cs="Arial" w:eastAsia="Arial" w:hAnsi="Arial"/>
                <w:color w:val="000000"/>
                <w:sz w:val="24"/>
                <w:szCs w:val="24"/>
                <w:rtl w:val="0"/>
              </w:rPr>
              <w:t xml:space="preserve">See Clause 3.1.3 for further details.</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Financial Transparency Objectives</w:t>
            </w:r>
          </w:p>
        </w:tc>
        <w:tc>
          <w:tcPr/>
          <w:p w:rsidR="00000000" w:rsidDel="00000000" w:rsidP="00000000" w:rsidRDefault="00000000" w:rsidRPr="00000000" w14:paraId="00000027">
            <w:pPr>
              <w:spacing w:after="120" w:before="120" w:line="240" w:lineRule="auto"/>
              <w:ind w:right="936"/>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Financial Transparency Objectives apply to this Contract. </w:t>
            </w:r>
          </w:p>
          <w:p w:rsidR="00000000" w:rsidDel="00000000" w:rsidP="00000000" w:rsidRDefault="00000000" w:rsidRPr="00000000" w14:paraId="00000028">
            <w:pPr>
              <w:spacing w:after="120" w:before="120" w:line="240" w:lineRule="auto"/>
              <w:ind w:right="936"/>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Clause 6.3 for further details.</w:t>
            </w:r>
          </w:p>
          <w:p w:rsidR="00000000" w:rsidDel="00000000" w:rsidP="00000000" w:rsidRDefault="00000000" w:rsidRPr="00000000" w14:paraId="00000029">
            <w:pPr>
              <w:spacing w:after="120" w:before="120" w:line="240" w:lineRule="auto"/>
              <w:ind w:right="936"/>
              <w:rPr>
                <w:rFonts w:ascii="Arial" w:cs="Arial" w:eastAsia="Arial" w:hAnsi="Arial"/>
                <w:color w:val="000000"/>
                <w:sz w:val="24"/>
                <w:szCs w:val="24"/>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Start Date</w:t>
            </w:r>
          </w:p>
        </w:tc>
        <w:tc>
          <w:tcPr/>
          <w:p w:rsidR="00000000" w:rsidDel="00000000" w:rsidP="00000000" w:rsidRDefault="00000000" w:rsidRPr="00000000" w14:paraId="0000002C">
            <w:pPr>
              <w:spacing w:after="120" w:before="120" w:line="240" w:lineRule="auto"/>
              <w:ind w:right="936"/>
              <w:rPr>
                <w:rFonts w:ascii="Arial" w:cs="Arial" w:eastAsia="Arial" w:hAnsi="Arial"/>
                <w:color w:val="000000"/>
                <w:sz w:val="24"/>
                <w:szCs w:val="24"/>
                <w:highlight w:val="yellow"/>
              </w:rPr>
            </w:pPr>
            <w:r w:rsidDel="00000000" w:rsidR="00000000" w:rsidRPr="00000000">
              <w:rPr>
                <w:rFonts w:ascii="Arial" w:cs="Arial" w:eastAsia="Arial" w:hAnsi="Arial"/>
                <w:color w:val="000000"/>
                <w:sz w:val="24"/>
                <w:szCs w:val="24"/>
                <w:highlight w:val="yellow"/>
                <w:rtl w:val="0"/>
              </w:rPr>
              <w:t xml:space="preserve">To be completed prior to award.</w:t>
            </w:r>
          </w:p>
          <w:p w:rsidR="00000000" w:rsidDel="00000000" w:rsidP="00000000" w:rsidRDefault="00000000" w:rsidRPr="00000000" w14:paraId="0000002D">
            <w:pPr>
              <w:spacing w:after="120" w:before="120" w:line="240" w:lineRule="auto"/>
              <w:rPr>
                <w:rFonts w:ascii="Arial" w:cs="Arial" w:eastAsia="Arial" w:hAnsi="Arial"/>
                <w:b w:val="1"/>
                <w:i w:val="1"/>
                <w:sz w:val="24"/>
                <w:szCs w:val="24"/>
                <w:highlight w:val="yellow"/>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Expiry Date</w:t>
            </w:r>
          </w:p>
        </w:tc>
        <w:tc>
          <w:tcPr/>
          <w:p w:rsidR="00000000" w:rsidDel="00000000" w:rsidP="00000000" w:rsidRDefault="00000000" w:rsidRPr="00000000" w14:paraId="00000030">
            <w:pPr>
              <w:spacing w:after="120" w:before="120" w:line="240" w:lineRule="auto"/>
              <w:ind w:right="936"/>
              <w:rPr>
                <w:rFonts w:ascii="Arial" w:cs="Arial" w:eastAsia="Arial" w:hAnsi="Arial"/>
                <w:sz w:val="24"/>
                <w:szCs w:val="24"/>
                <w:highlight w:val="yellow"/>
              </w:rPr>
            </w:pPr>
            <w:r w:rsidDel="00000000" w:rsidR="00000000" w:rsidRPr="00000000">
              <w:rPr>
                <w:rFonts w:ascii="Arial" w:cs="Arial" w:eastAsia="Arial" w:hAnsi="Arial"/>
                <w:color w:val="000000"/>
                <w:sz w:val="24"/>
                <w:szCs w:val="24"/>
                <w:highlight w:val="yellow"/>
                <w:rtl w:val="0"/>
              </w:rPr>
              <w:t xml:space="preserve">To be completed prior to award.</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before="120" w:line="240" w:lineRule="auto"/>
              <w:ind w:left="34"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Extension Period</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before="120" w:line="240" w:lineRule="auto"/>
              <w:ind w:right="936"/>
              <w:rPr>
                <w:rFonts w:ascii="Arial" w:cs="Arial" w:eastAsia="Arial" w:hAnsi="Arial"/>
                <w:b w:val="1"/>
                <w:i w:val="1"/>
                <w:color w:val="000000"/>
                <w:sz w:val="24"/>
                <w:szCs w:val="24"/>
              </w:rPr>
            </w:pPr>
            <w:r w:rsidDel="00000000" w:rsidR="00000000" w:rsidRPr="00000000">
              <w:rPr>
                <w:rFonts w:ascii="Arial" w:cs="Arial" w:eastAsia="Arial" w:hAnsi="Arial"/>
                <w:color w:val="000000"/>
                <w:sz w:val="24"/>
                <w:szCs w:val="24"/>
                <w:rtl w:val="0"/>
              </w:rPr>
              <w:t xml:space="preserve">This Contract can be extended by the Buyer for 6 periods of up to 12 months each (for a maximum contract term of 9 years), by giving the Supplier no less than 3 months written notice before its expiry.  </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before="120" w:line="240" w:lineRule="auto"/>
              <w:ind w:left="34"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Ending this Contract without a reason</w:t>
            </w:r>
          </w:p>
        </w:tc>
        <w:tc>
          <w:tcPr/>
          <w:p w:rsidR="00000000" w:rsidDel="00000000" w:rsidP="00000000" w:rsidRDefault="00000000" w:rsidRPr="00000000" w14:paraId="00000036">
            <w:pPr>
              <w:spacing w:after="120" w:before="120" w:line="240" w:lineRule="auto"/>
              <w:ind w:right="936"/>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Buyer shall be able to terminate this Contract in accordance with Clause 14.3.</w:t>
            </w:r>
          </w:p>
          <w:p w:rsidR="00000000" w:rsidDel="00000000" w:rsidP="00000000" w:rsidRDefault="00000000" w:rsidRPr="00000000" w14:paraId="00000037">
            <w:pPr>
              <w:pStyle w:val="Heading4"/>
              <w:keepNext w:val="0"/>
              <w:keepLines w:val="0"/>
              <w:spacing w:after="120" w:before="120" w:line="240" w:lineRule="auto"/>
              <w:rPr>
                <w:rFonts w:ascii="Arial" w:cs="Arial" w:eastAsia="Arial" w:hAnsi="Arial"/>
                <w:b w:val="0"/>
                <w:color w:val="000000"/>
                <w:highlight w:val="yellow"/>
              </w:rPr>
            </w:pPr>
            <w:bookmarkStart w:colFirst="0" w:colLast="0" w:name="_heading=h.j7q2nd7e80pc" w:id="0"/>
            <w:bookmarkEnd w:id="0"/>
            <w:r w:rsidDel="00000000" w:rsidR="00000000" w:rsidRPr="00000000">
              <w:rPr>
                <w:rFonts w:ascii="Arial" w:cs="Arial" w:eastAsia="Arial" w:hAnsi="Arial"/>
                <w:b w:val="0"/>
                <w:color w:val="000000"/>
                <w:rtl w:val="0"/>
              </w:rPr>
              <w:t xml:space="preserve">Provided that the amount of notice that the Buyer shall give to terminate in Clause 14.3 shall be not less than ninety (90) days’ notice.</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Incorporated Terms </w:t>
            </w:r>
            <w:r w:rsidDel="00000000" w:rsidR="00000000" w:rsidRPr="00000000">
              <w:rPr>
                <w:rtl w:val="0"/>
              </w:rPr>
            </w:r>
          </w:p>
          <w:p w:rsidR="00000000" w:rsidDel="00000000" w:rsidP="00000000" w:rsidRDefault="00000000" w:rsidRPr="00000000" w14:paraId="0000003A">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(together these documents form the </w:t>
            </w:r>
            <w:r w:rsidDel="00000000" w:rsidR="00000000" w:rsidRPr="00000000">
              <w:rPr>
                <w:rFonts w:ascii="Arial" w:cs="Arial" w:eastAsia="Arial" w:hAnsi="Arial"/>
                <w:b w:val="1"/>
                <w:color w:val="000000"/>
                <w:sz w:val="24"/>
                <w:szCs w:val="24"/>
                <w:rtl w:val="0"/>
              </w:rPr>
              <w:t xml:space="preserve">"this Contract"</w:t>
            </w:r>
            <w:r w:rsidDel="00000000" w:rsidR="00000000" w:rsidRPr="00000000">
              <w:rPr>
                <w:rFonts w:ascii="Arial" w:cs="Arial" w:eastAsia="Arial" w:hAnsi="Arial"/>
                <w:color w:val="000000"/>
                <w:sz w:val="24"/>
                <w:szCs w:val="24"/>
                <w:rtl w:val="0"/>
              </w:rPr>
              <w:t xml:space="preserve">)</w:t>
            </w:r>
          </w:p>
        </w:tc>
        <w:tc>
          <w:tcPr/>
          <w:p w:rsidR="00000000" w:rsidDel="00000000" w:rsidP="00000000" w:rsidRDefault="00000000" w:rsidRPr="00000000" w14:paraId="0000003B">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following documents are incorporated into this Contract. Where numbers are missing we are not using these Schedules. If there is any conflict, the following order of precedence applies:</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Award Form</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Any Special Terms (see </w:t>
            </w:r>
            <w:r w:rsidDel="00000000" w:rsidR="00000000" w:rsidRPr="00000000">
              <w:rPr>
                <w:rFonts w:ascii="Arial" w:cs="Arial" w:eastAsia="Arial" w:hAnsi="Arial"/>
                <w:b w:val="1"/>
                <w:color w:val="000000"/>
                <w:sz w:val="24"/>
                <w:szCs w:val="24"/>
                <w:rtl w:val="0"/>
              </w:rPr>
              <w:t xml:space="preserve">Section 14 (Special Terms)</w:t>
            </w:r>
            <w:r w:rsidDel="00000000" w:rsidR="00000000" w:rsidRPr="00000000">
              <w:rPr>
                <w:rFonts w:ascii="Arial" w:cs="Arial" w:eastAsia="Arial" w:hAnsi="Arial"/>
                <w:color w:val="000000"/>
                <w:sz w:val="24"/>
                <w:szCs w:val="24"/>
                <w:rtl w:val="0"/>
              </w:rPr>
              <w:t xml:space="preserve"> in this Award Form)</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Core Terms</w:t>
            </w:r>
          </w:p>
          <w:p w:rsidR="00000000" w:rsidDel="00000000" w:rsidP="00000000" w:rsidRDefault="00000000" w:rsidRPr="00000000" w14:paraId="0000003F">
            <w:pPr>
              <w:numPr>
                <w:ilvl w:val="0"/>
                <w:numId w:val="1"/>
              </w:numP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36 (Intellectual Property Rights) </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 (Definitions) </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6 (Transparency Reports)</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20 (Processing Data) </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following Schedules (in equal order of precedence):</w:t>
            </w:r>
          </w:p>
          <w:p w:rsidR="00000000" w:rsidDel="00000000" w:rsidP="00000000" w:rsidRDefault="00000000" w:rsidRPr="00000000" w14:paraId="00000044">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 (Specification)</w:t>
            </w:r>
          </w:p>
          <w:p w:rsidR="00000000" w:rsidDel="00000000" w:rsidP="00000000" w:rsidRDefault="00000000" w:rsidRPr="00000000" w14:paraId="00000045">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3 (Charges)</w:t>
            </w:r>
          </w:p>
          <w:p w:rsidR="00000000" w:rsidDel="00000000" w:rsidP="00000000" w:rsidRDefault="00000000" w:rsidRPr="00000000" w14:paraId="00000046">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5 (Commercially Sensitive Information)</w:t>
            </w:r>
          </w:p>
          <w:p w:rsidR="00000000" w:rsidDel="00000000" w:rsidP="00000000" w:rsidRDefault="00000000" w:rsidRPr="00000000" w14:paraId="00000047">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7 (Staff Transfer)</w:t>
            </w:r>
          </w:p>
          <w:p w:rsidR="00000000" w:rsidDel="00000000" w:rsidP="00000000" w:rsidRDefault="00000000" w:rsidRPr="00000000" w14:paraId="00000048">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8 (Implementation Plan &amp; Testing)</w:t>
            </w:r>
          </w:p>
          <w:p w:rsidR="00000000" w:rsidDel="00000000" w:rsidP="00000000" w:rsidRDefault="00000000" w:rsidRPr="00000000" w14:paraId="00000049">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9 (Installation Works)</w:t>
            </w:r>
          </w:p>
          <w:p w:rsidR="00000000" w:rsidDel="00000000" w:rsidP="00000000" w:rsidRDefault="00000000" w:rsidRPr="00000000" w14:paraId="0000004A">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10 (Service Levels)</w:t>
            </w:r>
          </w:p>
          <w:p w:rsidR="00000000" w:rsidDel="00000000" w:rsidP="00000000" w:rsidRDefault="00000000" w:rsidRPr="00000000" w14:paraId="0000004B">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11 (Continuous Improvement)</w:t>
            </w:r>
          </w:p>
          <w:p w:rsidR="00000000" w:rsidDel="00000000" w:rsidP="00000000" w:rsidRDefault="00000000" w:rsidRPr="00000000" w14:paraId="0000004C">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12 (Benchmarking)</w:t>
            </w:r>
          </w:p>
          <w:p w:rsidR="00000000" w:rsidDel="00000000" w:rsidP="00000000" w:rsidRDefault="00000000" w:rsidRPr="00000000" w14:paraId="0000004D">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13 (Contract Management)</w:t>
            </w:r>
          </w:p>
          <w:p w:rsidR="00000000" w:rsidDel="00000000" w:rsidP="00000000" w:rsidRDefault="00000000" w:rsidRPr="00000000" w14:paraId="0000004E">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14 (Business Continuity and Disaster Recovery)</w:t>
            </w:r>
          </w:p>
          <w:p w:rsidR="00000000" w:rsidDel="00000000" w:rsidP="00000000" w:rsidRDefault="00000000" w:rsidRPr="00000000" w14:paraId="0000004F">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15 (Minimum Standards of Reliability)</w:t>
            </w:r>
          </w:p>
          <w:p w:rsidR="00000000" w:rsidDel="00000000" w:rsidP="00000000" w:rsidRDefault="00000000" w:rsidRPr="00000000" w14:paraId="00000050">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16 (Security)</w:t>
            </w:r>
          </w:p>
          <w:p w:rsidR="00000000" w:rsidDel="00000000" w:rsidP="00000000" w:rsidRDefault="00000000" w:rsidRPr="00000000" w14:paraId="00000051">
            <w:pPr>
              <w:numPr>
                <w:ilvl w:val="1"/>
                <w:numId w:val="4"/>
              </w:numPr>
              <w:pBdr>
                <w:top w:space="0" w:sz="0" w:val="nil"/>
                <w:left w:space="0" w:sz="0" w:val="nil"/>
                <w:bottom w:space="0" w:sz="0" w:val="nil"/>
                <w:right w:space="0" w:sz="0" w:val="nil"/>
                <w:between w:space="0" w:sz="0" w:val="nil"/>
              </w:pBdr>
              <w:tabs>
                <w:tab w:val="left" w:leader="none" w:pos="1164"/>
              </w:tabs>
              <w:spacing w:after="120" w:before="120" w:line="240" w:lineRule="auto"/>
              <w:ind w:left="1164" w:hanging="42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18 (Supply Chain Visibility)</w:t>
            </w:r>
          </w:p>
          <w:p w:rsidR="00000000" w:rsidDel="00000000" w:rsidP="00000000" w:rsidRDefault="00000000" w:rsidRPr="00000000" w14:paraId="00000052">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19 (Cyber Essentials Scheme)</w:t>
            </w:r>
          </w:p>
          <w:p w:rsidR="00000000" w:rsidDel="00000000" w:rsidP="00000000" w:rsidRDefault="00000000" w:rsidRPr="00000000" w14:paraId="00000053">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21 (Variation Form)</w:t>
            </w:r>
          </w:p>
          <w:p w:rsidR="00000000" w:rsidDel="00000000" w:rsidP="00000000" w:rsidRDefault="00000000" w:rsidRPr="00000000" w14:paraId="00000054">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22 (Insurance Requirements)</w:t>
            </w:r>
          </w:p>
          <w:p w:rsidR="00000000" w:rsidDel="00000000" w:rsidP="00000000" w:rsidRDefault="00000000" w:rsidRPr="00000000" w14:paraId="00000055">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23 (Guarantee)</w:t>
            </w:r>
          </w:p>
          <w:p w:rsidR="00000000" w:rsidDel="00000000" w:rsidP="00000000" w:rsidRDefault="00000000" w:rsidRPr="00000000" w14:paraId="00000056">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24 (Financial Difficulties)</w:t>
            </w:r>
          </w:p>
          <w:p w:rsidR="00000000" w:rsidDel="00000000" w:rsidP="00000000" w:rsidRDefault="00000000" w:rsidRPr="00000000" w14:paraId="00000057">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25 (Rectification Plan)</w:t>
            </w:r>
          </w:p>
          <w:p w:rsidR="00000000" w:rsidDel="00000000" w:rsidP="00000000" w:rsidRDefault="00000000" w:rsidRPr="00000000" w14:paraId="00000058">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26 (Sustainability)</w:t>
            </w:r>
          </w:p>
          <w:p w:rsidR="00000000" w:rsidDel="00000000" w:rsidP="00000000" w:rsidRDefault="00000000" w:rsidRPr="00000000" w14:paraId="00000059">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27 (Key Subcontractors)</w:t>
            </w:r>
          </w:p>
          <w:p w:rsidR="00000000" w:rsidDel="00000000" w:rsidP="00000000" w:rsidRDefault="00000000" w:rsidRPr="00000000" w14:paraId="0000005A">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28 (ICT Services)</w:t>
            </w:r>
          </w:p>
          <w:p w:rsidR="00000000" w:rsidDel="00000000" w:rsidP="00000000" w:rsidRDefault="00000000" w:rsidRPr="00000000" w14:paraId="0000005B">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28A (Agile Development Additional Terms)</w:t>
            </w:r>
          </w:p>
          <w:p w:rsidR="00000000" w:rsidDel="00000000" w:rsidP="00000000" w:rsidRDefault="00000000" w:rsidRPr="00000000" w14:paraId="0000005C">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29 (Key Supplier Staff)</w:t>
            </w:r>
          </w:p>
          <w:p w:rsidR="00000000" w:rsidDel="00000000" w:rsidP="00000000" w:rsidRDefault="00000000" w:rsidRPr="00000000" w14:paraId="0000005D">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30 (Exit Management)</w:t>
            </w:r>
          </w:p>
          <w:p w:rsidR="00000000" w:rsidDel="00000000" w:rsidP="00000000" w:rsidRDefault="00000000" w:rsidRPr="00000000" w14:paraId="0000005E">
            <w:pPr>
              <w:numPr>
                <w:ilvl w:val="1"/>
                <w:numId w:val="4"/>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37 (Corporate Resolution Planning Information)</w:t>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 4 (Tender), unless any part of the Tender offers a better commercial position for the Buyer (as decided by the Buyer, in its absolute discretion), in which case that part of the Tender will take precedence over the documents above. </w:t>
            </w:r>
          </w:p>
        </w:tc>
      </w:tr>
      <w:tr>
        <w:trPr>
          <w:cantSplit w:val="0"/>
          <w:trHeight w:val="635" w:hRule="atLeast"/>
          <w:tblHeader w:val="0"/>
        </w:trPr>
        <w:tc>
          <w:tcPr/>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bookmarkStart w:colFirst="0" w:colLast="0" w:name="_heading=h.30j0zll" w:id="1"/>
            <w:bookmarkEnd w:id="1"/>
            <w:r w:rsidDel="00000000" w:rsidR="00000000" w:rsidRPr="00000000">
              <w:rPr>
                <w:rtl w:val="0"/>
              </w:rPr>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Special Terms</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1985"/>
                <w:tab w:val="left" w:leader="none" w:pos="2127"/>
                <w:tab w:val="left" w:leader="none" w:pos="741"/>
              </w:tabs>
              <w:spacing w:after="120" w:before="120" w:line="240" w:lineRule="auto"/>
              <w:jc w:val="both"/>
              <w:rPr>
                <w:rFonts w:ascii="Arial" w:cs="Arial" w:eastAsia="Arial" w:hAnsi="Arial"/>
                <w:b w:val="1"/>
                <w:i w:val="1"/>
                <w:color w:val="000000"/>
                <w:sz w:val="24"/>
                <w:szCs w:val="24"/>
                <w:highlight w:val="yellow"/>
              </w:rPr>
            </w:pPr>
            <w:r w:rsidDel="00000000" w:rsidR="00000000" w:rsidRPr="00000000">
              <w:rPr>
                <w:rFonts w:ascii="Arial" w:cs="Arial" w:eastAsia="Arial" w:hAnsi="Arial"/>
                <w:color w:val="000000"/>
                <w:sz w:val="24"/>
                <w:szCs w:val="24"/>
                <w:rtl w:val="0"/>
              </w:rPr>
              <w:t xml:space="preserve">N/A</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1985"/>
                <w:tab w:val="left" w:leader="none" w:pos="2127"/>
                <w:tab w:val="left" w:leader="none" w:pos="741"/>
              </w:tabs>
              <w:spacing w:after="120" w:before="120" w:line="240" w:lineRule="auto"/>
              <w:ind w:left="450" w:firstLine="0"/>
              <w:jc w:val="both"/>
              <w:rPr>
                <w:rFonts w:ascii="Arial" w:cs="Arial" w:eastAsia="Arial" w:hAnsi="Arial"/>
                <w:color w:val="000000"/>
                <w:sz w:val="24"/>
                <w:szCs w:val="24"/>
                <w:highlight w:val="yellow"/>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Buyer’s Environmental Policy </w:t>
            </w:r>
          </w:p>
        </w:tc>
        <w:tc>
          <w:tcPr/>
          <w:p w:rsidR="00000000" w:rsidDel="00000000" w:rsidP="00000000" w:rsidRDefault="00000000" w:rsidRPr="00000000" w14:paraId="00000066">
            <w:pPr>
              <w:spacing w:after="120" w:before="12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N/A</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Social Value Commitment</w:t>
            </w:r>
          </w:p>
        </w:tc>
        <w:tc>
          <w:tcPr/>
          <w:p w:rsidR="00000000" w:rsidDel="00000000" w:rsidP="00000000" w:rsidRDefault="00000000" w:rsidRPr="00000000" w14:paraId="00000069">
            <w:pPr>
              <w:tabs>
                <w:tab w:val="left" w:leader="none" w:pos="2257"/>
              </w:tabs>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Supplier agrees, in providing the Deliverables and performing its obligations under this Contract, to deliver the Social Value outcomes in Schedule 4 (Tender) and provide the Social Value Reports as set out in Schedule 26 (Sustainability) </w:t>
            </w:r>
          </w:p>
          <w:p w:rsidR="00000000" w:rsidDel="00000000" w:rsidP="00000000" w:rsidRDefault="00000000" w:rsidRPr="00000000" w14:paraId="0000006A">
            <w:pPr>
              <w:tabs>
                <w:tab w:val="left" w:leader="none" w:pos="2257"/>
              </w:tabs>
              <w:spacing w:after="120" w:before="120" w:line="240" w:lineRule="auto"/>
              <w:rPr>
                <w:rFonts w:ascii="Arial" w:cs="Arial" w:eastAsia="Arial" w:hAnsi="Arial"/>
                <w:b w:val="1"/>
                <w:sz w:val="24"/>
                <w:szCs w:val="24"/>
                <w:highlight w:val="yellow"/>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Buyer’s Security Requirements and Security and ICT Policy</w:t>
            </w:r>
          </w:p>
        </w:tc>
        <w:tc>
          <w:tcPr/>
          <w:p w:rsidR="00000000" w:rsidDel="00000000" w:rsidP="00000000" w:rsidRDefault="00000000" w:rsidRPr="00000000" w14:paraId="0000006D">
            <w:pPr>
              <w:tabs>
                <w:tab w:val="left" w:leader="none" w:pos="2257"/>
              </w:tabs>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Security Requirements: as set out in Schedule 16 (Security). </w:t>
            </w:r>
          </w:p>
          <w:p w:rsidR="00000000" w:rsidDel="00000000" w:rsidP="00000000" w:rsidRDefault="00000000" w:rsidRPr="00000000" w14:paraId="0000006E">
            <w:pPr>
              <w:tabs>
                <w:tab w:val="left" w:leader="none" w:pos="2257"/>
              </w:tabs>
              <w:spacing w:after="120" w:before="120" w:line="240" w:lineRule="auto"/>
              <w:rPr>
                <w:rFonts w:ascii="Arial" w:cs="Arial" w:eastAsia="Arial" w:hAnsi="Arial"/>
                <w:i w:val="1"/>
                <w:color w:val="000000"/>
                <w:sz w:val="24"/>
                <w:szCs w:val="24"/>
                <w:highlight w:val="yellow"/>
              </w:rPr>
            </w:pPr>
            <w:r w:rsidDel="00000000" w:rsidR="00000000" w:rsidRPr="00000000">
              <w:rPr>
                <w:rFonts w:ascii="Arial" w:cs="Arial" w:eastAsia="Arial" w:hAnsi="Arial"/>
                <w:b w:val="1"/>
                <w:color w:val="000000"/>
                <w:sz w:val="24"/>
                <w:szCs w:val="24"/>
                <w:rtl w:val="0"/>
              </w:rPr>
              <w:t xml:space="preserve">Security Policy</w:t>
            </w:r>
            <w:r w:rsidDel="00000000" w:rsidR="00000000" w:rsidRPr="00000000">
              <w:rPr>
                <w:rtl w:val="0"/>
              </w:rPr>
            </w:r>
          </w:p>
          <w:p w:rsidR="00000000" w:rsidDel="00000000" w:rsidP="00000000" w:rsidRDefault="00000000" w:rsidRPr="00000000" w14:paraId="0000006F">
            <w:pPr>
              <w:tabs>
                <w:tab w:val="left" w:leader="none" w:pos="2257"/>
              </w:tabs>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the purposes of Schedule 16 (Security) the Supplier is required to comply with the Security Policy and GPA Supplier Assurance Security </w:t>
            </w:r>
            <w:r w:rsidDel="00000000" w:rsidR="00000000" w:rsidRPr="00000000">
              <w:rPr>
                <w:rFonts w:ascii="Arial" w:cs="Arial" w:eastAsia="Arial" w:hAnsi="Arial"/>
                <w:color w:val="000000"/>
                <w:sz w:val="24"/>
                <w:szCs w:val="24"/>
                <w:rtl w:val="0"/>
              </w:rPr>
              <w:t xml:space="preserve">Schedule</w:t>
            </w:r>
            <w:r w:rsidDel="00000000" w:rsidR="00000000" w:rsidRPr="00000000">
              <w:rPr>
                <w:rFonts w:ascii="Arial" w:cs="Arial" w:eastAsia="Arial" w:hAnsi="Arial"/>
                <w:color w:val="000000"/>
                <w:sz w:val="24"/>
                <w:szCs w:val="24"/>
                <w:rtl w:val="0"/>
              </w:rPr>
              <w:t xml:space="preserve">. Where there is any conflict between the schedules, Schedule 16 (Security) shall take precedence.</w:t>
            </w:r>
          </w:p>
          <w:p w:rsidR="00000000" w:rsidDel="00000000" w:rsidP="00000000" w:rsidRDefault="00000000" w:rsidRPr="00000000" w14:paraId="00000070">
            <w:pPr>
              <w:tabs>
                <w:tab w:val="left" w:leader="none" w:pos="2257"/>
              </w:tabs>
              <w:spacing w:after="120" w:before="120" w:line="240" w:lineRule="auto"/>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71">
            <w:pPr>
              <w:tabs>
                <w:tab w:val="left" w:leader="none" w:pos="2257"/>
              </w:tabs>
              <w:spacing w:after="120" w:before="120" w:line="240" w:lineRule="auto"/>
              <w:rPr>
                <w:rFonts w:ascii="Arial" w:cs="Arial" w:eastAsia="Arial" w:hAnsi="Arial"/>
                <w:color w:val="000000"/>
                <w:sz w:val="24"/>
                <w:szCs w:val="24"/>
                <w:highlight w:val="yellow"/>
              </w:rPr>
            </w:pPr>
            <w:bookmarkStart w:colFirst="0" w:colLast="0" w:name="_heading=h.gjdgxs" w:id="2"/>
            <w:bookmarkEnd w:id="2"/>
            <w:r w:rsidDel="00000000" w:rsidR="00000000" w:rsidRPr="00000000">
              <w:rPr/>
              <w:pict>
                <v:shape id="_x0000_i1025" style="width:75pt;height:49pt" o:ole="" type="#_x0000_t75">
                  <v:imagedata r:id="rId1" o:title=""/>
                </v:shape>
                <o:OLEObject DrawAspect="Icon" r:id="rId2" ObjectID="_1781094749" ProgID="Package" ShapeID="_x0000_i1025" Type="Embed"/>
              </w:pict>
            </w:r>
            <w:r w:rsidDel="00000000" w:rsidR="00000000" w:rsidRPr="00000000">
              <w:rPr>
                <w:rtl w:val="0"/>
              </w:rPr>
            </w:r>
          </w:p>
          <w:p w:rsidR="00000000" w:rsidDel="00000000" w:rsidP="00000000" w:rsidRDefault="00000000" w:rsidRPr="00000000" w14:paraId="00000072">
            <w:pPr>
              <w:tabs>
                <w:tab w:val="left" w:leader="none" w:pos="2257"/>
              </w:tabs>
              <w:spacing w:after="120" w:before="120" w:line="240" w:lineRule="auto"/>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73">
            <w:pPr>
              <w:tabs>
                <w:tab w:val="left" w:leader="none" w:pos="2257"/>
              </w:tabs>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the purposes of Supplier Staff vetting, the Supplier is required to comply with the Security Policy.</w:t>
            </w:r>
          </w:p>
          <w:p w:rsidR="00000000" w:rsidDel="00000000" w:rsidP="00000000" w:rsidRDefault="00000000" w:rsidRPr="00000000" w14:paraId="00000074">
            <w:pPr>
              <w:tabs>
                <w:tab w:val="left" w:leader="none" w:pos="2257"/>
              </w:tabs>
              <w:spacing w:after="120" w:before="120" w:line="240" w:lineRule="auto"/>
              <w:rPr>
                <w:rFonts w:ascii="Arial" w:cs="Arial" w:eastAsia="Arial" w:hAnsi="Arial"/>
                <w:b w:val="1"/>
                <w:i w:val="1"/>
                <w:color w:val="000000"/>
                <w:sz w:val="24"/>
                <w:szCs w:val="24"/>
                <w:highlight w:val="yellow"/>
              </w:rPr>
            </w:pPr>
            <w:r w:rsidDel="00000000" w:rsidR="00000000" w:rsidRPr="00000000">
              <w:rPr>
                <w:rFonts w:ascii="Arial" w:cs="Arial" w:eastAsia="Arial" w:hAnsi="Arial"/>
                <w:b w:val="1"/>
                <w:color w:val="000000"/>
                <w:sz w:val="24"/>
                <w:szCs w:val="24"/>
                <w:rtl w:val="0"/>
              </w:rPr>
              <w:t xml:space="preserve">ICT Policy:</w:t>
            </w:r>
            <w:r w:rsidDel="00000000" w:rsidR="00000000" w:rsidRPr="00000000">
              <w:rPr>
                <w:rtl w:val="0"/>
              </w:rPr>
            </w:r>
          </w:p>
          <w:p w:rsidR="00000000" w:rsidDel="00000000" w:rsidP="00000000" w:rsidRDefault="00000000" w:rsidRPr="00000000" w14:paraId="00000075">
            <w:pPr>
              <w:tabs>
                <w:tab w:val="left" w:leader="none" w:pos="2257"/>
              </w:tabs>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the purposes of Schedule 16 (Security) the Supplier is required to comply with the ICT Policy.</w:t>
            </w:r>
          </w:p>
          <w:p w:rsidR="00000000" w:rsidDel="00000000" w:rsidP="00000000" w:rsidRDefault="00000000" w:rsidRPr="00000000" w14:paraId="00000076">
            <w:pPr>
              <w:tabs>
                <w:tab w:val="left" w:leader="none" w:pos="2257"/>
              </w:tabs>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the purposes of Schedule 28 (ICT) Supplier is required to comply with the ICT Policy.</w:t>
            </w:r>
          </w:p>
        </w:tc>
      </w:tr>
      <w:tr>
        <w:trPr>
          <w:cantSplit w:val="0"/>
          <w:trHeight w:val="40" w:hRule="atLeast"/>
          <w:tblHeader w:val="0"/>
        </w:trPr>
        <w:tc>
          <w:tcPr/>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Charges</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Indexation is applicable as detailed in Schedule 3 (Charges)</w:t>
            </w:r>
          </w:p>
          <w:p w:rsidR="00000000" w:rsidDel="00000000" w:rsidP="00000000" w:rsidRDefault="00000000" w:rsidRPr="00000000" w14:paraId="0000007A">
            <w:pPr>
              <w:spacing w:after="120" w:before="120" w:line="240" w:lineRule="auto"/>
              <w:rPr>
                <w:rFonts w:ascii="Arial" w:cs="Arial" w:eastAsia="Arial" w:hAnsi="Arial"/>
                <w:color w:val="000000"/>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7C">
            <w:pPr>
              <w:spacing w:after="120" w:before="120" w:line="240" w:lineRule="auto"/>
              <w:ind w:left="31" w:firstLine="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Estimated Year 1 Charges</w:t>
            </w:r>
            <w:r w:rsidDel="00000000" w:rsidR="00000000" w:rsidRPr="00000000">
              <w:rPr>
                <w:rtl w:val="0"/>
              </w:rPr>
            </w:r>
          </w:p>
        </w:tc>
        <w:tc>
          <w:tcPr/>
          <w:p w:rsidR="00000000" w:rsidDel="00000000" w:rsidP="00000000" w:rsidRDefault="00000000" w:rsidRPr="00000000" w14:paraId="0000007D">
            <w:pPr>
              <w:spacing w:after="120" w:before="120" w:line="240" w:lineRule="auto"/>
              <w:ind w:left="32"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£500,000.00.</w:t>
            </w:r>
          </w:p>
        </w:tc>
      </w:tr>
      <w:tr>
        <w:trPr>
          <w:cantSplit w:val="0"/>
          <w:trHeight w:val="560" w:hRule="atLeast"/>
          <w:tblHeader w:val="0"/>
        </w:trPr>
        <w:tc>
          <w:tcPr/>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Reimbursable expenses</w:t>
            </w:r>
          </w:p>
        </w:tc>
        <w:tc>
          <w:tcPr>
            <w:shd w:fill="auto"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None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Payment method</w:t>
            </w:r>
          </w:p>
        </w:tc>
        <w:tc>
          <w:tcPr>
            <w:shd w:fill="auto"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i w:val="1"/>
                <w:color w:val="000000"/>
                <w:sz w:val="24"/>
                <w:szCs w:val="24"/>
              </w:rPr>
            </w:pPr>
            <w:r w:rsidDel="00000000" w:rsidR="00000000" w:rsidRPr="00000000">
              <w:rPr>
                <w:rFonts w:ascii="Arial" w:cs="Arial" w:eastAsia="Arial" w:hAnsi="Arial"/>
                <w:b w:val="1"/>
                <w:color w:val="000000"/>
                <w:sz w:val="24"/>
                <w:szCs w:val="24"/>
                <w:rtl w:val="0"/>
              </w:rPr>
              <w:t xml:space="preserve">BACS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240" w:lineRule="auto"/>
              <w:ind w:left="29" w:hanging="29"/>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Service Levels</w:t>
            </w:r>
          </w:p>
        </w:tc>
        <w:tc>
          <w:tcPr>
            <w:shd w:fill="auto"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Service Credits will accrue in accordance with Schedule 10 (Service Levels)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Service Credit Cap is: 12%</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Service Period is 1 month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A Critical Service Level Failure is </w:t>
            </w:r>
            <w:r w:rsidDel="00000000" w:rsidR="00000000" w:rsidRPr="00000000">
              <w:rPr>
                <w:rFonts w:ascii="Arial" w:cs="Arial" w:eastAsia="Arial" w:hAnsi="Arial"/>
                <w:color w:val="000000"/>
                <w:rtl w:val="0"/>
              </w:rPr>
              <w:t xml:space="preserve">when one or more of the following occur:</w:t>
            </w:r>
          </w:p>
          <w:p w:rsidR="00000000" w:rsidDel="00000000" w:rsidP="00000000" w:rsidRDefault="00000000" w:rsidRPr="00000000" w14:paraId="0000008A">
            <w:pPr>
              <w:numPr>
                <w:ilvl w:val="1"/>
                <w:numId w:val="2"/>
              </w:numPr>
              <w:spacing w:after="240" w:line="240" w:lineRule="auto"/>
              <w:ind w:left="1364" w:hanging="360"/>
              <w:rPr>
                <w:rFonts w:ascii="Arial" w:cs="Arial" w:eastAsia="Arial" w:hAnsi="Arial"/>
                <w:color w:val="000000"/>
              </w:rPr>
            </w:pPr>
            <w:r w:rsidDel="00000000" w:rsidR="00000000" w:rsidRPr="00000000">
              <w:rPr>
                <w:rFonts w:ascii="Arial" w:cs="Arial" w:eastAsia="Arial" w:hAnsi="Arial"/>
                <w:color w:val="000000"/>
                <w:rtl w:val="0"/>
              </w:rPr>
              <w:t xml:space="preserve">Cloud Service Uptime &lt;99.5% in any reporting month period</w:t>
            </w:r>
          </w:p>
          <w:p w:rsidR="00000000" w:rsidDel="00000000" w:rsidP="00000000" w:rsidRDefault="00000000" w:rsidRPr="00000000" w14:paraId="0000008B">
            <w:pPr>
              <w:numPr>
                <w:ilvl w:val="1"/>
                <w:numId w:val="2"/>
              </w:numPr>
              <w:spacing w:after="240" w:line="240" w:lineRule="auto"/>
              <w:ind w:left="1364" w:hanging="360"/>
              <w:rPr>
                <w:rFonts w:ascii="Arial" w:cs="Arial" w:eastAsia="Arial" w:hAnsi="Arial"/>
                <w:color w:val="000000"/>
              </w:rPr>
            </w:pPr>
            <w:r w:rsidDel="00000000" w:rsidR="00000000" w:rsidRPr="00000000">
              <w:rPr>
                <w:rFonts w:ascii="Arial" w:cs="Arial" w:eastAsia="Arial" w:hAnsi="Arial"/>
                <w:color w:val="000000"/>
                <w:rtl w:val="0"/>
              </w:rPr>
              <w:t xml:space="preserve">Fault Response and Resolution Time &lt;90% in any reporting month period</w:t>
            </w:r>
          </w:p>
          <w:p w:rsidR="00000000" w:rsidDel="00000000" w:rsidP="00000000" w:rsidRDefault="00000000" w:rsidRPr="00000000" w14:paraId="0000008C">
            <w:pPr>
              <w:numPr>
                <w:ilvl w:val="1"/>
                <w:numId w:val="2"/>
              </w:numPr>
              <w:spacing w:after="240" w:line="240" w:lineRule="auto"/>
              <w:ind w:left="1364" w:hanging="360"/>
              <w:rPr>
                <w:rFonts w:ascii="Arial" w:cs="Arial" w:eastAsia="Arial" w:hAnsi="Arial"/>
                <w:color w:val="000000"/>
              </w:rPr>
            </w:pPr>
            <w:r w:rsidDel="00000000" w:rsidR="00000000" w:rsidRPr="00000000">
              <w:rPr>
                <w:rFonts w:ascii="Arial" w:cs="Arial" w:eastAsia="Arial" w:hAnsi="Arial"/>
                <w:color w:val="000000"/>
                <w:rtl w:val="0"/>
              </w:rPr>
              <w:t xml:space="preserve">failure to achieve the 99.99% ‘Cloud Services Availability’ threshold in three or more separate (consecutive or nonconsecutive) months during any 12-month rolling period; and/or</w:t>
            </w:r>
          </w:p>
          <w:p w:rsidR="00000000" w:rsidDel="00000000" w:rsidP="00000000" w:rsidRDefault="00000000" w:rsidRPr="00000000" w14:paraId="0000008D">
            <w:pPr>
              <w:numPr>
                <w:ilvl w:val="1"/>
                <w:numId w:val="2"/>
              </w:numPr>
              <w:spacing w:after="240" w:line="240" w:lineRule="auto"/>
              <w:ind w:left="1364" w:hanging="360"/>
              <w:rPr>
                <w:rFonts w:ascii="Arial" w:cs="Arial" w:eastAsia="Arial" w:hAnsi="Arial"/>
                <w:color w:val="000000"/>
              </w:rPr>
            </w:pPr>
            <w:r w:rsidDel="00000000" w:rsidR="00000000" w:rsidRPr="00000000">
              <w:rPr>
                <w:rFonts w:ascii="Arial" w:cs="Arial" w:eastAsia="Arial" w:hAnsi="Arial"/>
                <w:color w:val="000000"/>
                <w:rtl w:val="0"/>
              </w:rPr>
              <w:t xml:space="preserve">failure to achieve the required performance threshold for the ‘Fault Response and Resolution Times’ service level for Severity 1 Incidents in three or more separate (nonconsecutive) months during any 12-month rolling period; and/or</w:t>
            </w:r>
          </w:p>
          <w:p w:rsidR="00000000" w:rsidDel="00000000" w:rsidP="00000000" w:rsidRDefault="00000000" w:rsidRPr="00000000" w14:paraId="0000008E">
            <w:pPr>
              <w:numPr>
                <w:ilvl w:val="1"/>
                <w:numId w:val="2"/>
              </w:numPr>
              <w:spacing w:after="240" w:line="240" w:lineRule="auto"/>
              <w:ind w:left="1364" w:hanging="360"/>
              <w:rPr>
                <w:rFonts w:ascii="Arial" w:cs="Arial" w:eastAsia="Arial" w:hAnsi="Arial"/>
                <w:color w:val="000000"/>
              </w:rPr>
            </w:pPr>
            <w:r w:rsidDel="00000000" w:rsidR="00000000" w:rsidRPr="00000000">
              <w:rPr>
                <w:rFonts w:ascii="Arial" w:cs="Arial" w:eastAsia="Arial" w:hAnsi="Arial"/>
                <w:color w:val="000000"/>
                <w:rtl w:val="0"/>
              </w:rPr>
              <w:t xml:space="preserve">failure to achieve the required performance threshold for the ‘Fault Response and Resolution Times’ service level for Severity 2 Incidents in three or more separate (nonconsecutive) months during any 12-month rolling period; and/or </w:t>
            </w:r>
          </w:p>
          <w:p w:rsidR="00000000" w:rsidDel="00000000" w:rsidP="00000000" w:rsidRDefault="00000000" w:rsidRPr="00000000" w14:paraId="0000008F">
            <w:pPr>
              <w:numPr>
                <w:ilvl w:val="1"/>
                <w:numId w:val="2"/>
              </w:numPr>
              <w:spacing w:after="240" w:line="240" w:lineRule="auto"/>
              <w:ind w:left="1364" w:hanging="360"/>
              <w:rPr>
                <w:rFonts w:ascii="Arial" w:cs="Arial" w:eastAsia="Arial" w:hAnsi="Arial"/>
                <w:color w:val="000000"/>
              </w:rPr>
            </w:pPr>
            <w:r w:rsidDel="00000000" w:rsidR="00000000" w:rsidRPr="00000000">
              <w:rPr>
                <w:rFonts w:ascii="Arial" w:cs="Arial" w:eastAsia="Arial" w:hAnsi="Arial"/>
                <w:color w:val="000000"/>
                <w:rtl w:val="0"/>
              </w:rPr>
              <w:t xml:space="preserve">failure to achieve the required performance threshold for the ‘Fault Response and Resolution Times’ service level for Severity 3 Incidents in four or more separate (nonconsecutive) months during any 12-month rolling period </w:t>
            </w:r>
          </w:p>
        </w:tc>
      </w:tr>
      <w:tr>
        <w:trPr>
          <w:cantSplit w:val="0"/>
          <w:trHeight w:val="920" w:hRule="atLeast"/>
          <w:tblHeader w:val="0"/>
        </w:trPr>
        <w:tc>
          <w:tcPr/>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bookmarkStart w:colFirst="0" w:colLast="0" w:name="_heading=h.1fob9te" w:id="3"/>
            <w:bookmarkEnd w:id="3"/>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Liability</w:t>
            </w:r>
          </w:p>
        </w:tc>
        <w:tc>
          <w:tcPr/>
          <w:p w:rsidR="00000000" w:rsidDel="00000000" w:rsidP="00000000" w:rsidRDefault="00000000" w:rsidRPr="00000000" w14:paraId="00000092">
            <w:pPr>
              <w:spacing w:after="120" w:before="120" w:line="240" w:lineRule="auto"/>
              <w:rPr>
                <w:rFonts w:ascii="Arial" w:cs="Arial" w:eastAsia="Arial" w:hAnsi="Arial"/>
                <w:b w:val="1"/>
                <w:i w:val="1"/>
                <w:color w:val="000000"/>
                <w:sz w:val="24"/>
                <w:szCs w:val="24"/>
              </w:rPr>
            </w:pPr>
            <w:r w:rsidDel="00000000" w:rsidR="00000000" w:rsidRPr="00000000">
              <w:rPr>
                <w:rFonts w:ascii="Arial" w:cs="Arial" w:eastAsia="Arial" w:hAnsi="Arial"/>
                <w:color w:val="000000"/>
                <w:sz w:val="24"/>
                <w:szCs w:val="24"/>
                <w:rtl w:val="0"/>
              </w:rPr>
              <w:t xml:space="preserve">In accordance with Clause 15.1 each Party's total aggregate liability in each Contract Year under this Contract (whether in tort, contract or otherwise) is no more than 150% of the Estimated Yearly Charges.</w:t>
            </w:r>
            <w:r w:rsidDel="00000000" w:rsidR="00000000" w:rsidRPr="00000000">
              <w:rPr>
                <w:rtl w:val="0"/>
              </w:rPr>
            </w:r>
          </w:p>
          <w:p w:rsidR="00000000" w:rsidDel="00000000" w:rsidP="00000000" w:rsidRDefault="00000000" w:rsidRPr="00000000" w14:paraId="00000093">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accordance with Clause 15.5, the Supplier’s total aggregate liability in each Contract Year under Clause 18.8.5 is no more than the Data Protection Liability, being £10 million.</w:t>
            </w:r>
          </w:p>
        </w:tc>
      </w:tr>
      <w:tr>
        <w:trPr>
          <w:cantSplit w:val="0"/>
          <w:trHeight w:val="920" w:hRule="atLeast"/>
          <w:tblHeader w:val="0"/>
        </w:trPr>
        <w:tc>
          <w:tcPr/>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Cyber Essentials Certification</w:t>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yellow"/>
              </w:rPr>
            </w:pPr>
            <w:r w:rsidDel="00000000" w:rsidR="00000000" w:rsidRPr="00000000">
              <w:rPr>
                <w:rFonts w:ascii="Arial" w:cs="Arial" w:eastAsia="Arial" w:hAnsi="Arial"/>
                <w:color w:val="000000"/>
                <w:sz w:val="24"/>
                <w:szCs w:val="24"/>
                <w:rtl w:val="0"/>
              </w:rPr>
              <w:t xml:space="preserve">Cyber Essentials Scheme Plus Certificate (or equivalent). Details in Schedule 19 (Cyber Essentials Scheme)</w:t>
            </w: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Progress Meetings and Progress Reports</w:t>
            </w:r>
          </w:p>
        </w:tc>
        <w:tc>
          <w:tcPr/>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after="120" w:before="120" w:line="240" w:lineRule="auto"/>
              <w:ind w:left="7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Supplier shall attend Progress Meetings with the Buyer monthly, quarterly and yearly.</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after="120" w:before="120" w:line="240" w:lineRule="auto"/>
              <w:ind w:left="7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Supplier shall provide the Buyer with Progress Reports each month.</w:t>
            </w:r>
          </w:p>
        </w:tc>
      </w:tr>
      <w:tr>
        <w:trPr>
          <w:cantSplit w:val="0"/>
          <w:trHeight w:val="720" w:hRule="atLeast"/>
          <w:tblHeader w:val="0"/>
        </w:trPr>
        <w:tc>
          <w:tcPr/>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Guarantor</w:t>
            </w:r>
          </w:p>
        </w:tc>
        <w:tc>
          <w:tcPr/>
          <w:p w:rsidR="00000000" w:rsidDel="00000000" w:rsidP="00000000" w:rsidRDefault="00000000" w:rsidRPr="00000000" w14:paraId="0000009D">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Supplier’s performance will be guaranteed by </w:t>
            </w:r>
            <w:r w:rsidDel="00000000" w:rsidR="00000000" w:rsidRPr="00000000">
              <w:rPr>
                <w:rFonts w:ascii="Arial" w:cs="Arial" w:eastAsia="Arial" w:hAnsi="Arial"/>
                <w:color w:val="000000"/>
                <w:sz w:val="24"/>
                <w:szCs w:val="24"/>
                <w:highlight w:val="yellow"/>
                <w:rtl w:val="0"/>
              </w:rPr>
              <w:t xml:space="preserve">[Insert name of Guarantor]</w:t>
            </w:r>
            <w:r w:rsidDel="00000000" w:rsidR="00000000" w:rsidRPr="00000000">
              <w:rPr>
                <w:rFonts w:ascii="Arial" w:cs="Arial" w:eastAsia="Arial" w:hAnsi="Arial"/>
                <w:color w:val="000000"/>
                <w:sz w:val="24"/>
                <w:szCs w:val="24"/>
                <w:rtl w:val="0"/>
              </w:rPr>
              <w:t xml:space="preserve"> and has entered into a guarantee using the form in Schedule 23 (Guarantee)]</w:t>
            </w:r>
          </w:p>
        </w:tc>
      </w:tr>
      <w:tr>
        <w:trPr>
          <w:cantSplit w:val="0"/>
          <w:trHeight w:val="720" w:hRule="atLeast"/>
          <w:tblHeader w:val="0"/>
        </w:trPr>
        <w:tc>
          <w:tcPr/>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Virtual Library</w:t>
            </w:r>
          </w:p>
        </w:tc>
        <w:tc>
          <w:tcPr/>
          <w:p w:rsidR="00000000" w:rsidDel="00000000" w:rsidP="00000000" w:rsidRDefault="00000000" w:rsidRPr="00000000" w14:paraId="000000A0">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Not applicable.</w:t>
            </w:r>
          </w:p>
        </w:tc>
      </w:tr>
      <w:tr>
        <w:trPr>
          <w:cantSplit w:val="0"/>
          <w:trHeight w:val="1320" w:hRule="atLeast"/>
          <w:tblHeader w:val="0"/>
        </w:trPr>
        <w:tc>
          <w:tcPr/>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Supplier’s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Contract</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Manager</w:t>
            </w:r>
          </w:p>
        </w:tc>
        <w:tc>
          <w:tcPr/>
          <w:p w:rsidR="00000000" w:rsidDel="00000000" w:rsidP="00000000" w:rsidRDefault="00000000" w:rsidRPr="00000000" w14:paraId="000000A5">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name]</w:t>
            </w:r>
            <w:r w:rsidDel="00000000" w:rsidR="00000000" w:rsidRPr="00000000">
              <w:rPr>
                <w:rtl w:val="0"/>
              </w:rPr>
            </w:r>
          </w:p>
          <w:p w:rsidR="00000000" w:rsidDel="00000000" w:rsidP="00000000" w:rsidRDefault="00000000" w:rsidRPr="00000000" w14:paraId="000000A6">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job title]</w:t>
            </w:r>
            <w:r w:rsidDel="00000000" w:rsidR="00000000" w:rsidRPr="00000000">
              <w:rPr>
                <w:rtl w:val="0"/>
              </w:rPr>
            </w:r>
          </w:p>
          <w:p w:rsidR="00000000" w:rsidDel="00000000" w:rsidP="00000000" w:rsidRDefault="00000000" w:rsidRPr="00000000" w14:paraId="000000A7">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email address]</w:t>
            </w:r>
            <w:r w:rsidDel="00000000" w:rsidR="00000000" w:rsidRPr="00000000">
              <w:rPr>
                <w:rtl w:val="0"/>
              </w:rPr>
            </w:r>
          </w:p>
          <w:p w:rsidR="00000000" w:rsidDel="00000000" w:rsidP="00000000" w:rsidRDefault="00000000" w:rsidRPr="00000000" w14:paraId="000000A8">
            <w:pPr>
              <w:spacing w:after="120" w:before="120" w:line="240" w:lineRule="auto"/>
              <w:rPr>
                <w:rFonts w:ascii="Arial" w:cs="Arial" w:eastAsia="Arial" w:hAnsi="Arial"/>
                <w:b w:val="1"/>
                <w:i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Authorised Representative</w:t>
            </w:r>
          </w:p>
        </w:tc>
        <w:tc>
          <w:tcPr/>
          <w:p w:rsidR="00000000" w:rsidDel="00000000" w:rsidP="00000000" w:rsidRDefault="00000000" w:rsidRPr="00000000" w14:paraId="000000AB">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name]</w:t>
            </w:r>
            <w:r w:rsidDel="00000000" w:rsidR="00000000" w:rsidRPr="00000000">
              <w:rPr>
                <w:rtl w:val="0"/>
              </w:rPr>
            </w:r>
          </w:p>
          <w:p w:rsidR="00000000" w:rsidDel="00000000" w:rsidP="00000000" w:rsidRDefault="00000000" w:rsidRPr="00000000" w14:paraId="000000AC">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job title]</w:t>
            </w:r>
            <w:r w:rsidDel="00000000" w:rsidR="00000000" w:rsidRPr="00000000">
              <w:rPr>
                <w:rtl w:val="0"/>
              </w:rPr>
            </w:r>
          </w:p>
          <w:p w:rsidR="00000000" w:rsidDel="00000000" w:rsidP="00000000" w:rsidRDefault="00000000" w:rsidRPr="00000000" w14:paraId="000000AD">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email address]</w:t>
            </w:r>
            <w:r w:rsidDel="00000000" w:rsidR="00000000" w:rsidRPr="00000000">
              <w:rPr>
                <w:rtl w:val="0"/>
              </w:rPr>
            </w:r>
          </w:p>
          <w:p w:rsidR="00000000" w:rsidDel="00000000" w:rsidP="00000000" w:rsidRDefault="00000000" w:rsidRPr="00000000" w14:paraId="000000AE">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Compliance Officer</w:t>
            </w:r>
          </w:p>
        </w:tc>
        <w:tc>
          <w:tcPr/>
          <w:p w:rsidR="00000000" w:rsidDel="00000000" w:rsidP="00000000" w:rsidRDefault="00000000" w:rsidRPr="00000000" w14:paraId="000000B1">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name]</w:t>
            </w:r>
            <w:r w:rsidDel="00000000" w:rsidR="00000000" w:rsidRPr="00000000">
              <w:rPr>
                <w:rtl w:val="0"/>
              </w:rPr>
            </w:r>
          </w:p>
          <w:p w:rsidR="00000000" w:rsidDel="00000000" w:rsidP="00000000" w:rsidRDefault="00000000" w:rsidRPr="00000000" w14:paraId="000000B2">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job title]</w:t>
            </w:r>
            <w:r w:rsidDel="00000000" w:rsidR="00000000" w:rsidRPr="00000000">
              <w:rPr>
                <w:rtl w:val="0"/>
              </w:rPr>
            </w:r>
          </w:p>
          <w:p w:rsidR="00000000" w:rsidDel="00000000" w:rsidP="00000000" w:rsidRDefault="00000000" w:rsidRPr="00000000" w14:paraId="000000B3">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email address]</w:t>
            </w:r>
            <w:r w:rsidDel="00000000" w:rsidR="00000000" w:rsidRPr="00000000">
              <w:rPr>
                <w:rtl w:val="0"/>
              </w:rPr>
            </w:r>
          </w:p>
          <w:p w:rsidR="00000000" w:rsidDel="00000000" w:rsidP="00000000" w:rsidRDefault="00000000" w:rsidRPr="00000000" w14:paraId="000000B4">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Data Protection Officer</w:t>
            </w:r>
          </w:p>
        </w:tc>
        <w:tc>
          <w:tcPr/>
          <w:p w:rsidR="00000000" w:rsidDel="00000000" w:rsidP="00000000" w:rsidRDefault="00000000" w:rsidRPr="00000000" w14:paraId="000000B7">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name]</w:t>
            </w:r>
            <w:r w:rsidDel="00000000" w:rsidR="00000000" w:rsidRPr="00000000">
              <w:rPr>
                <w:rtl w:val="0"/>
              </w:rPr>
            </w:r>
          </w:p>
          <w:p w:rsidR="00000000" w:rsidDel="00000000" w:rsidP="00000000" w:rsidRDefault="00000000" w:rsidRPr="00000000" w14:paraId="000000B8">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job title]</w:t>
            </w:r>
            <w:r w:rsidDel="00000000" w:rsidR="00000000" w:rsidRPr="00000000">
              <w:rPr>
                <w:rtl w:val="0"/>
              </w:rPr>
            </w:r>
          </w:p>
          <w:p w:rsidR="00000000" w:rsidDel="00000000" w:rsidP="00000000" w:rsidRDefault="00000000" w:rsidRPr="00000000" w14:paraId="000000B9">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email address]</w:t>
            </w:r>
            <w:r w:rsidDel="00000000" w:rsidR="00000000" w:rsidRPr="00000000">
              <w:rPr>
                <w:rtl w:val="0"/>
              </w:rPr>
            </w:r>
          </w:p>
          <w:p w:rsidR="00000000" w:rsidDel="00000000" w:rsidP="00000000" w:rsidRDefault="00000000" w:rsidRPr="00000000" w14:paraId="000000BA">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Marketing Contact</w:t>
            </w:r>
          </w:p>
        </w:tc>
        <w:tc>
          <w:tcPr/>
          <w:p w:rsidR="00000000" w:rsidDel="00000000" w:rsidP="00000000" w:rsidRDefault="00000000" w:rsidRPr="00000000" w14:paraId="000000BD">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name]</w:t>
            </w:r>
            <w:r w:rsidDel="00000000" w:rsidR="00000000" w:rsidRPr="00000000">
              <w:rPr>
                <w:rtl w:val="0"/>
              </w:rPr>
            </w:r>
          </w:p>
          <w:p w:rsidR="00000000" w:rsidDel="00000000" w:rsidP="00000000" w:rsidRDefault="00000000" w:rsidRPr="00000000" w14:paraId="000000BE">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job title]</w:t>
            </w:r>
            <w:r w:rsidDel="00000000" w:rsidR="00000000" w:rsidRPr="00000000">
              <w:rPr>
                <w:rtl w:val="0"/>
              </w:rPr>
            </w:r>
          </w:p>
          <w:p w:rsidR="00000000" w:rsidDel="00000000" w:rsidP="00000000" w:rsidRDefault="00000000" w:rsidRPr="00000000" w14:paraId="000000BF">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email address]</w:t>
            </w:r>
            <w:r w:rsidDel="00000000" w:rsidR="00000000" w:rsidRPr="00000000">
              <w:rPr>
                <w:rtl w:val="0"/>
              </w:rPr>
            </w:r>
          </w:p>
          <w:p w:rsidR="00000000" w:rsidDel="00000000" w:rsidP="00000000" w:rsidRDefault="00000000" w:rsidRPr="00000000" w14:paraId="000000C0">
            <w:pPr>
              <w:spacing w:after="120" w:before="120" w:line="240" w:lineRule="auto"/>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Key Subcontractors</w:t>
            </w:r>
          </w:p>
        </w:tc>
        <w:tc>
          <w:tcPr>
            <w:shd w:fill="auto" w:val="clear"/>
          </w:tcPr>
          <w:p w:rsidR="00000000" w:rsidDel="00000000" w:rsidP="00000000" w:rsidRDefault="00000000" w:rsidRPr="00000000" w14:paraId="000000C3">
            <w:pP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Key Subcontractor 1</w:t>
            </w:r>
          </w:p>
          <w:p w:rsidR="00000000" w:rsidDel="00000000" w:rsidP="00000000" w:rsidRDefault="00000000" w:rsidRPr="00000000" w14:paraId="000000C4">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Name (Registered name if registered): </w:t>
            </w: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name]</w:t>
            </w:r>
            <w:r w:rsidDel="00000000" w:rsidR="00000000" w:rsidRPr="00000000">
              <w:rPr>
                <w:rtl w:val="0"/>
              </w:rPr>
            </w:r>
          </w:p>
          <w:p w:rsidR="00000000" w:rsidDel="00000000" w:rsidP="00000000" w:rsidRDefault="00000000" w:rsidRPr="00000000" w14:paraId="000000C5">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Registration number (if registered): </w:t>
            </w: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number]</w:t>
            </w:r>
            <w:r w:rsidDel="00000000" w:rsidR="00000000" w:rsidRPr="00000000">
              <w:rPr>
                <w:rtl w:val="0"/>
              </w:rPr>
            </w:r>
          </w:p>
          <w:p w:rsidR="00000000" w:rsidDel="00000000" w:rsidP="00000000" w:rsidRDefault="00000000" w:rsidRPr="00000000" w14:paraId="000000C6">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Role of Subcontractor: </w:t>
            </w:r>
            <w:r w:rsidDel="00000000" w:rsidR="00000000" w:rsidRPr="00000000">
              <w:rPr>
                <w:rFonts w:ascii="Arial" w:cs="Arial" w:eastAsia="Arial" w:hAnsi="Arial"/>
                <w:b w:val="1"/>
                <w:color w:val="000000"/>
                <w:sz w:val="24"/>
                <w:szCs w:val="24"/>
                <w:highlight w:val="yellow"/>
                <w:rtl w:val="0"/>
              </w:rPr>
              <w:t xml:space="preserve">[insert </w:t>
            </w:r>
            <w:r w:rsidDel="00000000" w:rsidR="00000000" w:rsidRPr="00000000">
              <w:rPr>
                <w:rFonts w:ascii="Arial" w:cs="Arial" w:eastAsia="Arial" w:hAnsi="Arial"/>
                <w:color w:val="000000"/>
                <w:sz w:val="24"/>
                <w:szCs w:val="24"/>
                <w:highlight w:val="yellow"/>
                <w:rtl w:val="0"/>
              </w:rPr>
              <w:t xml:space="preserve">role]</w:t>
            </w:r>
            <w:r w:rsidDel="00000000" w:rsidR="00000000" w:rsidRPr="00000000">
              <w:rPr>
                <w:rtl w:val="0"/>
              </w:rPr>
            </w:r>
          </w:p>
          <w:p w:rsidR="00000000" w:rsidDel="00000000" w:rsidP="00000000" w:rsidRDefault="00000000" w:rsidRPr="00000000" w14:paraId="000000C7">
            <w:pPr>
              <w:spacing w:after="120" w:before="120" w:line="240" w:lineRule="auto"/>
              <w:rPr>
                <w:rFonts w:ascii="Arial" w:cs="Arial" w:eastAsia="Arial" w:hAnsi="Arial"/>
                <w:b w:val="1"/>
                <w:i w:val="1"/>
                <w:color w:val="000000"/>
                <w:sz w:val="24"/>
                <w:szCs w:val="24"/>
                <w:highlight w:val="yellow"/>
              </w:rPr>
            </w:pPr>
            <w:r w:rsidDel="00000000" w:rsidR="00000000" w:rsidRPr="00000000">
              <w:rPr>
                <w:rFonts w:ascii="Arial" w:cs="Arial" w:eastAsia="Arial" w:hAnsi="Arial"/>
                <w:b w:val="1"/>
                <w:i w:val="1"/>
                <w:color w:val="000000"/>
                <w:sz w:val="24"/>
                <w:szCs w:val="24"/>
                <w:highlight w:val="yellow"/>
                <w:rtl w:val="0"/>
              </w:rPr>
              <w:t xml:space="preserve">[Guidance: copy above lines as needed</w:t>
            </w:r>
            <w:r w:rsidDel="00000000" w:rsidR="00000000" w:rsidRPr="00000000">
              <w:rPr>
                <w:rFonts w:ascii="Arial" w:cs="Arial" w:eastAsia="Arial" w:hAnsi="Arial"/>
                <w:b w:val="1"/>
                <w:i w:val="1"/>
                <w:color w:val="000000"/>
                <w:sz w:val="24"/>
                <w:szCs w:val="24"/>
                <w:rtl w:val="0"/>
              </w:rPr>
              <w:t xml:space="preserve">]</w:t>
            </w:r>
            <w:r w:rsidDel="00000000" w:rsidR="00000000" w:rsidRPr="00000000">
              <w:rPr>
                <w:rtl w:val="0"/>
              </w:rPr>
            </w:r>
          </w:p>
        </w:tc>
      </w:tr>
      <w:tr>
        <w:trPr>
          <w:cantSplit w:val="0"/>
          <w:trHeight w:val="1942" w:hRule="atLeast"/>
          <w:tblHeader w:val="0"/>
        </w:trPr>
        <w:tc>
          <w:tcPr/>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 Authorised Representative</w:t>
            </w:r>
          </w:p>
        </w:tc>
        <w:tc>
          <w:tcPr/>
          <w:p w:rsidR="00000000" w:rsidDel="00000000" w:rsidP="00000000" w:rsidRDefault="00000000" w:rsidRPr="00000000" w14:paraId="000000CA">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Allan Gardner</w:t>
            </w:r>
          </w:p>
          <w:p w:rsidR="00000000" w:rsidDel="00000000" w:rsidP="00000000" w:rsidRDefault="00000000" w:rsidRPr="00000000" w14:paraId="000000CB">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Head of Technology, Property Tech</w:t>
            </w:r>
          </w:p>
          <w:p w:rsidR="00000000" w:rsidDel="00000000" w:rsidP="00000000" w:rsidRDefault="00000000" w:rsidRPr="00000000" w14:paraId="000000CC">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allan.gardner@gpa.gov.uk</w:t>
            </w:r>
          </w:p>
        </w:tc>
      </w:tr>
    </w:tbl>
    <w:p w:rsidR="00000000" w:rsidDel="00000000" w:rsidP="00000000" w:rsidRDefault="00000000" w:rsidRPr="00000000" w14:paraId="000000CD">
      <w:pPr>
        <w:spacing w:after="120" w:lineRule="auto"/>
        <w:rPr>
          <w:rFonts w:ascii="Arial" w:cs="Arial" w:eastAsia="Arial" w:hAnsi="Arial"/>
          <w:sz w:val="24"/>
          <w:szCs w:val="24"/>
        </w:rPr>
      </w:pPr>
      <w:r w:rsidDel="00000000" w:rsidR="00000000" w:rsidRPr="00000000">
        <w:rPr>
          <w:rtl w:val="0"/>
        </w:rPr>
      </w:r>
    </w:p>
    <w:tbl>
      <w:tblPr>
        <w:tblStyle w:val="Table3"/>
        <w:tblW w:w="917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2980"/>
        <w:gridCol w:w="1698"/>
        <w:gridCol w:w="2966"/>
        <w:tblGridChange w:id="0">
          <w:tblGrid>
            <w:gridCol w:w="1526"/>
            <w:gridCol w:w="2980"/>
            <w:gridCol w:w="1698"/>
            <w:gridCol w:w="2966"/>
          </w:tblGrid>
        </w:tblGridChange>
      </w:tblGrid>
      <w:tr>
        <w:trPr>
          <w:cantSplit w:val="0"/>
          <w:trHeight w:val="1162" w:hRule="atLeast"/>
          <w:tblHeader w:val="0"/>
        </w:trPr>
        <w:tc>
          <w:tcPr>
            <w:gridSpan w:val="2"/>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20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For and on behalf of the Supplier:</w:t>
            </w:r>
            <w:r w:rsidDel="00000000" w:rsidR="00000000" w:rsidRPr="00000000">
              <w:rPr>
                <w:rtl w:val="0"/>
              </w:rPr>
            </w:r>
          </w:p>
        </w:tc>
        <w:tc>
          <w:tcPr>
            <w:gridSpan w:val="2"/>
          </w:tcPr>
          <w:p w:rsidR="00000000" w:rsidDel="00000000" w:rsidP="00000000" w:rsidRDefault="00000000" w:rsidRPr="00000000" w14:paraId="000000D0">
            <w:pPr>
              <w:keepNext w:val="1"/>
              <w:spacing w:after="120" w:before="20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On behalf of the Minister for the Cabinet Office on behalf of the Crown represented by the Government Property Agency</w:t>
            </w:r>
            <w:r w:rsidDel="00000000" w:rsidR="00000000" w:rsidRPr="00000000">
              <w:rPr>
                <w:rFonts w:ascii="Arial" w:cs="Arial" w:eastAsia="Arial" w:hAnsi="Arial"/>
                <w:color w:val="000000"/>
                <w:sz w:val="24"/>
                <w:szCs w:val="24"/>
                <w:rtl w:val="0"/>
              </w:rPr>
              <w:t xml:space="preserve"> </w:t>
            </w:r>
          </w:p>
        </w:tc>
      </w:tr>
      <w:tr>
        <w:trPr>
          <w:cantSplit w:val="0"/>
          <w:trHeight w:val="620" w:hRule="atLeast"/>
          <w:tblHeader w:val="0"/>
        </w:trPr>
        <w:tc>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Signature:</w:t>
            </w:r>
          </w:p>
        </w:tc>
        <w:tc>
          <w:tcPr/>
          <w:p w:rsidR="00000000" w:rsidDel="00000000" w:rsidP="00000000" w:rsidRDefault="00000000" w:rsidRPr="00000000" w14:paraId="000000D3">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D4">
            <w:pPr>
              <w:keepNext w:val="1"/>
              <w:spacing w:after="120" w:before="200" w:line="240" w:lineRule="auto"/>
              <w:ind w:left="142"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Signature:</w:t>
            </w:r>
          </w:p>
        </w:tc>
        <w:tc>
          <w:tcPr/>
          <w:p w:rsidR="00000000" w:rsidDel="00000000" w:rsidP="00000000" w:rsidRDefault="00000000" w:rsidRPr="00000000" w14:paraId="000000D5">
            <w:pPr>
              <w:keepNext w:val="1"/>
              <w:spacing w:after="120" w:before="200" w:line="240" w:lineRule="auto"/>
              <w:ind w:left="142" w:firstLine="0"/>
              <w:jc w:val="both"/>
              <w:rPr>
                <w:rFonts w:ascii="Arial" w:cs="Arial" w:eastAsia="Arial" w:hAnsi="Arial"/>
                <w:color w:val="000000"/>
                <w:sz w:val="24"/>
                <w:szCs w:val="24"/>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Name:</w:t>
            </w:r>
          </w:p>
        </w:tc>
        <w:tc>
          <w:tcPr/>
          <w:p w:rsidR="00000000" w:rsidDel="00000000" w:rsidP="00000000" w:rsidRDefault="00000000" w:rsidRPr="00000000" w14:paraId="000000D7">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D8">
            <w:pPr>
              <w:keepNext w:val="1"/>
              <w:spacing w:after="120" w:before="200" w:line="240" w:lineRule="auto"/>
              <w:ind w:left="142"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Name:</w:t>
            </w:r>
          </w:p>
        </w:tc>
        <w:tc>
          <w:tcPr/>
          <w:p w:rsidR="00000000" w:rsidDel="00000000" w:rsidP="00000000" w:rsidRDefault="00000000" w:rsidRPr="00000000" w14:paraId="000000D9">
            <w:pPr>
              <w:keepNext w:val="1"/>
              <w:spacing w:after="120" w:before="200" w:line="240" w:lineRule="auto"/>
              <w:ind w:left="142" w:firstLine="0"/>
              <w:jc w:val="both"/>
              <w:rPr>
                <w:rFonts w:ascii="Arial" w:cs="Arial" w:eastAsia="Arial" w:hAnsi="Arial"/>
                <w:color w:val="000000"/>
                <w:sz w:val="24"/>
                <w:szCs w:val="24"/>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Role:</w:t>
            </w:r>
          </w:p>
        </w:tc>
        <w:tc>
          <w:tcPr/>
          <w:p w:rsidR="00000000" w:rsidDel="00000000" w:rsidP="00000000" w:rsidRDefault="00000000" w:rsidRPr="00000000" w14:paraId="000000DB">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DC">
            <w:pPr>
              <w:keepNext w:val="1"/>
              <w:spacing w:after="120" w:before="200" w:line="240" w:lineRule="auto"/>
              <w:ind w:left="142"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Role:</w:t>
            </w:r>
          </w:p>
        </w:tc>
        <w:tc>
          <w:tcPr/>
          <w:p w:rsidR="00000000" w:rsidDel="00000000" w:rsidP="00000000" w:rsidRDefault="00000000" w:rsidRPr="00000000" w14:paraId="000000DD">
            <w:pPr>
              <w:keepNext w:val="1"/>
              <w:spacing w:after="120" w:before="200" w:line="240" w:lineRule="auto"/>
              <w:ind w:left="142" w:firstLine="0"/>
              <w:jc w:val="both"/>
              <w:rPr>
                <w:rFonts w:ascii="Arial" w:cs="Arial" w:eastAsia="Arial" w:hAnsi="Arial"/>
                <w:color w:val="000000"/>
                <w:sz w:val="24"/>
                <w:szCs w:val="24"/>
              </w:rPr>
            </w:pPr>
            <w:r w:rsidDel="00000000" w:rsidR="00000000" w:rsidRPr="00000000">
              <w:rPr>
                <w:rtl w:val="0"/>
              </w:rPr>
            </w:r>
          </w:p>
        </w:tc>
      </w:tr>
      <w:tr>
        <w:trPr>
          <w:cantSplit w:val="0"/>
          <w:trHeight w:val="651" w:hRule="atLeast"/>
          <w:tblHeader w:val="0"/>
        </w:trPr>
        <w:tc>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w:t>
            </w:r>
          </w:p>
        </w:tc>
        <w:tc>
          <w:tcPr/>
          <w:p w:rsidR="00000000" w:rsidDel="00000000" w:rsidP="00000000" w:rsidRDefault="00000000" w:rsidRPr="00000000" w14:paraId="000000DF">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gridSpan w:val="2"/>
          </w:tcPr>
          <w:p w:rsidR="00000000" w:rsidDel="00000000" w:rsidP="00000000" w:rsidRDefault="00000000" w:rsidRPr="00000000" w14:paraId="000000E0">
            <w:pPr>
              <w:keepNext w:val="1"/>
              <w:spacing w:after="120" w:before="200" w:line="240" w:lineRule="auto"/>
              <w:jc w:val="both"/>
              <w:rPr>
                <w:rFonts w:ascii="Arial" w:cs="Arial" w:eastAsia="Arial" w:hAnsi="Arial"/>
                <w:color w:val="000000"/>
                <w:sz w:val="24"/>
                <w:szCs w:val="24"/>
              </w:rPr>
            </w:pPr>
            <w:r w:rsidDel="00000000" w:rsidR="00000000" w:rsidRPr="00000000">
              <w:rPr>
                <w:rtl w:val="0"/>
              </w:rPr>
            </w:r>
          </w:p>
        </w:tc>
      </w:tr>
    </w:tbl>
    <w:bookmarkStart w:colFirst="0" w:colLast="0" w:name="bookmark=id.30j0zll" w:id="4"/>
    <w:bookmarkEnd w:id="4"/>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Rule="auto"/>
        <w:ind w:left="1871" w:hanging="72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ind w:left="1871" w:hanging="72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ind w:left="1871" w:hanging="720"/>
        <w:rPr>
          <w:rFonts w:ascii="Arial" w:cs="Arial" w:eastAsia="Arial" w:hAnsi="Arial"/>
          <w:i w:val="1"/>
          <w:color w:val="000000"/>
          <w:sz w:val="24"/>
          <w:szCs w:val="24"/>
        </w:rPr>
      </w:pPr>
      <w:r w:rsidDel="00000000" w:rsidR="00000000" w:rsidRPr="00000000">
        <w:rPr>
          <w:rtl w:val="0"/>
        </w:rPr>
      </w:r>
    </w:p>
    <w:bookmarkStart w:colFirst="0" w:colLast="0" w:name="bookmark=id.3znysh7" w:id="5"/>
    <w:bookmarkEnd w:id="5"/>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Rule="auto"/>
        <w:ind w:left="142" w:hanging="284"/>
        <w:rPr>
          <w:rFonts w:ascii="Arial" w:cs="Arial" w:eastAsia="Arial" w:hAnsi="Arial"/>
          <w:color w:val="000000"/>
          <w:sz w:val="24"/>
          <w:szCs w:val="24"/>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27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tabs>
        <w:tab w:val="center" w:leader="none" w:pos="4513"/>
        <w:tab w:val="right" w:leader="none" w:pos="9026"/>
      </w:tabs>
      <w:spacing w:after="0" w:lineRule="auto"/>
      <w:rPr>
        <w:color w:val="a6a6a6"/>
      </w:rPr>
    </w:pPr>
    <w:r w:rsidDel="00000000" w:rsidR="00000000" w:rsidRPr="00000000">
      <w:rPr>
        <w:rtl w:val="0"/>
      </w:rPr>
    </w:r>
  </w:p>
  <w:p w:rsidR="00000000" w:rsidDel="00000000" w:rsidP="00000000" w:rsidRDefault="00000000" w:rsidRPr="00000000" w14:paraId="000000EE">
    <w:pPr>
      <w:tabs>
        <w:tab w:val="center" w:leader="none" w:pos="4513"/>
        <w:tab w:val="right" w:leader="none" w:pos="9026"/>
      </w:tabs>
      <w:spacing w:after="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v.1.2</w:t>
      <w:tab/>
    </w:r>
    <w:r w:rsidDel="00000000" w:rsidR="00000000" w:rsidRPr="00000000">
      <w:rPr>
        <w:rFonts w:ascii="Arial" w:cs="Arial" w:eastAsia="Arial" w:hAnsi="Arial"/>
        <w:color w:val="000000"/>
        <w:sz w:val="20"/>
        <w:szCs w:val="20"/>
        <w:rtl w:val="0"/>
      </w:rPr>
      <w:tab/>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F">
    <w:pPr>
      <w:spacing w:after="0" w:line="240" w:lineRule="auto"/>
      <w:jc w:val="both"/>
      <w:rPr>
        <w:rFonts w:ascii="Arial" w:cs="Arial" w:eastAsia="Arial" w:hAnsi="Arial"/>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tabs>
        <w:tab w:val="center" w:leader="none" w:pos="4513"/>
        <w:tab w:val="right" w:leader="none" w:pos="9026"/>
      </w:tabs>
      <w:spacing w:after="0" w:lineRule="auto"/>
      <w:rPr>
        <w:rFonts w:ascii="Arial" w:cs="Arial" w:eastAsia="Arial" w:hAnsi="Arial"/>
        <w:color w:val="a6a6a6"/>
        <w:sz w:val="20"/>
        <w:szCs w:val="20"/>
      </w:rPr>
    </w:pPr>
    <w:r w:rsidDel="00000000" w:rsidR="00000000" w:rsidRPr="00000000">
      <w:rPr>
        <w:rtl w:val="0"/>
      </w:rPr>
    </w:r>
  </w:p>
  <w:p w:rsidR="00000000" w:rsidDel="00000000" w:rsidP="00000000" w:rsidRDefault="00000000" w:rsidRPr="00000000" w14:paraId="000000F1">
    <w:pPr>
      <w:spacing w:after="0" w:line="240" w:lineRule="auto"/>
      <w:jc w:val="both"/>
      <w:rPr>
        <w:rFonts w:ascii="Arial" w:cs="Arial" w:eastAsia="Arial" w:hAnsi="Arial"/>
        <w:color w:val="a6a6a6"/>
        <w:sz w:val="20"/>
        <w:szCs w:val="20"/>
      </w:rPr>
    </w:pPr>
    <w:r w:rsidDel="00000000" w:rsidR="00000000" w:rsidRPr="00000000">
      <w:rPr>
        <w:rFonts w:ascii="Arial" w:cs="Arial" w:eastAsia="Arial" w:hAnsi="Arial"/>
        <w:color w:val="a6a6a6"/>
        <w:sz w:val="20"/>
        <w:szCs w:val="20"/>
        <w:rtl w:val="0"/>
      </w:rPr>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Award Form, Crown Copyright 2023, [Subject to Contract]</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b w:val="1"/>
        <w:color w:val="a6a6a6"/>
        <w:sz w:val="20"/>
        <w:szCs w:val="20"/>
      </w:rPr>
    </w:pPr>
    <w:r w:rsidDel="00000000" w:rsidR="00000000" w:rsidRPr="00000000">
      <w:rPr>
        <w:rFonts w:ascii="Arial" w:cs="Arial" w:eastAsia="Arial" w:hAnsi="Arial"/>
        <w:b w:val="1"/>
        <w:color w:val="a6a6a6"/>
        <w:sz w:val="20"/>
        <w:szCs w:val="20"/>
        <w:rtl w:val="0"/>
      </w:rPr>
      <w:t xml:space="preserve">Award Form</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a6a6a6"/>
        <w:sz w:val="20"/>
        <w:szCs w:val="20"/>
      </w:rPr>
    </w:pPr>
    <w:r w:rsidDel="00000000" w:rsidR="00000000" w:rsidRPr="00000000">
      <w:rPr>
        <w:rFonts w:ascii="Arial" w:cs="Arial" w:eastAsia="Arial" w:hAnsi="Arial"/>
        <w:color w:val="a6a6a6"/>
        <w:sz w:val="20"/>
        <w:szCs w:val="20"/>
        <w:rtl w:val="0"/>
      </w:rPr>
      <w:t xml:space="preserve">Crown Copyright 2018</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decimal"/>
      <w:lvlText w:val="%1."/>
      <w:lvlJc w:val="left"/>
      <w:pPr>
        <w:ind w:left="644" w:hanging="357"/>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3">
    <w:lvl w:ilvl="0">
      <w:start w:val="1"/>
      <w:numFmt w:val="bullet"/>
      <w:lvlText w:val="●"/>
      <w:lvlJc w:val="left"/>
      <w:pPr>
        <w:ind w:left="74" w:hanging="360"/>
      </w:pPr>
      <w:rPr>
        <w:rFonts w:ascii="Noto Sans" w:cs="Noto Sans" w:eastAsia="Noto Sans" w:hAnsi="Noto Sans"/>
      </w:rPr>
    </w:lvl>
    <w:lvl w:ilvl="1">
      <w:start w:val="1"/>
      <w:numFmt w:val="bullet"/>
      <w:lvlText w:val="o"/>
      <w:lvlJc w:val="left"/>
      <w:pPr>
        <w:ind w:left="794" w:hanging="358.99999999999994"/>
      </w:pPr>
      <w:rPr>
        <w:rFonts w:ascii="Courier New" w:cs="Courier New" w:eastAsia="Courier New" w:hAnsi="Courier New"/>
      </w:rPr>
    </w:lvl>
    <w:lvl w:ilvl="2">
      <w:start w:val="1"/>
      <w:numFmt w:val="bullet"/>
      <w:lvlText w:val="▪"/>
      <w:lvlJc w:val="left"/>
      <w:pPr>
        <w:ind w:left="1514" w:hanging="360"/>
      </w:pPr>
      <w:rPr>
        <w:rFonts w:ascii="Noto Sans" w:cs="Noto Sans" w:eastAsia="Noto Sans" w:hAnsi="Noto Sans"/>
      </w:rPr>
    </w:lvl>
    <w:lvl w:ilvl="3">
      <w:start w:val="1"/>
      <w:numFmt w:val="bullet"/>
      <w:lvlText w:val="●"/>
      <w:lvlJc w:val="left"/>
      <w:pPr>
        <w:ind w:left="2234" w:hanging="360"/>
      </w:pPr>
      <w:rPr>
        <w:rFonts w:ascii="Noto Sans" w:cs="Noto Sans" w:eastAsia="Noto Sans" w:hAnsi="Noto Sans"/>
      </w:rPr>
    </w:lvl>
    <w:lvl w:ilvl="4">
      <w:start w:val="1"/>
      <w:numFmt w:val="bullet"/>
      <w:lvlText w:val="o"/>
      <w:lvlJc w:val="left"/>
      <w:pPr>
        <w:ind w:left="2954" w:hanging="360"/>
      </w:pPr>
      <w:rPr>
        <w:rFonts w:ascii="Courier New" w:cs="Courier New" w:eastAsia="Courier New" w:hAnsi="Courier New"/>
      </w:rPr>
    </w:lvl>
    <w:lvl w:ilvl="5">
      <w:start w:val="1"/>
      <w:numFmt w:val="bullet"/>
      <w:lvlText w:val="▪"/>
      <w:lvlJc w:val="left"/>
      <w:pPr>
        <w:ind w:left="3674" w:hanging="360"/>
      </w:pPr>
      <w:rPr>
        <w:rFonts w:ascii="Noto Sans" w:cs="Noto Sans" w:eastAsia="Noto Sans" w:hAnsi="Noto Sans"/>
      </w:rPr>
    </w:lvl>
    <w:lvl w:ilvl="6">
      <w:start w:val="1"/>
      <w:numFmt w:val="bullet"/>
      <w:lvlText w:val="●"/>
      <w:lvlJc w:val="left"/>
      <w:pPr>
        <w:ind w:left="4394" w:hanging="360"/>
      </w:pPr>
      <w:rPr>
        <w:rFonts w:ascii="Noto Sans" w:cs="Noto Sans" w:eastAsia="Noto Sans" w:hAnsi="Noto Sans"/>
      </w:rPr>
    </w:lvl>
    <w:lvl w:ilvl="7">
      <w:start w:val="1"/>
      <w:numFmt w:val="bullet"/>
      <w:lvlText w:val="o"/>
      <w:lvlJc w:val="left"/>
      <w:pPr>
        <w:ind w:left="5114" w:hanging="360"/>
      </w:pPr>
      <w:rPr>
        <w:rFonts w:ascii="Courier New" w:cs="Courier New" w:eastAsia="Courier New" w:hAnsi="Courier New"/>
      </w:rPr>
    </w:lvl>
    <w:lvl w:ilvl="8">
      <w:start w:val="1"/>
      <w:numFmt w:val="bullet"/>
      <w:lvlText w:val="▪"/>
      <w:lvlJc w:val="left"/>
      <w:pPr>
        <w:ind w:left="5834" w:hanging="360"/>
      </w:pPr>
      <w:rPr>
        <w:rFonts w:ascii="Noto Sans" w:cs="Noto Sans" w:eastAsia="Noto Sans" w:hAnsi="Noto Sans"/>
      </w:rPr>
    </w:lvl>
  </w:abstractNum>
  <w:abstractNum w:abstractNumId="4">
    <w:lvl w:ilvl="0">
      <w:start w:val="1"/>
      <w:numFmt w:val="lowerLetter"/>
      <w:lvlText w:val="(%1)"/>
      <w:lvlJc w:val="left"/>
      <w:pPr>
        <w:ind w:left="1440" w:hanging="360"/>
      </w:pPr>
      <w:rPr/>
    </w:lvl>
    <w:lvl w:ilvl="1">
      <w:start w:val="1"/>
      <w:numFmt w:val="lowerRoman"/>
      <w:lvlText w:val="(%2)"/>
      <w:lvlJc w:val="left"/>
      <w:pPr>
        <w:ind w:left="2268" w:hanging="468"/>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tabs>
        <w:tab w:val="left" w:leader="none" w:pos="-5585"/>
      </w:tabs>
      <w:spacing w:after="120" w:line="240" w:lineRule="auto"/>
      <w:ind w:left="3524" w:hanging="360"/>
      <w:jc w:val="both"/>
    </w:pPr>
    <w:rPr>
      <w:rFonts w:ascii="Arial" w:cs="Arial" w:eastAsia="Arial" w:hAnsi="Arial"/>
    </w:rPr>
  </w:style>
  <w:style w:type="paragraph" w:styleId="Heading6">
    <w:name w:val="heading 6"/>
    <w:basedOn w:val="Normal"/>
    <w:next w:val="Normal"/>
    <w:pPr>
      <w:tabs>
        <w:tab w:val="left" w:leader="none" w:pos="-8987"/>
        <w:tab w:val="left" w:leader="none" w:pos="-8420"/>
      </w:tabs>
      <w:spacing w:after="120" w:line="240" w:lineRule="auto"/>
      <w:ind w:left="3524" w:hanging="360"/>
      <w:jc w:val="both"/>
    </w:pPr>
    <w:rPr>
      <w:rFonts w:ascii="Arial" w:cs="Arial" w:eastAsia="Arial" w:hAnsi="Arial"/>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44E22"/>
    <w:pPr>
      <w:suppressAutoHyphens w:val="1"/>
    </w:p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uiPriority w:val="9"/>
    <w:qFormat w:val="1"/>
    <w:pPr>
      <w:keepNext w:val="1"/>
      <w:keepLines w:val="1"/>
      <w:spacing w:after="120" w:before="480"/>
      <w:outlineLvl w:val="0"/>
    </w:pPr>
    <w:rPr>
      <w:b w:val="1"/>
      <w:sz w:val="48"/>
      <w:szCs w:val="48"/>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uiPriority w:val="9"/>
    <w:semiHidden w:val="1"/>
    <w:unhideWhenUsed w:val="1"/>
    <w:qFormat w:val="1"/>
    <w:pPr>
      <w:numPr>
        <w:ilvl w:val="4"/>
        <w:numId w:val="1"/>
      </w:numPr>
      <w:tabs>
        <w:tab w:val="left" w:pos="-5585"/>
      </w:tabs>
      <w:suppressAutoHyphens w:val="0"/>
      <w:overflowPunct w:val="0"/>
      <w:autoSpaceDE w:val="0"/>
      <w:spacing w:after="120" w:line="240" w:lineRule="auto"/>
      <w:jc w:val="both"/>
      <w:outlineLvl w:val="4"/>
    </w:pPr>
    <w:rPr>
      <w:rFonts w:ascii="Arial" w:eastAsia="Times New Roman" w:hAnsi="Arial"/>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Heading5"/>
    <w:uiPriority w:val="9"/>
    <w:semiHidden w:val="1"/>
    <w:unhideWhenUsed w:val="1"/>
    <w:qFormat w:val="1"/>
    <w:pPr>
      <w:numPr>
        <w:ilvl w:val="5"/>
      </w:numPr>
      <w:tabs>
        <w:tab w:val="clear" w:pos="-5585"/>
        <w:tab w:val="left" w:pos="-8987"/>
        <w:tab w:val="left" w:pos="-8420"/>
      </w:tabs>
      <w:outlineLvl w:val="5"/>
    </w:pPr>
  </w:style>
  <w:style w:type="paragraph" w:styleId="Heading7">
    <w:name w:val="heading 7"/>
    <w:basedOn w:val="Heading6"/>
    <w:pPr>
      <w:numPr>
        <w:ilvl w:val="6"/>
      </w:numPr>
      <w:tabs>
        <w:tab w:val="clear" w:pos="-8987"/>
        <w:tab w:val="clear" w:pos="-8420"/>
        <w:tab w:val="left" w:pos="-10688"/>
        <w:tab w:val="left" w:pos="-9554"/>
      </w:tabs>
      <w:outlineLvl w:val="6"/>
    </w:pPr>
  </w:style>
  <w:style w:type="paragraph" w:styleId="Heading8">
    <w:name w:val="heading 8"/>
    <w:basedOn w:val="Heading7"/>
    <w:pPr>
      <w:numPr>
        <w:ilvl w:val="7"/>
      </w:numPr>
      <w:tabs>
        <w:tab w:val="clear" w:pos="-9554"/>
        <w:tab w:val="left" w:pos="-12360"/>
        <w:tab w:val="left" w:pos="-9383"/>
      </w:tabs>
      <w:outlineLvl w:val="7"/>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numbering" w:styleId="WWOutlineListStyle8" w:customStyle="1">
    <w:name w:val="WW_OutlineListStyle_8"/>
    <w:basedOn w:val="NoList"/>
  </w:style>
  <w:style w:type="paragraph" w:styleId="Level1Heading" w:customStyle="1">
    <w:name w:val="Level 1 Heading"/>
    <w:basedOn w:val="BodyText"/>
    <w:next w:val="Normal"/>
    <w:pPr>
      <w:keepNext w:val="1"/>
      <w:tabs>
        <w:tab w:val="left" w:pos="-1342"/>
      </w:tabs>
      <w:suppressAutoHyphens w:val="0"/>
      <w:spacing w:after="200" w:before="360" w:line="360" w:lineRule="auto"/>
      <w:outlineLvl w:val="0"/>
    </w:pPr>
    <w:rPr>
      <w:rFonts w:ascii="Arial" w:eastAsia="Times New Roman" w:hAnsi="Arial"/>
      <w:b w:val="1"/>
      <w:szCs w:val="20"/>
    </w:rPr>
  </w:style>
  <w:style w:type="paragraph" w:styleId="GPSL1CLAUSEHEADING" w:customStyle="1">
    <w:name w:val="GPS L1 CLAUSE HEADING"/>
    <w:basedOn w:val="Normal"/>
    <w:next w:val="Normal"/>
    <w:qFormat w:val="1"/>
    <w:pPr>
      <w:tabs>
        <w:tab w:val="left" w:pos="-3864"/>
      </w:tabs>
      <w:suppressAutoHyphens w:val="0"/>
      <w:spacing w:after="240" w:before="240" w:line="240" w:lineRule="auto"/>
      <w:jc w:val="both"/>
      <w:outlineLvl w:val="1"/>
    </w:pPr>
    <w:rPr>
      <w:rFonts w:ascii="Arial Bold" w:cs="Arial" w:eastAsia="STZhongsong" w:hAnsi="Arial Bold"/>
      <w:b w:val="1"/>
      <w:caps w:val="1"/>
      <w:lang w:eastAsia="zh-CN"/>
    </w:rPr>
  </w:style>
  <w:style w:type="character" w:styleId="Heading5Char" w:customStyle="1">
    <w:name w:val="Heading 5 Char"/>
    <w:basedOn w:val="DefaultParagraphFont"/>
    <w:rPr>
      <w:rFonts w:ascii="Arial" w:eastAsia="Times New Roman" w:hAnsi="Arial"/>
      <w:sz w:val="22"/>
      <w:szCs w:val="22"/>
      <w:lang w:eastAsia="en-US"/>
    </w:rPr>
  </w:style>
  <w:style w:type="character" w:styleId="Heading6Char" w:customStyle="1">
    <w:name w:val="Heading 6 Char"/>
    <w:basedOn w:val="DefaultParagraphFont"/>
    <w:rPr>
      <w:rFonts w:ascii="Arial" w:eastAsia="Times New Roman" w:hAnsi="Arial"/>
      <w:sz w:val="22"/>
      <w:szCs w:val="22"/>
      <w:lang w:eastAsia="en-US"/>
    </w:rPr>
  </w:style>
  <w:style w:type="paragraph" w:styleId="GPSL2NumberedBoldHeading" w:customStyle="1">
    <w:name w:val="GPS L2 Numbered Bold Heading"/>
    <w:basedOn w:val="Normal"/>
    <w:qFormat w:val="1"/>
    <w:pPr>
      <w:tabs>
        <w:tab w:val="left" w:pos="1134"/>
      </w:tabs>
      <w:suppressAutoHyphens w:val="0"/>
      <w:spacing w:after="120" w:before="120" w:line="240" w:lineRule="auto"/>
      <w:ind w:left="1494" w:hanging="218"/>
      <w:jc w:val="both"/>
    </w:pPr>
    <w:rPr>
      <w:rFonts w:cs="Arial" w:eastAsia="Times New Roman"/>
      <w:b w:val="1"/>
      <w:lang w:eastAsia="zh-CN"/>
    </w:rPr>
  </w:style>
  <w:style w:type="paragraph" w:styleId="BodyText1" w:customStyle="1">
    <w:name w:val="Body Text 1"/>
    <w:basedOn w:val="BodyText"/>
    <w:pPr>
      <w:suppressAutoHyphens w:val="0"/>
      <w:spacing w:after="240" w:line="360" w:lineRule="auto"/>
      <w:ind w:left="851"/>
    </w:pPr>
    <w:rPr>
      <w:rFonts w:ascii="Arial" w:eastAsia="Times New Roman" w:hAnsi="Arial"/>
      <w:sz w:val="20"/>
      <w:szCs w:val="20"/>
    </w:rPr>
  </w:style>
  <w:style w:type="paragraph" w:styleId="ListParagraph">
    <w:name w:val="List Paragraph"/>
    <w:basedOn w:val="Normal"/>
    <w:uiPriority w:val="34"/>
    <w:qFormat w:val="1"/>
    <w:pPr>
      <w:ind w:left="720"/>
    </w:pPr>
  </w:style>
  <w:style w:type="character" w:styleId="Emphasis">
    <w:name w:val="Emphasis"/>
    <w:basedOn w:val="DefaultParagraphFont"/>
    <w:rPr>
      <w:i w:val="1"/>
      <w:iCs w:val="1"/>
    </w:rPr>
  </w:style>
  <w:style w:type="paragraph" w:styleId="11table" w:customStyle="1">
    <w:name w:val="1.1 table"/>
    <w:basedOn w:val="Normal"/>
    <w:qFormat w:val="1"/>
    <w:pPr>
      <w:numPr>
        <w:numId w:val="5"/>
      </w:numPr>
      <w:suppressAutoHyphens w:val="0"/>
      <w:spacing w:after="0" w:line="240" w:lineRule="auto"/>
    </w:pPr>
    <w:rPr>
      <w:rFonts w:eastAsia="STZhongsong"/>
      <w:b w:val="1"/>
      <w:lang w:eastAsia="zh-CN"/>
    </w:rPr>
  </w:style>
  <w:style w:type="character" w:styleId="11tableChar" w:customStyle="1">
    <w:name w:val="1.1 table Char"/>
    <w:rPr>
      <w:rFonts w:eastAsia="STZhongsong"/>
      <w:b w:val="1"/>
      <w:sz w:val="22"/>
      <w:szCs w:val="22"/>
      <w:lang w:eastAsia="zh-CN"/>
    </w:rPr>
  </w:style>
  <w:style w:type="paragraph" w:styleId="BalloonText">
    <w:name w:val="Balloon Text"/>
    <w:basedOn w:val="Normal"/>
    <w:pPr>
      <w:spacing w:after="0" w:line="240" w:lineRule="auto"/>
    </w:pPr>
    <w:rPr>
      <w:rFonts w:ascii="Tahoma" w:cs="Tahoma" w:hAnsi="Tahoma"/>
      <w:sz w:val="16"/>
      <w:szCs w:val="16"/>
    </w:rPr>
  </w:style>
  <w:style w:type="character" w:styleId="BalloonTextChar" w:customStyle="1">
    <w:name w:val="Balloon Text Char"/>
    <w:basedOn w:val="DefaultParagraphFont"/>
    <w:rPr>
      <w:rFonts w:ascii="Tahoma" w:cs="Tahoma" w:hAnsi="Tahoma"/>
      <w:sz w:val="16"/>
      <w:szCs w:val="16"/>
      <w:lang w:eastAsia="en-US"/>
    </w:rPr>
  </w:style>
  <w:style w:type="paragraph" w:styleId="Header">
    <w:name w:val="header"/>
    <w:basedOn w:val="Normal"/>
    <w:uiPriority w:val="99"/>
    <w:pPr>
      <w:tabs>
        <w:tab w:val="center" w:pos="4513"/>
        <w:tab w:val="right" w:pos="9026"/>
      </w:tabs>
      <w:spacing w:after="0" w:line="240" w:lineRule="auto"/>
    </w:pPr>
  </w:style>
  <w:style w:type="character" w:styleId="HeaderChar" w:customStyle="1">
    <w:name w:val="Header Char"/>
    <w:basedOn w:val="DefaultParagraphFont"/>
    <w:uiPriority w:val="99"/>
    <w:rPr>
      <w:sz w:val="22"/>
      <w:szCs w:val="22"/>
      <w:lang w:eastAsia="en-US"/>
    </w:rPr>
  </w:style>
  <w:style w:type="paragraph" w:styleId="Footer">
    <w:name w:val="footer"/>
    <w:basedOn w:val="Normal"/>
    <w:uiPriority w:val="99"/>
    <w:pPr>
      <w:tabs>
        <w:tab w:val="center" w:pos="4513"/>
        <w:tab w:val="right" w:pos="9026"/>
      </w:tabs>
      <w:spacing w:after="0" w:line="240" w:lineRule="auto"/>
    </w:pPr>
  </w:style>
  <w:style w:type="character" w:styleId="FooterChar" w:customStyle="1">
    <w:name w:val="Footer Char"/>
    <w:basedOn w:val="DefaultParagraphFont"/>
    <w:uiPriority w:val="99"/>
    <w:rPr>
      <w:sz w:val="22"/>
      <w:szCs w:val="22"/>
      <w:lang w:eastAsia="en-US"/>
    </w:rPr>
  </w:style>
  <w:style w:type="paragraph" w:styleId="MarginText" w:customStyle="1">
    <w:name w:val="Margin Text"/>
    <w:basedOn w:val="Normal"/>
    <w:pPr>
      <w:keepNext w:val="1"/>
      <w:suppressAutoHyphens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rPr>
      <w:rFonts w:ascii="Arial" w:eastAsia="STZhongsong" w:hAnsi="Arial"/>
      <w:sz w:val="18"/>
      <w:szCs w:val="18"/>
      <w:lang w:eastAsia="zh-CN"/>
    </w:rPr>
  </w:style>
  <w:style w:type="paragraph" w:styleId="GPSL2numberedclause" w:customStyle="1">
    <w:name w:val="GPS L2 numbered clause"/>
    <w:basedOn w:val="Normal"/>
    <w:qFormat w:val="1"/>
    <w:pPr>
      <w:tabs>
        <w:tab w:val="left" w:pos="1134"/>
      </w:tabs>
      <w:suppressAutoHyphens w:val="0"/>
      <w:spacing w:after="120" w:before="120" w:line="240" w:lineRule="auto"/>
      <w:ind w:left="1134" w:hanging="567"/>
      <w:jc w:val="both"/>
    </w:pPr>
    <w:rPr>
      <w:rFonts w:cs="Arial" w:eastAsia="Times New Roman"/>
      <w:lang w:eastAsia="zh-CN"/>
    </w:rPr>
  </w:style>
  <w:style w:type="paragraph" w:styleId="GPSL3numberedclause" w:customStyle="1">
    <w:name w:val="GPS L3 numbered clause"/>
    <w:basedOn w:val="GPSL2numberedclause"/>
    <w:qFormat w:val="1"/>
    <w:pPr>
      <w:tabs>
        <w:tab w:val="clear" w:pos="1134"/>
        <w:tab w:val="left" w:pos="1985"/>
        <w:tab w:val="left" w:pos="2127"/>
      </w:tabs>
      <w:ind w:left="1985" w:hanging="851"/>
    </w:pPr>
  </w:style>
  <w:style w:type="paragraph" w:styleId="GPSL4numberedclause" w:customStyle="1">
    <w:name w:val="GPS L4 numbered clause"/>
    <w:basedOn w:val="GPSL3numberedclause"/>
    <w:qFormat w:val="1"/>
    <w:pPr>
      <w:tabs>
        <w:tab w:val="clear" w:pos="2127"/>
      </w:tabs>
      <w:ind w:left="2835" w:hanging="708"/>
    </w:pPr>
    <w:rPr>
      <w:szCs w:val="20"/>
    </w:rPr>
  </w:style>
  <w:style w:type="character" w:styleId="GPSL2numberedclauseChar1" w:customStyle="1">
    <w:name w:val="GPS L2 numbered clause Char1"/>
    <w:rPr>
      <w:rFonts w:cs="Arial" w:eastAsia="Times New Roman"/>
      <w:sz w:val="22"/>
      <w:szCs w:val="22"/>
      <w:lang w:eastAsia="zh-CN"/>
    </w:rPr>
  </w:style>
  <w:style w:type="character" w:styleId="GPSL3numberedclauseChar" w:customStyle="1">
    <w:name w:val="GPS L3 numbered clause Char"/>
    <w:rPr>
      <w:rFonts w:cs="Arial" w:eastAsia="Times New Roman"/>
      <w:sz w:val="22"/>
      <w:szCs w:val="22"/>
      <w:lang w:eastAsia="zh-CN"/>
    </w:rPr>
  </w:style>
  <w:style w:type="paragraph" w:styleId="GPSL5numberedclause" w:customStyle="1">
    <w:name w:val="GPS L5 numbered clause"/>
    <w:basedOn w:val="GPSL4numberedclause"/>
    <w:qFormat w:val="1"/>
    <w:pPr>
      <w:tabs>
        <w:tab w:val="left" w:pos="3402"/>
      </w:tabs>
      <w:ind w:left="3402" w:hanging="567"/>
    </w:pPr>
  </w:style>
  <w:style w:type="paragraph" w:styleId="GPSL6numbered" w:customStyle="1">
    <w:name w:val="GPS L6 numbered"/>
    <w:basedOn w:val="GPSL5numberedclause"/>
    <w:qFormat w:val="1"/>
    <w:pPr>
      <w:tabs>
        <w:tab w:val="clear" w:pos="1985"/>
        <w:tab w:val="clear" w:pos="3402"/>
        <w:tab w:val="num" w:pos="720"/>
        <w:tab w:val="left" w:pos="24049"/>
        <w:tab w:val="left" w:pos="25466"/>
        <w:tab w:val="left" w:pos="26317"/>
      </w:tabs>
      <w:ind w:left="720" w:hanging="720"/>
    </w:pPr>
  </w:style>
  <w:style w:type="paragraph" w:styleId="Style1" w:customStyle="1">
    <w:name w:val="Style1"/>
    <w:basedOn w:val="ListParagraph"/>
    <w:pPr>
      <w:tabs>
        <w:tab w:val="num" w:pos="720"/>
      </w:tabs>
      <w:ind w:hanging="720"/>
    </w:pPr>
    <w:rPr>
      <w:b w:val="1"/>
      <w:sz w:val="20"/>
    </w:rPr>
  </w:style>
  <w:style w:type="character" w:styleId="ListParagraphChar" w:customStyle="1">
    <w:name w:val="List Paragraph Char"/>
    <w:basedOn w:val="DefaultParagraphFont"/>
    <w:rPr>
      <w:sz w:val="22"/>
      <w:szCs w:val="22"/>
      <w:lang w:eastAsia="en-US"/>
    </w:rPr>
  </w:style>
  <w:style w:type="character" w:styleId="Style1Char" w:customStyle="1">
    <w:name w:val="Style1 Char"/>
    <w:basedOn w:val="ListParagraphChar"/>
    <w:rPr>
      <w:b w:val="1"/>
      <w:sz w:val="22"/>
      <w:szCs w:val="22"/>
      <w:lang w:eastAsia="en-US"/>
    </w:rPr>
  </w:style>
  <w:style w:type="character" w:styleId="CommentReference">
    <w:name w:val="annotation reference"/>
    <w:basedOn w:val="DefaultParagraphFont"/>
    <w:rPr>
      <w:sz w:val="16"/>
      <w:szCs w:val="16"/>
    </w:rPr>
  </w:style>
  <w:style w:type="paragraph" w:styleId="CommentText">
    <w:name w:val="annotation text"/>
    <w:basedOn w:val="Normal"/>
    <w:uiPriority w:val="99"/>
    <w:pPr>
      <w:spacing w:line="240" w:lineRule="auto"/>
    </w:pPr>
    <w:rPr>
      <w:sz w:val="20"/>
      <w:szCs w:val="20"/>
    </w:rPr>
  </w:style>
  <w:style w:type="character" w:styleId="CommentTextChar" w:customStyle="1">
    <w:name w:val="Comment Text Char"/>
    <w:basedOn w:val="DefaultParagraphFont"/>
    <w:rPr>
      <w:lang w:eastAsia="en-US"/>
    </w:rPr>
  </w:style>
  <w:style w:type="paragraph" w:styleId="CommentSubject">
    <w:name w:val="annotation subject"/>
    <w:basedOn w:val="CommentText"/>
    <w:next w:val="CommentText"/>
    <w:rPr>
      <w:b w:val="1"/>
      <w:bCs w:val="1"/>
    </w:rPr>
  </w:style>
  <w:style w:type="character" w:styleId="CommentSubjectChar" w:customStyle="1">
    <w:name w:val="Comment Subject Char"/>
    <w:basedOn w:val="CommentTextChar"/>
    <w:rPr>
      <w:b w:val="1"/>
      <w:bCs w:val="1"/>
      <w:lang w:eastAsia="en-US"/>
    </w:rPr>
  </w:style>
  <w:style w:type="paragraph" w:styleId="Revision">
    <w:name w:val="Revision"/>
  </w:style>
  <w:style w:type="paragraph" w:styleId="GPsDefinition" w:customStyle="1">
    <w:name w:val="GPs Definition"/>
    <w:basedOn w:val="Normal"/>
    <w:pPr>
      <w:tabs>
        <w:tab w:val="left" w:pos="-179"/>
      </w:tabs>
      <w:suppressAutoHyphens w:val="0"/>
      <w:overflowPunct w:val="0"/>
      <w:autoSpaceDE w:val="0"/>
      <w:spacing w:after="120" w:line="240" w:lineRule="auto"/>
      <w:jc w:val="both"/>
    </w:pPr>
    <w:rPr>
      <w:rFonts w:ascii="Arial" w:cs="Arial" w:eastAsia="Times New Roman" w:hAnsi="Arial"/>
    </w:rPr>
  </w:style>
  <w:style w:type="paragraph" w:styleId="GPSDefinitionL2" w:customStyle="1">
    <w:name w:val="GPS Definition L2"/>
    <w:basedOn w:val="GPsDefinition"/>
    <w:pPr>
      <w:tabs>
        <w:tab w:val="clear" w:pos="-179"/>
        <w:tab w:val="left" w:pos="-576"/>
      </w:tabs>
      <w:ind w:hanging="545"/>
    </w:pPr>
  </w:style>
  <w:style w:type="character" w:styleId="GPSDefinitionL2Char" w:customStyle="1">
    <w:name w:val="GPS Definition L2 Char"/>
    <w:rPr>
      <w:rFonts w:ascii="Arial" w:cs="Arial" w:eastAsia="Times New Roman" w:hAnsi="Arial"/>
      <w:sz w:val="22"/>
      <w:szCs w:val="22"/>
      <w:lang w:eastAsia="en-US"/>
    </w:rPr>
  </w:style>
  <w:style w:type="paragraph" w:styleId="GPSDefinitionL3" w:customStyle="1">
    <w:name w:val="GPS Definition L3"/>
    <w:basedOn w:val="GPSDefinitionL2"/>
  </w:style>
  <w:style w:type="paragraph" w:styleId="GPSDefinitionL4" w:customStyle="1">
    <w:name w:val="GPS Definition L4"/>
    <w:basedOn w:val="GPSDefinitionL3"/>
    <w:pPr>
      <w:tabs>
        <w:tab w:val="clear" w:pos="-576"/>
        <w:tab w:val="left" w:pos="-2316"/>
        <w:tab w:val="left" w:pos="-2100"/>
        <w:tab w:val="num" w:pos="720"/>
      </w:tabs>
      <w:ind w:left="720" w:hanging="720"/>
    </w:pPr>
  </w:style>
  <w:style w:type="character" w:styleId="GPSDefinitionL3Char" w:customStyle="1">
    <w:name w:val="GPS Definition L3 Char"/>
    <w:rPr>
      <w:rFonts w:ascii="Arial" w:cs="Arial" w:eastAsia="Times New Roman" w:hAnsi="Arial"/>
      <w:sz w:val="22"/>
      <w:szCs w:val="22"/>
      <w:lang w:eastAsia="en-US"/>
    </w:rPr>
  </w:style>
  <w:style w:type="paragraph" w:styleId="FootnoteText">
    <w:name w:val="footnote text"/>
    <w:basedOn w:val="Normal"/>
    <w:pPr>
      <w:suppressAutoHyphens w:val="0"/>
      <w:overflowPunct w:val="0"/>
      <w:autoSpaceDE w:val="0"/>
      <w:spacing w:after="240" w:line="240" w:lineRule="auto"/>
      <w:ind w:left="1418"/>
      <w:jc w:val="both"/>
    </w:pPr>
    <w:rPr>
      <w:rFonts w:ascii="Arial" w:cs="Arial" w:eastAsia="Times New Roman" w:hAnsi="Arial"/>
      <w:sz w:val="20"/>
      <w:szCs w:val="20"/>
    </w:rPr>
  </w:style>
  <w:style w:type="character" w:styleId="FootnoteTextChar" w:customStyle="1">
    <w:name w:val="Footnote Text Char"/>
    <w:basedOn w:val="DefaultParagraphFont"/>
    <w:rPr>
      <w:rFonts w:ascii="Arial" w:cs="Arial" w:eastAsia="Times New Roman" w:hAnsi="Arial"/>
      <w:lang w:eastAsia="en-US"/>
    </w:rPr>
  </w:style>
  <w:style w:type="paragraph" w:styleId="BodyText">
    <w:name w:val="Body Text"/>
    <w:basedOn w:val="Normal"/>
    <w:pPr>
      <w:spacing w:after="120"/>
    </w:pPr>
  </w:style>
  <w:style w:type="character" w:styleId="BodyTextChar" w:customStyle="1">
    <w:name w:val="Body Text Char"/>
    <w:basedOn w:val="DefaultParagraphFont"/>
    <w:rPr>
      <w:sz w:val="22"/>
      <w:szCs w:val="22"/>
      <w:lang w:eastAsia="en-US"/>
    </w:rPr>
  </w:style>
  <w:style w:type="paragraph" w:styleId="Level2Heading" w:customStyle="1">
    <w:name w:val="Level 2 Heading"/>
    <w:basedOn w:val="BodyText"/>
    <w:next w:val="BodyText2"/>
    <w:pPr>
      <w:keepNext w:val="1"/>
      <w:tabs>
        <w:tab w:val="left" w:pos="360"/>
      </w:tabs>
      <w:suppressAutoHyphens w:val="0"/>
      <w:spacing w:after="200" w:before="360" w:line="360" w:lineRule="auto"/>
      <w:outlineLvl w:val="1"/>
    </w:pPr>
    <w:rPr>
      <w:rFonts w:ascii="Arial" w:eastAsia="Times New Roman" w:hAnsi="Arial"/>
      <w:b w:val="1"/>
      <w:sz w:val="20"/>
      <w:szCs w:val="20"/>
    </w:rPr>
  </w:style>
  <w:style w:type="paragraph" w:styleId="Level3Number" w:customStyle="1">
    <w:name w:val="Level 3 Number"/>
    <w:basedOn w:val="BodyText"/>
    <w:pPr>
      <w:tabs>
        <w:tab w:val="left" w:pos="360"/>
      </w:tabs>
      <w:suppressAutoHyphens w:val="0"/>
      <w:spacing w:after="200" w:before="360" w:line="360" w:lineRule="auto"/>
    </w:pPr>
    <w:rPr>
      <w:rFonts w:ascii="Arial" w:eastAsia="Times New Roman" w:hAnsi="Arial"/>
      <w:sz w:val="20"/>
      <w:szCs w:val="20"/>
    </w:rPr>
  </w:style>
  <w:style w:type="paragraph" w:styleId="Level4Number" w:customStyle="1">
    <w:name w:val="Level 4 Number"/>
    <w:basedOn w:val="BodyText"/>
    <w:pPr>
      <w:tabs>
        <w:tab w:val="left" w:pos="360"/>
      </w:tabs>
      <w:suppressAutoHyphens w:val="0"/>
      <w:spacing w:after="200" w:before="360" w:line="360" w:lineRule="auto"/>
    </w:pPr>
    <w:rPr>
      <w:rFonts w:ascii="Arial" w:eastAsia="Times New Roman" w:hAnsi="Arial"/>
      <w:sz w:val="20"/>
      <w:szCs w:val="20"/>
    </w:rPr>
  </w:style>
  <w:style w:type="paragraph" w:styleId="Level5Number" w:customStyle="1">
    <w:name w:val="Level 5 Number"/>
    <w:basedOn w:val="BodyText"/>
    <w:pPr>
      <w:tabs>
        <w:tab w:val="left" w:pos="360"/>
      </w:tabs>
      <w:suppressAutoHyphens w:val="0"/>
      <w:spacing w:after="240" w:line="360" w:lineRule="auto"/>
    </w:pPr>
    <w:rPr>
      <w:rFonts w:ascii="Arial" w:eastAsia="Times New Roman" w:hAnsi="Arial"/>
      <w:sz w:val="20"/>
      <w:szCs w:val="20"/>
    </w:rPr>
  </w:style>
  <w:style w:type="paragraph" w:styleId="Level6Number" w:customStyle="1">
    <w:name w:val="Level 6 Number"/>
    <w:basedOn w:val="BodyText"/>
    <w:pPr>
      <w:tabs>
        <w:tab w:val="left" w:pos="360"/>
      </w:tabs>
      <w:suppressAutoHyphens w:val="0"/>
      <w:spacing w:after="240" w:line="360" w:lineRule="auto"/>
    </w:pPr>
    <w:rPr>
      <w:rFonts w:ascii="Arial" w:eastAsia="Times New Roman" w:hAnsi="Arial"/>
      <w:sz w:val="20"/>
      <w:szCs w:val="20"/>
    </w:rPr>
  </w:style>
  <w:style w:type="paragraph" w:styleId="Level7Number" w:customStyle="1">
    <w:name w:val="Level 7 Number"/>
    <w:basedOn w:val="BodyText"/>
    <w:pPr>
      <w:tabs>
        <w:tab w:val="left" w:pos="360"/>
      </w:tabs>
      <w:suppressAutoHyphens w:val="0"/>
      <w:spacing w:after="240" w:line="360" w:lineRule="auto"/>
    </w:pPr>
    <w:rPr>
      <w:rFonts w:ascii="Arial" w:eastAsia="Times New Roman" w:hAnsi="Arial"/>
      <w:sz w:val="20"/>
      <w:szCs w:val="20"/>
    </w:rPr>
  </w:style>
  <w:style w:type="paragraph" w:styleId="Level8Number" w:customStyle="1">
    <w:name w:val="Level 8 Number"/>
    <w:basedOn w:val="BodyText"/>
    <w:pPr>
      <w:tabs>
        <w:tab w:val="left" w:pos="-3895"/>
        <w:tab w:val="num" w:pos="720"/>
      </w:tabs>
      <w:suppressAutoHyphens w:val="0"/>
      <w:spacing w:after="240" w:line="360" w:lineRule="auto"/>
      <w:ind w:left="720" w:hanging="720"/>
    </w:pPr>
    <w:rPr>
      <w:rFonts w:ascii="Arial" w:eastAsia="Times New Roman" w:hAnsi="Arial"/>
      <w:sz w:val="20"/>
      <w:szCs w:val="20"/>
    </w:rPr>
  </w:style>
  <w:style w:type="paragraph" w:styleId="BodyText2">
    <w:name w:val="Body Text 2"/>
    <w:basedOn w:val="Normal"/>
    <w:pPr>
      <w:spacing w:after="120" w:line="480" w:lineRule="auto"/>
    </w:pPr>
  </w:style>
  <w:style w:type="character" w:styleId="BodyText2Char" w:customStyle="1">
    <w:name w:val="Body Text 2 Char"/>
    <w:basedOn w:val="DefaultParagraphFont"/>
    <w:rPr>
      <w:sz w:val="22"/>
      <w:szCs w:val="22"/>
      <w:lang w:eastAsia="en-US"/>
    </w:rPr>
  </w:style>
  <w:style w:type="character" w:styleId="GPSL2NumberedBoldHeadingChar" w:customStyle="1">
    <w:name w:val="GPS L2 Numbered Bold Heading Char"/>
    <w:rPr>
      <w:rFonts w:cs="Arial" w:eastAsia="Times New Roman"/>
      <w:b w:val="1"/>
      <w:sz w:val="22"/>
      <w:szCs w:val="22"/>
      <w:lang w:eastAsia="zh-CN"/>
    </w:rPr>
  </w:style>
  <w:style w:type="paragraph" w:styleId="GPSL2Indent" w:customStyle="1">
    <w:name w:val="GPS L2 Indent"/>
    <w:basedOn w:val="Normal"/>
    <w:pPr>
      <w:tabs>
        <w:tab w:val="left" w:pos="3402"/>
      </w:tabs>
      <w:suppressAutoHyphens w:val="0"/>
      <w:overflowPunct w:val="0"/>
      <w:autoSpaceDE w:val="0"/>
      <w:spacing w:after="220" w:line="240" w:lineRule="auto"/>
      <w:ind w:left="1134"/>
      <w:jc w:val="both"/>
    </w:pPr>
    <w:rPr>
      <w:rFonts w:cs="Arial" w:eastAsia="Times New Roman"/>
      <w:szCs w:val="24"/>
    </w:rPr>
  </w:style>
  <w:style w:type="paragraph" w:styleId="GPSL2Numbered" w:customStyle="1">
    <w:name w:val="GPS L2 Numbered"/>
    <w:basedOn w:val="GPSL2NumberedBoldHeading"/>
    <w:qFormat w:val="1"/>
    <w:pPr>
      <w:tabs>
        <w:tab w:val="left" w:pos="709"/>
      </w:tabs>
      <w:ind w:hanging="360"/>
    </w:pPr>
    <w:rPr>
      <w:b w:val="0"/>
    </w:rPr>
  </w:style>
  <w:style w:type="character" w:styleId="GPSL2NumberedChar" w:customStyle="1">
    <w:name w:val="GPS L2 Numbered Char"/>
    <w:rPr>
      <w:rFonts w:cs="Arial" w:eastAsia="Times New Roman"/>
      <w:sz w:val="22"/>
      <w:szCs w:val="22"/>
      <w:lang w:eastAsia="zh-CN"/>
    </w:rPr>
  </w:style>
  <w:style w:type="character" w:styleId="GPSL2IndentChar" w:customStyle="1">
    <w:name w:val="GPS L2 Indent Char"/>
    <w:rPr>
      <w:rFonts w:cs="Arial" w:eastAsia="Times New Roman"/>
      <w:sz w:val="22"/>
      <w:szCs w:val="24"/>
      <w:lang w:eastAsia="en-US"/>
    </w:rPr>
  </w:style>
  <w:style w:type="character" w:styleId="GPSL4numberedclauseChar" w:customStyle="1">
    <w:name w:val="GPS L4 numbered clause Char"/>
    <w:rPr>
      <w:rFonts w:cs="Arial" w:eastAsia="Times New Roman"/>
      <w:sz w:val="22"/>
      <w:lang w:eastAsia="zh-CN"/>
    </w:rPr>
  </w:style>
  <w:style w:type="paragraph" w:styleId="GPSL3Indent" w:customStyle="1">
    <w:name w:val="GPS L3 Indent"/>
    <w:basedOn w:val="Normal"/>
    <w:pPr>
      <w:tabs>
        <w:tab w:val="left" w:pos="2127"/>
      </w:tabs>
      <w:suppressAutoHyphens w:val="0"/>
      <w:spacing w:after="120" w:before="120" w:line="240" w:lineRule="auto"/>
      <w:ind w:left="2127"/>
      <w:jc w:val="both"/>
    </w:pPr>
    <w:rPr>
      <w:rFonts w:ascii="Arial" w:cs="Arial" w:eastAsia="Times New Roman" w:hAnsi="Arial"/>
      <w:lang w:eastAsia="zh-CN" w:val="en-US"/>
    </w:rPr>
  </w:style>
  <w:style w:type="character" w:styleId="GPSL3IndentChar" w:customStyle="1">
    <w:name w:val="GPS L3 Indent Char"/>
    <w:rPr>
      <w:rFonts w:ascii="Arial" w:cs="Arial" w:eastAsia="Times New Roman" w:hAnsi="Arial"/>
      <w:sz w:val="22"/>
      <w:szCs w:val="22"/>
      <w:lang w:eastAsia="zh-CN" w:val="en-US"/>
    </w:rPr>
  </w:style>
  <w:style w:type="character" w:styleId="GPSL5numberedclauseChar" w:customStyle="1">
    <w:name w:val="GPS L5 numbered clause Char"/>
    <w:rPr>
      <w:rFonts w:cs="Arial" w:eastAsia="Times New Roman"/>
      <w:sz w:val="22"/>
      <w:lang w:eastAsia="zh-CN"/>
    </w:rPr>
  </w:style>
  <w:style w:type="paragraph" w:styleId="Body3" w:customStyle="1">
    <w:name w:val="Body3"/>
    <w:basedOn w:val="Normal"/>
    <w:pPr>
      <w:suppressAutoHyphens w:val="0"/>
      <w:spacing w:after="220" w:line="240" w:lineRule="auto"/>
      <w:ind w:left="1412"/>
      <w:jc w:val="both"/>
    </w:pPr>
    <w:rPr>
      <w:rFonts w:ascii="Trebuchet MS" w:eastAsia="Times New Roman" w:hAnsi="Trebuchet MS"/>
      <w:sz w:val="20"/>
      <w:szCs w:val="20"/>
    </w:rPr>
  </w:style>
  <w:style w:type="paragraph" w:styleId="GPSDefinitionTerm" w:customStyle="1">
    <w:name w:val="GPS Definition Term"/>
    <w:basedOn w:val="Normal"/>
    <w:pPr>
      <w:suppressAutoHyphens w:val="0"/>
      <w:overflowPunct w:val="0"/>
      <w:autoSpaceDE w:val="0"/>
      <w:spacing w:after="120" w:line="240" w:lineRule="auto"/>
      <w:ind w:left="-108"/>
    </w:pPr>
    <w:rPr>
      <w:rFonts w:cs="Arial" w:eastAsia="Times New Roman"/>
      <w:b w:val="1"/>
    </w:rPr>
  </w:style>
  <w:style w:type="character" w:styleId="Heading7Char" w:customStyle="1">
    <w:name w:val="Heading 7 Char"/>
    <w:basedOn w:val="DefaultParagraphFont"/>
    <w:rPr>
      <w:rFonts w:ascii="Arial" w:eastAsia="Times New Roman" w:hAnsi="Arial"/>
      <w:sz w:val="22"/>
      <w:szCs w:val="22"/>
      <w:lang w:eastAsia="en-US"/>
    </w:rPr>
  </w:style>
  <w:style w:type="character" w:styleId="Heading8Char" w:customStyle="1">
    <w:name w:val="Heading 8 Char"/>
    <w:basedOn w:val="DefaultParagraphFont"/>
    <w:rPr>
      <w:rFonts w:ascii="Arial" w:eastAsia="Times New Roman" w:hAnsi="Arial"/>
      <w:sz w:val="22"/>
      <w:szCs w:val="22"/>
      <w:lang w:eastAsia="en-US"/>
    </w:rPr>
  </w:style>
  <w:style w:type="paragraph" w:styleId="GPSL4boldheading" w:customStyle="1">
    <w:name w:val="GPS L4 bold heading"/>
    <w:basedOn w:val="GPSL3numberedclause"/>
    <w:pPr>
      <w:tabs>
        <w:tab w:val="num" w:pos="720"/>
      </w:tabs>
      <w:ind w:left="720" w:hanging="720"/>
    </w:pPr>
    <w:rPr>
      <w:b w:val="1"/>
    </w:rPr>
  </w:style>
  <w:style w:type="character" w:styleId="GPSL4boldheadingChar" w:customStyle="1">
    <w:name w:val="GPS L4 bold heading Char"/>
    <w:rPr>
      <w:rFonts w:cs="Arial" w:eastAsia="Times New Roman"/>
      <w:b w:val="1"/>
      <w:sz w:val="22"/>
      <w:szCs w:val="22"/>
      <w:lang w:eastAsia="zh-CN"/>
    </w:rPr>
  </w:style>
  <w:style w:type="numbering" w:styleId="WWOutlineListStyle7" w:customStyle="1">
    <w:name w:val="WW_OutlineListStyle_7"/>
    <w:basedOn w:val="NoList"/>
  </w:style>
  <w:style w:type="numbering" w:styleId="WWOutlineListStyle6" w:customStyle="1">
    <w:name w:val="WW_OutlineListStyle_6"/>
    <w:basedOn w:val="NoList"/>
  </w:style>
  <w:style w:type="numbering" w:styleId="WWOutlineListStyle5" w:customStyle="1">
    <w:name w:val="WW_OutlineListStyle_5"/>
    <w:basedOn w:val="NoList"/>
  </w:style>
  <w:style w:type="numbering" w:styleId="WWOutlineListStyle4" w:customStyle="1">
    <w:name w:val="WW_OutlineListStyle_4"/>
    <w:basedOn w:val="NoList"/>
  </w:style>
  <w:style w:type="numbering" w:styleId="WWOutlineListStyle3" w:customStyle="1">
    <w:name w:val="WW_OutlineListStyle_3"/>
    <w:basedOn w:val="NoList"/>
  </w:style>
  <w:style w:type="numbering" w:styleId="WWOutlineListStyle2" w:customStyle="1">
    <w:name w:val="WW_OutlineListStyle_2"/>
    <w:basedOn w:val="NoList"/>
  </w:style>
  <w:style w:type="numbering" w:styleId="WWOutlineListStyle1" w:customStyle="1">
    <w:name w:val="WW_OutlineListStyle_1"/>
    <w:basedOn w:val="NoList"/>
  </w:style>
  <w:style w:type="numbering" w:styleId="WWOutlineListStyle" w:customStyle="1">
    <w:name w:val="WW_OutlineListStyle"/>
    <w:basedOn w:val="NoList"/>
  </w:style>
  <w:style w:type="numbering" w:styleId="LFO7" w:customStyle="1">
    <w:name w:val="LFO7"/>
    <w:basedOn w:val="NoList"/>
  </w:style>
  <w:style w:type="numbering" w:styleId="LFO9" w:customStyle="1">
    <w:name w:val="LFO9"/>
    <w:basedOn w:val="NoList"/>
  </w:style>
  <w:style w:type="numbering" w:styleId="LFO10" w:customStyle="1">
    <w:name w:val="LFO10"/>
    <w:basedOn w:val="NoList"/>
  </w:style>
  <w:style w:type="numbering" w:styleId="LFO12" w:customStyle="1">
    <w:name w:val="LFO12"/>
    <w:basedOn w:val="NoList"/>
  </w:style>
  <w:style w:type="numbering" w:styleId="LFO13" w:customStyle="1">
    <w:name w:val="LFO13"/>
    <w:basedOn w:val="NoList"/>
  </w:style>
  <w:style w:type="table" w:styleId="LightShading-Accent5">
    <w:name w:val="Light Shading Accent 5"/>
    <w:basedOn w:val="TableNormal"/>
    <w:uiPriority w:val="60"/>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TableGrid">
    <w:name w:val="Table Grid"/>
    <w:basedOn w:val="TableNormal"/>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3-Accent51" w:customStyle="1">
    <w:name w:val="List Table 3 - Accent 51"/>
    <w:basedOn w:val="TableNormal"/>
    <w:uiPriority w:val="48"/>
    <w:tblPr>
      <w:tblStyleRowBandSize w:val="1"/>
      <w:tblStyleColBandSize w:val="1"/>
      <w:tblBorders>
        <w:top w:color="4bacc6" w:space="0" w:sz="4" w:themeColor="accent5" w:val="single"/>
        <w:left w:color="4bacc6" w:space="0" w:sz="4" w:themeColor="accent5" w:val="single"/>
        <w:bottom w:color="4bacc6" w:space="0" w:sz="4" w:themeColor="accent5" w:val="single"/>
        <w:right w:color="4bacc6" w:space="0" w:sz="4" w:themeColor="accent5" w:val="single"/>
      </w:tblBorders>
    </w:tblPr>
    <w:tblStylePr w:type="firstRow">
      <w:rPr>
        <w:b w:val="1"/>
        <w:bCs w:val="1"/>
        <w:color w:val="ffffff" w:themeColor="background1"/>
      </w:rPr>
      <w:tblPr/>
      <w:tcPr>
        <w:shd w:color="auto" w:fill="4bacc6" w:themeFill="accent5" w:val="clear"/>
      </w:tcPr>
    </w:tblStylePr>
    <w:tblStylePr w:type="lastRow">
      <w:rPr>
        <w:b w:val="1"/>
        <w:bCs w:val="1"/>
      </w:rPr>
      <w:tblPr/>
      <w:tcPr>
        <w:tcBorders>
          <w:top w:color="4bacc6"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bacc6" w:space="0" w:sz="4" w:themeColor="accent5" w:val="single"/>
          <w:right w:color="4bacc6" w:space="0" w:sz="4" w:themeColor="accent5" w:val="single"/>
        </w:tcBorders>
      </w:tcPr>
    </w:tblStylePr>
    <w:tblStylePr w:type="band1Horz">
      <w:tblPr/>
      <w:tcPr>
        <w:tcBorders>
          <w:top w:color="4bacc6" w:space="0" w:sz="4" w:themeColor="accent5" w:val="single"/>
          <w:bottom w:color="4bacc6"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bacc6" w:space="0" w:sz="4" w:themeColor="accent5" w:val="double"/>
          <w:left w:space="0" w:sz="0" w:val="nil"/>
        </w:tcBorders>
      </w:tcPr>
    </w:tblStylePr>
    <w:tblStylePr w:type="swCell">
      <w:tblPr/>
      <w:tcPr>
        <w:tcBorders>
          <w:top w:color="4bacc6" w:space="0" w:sz="4" w:themeColor="accent5" w:val="double"/>
          <w:right w:space="0" w:sz="0" w:val="nil"/>
        </w:tcBorders>
      </w:tcPr>
    </w:tblStylePr>
  </w:style>
  <w:style w:type="table" w:styleId="GridTable2-Accent51" w:customStyle="1">
    <w:name w:val="Grid Table 2 - Accent 51"/>
    <w:basedOn w:val="TableNormal"/>
    <w:uiPriority w:val="47"/>
    <w:tblPr>
      <w:tblStyleRowBandSize w:val="1"/>
      <w:tblStyleColBandSize w:val="1"/>
      <w:tblBorders>
        <w:top w:color="92cddc" w:space="0" w:sz="2" w:themeColor="accent5" w:themeTint="000099" w:val="single"/>
        <w:bottom w:color="92cddc" w:space="0" w:sz="2" w:themeColor="accent5" w:themeTint="000099" w:val="single"/>
        <w:insideH w:color="92cddc" w:space="0" w:sz="2" w:themeColor="accent5" w:themeTint="000099" w:val="single"/>
        <w:insideV w:color="92cddc" w:space="0" w:sz="2" w:themeColor="accent5" w:themeTint="000099" w:val="single"/>
      </w:tblBorders>
    </w:tblPr>
    <w:tblStylePr w:type="firstRow">
      <w:rPr>
        <w:b w:val="1"/>
        <w:bCs w:val="1"/>
      </w:rPr>
      <w:tblPr/>
      <w:tcPr>
        <w:tcBorders>
          <w:top w:space="0" w:sz="0" w:val="nil"/>
          <w:bottom w:color="92cddc"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2cddc"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GridTable2-Accent11" w:customStyle="1">
    <w:name w:val="Grid Table 2 - Accent 11"/>
    <w:basedOn w:val="TableNormal"/>
    <w:uiPriority w:val="47"/>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GridTable4-Accent11" w:customStyle="1">
    <w:name w:val="Grid Table 4 - Accent 11"/>
    <w:basedOn w:val="TableNormal"/>
    <w:uiPriority w:val="49"/>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GridTable6Colorful-Accent11" w:customStyle="1">
    <w:name w:val="Grid Table 6 Colorful - Accent 11"/>
    <w:basedOn w:val="TableNormal"/>
    <w:uiPriority w:val="51"/>
    <w:rPr>
      <w:color w:val="365f91" w:themeColor="accent1" w:themeShade="0000BF"/>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EndnoteText">
    <w:name w:val="endnote text"/>
    <w:basedOn w:val="Normal"/>
    <w:link w:val="EndnoteTextChar"/>
    <w:uiPriority w:val="99"/>
    <w:semiHidden w:val="1"/>
    <w:unhideWhenUsed w:val="1"/>
    <w:pPr>
      <w:spacing w:after="0" w:line="240" w:lineRule="auto"/>
    </w:pPr>
    <w:rPr>
      <w:sz w:val="20"/>
      <w:szCs w:val="20"/>
    </w:rPr>
  </w:style>
  <w:style w:type="character" w:styleId="EndnoteTextChar" w:customStyle="1">
    <w:name w:val="Endnote Text Char"/>
    <w:basedOn w:val="DefaultParagraphFont"/>
    <w:link w:val="EndnoteText"/>
    <w:uiPriority w:val="99"/>
    <w:semiHidden w:val="1"/>
    <w:rPr>
      <w:lang w:eastAsia="en-US"/>
    </w:rPr>
  </w:style>
  <w:style w:type="character" w:styleId="EndnoteReference">
    <w:name w:val="endnote reference"/>
    <w:basedOn w:val="DefaultParagraphFont"/>
    <w:uiPriority w:val="99"/>
    <w:semiHidden w:val="1"/>
    <w:unhideWhenUsed w:val="1"/>
    <w:rPr>
      <w:vertAlign w:val="superscript"/>
    </w:rPr>
  </w:style>
  <w:style w:type="table" w:styleId="LightList">
    <w:name w:val="Light List"/>
    <w:basedOn w:val="TableNormal"/>
    <w:uiPriority w:val="61"/>
    <w:rsid w:val="00AB5036"/>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character" w:styleId="Hyperlink">
    <w:name w:val="Hyperlink"/>
    <w:basedOn w:val="DefaultParagraphFont"/>
    <w:uiPriority w:val="99"/>
    <w:unhideWhenUsed w:val="1"/>
    <w:rsid w:val="00D40441"/>
    <w:rPr>
      <w:color w:val="0000ff"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color w:val="366091"/>
    </w:rPr>
    <w:tblPr>
      <w:tblStyleRowBandSize w:val="1"/>
      <w:tblStyleColBandSize w:val="1"/>
    </w:tblPr>
    <w:tblStylePr w:type="firstRow">
      <w:pPr>
        <w:spacing w:after="0" w:before="0" w:line="240" w:lineRule="auto"/>
      </w:pPr>
      <w:rPr>
        <w:b w:val="1"/>
        <w:color w:val="ffffff"/>
      </w:rPr>
      <w:tblPr/>
      <w:tcPr>
        <w:shd w:color="auto" w:fill="000000" w:val="clear"/>
      </w:tcPr>
    </w:tblStylePr>
    <w:tblStylePr w:type="lastRow">
      <w:pPr>
        <w:spacing w:after="0" w:before="0" w:line="240" w:lineRule="auto"/>
      </w:pPr>
      <w:rPr>
        <w:b w:val="1"/>
      </w:rPr>
      <w:tblPr/>
      <w:tcPr>
        <w:tcBorders>
          <w:top w:color="000000" w:space="0" w:sz="6" w:val="single"/>
          <w:left w:color="000000" w:space="0" w:sz="8" w:val="single"/>
          <w:bottom w:color="000000" w:space="0" w:sz="8" w:val="single"/>
          <w:right w:color="000000" w:space="0" w:sz="8" w:val="single"/>
        </w:tcBorders>
      </w:tcPr>
    </w:tblStylePr>
    <w:tblStylePr w:type="firstCol">
      <w:rPr>
        <w:b w:val="1"/>
      </w:rPr>
    </w:tblStylePr>
    <w:tblStylePr w:type="lastCol">
      <w:rPr>
        <w:b w:val="1"/>
      </w:rPr>
    </w:tblStylePr>
    <w:tblStylePr w:type="band1Vert">
      <w:tblPr/>
      <w:tcPr>
        <w:tcBorders>
          <w:top w:color="000000" w:space="0" w:sz="8" w:val="single"/>
          <w:left w:color="000000" w:space="0" w:sz="8" w:val="single"/>
          <w:bottom w:color="000000" w:space="0" w:sz="8" w:val="single"/>
          <w:right w:color="000000" w:space="0" w:sz="8" w:val="single"/>
        </w:tcBorders>
      </w:tcPr>
    </w:tblStylePr>
    <w:tblStylePr w:type="band1Horz">
      <w:tblPr/>
      <w:tcPr>
        <w:tcBorders>
          <w:top w:color="000000" w:space="0" w:sz="8" w:val="single"/>
          <w:left w:color="000000" w:space="0" w:sz="8" w:val="single"/>
          <w:bottom w:color="000000" w:space="0" w:sz="8" w:val="single"/>
          <w:right w:color="000000" w:space="0" w:sz="8" w:val="single"/>
        </w:tcBorders>
      </w:tcPr>
    </w:tblStylePr>
  </w:style>
  <w:style w:type="table" w:styleId="a0" w:customStyle="1">
    <w:basedOn w:val="TableNormal"/>
    <w:rPr>
      <w:color w:val="366091"/>
    </w:rPr>
    <w:tblPr>
      <w:tblStyleRowBandSize w:val="1"/>
      <w:tblStyleColBandSize w:val="1"/>
    </w:tblPr>
  </w:style>
  <w:style w:type="table" w:styleId="a1" w:customStyle="1">
    <w:basedOn w:val="TableNormal"/>
    <w:rPr>
      <w:color w:val="366091"/>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BodyTextIndent">
    <w:name w:val="Body Text Indent"/>
    <w:basedOn w:val="Normal"/>
    <w:link w:val="BodyTextIndentChar"/>
    <w:uiPriority w:val="99"/>
    <w:semiHidden w:val="1"/>
    <w:unhideWhenUsed w:val="1"/>
    <w:rsid w:val="00153488"/>
    <w:pPr>
      <w:spacing w:after="120"/>
      <w:ind w:left="283"/>
    </w:pPr>
  </w:style>
  <w:style w:type="character" w:styleId="BodyTextIndentChar" w:customStyle="1">
    <w:name w:val="Body Text Indent Char"/>
    <w:basedOn w:val="DefaultParagraphFont"/>
    <w:link w:val="BodyTextIndent"/>
    <w:uiPriority w:val="99"/>
    <w:semiHidden w:val="1"/>
    <w:rsid w:val="00153488"/>
  </w:style>
  <w:style w:type="character" w:styleId="Heading3Char" w:customStyle="1">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0F0E86"/>
    <w:rPr>
      <w:b w:val="1"/>
      <w:sz w:val="28"/>
      <w:szCs w:val="28"/>
    </w:rPr>
  </w:style>
  <w:style w:type="character" w:styleId="UnresolvedMention1" w:customStyle="1">
    <w:name w:val="Unresolved Mention1"/>
    <w:basedOn w:val="DefaultParagraphFont"/>
    <w:uiPriority w:val="99"/>
    <w:semiHidden w:val="1"/>
    <w:unhideWhenUsed w:val="1"/>
    <w:rsid w:val="00342132"/>
    <w:rPr>
      <w:color w:val="605e5c"/>
      <w:shd w:color="auto" w:fill="e1dfdd" w:val="clear"/>
    </w:rPr>
  </w:style>
  <w:style w:type="character" w:styleId="UnresolvedMention2" w:customStyle="1">
    <w:name w:val="Unresolved Mention2"/>
    <w:basedOn w:val="DefaultParagraphFont"/>
    <w:uiPriority w:val="99"/>
    <w:semiHidden w:val="1"/>
    <w:unhideWhenUsed w:val="1"/>
    <w:rsid w:val="007D6F0C"/>
    <w:rPr>
      <w:color w:val="605e5c"/>
      <w:shd w:color="auto" w:fill="e1dfdd" w:val="clear"/>
    </w:rPr>
  </w:style>
  <w:style w:type="table" w:styleId="a2" w:customStyle="1">
    <w:basedOn w:val="TableNormal"/>
    <w:rPr>
      <w:color w:val="366091"/>
    </w:rPr>
    <w:tblPr>
      <w:tblStyleRowBandSize w:val="1"/>
      <w:tblStyleColBandSize w:val="1"/>
    </w:tblPr>
    <w:tblStylePr w:type="firstRow">
      <w:pPr>
        <w:spacing w:after="0" w:before="0" w:line="240" w:lineRule="auto"/>
      </w:pPr>
      <w:rPr>
        <w:b w:val="1"/>
        <w:color w:val="ffffff"/>
      </w:rPr>
      <w:tblPr/>
      <w:tcPr>
        <w:shd w:color="auto" w:fill="000000" w:val="clear"/>
      </w:tcPr>
    </w:tblStylePr>
    <w:tblStylePr w:type="lastRow">
      <w:pPr>
        <w:spacing w:after="0" w:before="0" w:line="240" w:lineRule="auto"/>
      </w:pPr>
      <w:rPr>
        <w:b w:val="1"/>
      </w:rPr>
      <w:tblPr/>
      <w:tcPr>
        <w:tcBorders>
          <w:top w:color="000000" w:space="0" w:sz="6" w:val="single"/>
          <w:left w:color="000000" w:space="0" w:sz="8" w:val="single"/>
          <w:bottom w:color="000000" w:space="0" w:sz="8" w:val="single"/>
          <w:right w:color="000000" w:space="0" w:sz="8" w:val="single"/>
        </w:tcBorders>
      </w:tcPr>
    </w:tblStylePr>
    <w:tblStylePr w:type="firstCol">
      <w:rPr>
        <w:b w:val="1"/>
      </w:rPr>
    </w:tblStylePr>
    <w:tblStylePr w:type="lastCol">
      <w:rPr>
        <w:b w:val="1"/>
      </w:rPr>
    </w:tblStylePr>
    <w:tblStylePr w:type="band1Vert">
      <w:tblPr/>
      <w:tcPr>
        <w:tcBorders>
          <w:top w:color="000000" w:space="0" w:sz="8" w:val="single"/>
          <w:left w:color="000000" w:space="0" w:sz="8" w:val="single"/>
          <w:bottom w:color="000000" w:space="0" w:sz="8" w:val="single"/>
          <w:right w:color="000000" w:space="0" w:sz="8" w:val="single"/>
        </w:tcBorders>
      </w:tcPr>
    </w:tblStylePr>
    <w:tblStylePr w:type="band1Horz">
      <w:tblPr/>
      <w:tcPr>
        <w:tcBorders>
          <w:top w:color="000000" w:space="0" w:sz="8" w:val="single"/>
          <w:left w:color="000000" w:space="0" w:sz="8" w:val="single"/>
          <w:bottom w:color="000000" w:space="0" w:sz="8" w:val="single"/>
          <w:right w:color="000000" w:space="0" w:sz="8" w:val="single"/>
        </w:tcBorders>
      </w:tcPr>
    </w:tblStylePr>
  </w:style>
  <w:style w:type="table" w:styleId="a3" w:customStyle="1">
    <w:basedOn w:val="TableNormal"/>
    <w:rPr>
      <w:color w:val="366091"/>
    </w:rPr>
    <w:tblPr>
      <w:tblStyleRowBandSize w:val="1"/>
      <w:tblStyleColBandSize w:val="1"/>
    </w:tblPr>
  </w:style>
  <w:style w:type="table" w:styleId="a4" w:customStyle="1">
    <w:basedOn w:val="TableNormal"/>
    <w:rPr>
      <w:color w:val="366091"/>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
    <w:rPr>
      <w:color w:val="366091"/>
    </w:rPr>
    <w:tblPr>
      <w:tblStyleRowBandSize w:val="1"/>
      <w:tblStyleColBandSize w:val="1"/>
    </w:tblPr>
    <w:tblStylePr w:type="firstRow">
      <w:pPr>
        <w:spacing w:after="0" w:before="0" w:line="240" w:lineRule="auto"/>
      </w:pPr>
      <w:rPr>
        <w:b w:val="1"/>
        <w:color w:val="ffffff"/>
      </w:rPr>
      <w:tblPr/>
      <w:tcPr>
        <w:shd w:color="auto" w:fill="000000" w:val="clear"/>
      </w:tcPr>
    </w:tblStylePr>
    <w:tblStylePr w:type="lastRow">
      <w:pPr>
        <w:spacing w:after="0" w:before="0" w:line="240" w:lineRule="auto"/>
      </w:pPr>
      <w:rPr>
        <w:b w:val="1"/>
      </w:rPr>
      <w:tblPr/>
      <w:tcPr>
        <w:tcBorders>
          <w:top w:color="000000" w:space="0" w:sz="6" w:val="single"/>
          <w:left w:color="000000" w:space="0" w:sz="8" w:val="single"/>
          <w:bottom w:color="000000" w:space="0" w:sz="8" w:val="single"/>
          <w:right w:color="000000" w:space="0" w:sz="8" w:val="single"/>
        </w:tcBorders>
      </w:tcPr>
    </w:tblStylePr>
    <w:tblStylePr w:type="firstCol">
      <w:rPr>
        <w:b w:val="1"/>
      </w:rPr>
    </w:tblStylePr>
    <w:tblStylePr w:type="lastCol">
      <w:rPr>
        <w:b w:val="1"/>
      </w:rPr>
    </w:tblStylePr>
    <w:tblStylePr w:type="band1Vert">
      <w:tblPr/>
      <w:tcPr>
        <w:tcBorders>
          <w:top w:color="000000" w:space="0" w:sz="8" w:val="single"/>
          <w:left w:color="000000" w:space="0" w:sz="8" w:val="single"/>
          <w:bottom w:color="000000" w:space="0" w:sz="8" w:val="single"/>
          <w:right w:color="000000" w:space="0" w:sz="8" w:val="single"/>
        </w:tcBorders>
      </w:tcPr>
    </w:tblStylePr>
    <w:tblStylePr w:type="band1Horz">
      <w:tblPr/>
      <w:tcPr>
        <w:tcBorders>
          <w:top w:color="000000" w:space="0" w:sz="8" w:val="single"/>
          <w:left w:color="000000" w:space="0" w:sz="8" w:val="single"/>
          <w:bottom w:color="000000" w:space="0" w:sz="8" w:val="single"/>
          <w:right w:color="000000" w:space="0" w:sz="8" w:val="single"/>
        </w:tcBorders>
      </w:tcPr>
    </w:tblStylePr>
  </w:style>
  <w:style w:type="table" w:styleId="a6" w:customStyle="1">
    <w:basedOn w:val="TableNormal"/>
    <w:rPr>
      <w:color w:val="366091"/>
    </w:rPr>
    <w:tblPr>
      <w:tblStyleRowBandSize w:val="1"/>
      <w:tblStyleColBandSize w:val="1"/>
    </w:tblPr>
  </w:style>
  <w:style w:type="table" w:styleId="a7" w:customStyle="1">
    <w:basedOn w:val="TableNormal"/>
    <w:rPr>
      <w:color w:val="366091"/>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366091"/>
    </w:rPr>
    <w:tblPr>
      <w:tblStyleRowBandSize w:val="1"/>
      <w:tblStyleColBandSize w:val="1"/>
      <w:tblCellMar>
        <w:top w:w="0.0" w:type="dxa"/>
        <w:left w:w="108.0" w:type="dxa"/>
        <w:bottom w:w="0.0" w:type="dxa"/>
        <w:right w:w="108.0" w:type="dxa"/>
      </w:tblCellMar>
    </w:tblPr>
    <w:tblStylePr w:type="band1Horz">
      <w:tcPr>
        <w:tcBorders>
          <w:top w:color="000000" w:space="0" w:sz="8" w:val="single"/>
          <w:left w:color="000000" w:space="0" w:sz="8" w:val="single"/>
          <w:bottom w:color="000000" w:space="0" w:sz="8" w:val="single"/>
          <w:right w:color="000000" w:space="0" w:sz="8" w:val="single"/>
        </w:tcBorders>
      </w:tcPr>
    </w:tblStylePr>
    <w:tblStylePr w:type="band1Vert">
      <w:tcPr>
        <w:tcBorders>
          <w:top w:color="000000" w:space="0" w:sz="8" w:val="single"/>
          <w:left w:color="000000" w:space="0" w:sz="8" w:val="single"/>
          <w:bottom w:color="000000" w:space="0" w:sz="8" w:val="single"/>
          <w:right w:color="000000" w:space="0" w:sz="8" w:val="single"/>
        </w:tcBorders>
      </w:tcPr>
    </w:tblStylePr>
    <w:tblStylePr w:type="firstCol">
      <w:rPr>
        <w:b w:val="1"/>
      </w:rPr>
    </w:tblStylePr>
    <w:tblStylePr w:type="firstRow">
      <w:pPr>
        <w:spacing w:after="0" w:before="0" w:line="240" w:lineRule="auto"/>
      </w:pPr>
      <w:rPr>
        <w:b w:val="1"/>
        <w:color w:val="ffffff"/>
      </w:rPr>
      <w:tcPr>
        <w:shd w:fill="000000" w:val="clear"/>
      </w:tcPr>
    </w:tblStylePr>
    <w:tblStylePr w:type="lastCol">
      <w:rPr>
        <w:b w:val="1"/>
      </w:rPr>
    </w:tblStylePr>
    <w:tblStylePr w:type="lastRow">
      <w:pPr>
        <w:spacing w:after="0" w:before="0" w:line="240" w:lineRule="auto"/>
      </w:pPr>
      <w:rPr>
        <w:b w:val="1"/>
      </w:rPr>
      <w:tcPr>
        <w:tcBorders>
          <w:top w:color="000000" w:space="0" w:sz="6" w:val="single"/>
          <w:left w:color="000000" w:space="0" w:sz="8" w:val="single"/>
          <w:bottom w:color="000000" w:space="0" w:sz="8" w:val="single"/>
          <w:right w:color="000000" w:space="0" w:sz="8" w:val="single"/>
        </w:tcBorders>
      </w:tcPr>
    </w:tblStylePr>
  </w:style>
  <w:style w:type="table" w:styleId="Table2">
    <w:basedOn w:val="TableNormal"/>
    <w:rPr>
      <w:color w:val="366091"/>
    </w:rPr>
    <w:tblPr>
      <w:tblStyleRowBandSize w:val="1"/>
      <w:tblStyleColBandSize w:val="1"/>
      <w:tblCellMar>
        <w:top w:w="0.0" w:type="dxa"/>
        <w:left w:w="108.0" w:type="dxa"/>
        <w:bottom w:w="0.0" w:type="dxa"/>
        <w:right w:w="108.0" w:type="dxa"/>
      </w:tblCellMar>
    </w:tblPr>
  </w:style>
  <w:style w:type="table" w:styleId="Table3">
    <w:basedOn w:val="TableNormal"/>
    <w:rPr>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regular.ttf"/><Relationship Id="rId4" Type="http://schemas.openxmlformats.org/officeDocument/2006/relationships/font" Target="fonts/NotoSans-bold.ttf"/><Relationship Id="rId5" Type="http://schemas.openxmlformats.org/officeDocument/2006/relationships/font" Target="fonts/NotoSans-italic.ttf"/><Relationship Id="rId6"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ZuErqbjxXNh+64KHkfzxNPMLEA==">CgMxLjAyDmguajdxMm5kN2U4MHBjMgloLjMwajB6bGwyCGguZ2pkZ3hzMgloLjFmb2I5dGUyCmlkLjMwajB6bGwyCmlkLjN6bnlzaDc4AHIhMUJPNFNqVE94WDZJU3cwX2hmS0hMdFd1MTlSTFhkTzZ0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2023-07-27T03:51:00Z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ce4e89e0-9a44-4f1b-8c7e-ab46bbe2769c</vt:lpwstr>
  </property>
</Properties>
</file>