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05097" w14:textId="386570E4" w:rsidR="00530761" w:rsidRPr="00FC5AC6" w:rsidRDefault="00530761" w:rsidP="00F425B3">
      <w:pPr>
        <w:pStyle w:val="NoSpacing"/>
      </w:pPr>
      <w:bookmarkStart w:id="0" w:name="_Toc343591381"/>
      <w:bookmarkStart w:id="1" w:name="_GoBack"/>
      <w:bookmarkEnd w:id="1"/>
      <w:r w:rsidRPr="00FC5AC6">
        <w:t>SCHEDULE 2 – THE SERVICE</w:t>
      </w:r>
      <w:bookmarkEnd w:id="0"/>
    </w:p>
    <w:p w14:paraId="0AD09E41" w14:textId="77777777" w:rsidR="00530761" w:rsidRPr="006E67E3" w:rsidRDefault="00530761" w:rsidP="003A4D35">
      <w:pPr>
        <w:spacing w:after="0"/>
        <w:jc w:val="center"/>
        <w:rPr>
          <w:rFonts w:ascii="Arial" w:hAnsi="Arial" w:cs="Arial"/>
          <w:b/>
        </w:rPr>
      </w:pPr>
    </w:p>
    <w:p w14:paraId="0053DE96" w14:textId="5F80050B" w:rsidR="00530761" w:rsidRPr="006E67E3" w:rsidRDefault="00530761" w:rsidP="00D54A03">
      <w:pPr>
        <w:pStyle w:val="ListParagraph"/>
        <w:numPr>
          <w:ilvl w:val="0"/>
          <w:numId w:val="3"/>
        </w:numPr>
        <w:ind w:left="0" w:firstLine="0"/>
        <w:contextualSpacing/>
        <w:jc w:val="center"/>
        <w:outlineLvl w:val="1"/>
        <w:rPr>
          <w:rFonts w:ascii="Arial" w:hAnsi="Arial" w:cs="Arial"/>
          <w:b/>
        </w:rPr>
      </w:pPr>
      <w:bookmarkStart w:id="2" w:name="_Toc343591382"/>
      <w:r w:rsidRPr="006E67E3">
        <w:rPr>
          <w:rFonts w:ascii="Arial" w:hAnsi="Arial" w:cs="Arial"/>
          <w:b/>
        </w:rPr>
        <w:t>Service Specification</w:t>
      </w:r>
      <w:bookmarkEnd w:id="2"/>
      <w:r w:rsidR="00CD5494">
        <w:rPr>
          <w:rFonts w:ascii="Arial" w:hAnsi="Arial" w:cs="Arial"/>
          <w:b/>
        </w:rPr>
        <w:t xml:space="preserve"> </w:t>
      </w:r>
    </w:p>
    <w:p w14:paraId="7E1EC5FF" w14:textId="321C46A0" w:rsidR="00530761" w:rsidRDefault="00530761" w:rsidP="003A4D35">
      <w:pPr>
        <w:spacing w:after="0"/>
        <w:jc w:val="both"/>
        <w:rPr>
          <w:rFonts w:ascii="Arial" w:hAnsi="Arial" w:cs="Arial"/>
          <w:sz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7123"/>
      </w:tblGrid>
      <w:tr w:rsidR="00530761" w:rsidRPr="001F5724" w14:paraId="42528706" w14:textId="77777777" w:rsidTr="00B32497">
        <w:tc>
          <w:tcPr>
            <w:tcW w:w="2970" w:type="dxa"/>
            <w:shd w:val="clear" w:color="auto" w:fill="595959"/>
          </w:tcPr>
          <w:p w14:paraId="7D9EC9B5" w14:textId="77777777" w:rsidR="00530761" w:rsidRPr="001F5724" w:rsidRDefault="00530761" w:rsidP="003A4D35">
            <w:pPr>
              <w:spacing w:after="0" w:line="360" w:lineRule="auto"/>
              <w:rPr>
                <w:rFonts w:ascii="Calibri" w:hAnsi="Calibri" w:cs="Arial"/>
                <w:b/>
                <w:color w:val="F79646"/>
                <w:sz w:val="22"/>
                <w:szCs w:val="22"/>
              </w:rPr>
            </w:pPr>
            <w:r w:rsidRPr="001F5724">
              <w:rPr>
                <w:rFonts w:ascii="Calibri" w:hAnsi="Calibri" w:cs="Arial"/>
                <w:b/>
                <w:color w:val="F79646"/>
                <w:sz w:val="22"/>
                <w:szCs w:val="22"/>
              </w:rPr>
              <w:t>Service Specification No.</w:t>
            </w:r>
          </w:p>
        </w:tc>
        <w:tc>
          <w:tcPr>
            <w:tcW w:w="7123" w:type="dxa"/>
            <w:shd w:val="clear" w:color="auto" w:fill="auto"/>
          </w:tcPr>
          <w:p w14:paraId="4FAD318B" w14:textId="77777777" w:rsidR="00530761" w:rsidRPr="001F5724" w:rsidRDefault="00530761" w:rsidP="003A4D35">
            <w:pPr>
              <w:spacing w:after="0"/>
              <w:rPr>
                <w:rFonts w:ascii="Calibri" w:hAnsi="Calibri" w:cs="Arial"/>
                <w:sz w:val="22"/>
                <w:szCs w:val="22"/>
              </w:rPr>
            </w:pPr>
          </w:p>
        </w:tc>
      </w:tr>
      <w:tr w:rsidR="00530761" w:rsidRPr="001F5724" w14:paraId="4487B3FD" w14:textId="77777777" w:rsidTr="00B32497">
        <w:tc>
          <w:tcPr>
            <w:tcW w:w="2970" w:type="dxa"/>
            <w:shd w:val="clear" w:color="auto" w:fill="595959"/>
          </w:tcPr>
          <w:p w14:paraId="7312CFBD" w14:textId="77777777" w:rsidR="00530761" w:rsidRPr="001F5724" w:rsidRDefault="00530761" w:rsidP="003A4D35">
            <w:pPr>
              <w:spacing w:after="0" w:line="360" w:lineRule="auto"/>
              <w:rPr>
                <w:rFonts w:ascii="Calibri" w:hAnsi="Calibri" w:cs="Arial"/>
                <w:b/>
                <w:color w:val="F79646"/>
                <w:sz w:val="22"/>
                <w:szCs w:val="22"/>
              </w:rPr>
            </w:pPr>
            <w:r w:rsidRPr="001F5724">
              <w:rPr>
                <w:rFonts w:ascii="Calibri" w:hAnsi="Calibri" w:cs="Arial"/>
                <w:b/>
                <w:color w:val="F79646"/>
                <w:sz w:val="22"/>
                <w:szCs w:val="22"/>
              </w:rPr>
              <w:t>Service</w:t>
            </w:r>
          </w:p>
        </w:tc>
        <w:tc>
          <w:tcPr>
            <w:tcW w:w="7123" w:type="dxa"/>
            <w:shd w:val="clear" w:color="auto" w:fill="auto"/>
          </w:tcPr>
          <w:p w14:paraId="33B86858" w14:textId="015706D5" w:rsidR="00530761" w:rsidRPr="001F5724" w:rsidRDefault="003E6B9F" w:rsidP="001A2178">
            <w:pPr>
              <w:spacing w:after="0"/>
              <w:rPr>
                <w:rFonts w:ascii="Calibri" w:hAnsi="Calibri" w:cs="Arial"/>
                <w:sz w:val="22"/>
                <w:szCs w:val="22"/>
              </w:rPr>
            </w:pPr>
            <w:bookmarkStart w:id="3" w:name="_Hlk23934658"/>
            <w:r w:rsidRPr="003E6B9F">
              <w:rPr>
                <w:rFonts w:ascii="Calibri" w:hAnsi="Calibri" w:cs="Arial"/>
                <w:sz w:val="22"/>
                <w:szCs w:val="22"/>
              </w:rPr>
              <w:t xml:space="preserve">12-lead Electrocardiography (ECG) </w:t>
            </w:r>
            <w:bookmarkEnd w:id="3"/>
            <w:r w:rsidR="00B21703">
              <w:rPr>
                <w:rFonts w:ascii="Calibri" w:hAnsi="Calibri" w:cs="Arial"/>
                <w:sz w:val="22"/>
                <w:szCs w:val="22"/>
              </w:rPr>
              <w:t>&amp; Interpretation Service</w:t>
            </w:r>
            <w:r w:rsidR="00D23509">
              <w:rPr>
                <w:rFonts w:ascii="Calibri" w:hAnsi="Calibri" w:cs="Arial"/>
                <w:sz w:val="22"/>
                <w:szCs w:val="22"/>
              </w:rPr>
              <w:t xml:space="preserve"> across Merton and Wandsworth</w:t>
            </w:r>
          </w:p>
        </w:tc>
      </w:tr>
      <w:tr w:rsidR="00530761" w:rsidRPr="001F5724" w14:paraId="73F20CD5" w14:textId="77777777" w:rsidTr="00B32497">
        <w:tc>
          <w:tcPr>
            <w:tcW w:w="2970" w:type="dxa"/>
            <w:shd w:val="clear" w:color="auto" w:fill="595959"/>
          </w:tcPr>
          <w:p w14:paraId="2510B758" w14:textId="77777777" w:rsidR="00530761" w:rsidRPr="001F5724" w:rsidRDefault="00530761" w:rsidP="003A4D35">
            <w:pPr>
              <w:spacing w:after="0" w:line="360" w:lineRule="auto"/>
              <w:rPr>
                <w:rFonts w:ascii="Calibri" w:hAnsi="Calibri" w:cs="Arial"/>
                <w:b/>
                <w:color w:val="F79646"/>
                <w:sz w:val="22"/>
                <w:szCs w:val="22"/>
              </w:rPr>
            </w:pPr>
            <w:r w:rsidRPr="001F5724">
              <w:rPr>
                <w:rFonts w:ascii="Calibri" w:hAnsi="Calibri" w:cs="Arial"/>
                <w:b/>
                <w:color w:val="F79646"/>
                <w:sz w:val="22"/>
                <w:szCs w:val="22"/>
              </w:rPr>
              <w:t>Commissioner Lead</w:t>
            </w:r>
          </w:p>
        </w:tc>
        <w:tc>
          <w:tcPr>
            <w:tcW w:w="7123" w:type="dxa"/>
            <w:shd w:val="clear" w:color="auto" w:fill="auto"/>
          </w:tcPr>
          <w:p w14:paraId="49B65BF1" w14:textId="7C1DE6AA" w:rsidR="004F2C05" w:rsidRPr="001F5724" w:rsidRDefault="00C65C3B" w:rsidP="003A4D35">
            <w:pPr>
              <w:spacing w:after="0"/>
              <w:rPr>
                <w:rFonts w:ascii="Calibri" w:hAnsi="Calibri" w:cs="Arial"/>
                <w:sz w:val="22"/>
                <w:szCs w:val="22"/>
              </w:rPr>
            </w:pPr>
            <w:r>
              <w:rPr>
                <w:rFonts w:ascii="Calibri" w:hAnsi="Calibri" w:cs="Arial"/>
                <w:sz w:val="22"/>
                <w:szCs w:val="22"/>
              </w:rPr>
              <w:t>Kemi Eniade</w:t>
            </w:r>
            <w:r w:rsidR="004B1C25">
              <w:rPr>
                <w:rFonts w:ascii="Calibri" w:hAnsi="Calibri" w:cs="Arial"/>
                <w:sz w:val="22"/>
                <w:szCs w:val="22"/>
              </w:rPr>
              <w:t xml:space="preserve"> – Commissioning Man</w:t>
            </w:r>
            <w:r w:rsidR="00536831">
              <w:rPr>
                <w:rFonts w:ascii="Calibri" w:hAnsi="Calibri" w:cs="Arial"/>
                <w:sz w:val="22"/>
                <w:szCs w:val="22"/>
              </w:rPr>
              <w:t>a</w:t>
            </w:r>
            <w:r w:rsidR="004B1C25">
              <w:rPr>
                <w:rFonts w:ascii="Calibri" w:hAnsi="Calibri" w:cs="Arial"/>
                <w:sz w:val="22"/>
                <w:szCs w:val="22"/>
              </w:rPr>
              <w:t>ger</w:t>
            </w:r>
          </w:p>
        </w:tc>
      </w:tr>
      <w:tr w:rsidR="00530761" w:rsidRPr="001F5724" w14:paraId="3EF46CFE" w14:textId="77777777" w:rsidTr="00B32497">
        <w:tc>
          <w:tcPr>
            <w:tcW w:w="2970" w:type="dxa"/>
            <w:shd w:val="clear" w:color="auto" w:fill="595959"/>
          </w:tcPr>
          <w:p w14:paraId="27E330E1" w14:textId="77777777" w:rsidR="00530761" w:rsidRPr="001F5724" w:rsidRDefault="00530761" w:rsidP="003A4D35">
            <w:pPr>
              <w:spacing w:after="0" w:line="360" w:lineRule="auto"/>
              <w:rPr>
                <w:rFonts w:ascii="Calibri" w:hAnsi="Calibri" w:cs="Arial"/>
                <w:b/>
                <w:color w:val="F79646"/>
                <w:sz w:val="22"/>
                <w:szCs w:val="22"/>
              </w:rPr>
            </w:pPr>
            <w:r w:rsidRPr="001F5724">
              <w:rPr>
                <w:rFonts w:ascii="Calibri" w:hAnsi="Calibri" w:cs="Arial"/>
                <w:b/>
                <w:color w:val="F79646"/>
                <w:sz w:val="22"/>
                <w:szCs w:val="22"/>
              </w:rPr>
              <w:t>Provider Lead</w:t>
            </w:r>
          </w:p>
        </w:tc>
        <w:tc>
          <w:tcPr>
            <w:tcW w:w="7123" w:type="dxa"/>
            <w:shd w:val="clear" w:color="auto" w:fill="auto"/>
          </w:tcPr>
          <w:p w14:paraId="51D6F7FC" w14:textId="146EA4CD" w:rsidR="00530761" w:rsidRPr="001F5724" w:rsidRDefault="003E6B9F" w:rsidP="003A4D35">
            <w:pPr>
              <w:spacing w:after="0"/>
              <w:rPr>
                <w:rFonts w:ascii="Calibri" w:hAnsi="Calibri" w:cs="Arial"/>
                <w:sz w:val="22"/>
                <w:szCs w:val="22"/>
              </w:rPr>
            </w:pPr>
            <w:r>
              <w:rPr>
                <w:rFonts w:ascii="Calibri" w:hAnsi="Calibri" w:cs="Arial"/>
                <w:sz w:val="22"/>
                <w:szCs w:val="22"/>
              </w:rPr>
              <w:t>tbc</w:t>
            </w:r>
          </w:p>
        </w:tc>
      </w:tr>
      <w:tr w:rsidR="00530761" w:rsidRPr="001F5724" w14:paraId="7A07A711" w14:textId="77777777" w:rsidTr="00B32497">
        <w:tc>
          <w:tcPr>
            <w:tcW w:w="2970" w:type="dxa"/>
            <w:shd w:val="clear" w:color="auto" w:fill="595959"/>
          </w:tcPr>
          <w:p w14:paraId="42061C13" w14:textId="77777777" w:rsidR="00530761" w:rsidRPr="001F5724" w:rsidRDefault="00530761" w:rsidP="003A4D35">
            <w:pPr>
              <w:spacing w:after="0" w:line="360" w:lineRule="auto"/>
              <w:rPr>
                <w:rFonts w:ascii="Calibri" w:hAnsi="Calibri" w:cs="Arial"/>
                <w:b/>
                <w:color w:val="F79646"/>
                <w:sz w:val="22"/>
                <w:szCs w:val="22"/>
              </w:rPr>
            </w:pPr>
            <w:r w:rsidRPr="001F5724">
              <w:rPr>
                <w:rFonts w:ascii="Calibri" w:hAnsi="Calibri" w:cs="Arial"/>
                <w:b/>
                <w:color w:val="F79646"/>
                <w:sz w:val="22"/>
                <w:szCs w:val="22"/>
              </w:rPr>
              <w:t>Period</w:t>
            </w:r>
          </w:p>
        </w:tc>
        <w:tc>
          <w:tcPr>
            <w:tcW w:w="7123" w:type="dxa"/>
            <w:shd w:val="clear" w:color="auto" w:fill="auto"/>
          </w:tcPr>
          <w:p w14:paraId="7E93754A" w14:textId="1C4B75FA" w:rsidR="00530761" w:rsidRPr="001F5724" w:rsidRDefault="00B21703" w:rsidP="004F2C05">
            <w:pPr>
              <w:spacing w:after="0"/>
              <w:rPr>
                <w:rFonts w:ascii="Calibri" w:hAnsi="Calibri" w:cs="Arial"/>
                <w:sz w:val="22"/>
                <w:szCs w:val="22"/>
              </w:rPr>
            </w:pPr>
            <w:r>
              <w:rPr>
                <w:rFonts w:ascii="Calibri" w:hAnsi="Calibri" w:cs="Arial"/>
                <w:sz w:val="22"/>
                <w:szCs w:val="22"/>
              </w:rPr>
              <w:t xml:space="preserve">April </w:t>
            </w:r>
            <w:r w:rsidR="003E6B9F">
              <w:rPr>
                <w:rFonts w:ascii="Calibri" w:hAnsi="Calibri" w:cs="Arial"/>
                <w:sz w:val="22"/>
                <w:szCs w:val="22"/>
              </w:rPr>
              <w:t>2020 – March 2023</w:t>
            </w:r>
          </w:p>
        </w:tc>
      </w:tr>
      <w:tr w:rsidR="00530761" w:rsidRPr="001F5724" w14:paraId="0B2E5659" w14:textId="77777777" w:rsidTr="00B32497">
        <w:tc>
          <w:tcPr>
            <w:tcW w:w="2970" w:type="dxa"/>
            <w:shd w:val="clear" w:color="auto" w:fill="595959"/>
          </w:tcPr>
          <w:p w14:paraId="12A13BE0" w14:textId="77777777" w:rsidR="00530761" w:rsidRPr="001F5724" w:rsidRDefault="00530761" w:rsidP="003A4D35">
            <w:pPr>
              <w:spacing w:after="0" w:line="360" w:lineRule="auto"/>
              <w:rPr>
                <w:rFonts w:ascii="Calibri" w:hAnsi="Calibri" w:cs="Arial"/>
                <w:b/>
                <w:color w:val="F79646"/>
                <w:sz w:val="22"/>
                <w:szCs w:val="22"/>
              </w:rPr>
            </w:pPr>
            <w:r w:rsidRPr="001F5724">
              <w:rPr>
                <w:rFonts w:ascii="Calibri" w:hAnsi="Calibri" w:cs="Arial"/>
                <w:b/>
                <w:color w:val="F79646"/>
                <w:sz w:val="22"/>
                <w:szCs w:val="22"/>
              </w:rPr>
              <w:t>Date of Review</w:t>
            </w:r>
          </w:p>
        </w:tc>
        <w:tc>
          <w:tcPr>
            <w:tcW w:w="7123" w:type="dxa"/>
            <w:shd w:val="clear" w:color="auto" w:fill="auto"/>
          </w:tcPr>
          <w:p w14:paraId="4E82CE3A" w14:textId="3B6A4DA3" w:rsidR="00530761" w:rsidRPr="001F5724" w:rsidRDefault="00530761" w:rsidP="003A4D35">
            <w:pPr>
              <w:spacing w:after="0"/>
              <w:rPr>
                <w:rFonts w:ascii="Calibri" w:hAnsi="Calibri" w:cs="Arial"/>
                <w:sz w:val="22"/>
                <w:szCs w:val="22"/>
              </w:rPr>
            </w:pPr>
          </w:p>
        </w:tc>
      </w:tr>
    </w:tbl>
    <w:p w14:paraId="0BB34E8E" w14:textId="77777777" w:rsidR="00530761" w:rsidRPr="001F5724" w:rsidRDefault="00530761" w:rsidP="003A4D35">
      <w:pPr>
        <w:spacing w:after="0"/>
        <w:jc w:val="center"/>
        <w:rPr>
          <w:rFonts w:ascii="Calibri" w:hAnsi="Calibri" w:cs="Arial"/>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530761" w:rsidRPr="001F5724" w14:paraId="44CDFB90" w14:textId="77777777" w:rsidTr="005B293F">
        <w:tc>
          <w:tcPr>
            <w:tcW w:w="10093" w:type="dxa"/>
            <w:shd w:val="clear" w:color="auto" w:fill="595959"/>
          </w:tcPr>
          <w:p w14:paraId="78D9563B" w14:textId="77777777" w:rsidR="00530761" w:rsidRPr="001F5724" w:rsidRDefault="00530761" w:rsidP="003A4D35">
            <w:pPr>
              <w:spacing w:after="0" w:line="276" w:lineRule="auto"/>
              <w:rPr>
                <w:rFonts w:ascii="Calibri" w:hAnsi="Calibri" w:cs="Arial"/>
                <w:b/>
                <w:color w:val="F79646"/>
                <w:sz w:val="22"/>
                <w:szCs w:val="22"/>
              </w:rPr>
            </w:pPr>
            <w:r w:rsidRPr="001F5724">
              <w:rPr>
                <w:rFonts w:ascii="Calibri" w:hAnsi="Calibri" w:cs="Arial"/>
                <w:b/>
                <w:color w:val="F79646"/>
                <w:sz w:val="22"/>
                <w:szCs w:val="22"/>
              </w:rPr>
              <w:t>1</w:t>
            </w:r>
            <w:r w:rsidRPr="0005750A">
              <w:rPr>
                <w:rFonts w:ascii="Calibri" w:hAnsi="Calibri" w:cs="Arial"/>
                <w:color w:val="F79646"/>
                <w:sz w:val="22"/>
                <w:szCs w:val="22"/>
              </w:rPr>
              <w:t>.</w:t>
            </w:r>
            <w:r w:rsidRPr="001F5724">
              <w:rPr>
                <w:rFonts w:ascii="Calibri" w:hAnsi="Calibri" w:cs="Arial"/>
                <w:b/>
                <w:color w:val="F79646"/>
                <w:sz w:val="22"/>
                <w:szCs w:val="22"/>
              </w:rPr>
              <w:tab/>
              <w:t>Population Needs</w:t>
            </w:r>
          </w:p>
        </w:tc>
      </w:tr>
      <w:tr w:rsidR="00F425B3" w:rsidRPr="00091F2A" w14:paraId="1D5405BE" w14:textId="77777777" w:rsidTr="005B293F">
        <w:tc>
          <w:tcPr>
            <w:tcW w:w="10093" w:type="dxa"/>
            <w:shd w:val="clear" w:color="auto" w:fill="auto"/>
          </w:tcPr>
          <w:p w14:paraId="06571479" w14:textId="4CF57A85" w:rsidR="00F425B3" w:rsidRPr="004874D0" w:rsidRDefault="00F425B3" w:rsidP="00F425B3">
            <w:pPr>
              <w:spacing w:after="0"/>
              <w:jc w:val="both"/>
              <w:rPr>
                <w:rFonts w:asciiTheme="majorHAnsi" w:hAnsiTheme="majorHAnsi" w:cstheme="majorHAnsi"/>
                <w:b/>
                <w:sz w:val="22"/>
                <w:szCs w:val="22"/>
              </w:rPr>
            </w:pPr>
          </w:p>
          <w:p w14:paraId="55B91636" w14:textId="3132148C" w:rsidR="00F425B3" w:rsidRDefault="00F425B3" w:rsidP="00D70005">
            <w:pPr>
              <w:pStyle w:val="ListParagraph"/>
              <w:numPr>
                <w:ilvl w:val="1"/>
                <w:numId w:val="4"/>
              </w:numPr>
              <w:jc w:val="both"/>
              <w:rPr>
                <w:rFonts w:asciiTheme="majorHAnsi" w:hAnsiTheme="majorHAnsi" w:cstheme="majorHAnsi"/>
                <w:b/>
                <w:sz w:val="22"/>
                <w:szCs w:val="22"/>
              </w:rPr>
            </w:pPr>
            <w:r w:rsidRPr="004874D0">
              <w:rPr>
                <w:rFonts w:asciiTheme="majorHAnsi" w:hAnsiTheme="majorHAnsi" w:cstheme="majorHAnsi"/>
                <w:b/>
                <w:sz w:val="22"/>
                <w:szCs w:val="22"/>
              </w:rPr>
              <w:t>National Context</w:t>
            </w:r>
          </w:p>
          <w:p w14:paraId="542AC008" w14:textId="4A0587D0" w:rsidR="008766CA" w:rsidRDefault="008766CA" w:rsidP="008766CA">
            <w:pPr>
              <w:jc w:val="both"/>
              <w:rPr>
                <w:rFonts w:asciiTheme="majorHAnsi" w:hAnsiTheme="majorHAnsi" w:cstheme="majorHAnsi"/>
                <w:bCs/>
                <w:sz w:val="22"/>
                <w:szCs w:val="22"/>
              </w:rPr>
            </w:pPr>
            <w:r w:rsidRPr="008766CA">
              <w:rPr>
                <w:rFonts w:asciiTheme="majorHAnsi" w:hAnsiTheme="majorHAnsi" w:cstheme="majorHAnsi"/>
                <w:bCs/>
                <w:sz w:val="22"/>
                <w:szCs w:val="22"/>
              </w:rPr>
              <w:t>The 12-lead ECG is a non-invasive t</w:t>
            </w:r>
            <w:r w:rsidR="00684C8A">
              <w:rPr>
                <w:rFonts w:asciiTheme="majorHAnsi" w:hAnsiTheme="majorHAnsi" w:cstheme="majorHAnsi"/>
                <w:bCs/>
                <w:sz w:val="22"/>
                <w:szCs w:val="22"/>
              </w:rPr>
              <w:t>est</w:t>
            </w:r>
            <w:r w:rsidRPr="008766CA">
              <w:rPr>
                <w:rFonts w:asciiTheme="majorHAnsi" w:hAnsiTheme="majorHAnsi" w:cstheme="majorHAnsi"/>
                <w:bCs/>
                <w:sz w:val="22"/>
                <w:szCs w:val="22"/>
              </w:rPr>
              <w:t xml:space="preserve"> </w:t>
            </w:r>
            <w:r w:rsidR="00684C8A">
              <w:rPr>
                <w:rFonts w:asciiTheme="majorHAnsi" w:hAnsiTheme="majorHAnsi" w:cstheme="majorHAnsi"/>
                <w:bCs/>
                <w:sz w:val="22"/>
                <w:szCs w:val="22"/>
              </w:rPr>
              <w:t xml:space="preserve">used </w:t>
            </w:r>
            <w:r w:rsidRPr="008766CA">
              <w:rPr>
                <w:rFonts w:asciiTheme="majorHAnsi" w:hAnsiTheme="majorHAnsi" w:cstheme="majorHAnsi"/>
                <w:bCs/>
                <w:sz w:val="22"/>
                <w:szCs w:val="22"/>
              </w:rPr>
              <w:t>in the management of confirmed or suspected cardiovascular disease</w:t>
            </w:r>
            <w:r w:rsidR="0001794B">
              <w:rPr>
                <w:rFonts w:asciiTheme="majorHAnsi" w:hAnsiTheme="majorHAnsi" w:cstheme="majorHAnsi"/>
                <w:bCs/>
                <w:sz w:val="22"/>
                <w:szCs w:val="22"/>
              </w:rPr>
              <w:t>s</w:t>
            </w:r>
            <w:r w:rsidRPr="008766CA">
              <w:rPr>
                <w:rFonts w:asciiTheme="majorHAnsi" w:hAnsiTheme="majorHAnsi" w:cstheme="majorHAnsi"/>
                <w:bCs/>
                <w:sz w:val="22"/>
                <w:szCs w:val="22"/>
              </w:rPr>
              <w:t xml:space="preserve"> It can be performed safely by healthcare profession</w:t>
            </w:r>
            <w:r w:rsidR="006D1E40">
              <w:rPr>
                <w:rFonts w:asciiTheme="majorHAnsi" w:hAnsiTheme="majorHAnsi" w:cstheme="majorHAnsi"/>
                <w:bCs/>
                <w:sz w:val="22"/>
                <w:szCs w:val="22"/>
              </w:rPr>
              <w:t>als</w:t>
            </w:r>
            <w:r w:rsidRPr="008766CA">
              <w:rPr>
                <w:rFonts w:asciiTheme="majorHAnsi" w:hAnsiTheme="majorHAnsi" w:cstheme="majorHAnsi"/>
                <w:bCs/>
                <w:sz w:val="22"/>
                <w:szCs w:val="22"/>
              </w:rPr>
              <w:t xml:space="preserve"> with appropriate training</w:t>
            </w:r>
            <w:r>
              <w:rPr>
                <w:rFonts w:asciiTheme="majorHAnsi" w:hAnsiTheme="majorHAnsi" w:cstheme="majorHAnsi"/>
                <w:bCs/>
                <w:sz w:val="22"/>
                <w:szCs w:val="22"/>
              </w:rPr>
              <w:t>.</w:t>
            </w:r>
          </w:p>
          <w:p w14:paraId="1F5C752D" w14:textId="77FEE7CC" w:rsidR="00684C8A" w:rsidRPr="008766CA" w:rsidRDefault="00684C8A" w:rsidP="008766CA">
            <w:pPr>
              <w:jc w:val="both"/>
              <w:rPr>
                <w:rFonts w:asciiTheme="majorHAnsi" w:hAnsiTheme="majorHAnsi" w:cstheme="majorHAnsi"/>
                <w:bCs/>
                <w:sz w:val="22"/>
                <w:szCs w:val="22"/>
              </w:rPr>
            </w:pPr>
            <w:r>
              <w:rPr>
                <w:rFonts w:asciiTheme="majorHAnsi" w:hAnsiTheme="majorHAnsi" w:cstheme="majorHAnsi"/>
                <w:bCs/>
                <w:sz w:val="22"/>
                <w:szCs w:val="22"/>
              </w:rPr>
              <w:t>ECGs are used in a variety of situations in general practice to support patient care. Commonly this will include investigation of new symptoms such as palpitations, chest pain, dizziness or shortness of breath. In addition the test is used to investigate patients with hypertension, and to monitor patients taking cardio-toxic medications.</w:t>
            </w:r>
          </w:p>
          <w:p w14:paraId="038B55E8" w14:textId="5EF3A6B8" w:rsidR="004874D0" w:rsidRPr="004874D0" w:rsidRDefault="004874D0" w:rsidP="004874D0">
            <w:pPr>
              <w:jc w:val="both"/>
              <w:rPr>
                <w:rFonts w:asciiTheme="majorHAnsi" w:hAnsiTheme="majorHAnsi" w:cstheme="majorHAnsi"/>
                <w:b/>
                <w:sz w:val="22"/>
                <w:szCs w:val="22"/>
              </w:rPr>
            </w:pPr>
            <w:r w:rsidRPr="004874D0">
              <w:rPr>
                <w:rFonts w:asciiTheme="majorHAnsi" w:eastAsia="Arial" w:hAnsiTheme="majorHAnsi" w:cstheme="majorHAnsi"/>
                <w:sz w:val="22"/>
                <w:szCs w:val="22"/>
              </w:rPr>
              <w:t xml:space="preserve">Atrial Fibrillation (AF) is the most </w:t>
            </w:r>
            <w:r w:rsidR="0010351D" w:rsidRPr="004874D0">
              <w:rPr>
                <w:rFonts w:asciiTheme="majorHAnsi" w:eastAsia="Arial" w:hAnsiTheme="majorHAnsi" w:cstheme="majorHAnsi"/>
                <w:sz w:val="22"/>
                <w:szCs w:val="22"/>
              </w:rPr>
              <w:t>common</w:t>
            </w:r>
            <w:r w:rsidR="0010351D">
              <w:rPr>
                <w:rFonts w:asciiTheme="majorHAnsi" w:eastAsia="Arial" w:hAnsiTheme="majorHAnsi" w:cstheme="majorHAnsi"/>
                <w:sz w:val="22"/>
                <w:szCs w:val="22"/>
              </w:rPr>
              <w:t>ly</w:t>
            </w:r>
            <w:r w:rsidRPr="004874D0">
              <w:rPr>
                <w:rFonts w:asciiTheme="majorHAnsi" w:eastAsia="Arial" w:hAnsiTheme="majorHAnsi" w:cstheme="majorHAnsi"/>
                <w:sz w:val="22"/>
                <w:szCs w:val="22"/>
              </w:rPr>
              <w:t xml:space="preserve"> sustained adult cardiac arrhythmia. There </w:t>
            </w:r>
            <w:r w:rsidR="0010351D">
              <w:rPr>
                <w:rFonts w:asciiTheme="majorHAnsi" w:eastAsia="Arial" w:hAnsiTheme="majorHAnsi" w:cstheme="majorHAnsi"/>
                <w:sz w:val="22"/>
                <w:szCs w:val="22"/>
              </w:rPr>
              <w:t>is</w:t>
            </w:r>
            <w:r w:rsidRPr="004874D0">
              <w:rPr>
                <w:rFonts w:asciiTheme="majorHAnsi" w:eastAsia="Arial" w:hAnsiTheme="majorHAnsi" w:cstheme="majorHAnsi"/>
                <w:sz w:val="22"/>
                <w:szCs w:val="22"/>
              </w:rPr>
              <w:t xml:space="preserve"> currently over 1 million people diagnosed with AF in the UK, with many more (25-30%) who are thought to have the condition without it being diagnosed yet. The prevalence of AF increases with age, and to more than 15% in those aged 75 years and over. AF increases the risk of death, stroke, thromboembolic events, heart failure, vascular dementia, </w:t>
            </w:r>
            <w:proofErr w:type="spellStart"/>
            <w:r w:rsidRPr="004874D0">
              <w:rPr>
                <w:rFonts w:asciiTheme="majorHAnsi" w:eastAsia="Arial" w:hAnsiTheme="majorHAnsi" w:cstheme="majorHAnsi"/>
                <w:sz w:val="22"/>
                <w:szCs w:val="22"/>
              </w:rPr>
              <w:t>hospitalisations</w:t>
            </w:r>
            <w:proofErr w:type="spellEnd"/>
            <w:r w:rsidRPr="004874D0">
              <w:rPr>
                <w:rFonts w:asciiTheme="majorHAnsi" w:eastAsia="Arial" w:hAnsiTheme="majorHAnsi" w:cstheme="majorHAnsi"/>
                <w:sz w:val="22"/>
                <w:szCs w:val="22"/>
              </w:rPr>
              <w:t>, reduced quality of life and diminished exercise capacity</w:t>
            </w:r>
            <w:r w:rsidR="00266FA3">
              <w:rPr>
                <w:rFonts w:asciiTheme="majorHAnsi" w:eastAsia="Arial" w:hAnsiTheme="majorHAnsi" w:cstheme="majorHAnsi"/>
                <w:sz w:val="22"/>
                <w:szCs w:val="22"/>
              </w:rPr>
              <w:t>.</w:t>
            </w:r>
          </w:p>
          <w:p w14:paraId="14049B1D" w14:textId="04DEFD25" w:rsidR="004874D0" w:rsidRPr="004874D0" w:rsidRDefault="004874D0" w:rsidP="004874D0">
            <w:pPr>
              <w:spacing w:line="246" w:lineRule="auto"/>
              <w:ind w:right="61"/>
              <w:jc w:val="both"/>
              <w:rPr>
                <w:rFonts w:asciiTheme="majorHAnsi" w:hAnsiTheme="majorHAnsi" w:cstheme="majorHAnsi"/>
                <w:sz w:val="22"/>
                <w:szCs w:val="22"/>
              </w:rPr>
            </w:pPr>
            <w:r w:rsidRPr="004874D0">
              <w:rPr>
                <w:rFonts w:asciiTheme="majorHAnsi" w:eastAsia="Arial" w:hAnsiTheme="majorHAnsi" w:cstheme="majorHAnsi"/>
                <w:sz w:val="22"/>
                <w:szCs w:val="22"/>
              </w:rPr>
              <w:t>NICE guidelines for the management of Atrial fibrillation (CG180)</w:t>
            </w:r>
            <w:r w:rsidR="00B01ECD">
              <w:rPr>
                <w:rStyle w:val="FootnoteReference"/>
                <w:rFonts w:asciiTheme="majorHAnsi" w:eastAsia="Arial" w:hAnsiTheme="majorHAnsi" w:cstheme="majorHAnsi"/>
                <w:sz w:val="22"/>
                <w:szCs w:val="22"/>
              </w:rPr>
              <w:footnoteReference w:id="1"/>
            </w:r>
            <w:r w:rsidRPr="004874D0">
              <w:rPr>
                <w:rFonts w:asciiTheme="majorHAnsi" w:eastAsia="Arial" w:hAnsiTheme="majorHAnsi" w:cstheme="majorHAnsi"/>
                <w:sz w:val="22"/>
                <w:szCs w:val="22"/>
              </w:rPr>
              <w:t xml:space="preserve"> advise</w:t>
            </w:r>
            <w:r w:rsidR="00B159E4">
              <w:rPr>
                <w:rFonts w:asciiTheme="majorHAnsi" w:eastAsia="Arial" w:hAnsiTheme="majorHAnsi" w:cstheme="majorHAnsi"/>
                <w:sz w:val="22"/>
                <w:szCs w:val="22"/>
              </w:rPr>
              <w:t>s that</w:t>
            </w:r>
            <w:r w:rsidRPr="004874D0">
              <w:rPr>
                <w:rFonts w:asciiTheme="majorHAnsi" w:eastAsia="Arial" w:hAnsiTheme="majorHAnsi" w:cstheme="majorHAnsi"/>
                <w:sz w:val="22"/>
                <w:szCs w:val="22"/>
              </w:rPr>
              <w:t xml:space="preserve"> manual pulse palpation</w:t>
            </w:r>
            <w:r w:rsidR="00B159E4">
              <w:rPr>
                <w:rFonts w:asciiTheme="majorHAnsi" w:eastAsia="Arial" w:hAnsiTheme="majorHAnsi" w:cstheme="majorHAnsi"/>
                <w:sz w:val="22"/>
                <w:szCs w:val="22"/>
              </w:rPr>
              <w:t xml:space="preserve"> must be performed</w:t>
            </w:r>
            <w:r w:rsidRPr="004874D0">
              <w:rPr>
                <w:rFonts w:asciiTheme="majorHAnsi" w:eastAsia="Arial" w:hAnsiTheme="majorHAnsi" w:cstheme="majorHAnsi"/>
                <w:sz w:val="22"/>
                <w:szCs w:val="22"/>
              </w:rPr>
              <w:t xml:space="preserve"> to assess the presence of an irregular pulse that may indicate underlying atrial fibrillation in people presenting with any of the following: </w:t>
            </w:r>
          </w:p>
          <w:p w14:paraId="3A80BA5C" w14:textId="23C0B572" w:rsidR="004874D0" w:rsidRPr="00DE1703" w:rsidRDefault="004874D0" w:rsidP="00D70005">
            <w:pPr>
              <w:pStyle w:val="ListParagraph"/>
              <w:numPr>
                <w:ilvl w:val="0"/>
                <w:numId w:val="5"/>
              </w:numPr>
              <w:rPr>
                <w:rFonts w:asciiTheme="majorHAnsi" w:hAnsiTheme="majorHAnsi" w:cstheme="majorHAnsi"/>
                <w:sz w:val="22"/>
                <w:szCs w:val="22"/>
              </w:rPr>
            </w:pPr>
            <w:r w:rsidRPr="00DE1703">
              <w:rPr>
                <w:rFonts w:asciiTheme="majorHAnsi" w:eastAsia="Arial" w:hAnsiTheme="majorHAnsi" w:cstheme="majorHAnsi"/>
                <w:sz w:val="22"/>
                <w:szCs w:val="22"/>
              </w:rPr>
              <w:t xml:space="preserve">breathlessness/dyspnoea </w:t>
            </w:r>
          </w:p>
          <w:p w14:paraId="777A20CD" w14:textId="77777777" w:rsidR="004874D0" w:rsidRPr="004874D0" w:rsidRDefault="004874D0" w:rsidP="00D70005">
            <w:pPr>
              <w:pStyle w:val="ListParagraph"/>
              <w:numPr>
                <w:ilvl w:val="0"/>
                <w:numId w:val="5"/>
              </w:numPr>
              <w:rPr>
                <w:rFonts w:asciiTheme="majorHAnsi" w:hAnsiTheme="majorHAnsi" w:cstheme="majorHAnsi"/>
                <w:sz w:val="22"/>
                <w:szCs w:val="22"/>
              </w:rPr>
            </w:pPr>
            <w:r w:rsidRPr="004874D0">
              <w:rPr>
                <w:rFonts w:asciiTheme="majorHAnsi" w:eastAsia="Arial" w:hAnsiTheme="majorHAnsi" w:cstheme="majorHAnsi"/>
                <w:sz w:val="22"/>
                <w:szCs w:val="22"/>
              </w:rPr>
              <w:t xml:space="preserve">palpitations </w:t>
            </w:r>
          </w:p>
          <w:p w14:paraId="23496052" w14:textId="77777777" w:rsidR="004874D0" w:rsidRPr="004874D0" w:rsidRDefault="004874D0" w:rsidP="00D70005">
            <w:pPr>
              <w:pStyle w:val="ListParagraph"/>
              <w:numPr>
                <w:ilvl w:val="0"/>
                <w:numId w:val="5"/>
              </w:numPr>
              <w:rPr>
                <w:rFonts w:asciiTheme="majorHAnsi" w:hAnsiTheme="majorHAnsi" w:cstheme="majorHAnsi"/>
                <w:sz w:val="22"/>
                <w:szCs w:val="22"/>
              </w:rPr>
            </w:pPr>
            <w:r w:rsidRPr="004874D0">
              <w:rPr>
                <w:rFonts w:asciiTheme="majorHAnsi" w:eastAsia="Arial" w:hAnsiTheme="majorHAnsi" w:cstheme="majorHAnsi"/>
                <w:sz w:val="22"/>
                <w:szCs w:val="22"/>
              </w:rPr>
              <w:t xml:space="preserve">syncope/dizziness </w:t>
            </w:r>
          </w:p>
          <w:p w14:paraId="5100E967" w14:textId="77777777" w:rsidR="004874D0" w:rsidRPr="004874D0" w:rsidRDefault="004874D0" w:rsidP="00D70005">
            <w:pPr>
              <w:pStyle w:val="ListParagraph"/>
              <w:numPr>
                <w:ilvl w:val="0"/>
                <w:numId w:val="5"/>
              </w:numPr>
              <w:rPr>
                <w:rFonts w:asciiTheme="majorHAnsi" w:hAnsiTheme="majorHAnsi" w:cstheme="majorHAnsi"/>
                <w:sz w:val="22"/>
                <w:szCs w:val="22"/>
              </w:rPr>
            </w:pPr>
            <w:r w:rsidRPr="004874D0">
              <w:rPr>
                <w:rFonts w:asciiTheme="majorHAnsi" w:eastAsia="Arial" w:hAnsiTheme="majorHAnsi" w:cstheme="majorHAnsi"/>
                <w:sz w:val="22"/>
                <w:szCs w:val="22"/>
              </w:rPr>
              <w:t xml:space="preserve">chest discomfort </w:t>
            </w:r>
          </w:p>
          <w:p w14:paraId="2B06F66D" w14:textId="10195F79" w:rsidR="004874D0" w:rsidRPr="00D51FD0" w:rsidRDefault="004874D0" w:rsidP="00D70005">
            <w:pPr>
              <w:pStyle w:val="ListParagraph"/>
              <w:numPr>
                <w:ilvl w:val="0"/>
                <w:numId w:val="5"/>
              </w:numPr>
              <w:rPr>
                <w:rFonts w:asciiTheme="majorHAnsi" w:hAnsiTheme="majorHAnsi" w:cstheme="majorHAnsi"/>
                <w:sz w:val="22"/>
                <w:szCs w:val="22"/>
              </w:rPr>
            </w:pPr>
            <w:r w:rsidRPr="004874D0">
              <w:rPr>
                <w:rFonts w:asciiTheme="majorHAnsi" w:eastAsia="Arial" w:hAnsiTheme="majorHAnsi" w:cstheme="majorHAnsi"/>
                <w:sz w:val="22"/>
                <w:szCs w:val="22"/>
              </w:rPr>
              <w:t xml:space="preserve">stroke/transient ischaemic attack </w:t>
            </w:r>
          </w:p>
          <w:p w14:paraId="5717C7D5" w14:textId="77777777" w:rsidR="00724DBF" w:rsidRDefault="00724DBF" w:rsidP="00724DBF">
            <w:pPr>
              <w:spacing w:after="0"/>
              <w:rPr>
                <w:rFonts w:asciiTheme="majorHAnsi" w:hAnsiTheme="majorHAnsi" w:cstheme="majorHAnsi"/>
                <w:sz w:val="22"/>
                <w:szCs w:val="22"/>
              </w:rPr>
            </w:pPr>
          </w:p>
          <w:p w14:paraId="647E1367" w14:textId="0B67B15E" w:rsidR="00F425B3" w:rsidRPr="00DE1703" w:rsidRDefault="00F425B3" w:rsidP="00D70005">
            <w:pPr>
              <w:pStyle w:val="ListParagraph"/>
              <w:numPr>
                <w:ilvl w:val="1"/>
                <w:numId w:val="4"/>
              </w:numPr>
              <w:jc w:val="both"/>
              <w:rPr>
                <w:rFonts w:asciiTheme="majorHAnsi" w:hAnsiTheme="majorHAnsi" w:cstheme="majorHAnsi"/>
                <w:b/>
                <w:sz w:val="22"/>
                <w:szCs w:val="22"/>
              </w:rPr>
            </w:pPr>
            <w:r w:rsidRPr="00DE1703">
              <w:rPr>
                <w:rFonts w:asciiTheme="majorHAnsi" w:hAnsiTheme="majorHAnsi" w:cstheme="majorHAnsi"/>
                <w:b/>
                <w:sz w:val="22"/>
                <w:szCs w:val="22"/>
              </w:rPr>
              <w:t>Local Context</w:t>
            </w:r>
          </w:p>
          <w:p w14:paraId="22BA1EC6" w14:textId="13932E95" w:rsidR="00DE1703" w:rsidRPr="004874D0" w:rsidRDefault="00DE1703" w:rsidP="00DE1703">
            <w:pPr>
              <w:spacing w:line="239" w:lineRule="auto"/>
              <w:ind w:right="60"/>
              <w:jc w:val="both"/>
              <w:rPr>
                <w:rFonts w:asciiTheme="majorHAnsi" w:hAnsiTheme="majorHAnsi" w:cstheme="majorHAnsi"/>
                <w:sz w:val="22"/>
                <w:szCs w:val="22"/>
              </w:rPr>
            </w:pPr>
            <w:r>
              <w:rPr>
                <w:rFonts w:asciiTheme="majorHAnsi" w:eastAsia="Arial" w:hAnsiTheme="majorHAnsi" w:cstheme="majorHAnsi"/>
                <w:sz w:val="22"/>
                <w:szCs w:val="22"/>
              </w:rPr>
              <w:t>A</w:t>
            </w:r>
            <w:r w:rsidRPr="004874D0">
              <w:rPr>
                <w:rFonts w:asciiTheme="majorHAnsi" w:eastAsia="Arial" w:hAnsiTheme="majorHAnsi" w:cstheme="majorHAnsi"/>
                <w:sz w:val="22"/>
                <w:szCs w:val="22"/>
              </w:rPr>
              <w:t xml:space="preserve"> locally commissioned service to support the provision</w:t>
            </w:r>
            <w:r>
              <w:rPr>
                <w:rFonts w:asciiTheme="majorHAnsi" w:eastAsia="Arial" w:hAnsiTheme="majorHAnsi" w:cstheme="majorHAnsi"/>
                <w:sz w:val="22"/>
                <w:szCs w:val="22"/>
              </w:rPr>
              <w:t xml:space="preserve"> of</w:t>
            </w:r>
            <w:r w:rsidRPr="004874D0">
              <w:rPr>
                <w:rFonts w:asciiTheme="majorHAnsi" w:eastAsia="Arial" w:hAnsiTheme="majorHAnsi" w:cstheme="majorHAnsi"/>
                <w:sz w:val="22"/>
                <w:szCs w:val="22"/>
              </w:rPr>
              <w:t xml:space="preserve"> electrocardiograms within primary care will deliver improved outcomes for </w:t>
            </w:r>
            <w:r>
              <w:rPr>
                <w:rFonts w:asciiTheme="majorHAnsi" w:eastAsia="Arial" w:hAnsiTheme="majorHAnsi" w:cstheme="majorHAnsi"/>
                <w:sz w:val="22"/>
                <w:szCs w:val="22"/>
              </w:rPr>
              <w:t>the</w:t>
            </w:r>
            <w:r w:rsidRPr="004874D0">
              <w:rPr>
                <w:rFonts w:asciiTheme="majorHAnsi" w:eastAsia="Arial" w:hAnsiTheme="majorHAnsi" w:cstheme="majorHAnsi"/>
                <w:sz w:val="22"/>
                <w:szCs w:val="22"/>
              </w:rPr>
              <w:t xml:space="preserve"> patient population. It further supports the three pillars of atrial fibrillation management, DECTECT, PROTECT &amp; PERFECT which the CCG </w:t>
            </w:r>
            <w:r>
              <w:rPr>
                <w:rFonts w:asciiTheme="majorHAnsi" w:eastAsia="Arial" w:hAnsiTheme="majorHAnsi" w:cstheme="majorHAnsi"/>
                <w:sz w:val="22"/>
                <w:szCs w:val="22"/>
              </w:rPr>
              <w:t xml:space="preserve">is </w:t>
            </w:r>
            <w:r w:rsidRPr="004874D0">
              <w:rPr>
                <w:rFonts w:asciiTheme="majorHAnsi" w:eastAsia="Arial" w:hAnsiTheme="majorHAnsi" w:cstheme="majorHAnsi"/>
                <w:sz w:val="22"/>
                <w:szCs w:val="22"/>
              </w:rPr>
              <w:t>committed to improve.</w:t>
            </w:r>
            <w:r w:rsidRPr="004874D0">
              <w:rPr>
                <w:rFonts w:asciiTheme="majorHAnsi" w:eastAsia="Arial" w:hAnsiTheme="majorHAnsi" w:cstheme="majorHAnsi"/>
                <w:color w:val="0E0E0E"/>
                <w:sz w:val="22"/>
                <w:szCs w:val="22"/>
              </w:rPr>
              <w:t xml:space="preserve"> </w:t>
            </w:r>
          </w:p>
          <w:p w14:paraId="2C106C73" w14:textId="782C12FA" w:rsidR="00DE1703" w:rsidRPr="00DE1703" w:rsidRDefault="00DE1703" w:rsidP="00DE1703">
            <w:pPr>
              <w:spacing w:line="239" w:lineRule="auto"/>
              <w:ind w:right="60"/>
              <w:jc w:val="both"/>
              <w:rPr>
                <w:rFonts w:asciiTheme="majorHAnsi" w:eastAsia="Arial" w:hAnsiTheme="majorHAnsi" w:cstheme="majorHAnsi"/>
                <w:sz w:val="22"/>
                <w:szCs w:val="22"/>
              </w:rPr>
            </w:pPr>
            <w:r w:rsidRPr="00DE1703">
              <w:rPr>
                <w:rFonts w:asciiTheme="majorHAnsi" w:eastAsia="Arial" w:hAnsiTheme="majorHAnsi" w:cstheme="majorHAnsi"/>
                <w:sz w:val="22"/>
                <w:szCs w:val="22"/>
              </w:rPr>
              <w:t xml:space="preserve">The proposed service will </w:t>
            </w:r>
            <w:r w:rsidR="00EC2D0C">
              <w:rPr>
                <w:rFonts w:asciiTheme="majorHAnsi" w:eastAsia="Arial" w:hAnsiTheme="majorHAnsi" w:cstheme="majorHAnsi"/>
                <w:sz w:val="22"/>
                <w:szCs w:val="22"/>
              </w:rPr>
              <w:t xml:space="preserve">support GP practices in their </w:t>
            </w:r>
            <w:r w:rsidRPr="00DE1703">
              <w:rPr>
                <w:rFonts w:asciiTheme="majorHAnsi" w:eastAsia="Arial" w:hAnsiTheme="majorHAnsi" w:cstheme="majorHAnsi"/>
                <w:sz w:val="22"/>
                <w:szCs w:val="22"/>
              </w:rPr>
              <w:t>deliver</w:t>
            </w:r>
            <w:r w:rsidR="00EC2D0C">
              <w:rPr>
                <w:rFonts w:asciiTheme="majorHAnsi" w:eastAsia="Arial" w:hAnsiTheme="majorHAnsi" w:cstheme="majorHAnsi"/>
                <w:sz w:val="22"/>
                <w:szCs w:val="22"/>
              </w:rPr>
              <w:t>y of</w:t>
            </w:r>
            <w:r w:rsidRPr="00DE1703">
              <w:rPr>
                <w:rFonts w:asciiTheme="majorHAnsi" w:eastAsia="Arial" w:hAnsiTheme="majorHAnsi" w:cstheme="majorHAnsi"/>
                <w:sz w:val="22"/>
                <w:szCs w:val="22"/>
              </w:rPr>
              <w:t xml:space="preserve"> care, </w:t>
            </w:r>
            <w:r w:rsidR="00EC2D0C">
              <w:rPr>
                <w:rFonts w:asciiTheme="majorHAnsi" w:eastAsia="Arial" w:hAnsiTheme="majorHAnsi" w:cstheme="majorHAnsi"/>
                <w:sz w:val="22"/>
                <w:szCs w:val="22"/>
              </w:rPr>
              <w:t xml:space="preserve">support the </w:t>
            </w:r>
            <w:r w:rsidRPr="00DE1703">
              <w:rPr>
                <w:rFonts w:asciiTheme="majorHAnsi" w:eastAsia="Arial" w:hAnsiTheme="majorHAnsi" w:cstheme="majorHAnsi"/>
                <w:sz w:val="22"/>
                <w:szCs w:val="22"/>
              </w:rPr>
              <w:t>provi</w:t>
            </w:r>
            <w:r w:rsidR="00EC2D0C">
              <w:rPr>
                <w:rFonts w:asciiTheme="majorHAnsi" w:eastAsia="Arial" w:hAnsiTheme="majorHAnsi" w:cstheme="majorHAnsi"/>
                <w:sz w:val="22"/>
                <w:szCs w:val="22"/>
              </w:rPr>
              <w:t>sion</w:t>
            </w:r>
            <w:r w:rsidRPr="00DE1703">
              <w:rPr>
                <w:rFonts w:asciiTheme="majorHAnsi" w:eastAsia="Arial" w:hAnsiTheme="majorHAnsi" w:cstheme="majorHAnsi"/>
                <w:sz w:val="22"/>
                <w:szCs w:val="22"/>
              </w:rPr>
              <w:t xml:space="preserve"> </w:t>
            </w:r>
            <w:r w:rsidR="00EC2D0C">
              <w:rPr>
                <w:rFonts w:asciiTheme="majorHAnsi" w:eastAsia="Arial" w:hAnsiTheme="majorHAnsi" w:cstheme="majorHAnsi"/>
                <w:sz w:val="22"/>
                <w:szCs w:val="22"/>
              </w:rPr>
              <w:t xml:space="preserve">of </w:t>
            </w:r>
            <w:r w:rsidRPr="00DE1703">
              <w:rPr>
                <w:rFonts w:asciiTheme="majorHAnsi" w:eastAsia="Arial" w:hAnsiTheme="majorHAnsi" w:cstheme="majorHAnsi"/>
                <w:sz w:val="22"/>
                <w:szCs w:val="22"/>
              </w:rPr>
              <w:t xml:space="preserve">early reassurance to patients in GP Practices, provide early identification of rhythm abnormalities and ensure there is avoidance of unnecessary referrals to secondary care. This approach is in line with the current CCGs </w:t>
            </w:r>
            <w:r w:rsidRPr="00DE1703">
              <w:rPr>
                <w:rFonts w:asciiTheme="majorHAnsi" w:eastAsia="Arial" w:hAnsiTheme="majorHAnsi" w:cstheme="majorHAnsi"/>
                <w:sz w:val="22"/>
                <w:szCs w:val="22"/>
              </w:rPr>
              <w:lastRenderedPageBreak/>
              <w:t xml:space="preserve">commissioning intentions to provide better access to services including care closer to home, earlier diagnosis, avoidance of unnecessary hospital attendance and integrated care.  </w:t>
            </w:r>
          </w:p>
          <w:p w14:paraId="2726A3D2" w14:textId="75040202" w:rsidR="00DE1703" w:rsidRDefault="00D51FD0" w:rsidP="00DE1703">
            <w:pPr>
              <w:spacing w:line="239" w:lineRule="auto"/>
              <w:ind w:right="60"/>
              <w:jc w:val="both"/>
              <w:rPr>
                <w:rFonts w:asciiTheme="majorHAnsi" w:eastAsia="Arial" w:hAnsiTheme="majorHAnsi" w:cstheme="majorHAnsi"/>
                <w:sz w:val="22"/>
                <w:szCs w:val="22"/>
              </w:rPr>
            </w:pPr>
            <w:r>
              <w:rPr>
                <w:rFonts w:asciiTheme="majorHAnsi" w:eastAsia="Arial" w:hAnsiTheme="majorHAnsi" w:cstheme="majorHAnsi"/>
                <w:sz w:val="22"/>
                <w:szCs w:val="22"/>
              </w:rPr>
              <w:t>The service will also help GP practices manage hypertension, new onset angina and ensure safe prescribing.</w:t>
            </w:r>
          </w:p>
          <w:p w14:paraId="5A806223" w14:textId="7DB81DC6" w:rsidR="00DE1703" w:rsidRDefault="00DE1703" w:rsidP="00DE1703">
            <w:pPr>
              <w:spacing w:line="239" w:lineRule="auto"/>
              <w:ind w:right="60"/>
              <w:jc w:val="both"/>
              <w:rPr>
                <w:rFonts w:asciiTheme="majorHAnsi" w:eastAsia="Arial" w:hAnsiTheme="majorHAnsi" w:cstheme="majorHAnsi"/>
                <w:sz w:val="22"/>
                <w:szCs w:val="22"/>
              </w:rPr>
            </w:pPr>
            <w:r w:rsidRPr="00DE1703">
              <w:rPr>
                <w:rFonts w:asciiTheme="majorHAnsi" w:eastAsia="Arial" w:hAnsiTheme="majorHAnsi" w:cstheme="majorHAnsi"/>
                <w:sz w:val="22"/>
                <w:szCs w:val="22"/>
              </w:rPr>
              <w:t xml:space="preserve">GP Practices will offer </w:t>
            </w:r>
            <w:proofErr w:type="spellStart"/>
            <w:r w:rsidRPr="00DE1703">
              <w:rPr>
                <w:rFonts w:asciiTheme="majorHAnsi" w:eastAsia="Arial" w:hAnsiTheme="majorHAnsi" w:cstheme="majorHAnsi"/>
                <w:sz w:val="22"/>
                <w:szCs w:val="22"/>
              </w:rPr>
              <w:t>standardised</w:t>
            </w:r>
            <w:proofErr w:type="spellEnd"/>
            <w:r w:rsidRPr="00DE1703">
              <w:rPr>
                <w:rFonts w:asciiTheme="majorHAnsi" w:eastAsia="Arial" w:hAnsiTheme="majorHAnsi" w:cstheme="majorHAnsi"/>
                <w:sz w:val="22"/>
                <w:szCs w:val="22"/>
              </w:rPr>
              <w:t xml:space="preserve"> and clinically effective primary care ECG service to </w:t>
            </w:r>
            <w:r w:rsidR="00F83D7B">
              <w:rPr>
                <w:rFonts w:asciiTheme="majorHAnsi" w:eastAsia="Arial" w:hAnsiTheme="majorHAnsi" w:cstheme="majorHAnsi"/>
                <w:sz w:val="22"/>
                <w:szCs w:val="22"/>
              </w:rPr>
              <w:t xml:space="preserve">their registered population </w:t>
            </w:r>
            <w:r w:rsidRPr="00DE1703">
              <w:rPr>
                <w:rFonts w:asciiTheme="majorHAnsi" w:eastAsia="Arial" w:hAnsiTheme="majorHAnsi" w:cstheme="majorHAnsi"/>
                <w:sz w:val="22"/>
                <w:szCs w:val="22"/>
              </w:rPr>
              <w:t>which complies with the standards set out by the Clinical Guidelines by Consensus – Recording a standard 12-lead electrocardiogram (British cardiovascular society)</w:t>
            </w:r>
            <w:r w:rsidR="00817238">
              <w:rPr>
                <w:rStyle w:val="FootnoteReference"/>
                <w:rFonts w:asciiTheme="majorHAnsi" w:eastAsia="Arial" w:hAnsiTheme="majorHAnsi" w:cstheme="majorHAnsi"/>
                <w:sz w:val="22"/>
                <w:szCs w:val="22"/>
              </w:rPr>
              <w:footnoteReference w:id="2"/>
            </w:r>
            <w:r w:rsidRPr="00DE1703">
              <w:rPr>
                <w:rFonts w:asciiTheme="majorHAnsi" w:eastAsia="Arial" w:hAnsiTheme="majorHAnsi" w:cstheme="majorHAnsi"/>
                <w:sz w:val="22"/>
                <w:szCs w:val="22"/>
              </w:rPr>
              <w:t xml:space="preserve"> .  </w:t>
            </w:r>
          </w:p>
          <w:p w14:paraId="404F0B4E" w14:textId="018E2331" w:rsidR="00DE1703" w:rsidRDefault="00DE1703" w:rsidP="00DE1703">
            <w:pPr>
              <w:rPr>
                <w:rFonts w:asciiTheme="majorHAnsi" w:eastAsia="Arial" w:hAnsiTheme="majorHAnsi" w:cstheme="majorHAnsi"/>
                <w:sz w:val="22"/>
                <w:szCs w:val="22"/>
              </w:rPr>
            </w:pPr>
            <w:r w:rsidRPr="004874D0">
              <w:rPr>
                <w:rFonts w:asciiTheme="majorHAnsi" w:eastAsia="Arial" w:hAnsiTheme="majorHAnsi" w:cstheme="majorHAnsi"/>
                <w:sz w:val="22"/>
                <w:szCs w:val="22"/>
              </w:rPr>
              <w:t>It is expected that in almost all cases</w:t>
            </w:r>
            <w:r>
              <w:rPr>
                <w:rFonts w:asciiTheme="majorHAnsi" w:eastAsia="Arial" w:hAnsiTheme="majorHAnsi" w:cstheme="majorHAnsi"/>
                <w:sz w:val="22"/>
                <w:szCs w:val="22"/>
              </w:rPr>
              <w:t>,</w:t>
            </w:r>
            <w:r w:rsidRPr="004874D0">
              <w:rPr>
                <w:rFonts w:asciiTheme="majorHAnsi" w:eastAsia="Arial" w:hAnsiTheme="majorHAnsi" w:cstheme="majorHAnsi"/>
                <w:sz w:val="22"/>
                <w:szCs w:val="22"/>
              </w:rPr>
              <w:t xml:space="preserve"> ECGs will be provided within a practice setting</w:t>
            </w:r>
            <w:r w:rsidR="00EC2D0C">
              <w:rPr>
                <w:rFonts w:asciiTheme="majorHAnsi" w:eastAsia="Arial" w:hAnsiTheme="majorHAnsi" w:cstheme="majorHAnsi"/>
                <w:sz w:val="22"/>
                <w:szCs w:val="22"/>
              </w:rPr>
              <w:t>, although GP practices may have a requirement to arrange to provide ECG monitoring to certain patients within the domiciliary setting – such as in patients’ own homes, or within residential settings such as care homes</w:t>
            </w:r>
            <w:r w:rsidRPr="004874D0">
              <w:rPr>
                <w:rFonts w:asciiTheme="majorHAnsi" w:eastAsia="Arial" w:hAnsiTheme="majorHAnsi" w:cstheme="majorHAnsi"/>
                <w:sz w:val="22"/>
                <w:szCs w:val="22"/>
              </w:rPr>
              <w:t xml:space="preserve">.  </w:t>
            </w:r>
          </w:p>
          <w:p w14:paraId="3BD96066" w14:textId="24CC8453" w:rsidR="00DE1703" w:rsidRPr="00F000E0" w:rsidRDefault="00B21703" w:rsidP="00EC2D0C">
            <w:pPr>
              <w:spacing w:after="0"/>
              <w:jc w:val="both"/>
              <w:rPr>
                <w:rFonts w:asciiTheme="majorHAnsi" w:hAnsiTheme="majorHAnsi" w:cstheme="majorHAnsi"/>
                <w:sz w:val="22"/>
                <w:szCs w:val="22"/>
              </w:rPr>
            </w:pPr>
            <w:r>
              <w:rPr>
                <w:rFonts w:asciiTheme="majorHAnsi" w:eastAsia="Arial" w:hAnsiTheme="majorHAnsi" w:cstheme="majorHAnsi"/>
                <w:sz w:val="22"/>
                <w:szCs w:val="22"/>
              </w:rPr>
              <w:t xml:space="preserve">Across both Merton CCG and Wandsworth CCG, </w:t>
            </w:r>
            <w:r w:rsidRPr="00F000E0">
              <w:rPr>
                <w:rFonts w:asciiTheme="majorHAnsi" w:hAnsiTheme="majorHAnsi" w:cstheme="majorHAnsi"/>
                <w:sz w:val="22"/>
                <w:szCs w:val="22"/>
              </w:rPr>
              <w:t>practices have formed Primary Care Networks (PCNs) which ha</w:t>
            </w:r>
            <w:r>
              <w:rPr>
                <w:rFonts w:asciiTheme="majorHAnsi" w:hAnsiTheme="majorHAnsi" w:cstheme="majorHAnsi"/>
                <w:sz w:val="22"/>
                <w:szCs w:val="22"/>
              </w:rPr>
              <w:t>s</w:t>
            </w:r>
            <w:r w:rsidRPr="00F000E0">
              <w:rPr>
                <w:rFonts w:asciiTheme="majorHAnsi" w:hAnsiTheme="majorHAnsi" w:cstheme="majorHAnsi"/>
                <w:sz w:val="22"/>
                <w:szCs w:val="22"/>
              </w:rPr>
              <w:t xml:space="preserve"> continued to evolve and will develop into an effective collaborative entity working across a range of health and social care partners to improve patient care</w:t>
            </w:r>
            <w:r w:rsidR="00D23509">
              <w:rPr>
                <w:rFonts w:asciiTheme="majorHAnsi" w:hAnsiTheme="majorHAnsi" w:cstheme="majorHAnsi"/>
                <w:sz w:val="22"/>
                <w:szCs w:val="22"/>
              </w:rPr>
              <w:t>.</w:t>
            </w:r>
          </w:p>
        </w:tc>
      </w:tr>
      <w:tr w:rsidR="00F425B3" w:rsidRPr="001F5724" w14:paraId="633C9B85" w14:textId="77777777" w:rsidTr="005B293F">
        <w:tc>
          <w:tcPr>
            <w:tcW w:w="10093" w:type="dxa"/>
            <w:shd w:val="clear" w:color="auto" w:fill="595959"/>
          </w:tcPr>
          <w:p w14:paraId="3B6D17F3" w14:textId="77777777" w:rsidR="00F425B3" w:rsidRPr="0005750A" w:rsidRDefault="00F425B3" w:rsidP="00F425B3">
            <w:pPr>
              <w:spacing w:after="0" w:line="276" w:lineRule="auto"/>
              <w:rPr>
                <w:rFonts w:ascii="Calibri" w:hAnsi="Calibri" w:cs="Arial"/>
                <w:b/>
                <w:color w:val="F79646" w:themeColor="accent6"/>
                <w:sz w:val="22"/>
                <w:szCs w:val="22"/>
              </w:rPr>
            </w:pPr>
            <w:r w:rsidRPr="0005750A">
              <w:rPr>
                <w:rFonts w:ascii="Calibri" w:hAnsi="Calibri" w:cs="Arial"/>
                <w:b/>
                <w:color w:val="F79646" w:themeColor="accent6"/>
                <w:sz w:val="22"/>
                <w:szCs w:val="22"/>
              </w:rPr>
              <w:lastRenderedPageBreak/>
              <w:t>2</w:t>
            </w:r>
            <w:r w:rsidRPr="0005750A">
              <w:rPr>
                <w:rFonts w:ascii="Calibri" w:hAnsi="Calibri" w:cs="Arial"/>
                <w:color w:val="F79646" w:themeColor="accent6"/>
                <w:sz w:val="22"/>
                <w:szCs w:val="22"/>
              </w:rPr>
              <w:t>.</w:t>
            </w:r>
            <w:r w:rsidRPr="0005750A">
              <w:rPr>
                <w:rFonts w:ascii="Calibri" w:hAnsi="Calibri" w:cs="Arial"/>
                <w:b/>
                <w:color w:val="F79646" w:themeColor="accent6"/>
                <w:sz w:val="22"/>
                <w:szCs w:val="22"/>
              </w:rPr>
              <w:tab/>
              <w:t>Outcomes</w:t>
            </w:r>
          </w:p>
        </w:tc>
      </w:tr>
      <w:tr w:rsidR="00F425B3" w:rsidRPr="001F5724" w14:paraId="5E787D1A" w14:textId="77777777" w:rsidTr="005B293F">
        <w:tc>
          <w:tcPr>
            <w:tcW w:w="10093" w:type="dxa"/>
            <w:shd w:val="clear" w:color="auto" w:fill="FFFFFF" w:themeFill="background1"/>
          </w:tcPr>
          <w:p w14:paraId="1E58E0B7" w14:textId="77777777" w:rsidR="00F425B3" w:rsidRDefault="00F425B3" w:rsidP="00F425B3">
            <w:pPr>
              <w:spacing w:after="0"/>
              <w:jc w:val="both"/>
            </w:pPr>
          </w:p>
          <w:p w14:paraId="2F1B0993" w14:textId="2C9C2ED8" w:rsidR="00F425B3" w:rsidRDefault="00F425B3" w:rsidP="00F425B3">
            <w:pPr>
              <w:spacing w:after="0"/>
              <w:jc w:val="both"/>
              <w:rPr>
                <w:rFonts w:ascii="Calibri" w:hAnsi="Calibri" w:cs="Arial"/>
                <w:b/>
                <w:sz w:val="22"/>
                <w:szCs w:val="22"/>
              </w:rPr>
            </w:pPr>
            <w:r w:rsidRPr="00F9100B">
              <w:rPr>
                <w:rFonts w:ascii="Calibri" w:hAnsi="Calibri" w:cs="Arial"/>
                <w:b/>
                <w:sz w:val="22"/>
                <w:szCs w:val="22"/>
              </w:rPr>
              <w:t>2</w:t>
            </w:r>
            <w:r w:rsidRPr="00F9100B">
              <w:rPr>
                <w:rFonts w:ascii="Calibri" w:hAnsi="Calibri" w:cs="Arial"/>
                <w:sz w:val="22"/>
                <w:szCs w:val="22"/>
              </w:rPr>
              <w:t>.</w:t>
            </w:r>
            <w:r w:rsidRPr="00F9100B">
              <w:rPr>
                <w:rFonts w:ascii="Calibri" w:hAnsi="Calibri" w:cs="Arial"/>
                <w:b/>
                <w:sz w:val="22"/>
                <w:szCs w:val="22"/>
              </w:rPr>
              <w:t xml:space="preserve">1 </w:t>
            </w:r>
            <w:r>
              <w:rPr>
                <w:rFonts w:ascii="Calibri" w:hAnsi="Calibri" w:cs="Arial"/>
                <w:b/>
                <w:sz w:val="22"/>
                <w:szCs w:val="22"/>
              </w:rPr>
              <w:t xml:space="preserve">  </w:t>
            </w:r>
            <w:r w:rsidRPr="00F9100B">
              <w:rPr>
                <w:rFonts w:ascii="Calibri" w:hAnsi="Calibri" w:cs="Arial"/>
                <w:b/>
                <w:sz w:val="22"/>
                <w:szCs w:val="22"/>
              </w:rPr>
              <w:t>NHS Outcomes Framework Domains &amp; Indicators</w:t>
            </w:r>
          </w:p>
          <w:p w14:paraId="7EBDE636" w14:textId="77777777" w:rsidR="00F425B3" w:rsidRPr="001F4509" w:rsidRDefault="00F425B3" w:rsidP="00F425B3">
            <w:pPr>
              <w:spacing w:after="0"/>
              <w:jc w:val="both"/>
              <w:rPr>
                <w:rFonts w:ascii="Calibri" w:hAnsi="Calibri" w:cs="Arial"/>
                <w:sz w:val="22"/>
                <w:szCs w:val="22"/>
              </w:rPr>
            </w:pP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1"/>
              <w:gridCol w:w="6640"/>
              <w:gridCol w:w="714"/>
            </w:tblGrid>
            <w:tr w:rsidR="00F425B3" w:rsidRPr="001F5724" w14:paraId="0DF1A66E" w14:textId="77777777" w:rsidTr="00483450">
              <w:trPr>
                <w:trHeight w:val="236"/>
              </w:trPr>
              <w:tc>
                <w:tcPr>
                  <w:tcW w:w="1421" w:type="dxa"/>
                  <w:tcBorders>
                    <w:top w:val="single" w:sz="4" w:space="0" w:color="auto"/>
                    <w:left w:val="single" w:sz="4" w:space="0" w:color="auto"/>
                    <w:bottom w:val="single" w:sz="4" w:space="0" w:color="auto"/>
                    <w:right w:val="single" w:sz="4" w:space="0" w:color="auto"/>
                  </w:tcBorders>
                </w:tcPr>
                <w:p w14:paraId="73BA6CA8" w14:textId="77777777" w:rsidR="00F425B3" w:rsidRPr="001F5724" w:rsidRDefault="00F425B3" w:rsidP="00F425B3">
                  <w:pPr>
                    <w:spacing w:after="0"/>
                    <w:jc w:val="both"/>
                    <w:rPr>
                      <w:rFonts w:ascii="Calibri" w:hAnsi="Calibri" w:cs="Arial"/>
                      <w:color w:val="000000"/>
                      <w:sz w:val="22"/>
                      <w:szCs w:val="22"/>
                      <w:lang w:eastAsia="en-GB"/>
                    </w:rPr>
                  </w:pPr>
                  <w:r w:rsidRPr="001F5724">
                    <w:rPr>
                      <w:rFonts w:ascii="Calibri" w:hAnsi="Calibri" w:cs="Arial"/>
                      <w:color w:val="000000"/>
                      <w:sz w:val="22"/>
                      <w:szCs w:val="22"/>
                      <w:lang w:eastAsia="en-GB"/>
                    </w:rPr>
                    <w:t>Domain 1</w:t>
                  </w:r>
                </w:p>
              </w:tc>
              <w:tc>
                <w:tcPr>
                  <w:tcW w:w="6640" w:type="dxa"/>
                  <w:tcBorders>
                    <w:top w:val="single" w:sz="4" w:space="0" w:color="auto"/>
                    <w:left w:val="single" w:sz="4" w:space="0" w:color="auto"/>
                    <w:bottom w:val="single" w:sz="4" w:space="0" w:color="auto"/>
                    <w:right w:val="single" w:sz="4" w:space="0" w:color="auto"/>
                  </w:tcBorders>
                </w:tcPr>
                <w:p w14:paraId="51E7566D" w14:textId="77777777" w:rsidR="00F425B3" w:rsidRPr="001F5724" w:rsidRDefault="00F425B3" w:rsidP="00F425B3">
                  <w:pPr>
                    <w:spacing w:after="0"/>
                    <w:jc w:val="both"/>
                    <w:rPr>
                      <w:rFonts w:ascii="Calibri" w:hAnsi="Calibri" w:cs="Arial"/>
                      <w:color w:val="000000"/>
                      <w:sz w:val="22"/>
                      <w:szCs w:val="22"/>
                      <w:lang w:eastAsia="en-GB"/>
                    </w:rPr>
                  </w:pPr>
                  <w:r w:rsidRPr="001F5724">
                    <w:rPr>
                      <w:rFonts w:ascii="Calibri" w:hAnsi="Calibri" w:cs="Arial"/>
                      <w:color w:val="000000"/>
                      <w:sz w:val="22"/>
                      <w:szCs w:val="22"/>
                      <w:lang w:eastAsia="en-GB"/>
                    </w:rPr>
                    <w:t>Preventing people from dying prematurely</w:t>
                  </w:r>
                </w:p>
              </w:tc>
              <w:tc>
                <w:tcPr>
                  <w:tcW w:w="714" w:type="dxa"/>
                  <w:tcBorders>
                    <w:top w:val="single" w:sz="4" w:space="0" w:color="auto"/>
                    <w:left w:val="single" w:sz="4" w:space="0" w:color="auto"/>
                    <w:bottom w:val="single" w:sz="4" w:space="0" w:color="auto"/>
                    <w:right w:val="single" w:sz="4" w:space="0" w:color="auto"/>
                  </w:tcBorders>
                </w:tcPr>
                <w:p w14:paraId="32EB74EE" w14:textId="5975E485" w:rsidR="00F425B3" w:rsidRPr="001F5724" w:rsidRDefault="004B1C25" w:rsidP="00F425B3">
                  <w:pPr>
                    <w:spacing w:after="0"/>
                    <w:jc w:val="center"/>
                    <w:rPr>
                      <w:rFonts w:ascii="Calibri" w:hAnsi="Calibri" w:cs="Arial"/>
                      <w:b/>
                      <w:sz w:val="22"/>
                      <w:szCs w:val="22"/>
                      <w:lang w:eastAsia="en-GB"/>
                    </w:rPr>
                  </w:pPr>
                  <w:r>
                    <w:rPr>
                      <w:rFonts w:ascii="Calibri" w:hAnsi="Calibri" w:cs="Arial"/>
                      <w:b/>
                      <w:sz w:val="22"/>
                      <w:szCs w:val="22"/>
                      <w:lang w:eastAsia="en-GB"/>
                    </w:rPr>
                    <w:t>X</w:t>
                  </w:r>
                </w:p>
              </w:tc>
            </w:tr>
            <w:tr w:rsidR="00F425B3" w:rsidRPr="001F5724" w14:paraId="7FC0A868" w14:textId="77777777" w:rsidTr="00483450">
              <w:trPr>
                <w:trHeight w:val="236"/>
              </w:trPr>
              <w:tc>
                <w:tcPr>
                  <w:tcW w:w="1421" w:type="dxa"/>
                  <w:tcBorders>
                    <w:top w:val="single" w:sz="4" w:space="0" w:color="auto"/>
                    <w:left w:val="single" w:sz="4" w:space="0" w:color="auto"/>
                    <w:bottom w:val="single" w:sz="4" w:space="0" w:color="auto"/>
                    <w:right w:val="single" w:sz="4" w:space="0" w:color="auto"/>
                  </w:tcBorders>
                </w:tcPr>
                <w:p w14:paraId="0A8A86E2" w14:textId="77777777" w:rsidR="00F425B3" w:rsidRPr="001F5724" w:rsidRDefault="00F425B3" w:rsidP="00F425B3">
                  <w:pPr>
                    <w:spacing w:after="0"/>
                    <w:jc w:val="both"/>
                    <w:rPr>
                      <w:rFonts w:ascii="Calibri" w:hAnsi="Calibri" w:cs="Arial"/>
                      <w:color w:val="000000"/>
                      <w:sz w:val="22"/>
                      <w:szCs w:val="22"/>
                      <w:lang w:eastAsia="en-GB"/>
                    </w:rPr>
                  </w:pPr>
                  <w:r w:rsidRPr="001F5724">
                    <w:rPr>
                      <w:rFonts w:ascii="Calibri" w:hAnsi="Calibri" w:cs="Arial"/>
                      <w:color w:val="000000"/>
                      <w:sz w:val="22"/>
                      <w:szCs w:val="22"/>
                      <w:lang w:eastAsia="en-GB"/>
                    </w:rPr>
                    <w:t>Domain 2</w:t>
                  </w:r>
                </w:p>
              </w:tc>
              <w:tc>
                <w:tcPr>
                  <w:tcW w:w="6640" w:type="dxa"/>
                  <w:tcBorders>
                    <w:top w:val="single" w:sz="4" w:space="0" w:color="auto"/>
                    <w:left w:val="single" w:sz="4" w:space="0" w:color="auto"/>
                    <w:bottom w:val="single" w:sz="4" w:space="0" w:color="auto"/>
                    <w:right w:val="single" w:sz="4" w:space="0" w:color="auto"/>
                  </w:tcBorders>
                </w:tcPr>
                <w:p w14:paraId="7F653310" w14:textId="77777777" w:rsidR="00F425B3" w:rsidRPr="001F5724" w:rsidRDefault="00F425B3" w:rsidP="00F425B3">
                  <w:pPr>
                    <w:spacing w:after="0"/>
                    <w:jc w:val="both"/>
                    <w:rPr>
                      <w:rFonts w:ascii="Calibri" w:hAnsi="Calibri" w:cs="Arial"/>
                      <w:color w:val="000000"/>
                      <w:sz w:val="22"/>
                      <w:szCs w:val="22"/>
                      <w:lang w:eastAsia="en-GB"/>
                    </w:rPr>
                  </w:pPr>
                  <w:r w:rsidRPr="001F5724">
                    <w:rPr>
                      <w:rFonts w:ascii="Calibri" w:hAnsi="Calibri" w:cs="Arial"/>
                      <w:color w:val="000000"/>
                      <w:sz w:val="22"/>
                      <w:szCs w:val="22"/>
                      <w:lang w:eastAsia="en-GB"/>
                    </w:rPr>
                    <w:t>Enhancing quality of life for people with long-term conditions</w:t>
                  </w:r>
                </w:p>
              </w:tc>
              <w:tc>
                <w:tcPr>
                  <w:tcW w:w="714" w:type="dxa"/>
                  <w:tcBorders>
                    <w:top w:val="single" w:sz="4" w:space="0" w:color="auto"/>
                    <w:left w:val="single" w:sz="4" w:space="0" w:color="auto"/>
                    <w:bottom w:val="single" w:sz="4" w:space="0" w:color="auto"/>
                    <w:right w:val="single" w:sz="4" w:space="0" w:color="auto"/>
                  </w:tcBorders>
                </w:tcPr>
                <w:p w14:paraId="6864D808" w14:textId="1ACCB6AF" w:rsidR="00F425B3" w:rsidRPr="001F5724" w:rsidRDefault="004B1C25" w:rsidP="00F425B3">
                  <w:pPr>
                    <w:spacing w:after="0"/>
                    <w:jc w:val="center"/>
                    <w:rPr>
                      <w:rFonts w:ascii="Calibri" w:hAnsi="Calibri" w:cs="Arial"/>
                      <w:b/>
                      <w:sz w:val="22"/>
                      <w:szCs w:val="22"/>
                      <w:lang w:eastAsia="en-GB"/>
                    </w:rPr>
                  </w:pPr>
                  <w:r>
                    <w:rPr>
                      <w:rFonts w:ascii="Calibri" w:hAnsi="Calibri" w:cs="Arial"/>
                      <w:b/>
                      <w:sz w:val="22"/>
                      <w:szCs w:val="22"/>
                      <w:lang w:eastAsia="en-GB"/>
                    </w:rPr>
                    <w:t>X</w:t>
                  </w:r>
                </w:p>
              </w:tc>
            </w:tr>
            <w:tr w:rsidR="00F425B3" w:rsidRPr="001F5724" w14:paraId="70E6CF0D" w14:textId="77777777" w:rsidTr="00483450">
              <w:trPr>
                <w:trHeight w:val="247"/>
              </w:trPr>
              <w:tc>
                <w:tcPr>
                  <w:tcW w:w="1421" w:type="dxa"/>
                  <w:tcBorders>
                    <w:top w:val="single" w:sz="4" w:space="0" w:color="auto"/>
                    <w:left w:val="single" w:sz="4" w:space="0" w:color="auto"/>
                    <w:bottom w:val="single" w:sz="4" w:space="0" w:color="auto"/>
                    <w:right w:val="single" w:sz="4" w:space="0" w:color="auto"/>
                  </w:tcBorders>
                </w:tcPr>
                <w:p w14:paraId="1D09A780" w14:textId="77777777" w:rsidR="00F425B3" w:rsidRPr="001F5724" w:rsidRDefault="00F425B3" w:rsidP="00F425B3">
                  <w:pPr>
                    <w:spacing w:after="0"/>
                    <w:jc w:val="both"/>
                    <w:rPr>
                      <w:rFonts w:ascii="Calibri" w:hAnsi="Calibri" w:cs="Arial"/>
                      <w:color w:val="000000"/>
                      <w:sz w:val="22"/>
                      <w:szCs w:val="22"/>
                      <w:lang w:eastAsia="en-GB"/>
                    </w:rPr>
                  </w:pPr>
                  <w:r w:rsidRPr="001F5724">
                    <w:rPr>
                      <w:rFonts w:ascii="Calibri" w:hAnsi="Calibri" w:cs="Arial"/>
                      <w:color w:val="000000"/>
                      <w:sz w:val="22"/>
                      <w:szCs w:val="22"/>
                      <w:lang w:eastAsia="en-GB"/>
                    </w:rPr>
                    <w:t>Domain 3</w:t>
                  </w:r>
                </w:p>
              </w:tc>
              <w:tc>
                <w:tcPr>
                  <w:tcW w:w="6640" w:type="dxa"/>
                  <w:tcBorders>
                    <w:top w:val="single" w:sz="4" w:space="0" w:color="auto"/>
                    <w:left w:val="single" w:sz="4" w:space="0" w:color="auto"/>
                    <w:bottom w:val="single" w:sz="4" w:space="0" w:color="auto"/>
                    <w:right w:val="single" w:sz="4" w:space="0" w:color="auto"/>
                  </w:tcBorders>
                </w:tcPr>
                <w:p w14:paraId="166BADF2" w14:textId="77777777" w:rsidR="00F425B3" w:rsidRPr="001F5724" w:rsidRDefault="00F425B3" w:rsidP="00F425B3">
                  <w:pPr>
                    <w:spacing w:after="0"/>
                    <w:jc w:val="both"/>
                    <w:rPr>
                      <w:rFonts w:ascii="Calibri" w:hAnsi="Calibri" w:cs="Arial"/>
                      <w:color w:val="000000"/>
                      <w:sz w:val="22"/>
                      <w:szCs w:val="22"/>
                      <w:lang w:eastAsia="en-GB"/>
                    </w:rPr>
                  </w:pPr>
                  <w:r w:rsidRPr="001F5724">
                    <w:rPr>
                      <w:rFonts w:ascii="Calibri" w:hAnsi="Calibri" w:cs="Arial"/>
                      <w:color w:val="000000"/>
                      <w:sz w:val="22"/>
                      <w:szCs w:val="22"/>
                      <w:lang w:eastAsia="en-GB"/>
                    </w:rPr>
                    <w:t>Helping people to recover from episodes of ill-health or following injury</w:t>
                  </w:r>
                </w:p>
              </w:tc>
              <w:tc>
                <w:tcPr>
                  <w:tcW w:w="714" w:type="dxa"/>
                  <w:tcBorders>
                    <w:top w:val="single" w:sz="4" w:space="0" w:color="auto"/>
                    <w:left w:val="single" w:sz="4" w:space="0" w:color="auto"/>
                    <w:bottom w:val="single" w:sz="4" w:space="0" w:color="auto"/>
                    <w:right w:val="single" w:sz="4" w:space="0" w:color="auto"/>
                  </w:tcBorders>
                </w:tcPr>
                <w:p w14:paraId="3BFCEB97" w14:textId="77777777" w:rsidR="00F425B3" w:rsidRPr="001F5724" w:rsidRDefault="00F425B3" w:rsidP="00F425B3">
                  <w:pPr>
                    <w:spacing w:after="0"/>
                    <w:jc w:val="center"/>
                    <w:rPr>
                      <w:rFonts w:ascii="Calibri" w:hAnsi="Calibri" w:cs="Arial"/>
                      <w:b/>
                      <w:color w:val="00B050"/>
                      <w:sz w:val="22"/>
                      <w:szCs w:val="22"/>
                      <w:lang w:eastAsia="en-GB"/>
                    </w:rPr>
                  </w:pPr>
                </w:p>
              </w:tc>
            </w:tr>
            <w:tr w:rsidR="00F425B3" w:rsidRPr="001F5724" w14:paraId="406B309F" w14:textId="77777777" w:rsidTr="00483450">
              <w:trPr>
                <w:trHeight w:val="236"/>
              </w:trPr>
              <w:tc>
                <w:tcPr>
                  <w:tcW w:w="1421" w:type="dxa"/>
                  <w:tcBorders>
                    <w:top w:val="single" w:sz="4" w:space="0" w:color="auto"/>
                    <w:left w:val="single" w:sz="4" w:space="0" w:color="auto"/>
                    <w:bottom w:val="single" w:sz="4" w:space="0" w:color="auto"/>
                    <w:right w:val="single" w:sz="4" w:space="0" w:color="auto"/>
                  </w:tcBorders>
                </w:tcPr>
                <w:p w14:paraId="61A225B3" w14:textId="77777777" w:rsidR="00F425B3" w:rsidRPr="001F5724" w:rsidRDefault="00F425B3" w:rsidP="00F425B3">
                  <w:pPr>
                    <w:spacing w:after="0"/>
                    <w:jc w:val="both"/>
                    <w:rPr>
                      <w:rFonts w:ascii="Calibri" w:hAnsi="Calibri" w:cs="Arial"/>
                      <w:color w:val="000000"/>
                      <w:sz w:val="22"/>
                      <w:szCs w:val="22"/>
                      <w:lang w:eastAsia="en-GB"/>
                    </w:rPr>
                  </w:pPr>
                  <w:r w:rsidRPr="001F5724">
                    <w:rPr>
                      <w:rFonts w:ascii="Calibri" w:hAnsi="Calibri" w:cs="Arial"/>
                      <w:color w:val="000000"/>
                      <w:sz w:val="22"/>
                      <w:szCs w:val="22"/>
                      <w:lang w:eastAsia="en-GB"/>
                    </w:rPr>
                    <w:t>Domain 4</w:t>
                  </w:r>
                </w:p>
              </w:tc>
              <w:tc>
                <w:tcPr>
                  <w:tcW w:w="6640" w:type="dxa"/>
                  <w:tcBorders>
                    <w:top w:val="single" w:sz="4" w:space="0" w:color="auto"/>
                    <w:left w:val="single" w:sz="4" w:space="0" w:color="auto"/>
                    <w:bottom w:val="single" w:sz="4" w:space="0" w:color="auto"/>
                    <w:right w:val="single" w:sz="4" w:space="0" w:color="auto"/>
                  </w:tcBorders>
                </w:tcPr>
                <w:p w14:paraId="248D2729" w14:textId="77777777" w:rsidR="00F425B3" w:rsidRPr="001F5724" w:rsidRDefault="00F425B3" w:rsidP="00F425B3">
                  <w:pPr>
                    <w:spacing w:after="0"/>
                    <w:jc w:val="both"/>
                    <w:rPr>
                      <w:rFonts w:ascii="Calibri" w:hAnsi="Calibri" w:cs="Arial"/>
                      <w:color w:val="000000"/>
                      <w:sz w:val="22"/>
                      <w:szCs w:val="22"/>
                      <w:lang w:eastAsia="en-GB"/>
                    </w:rPr>
                  </w:pPr>
                  <w:r w:rsidRPr="001F5724">
                    <w:rPr>
                      <w:rFonts w:ascii="Calibri" w:hAnsi="Calibri" w:cs="Arial"/>
                      <w:color w:val="000000"/>
                      <w:sz w:val="22"/>
                      <w:szCs w:val="22"/>
                      <w:lang w:eastAsia="en-GB"/>
                    </w:rPr>
                    <w:t>Ensuring people have a positive experience of care</w:t>
                  </w:r>
                </w:p>
              </w:tc>
              <w:tc>
                <w:tcPr>
                  <w:tcW w:w="714" w:type="dxa"/>
                  <w:tcBorders>
                    <w:top w:val="single" w:sz="4" w:space="0" w:color="auto"/>
                    <w:left w:val="single" w:sz="4" w:space="0" w:color="auto"/>
                    <w:bottom w:val="single" w:sz="4" w:space="0" w:color="auto"/>
                    <w:right w:val="single" w:sz="4" w:space="0" w:color="auto"/>
                  </w:tcBorders>
                </w:tcPr>
                <w:p w14:paraId="56240F48" w14:textId="3A890E6C" w:rsidR="00F425B3" w:rsidRPr="001F5724" w:rsidRDefault="004B1C25" w:rsidP="00F425B3">
                  <w:pPr>
                    <w:spacing w:after="0"/>
                    <w:jc w:val="center"/>
                    <w:rPr>
                      <w:rFonts w:ascii="Calibri" w:hAnsi="Calibri" w:cs="Arial"/>
                      <w:b/>
                      <w:color w:val="000000"/>
                      <w:sz w:val="22"/>
                      <w:szCs w:val="22"/>
                      <w:lang w:eastAsia="en-GB"/>
                    </w:rPr>
                  </w:pPr>
                  <w:r>
                    <w:rPr>
                      <w:rFonts w:ascii="Calibri" w:hAnsi="Calibri" w:cs="Arial"/>
                      <w:b/>
                      <w:color w:val="000000"/>
                      <w:sz w:val="22"/>
                      <w:szCs w:val="22"/>
                      <w:lang w:eastAsia="en-GB"/>
                    </w:rPr>
                    <w:t>X</w:t>
                  </w:r>
                </w:p>
              </w:tc>
            </w:tr>
            <w:tr w:rsidR="00F425B3" w:rsidRPr="001F5724" w14:paraId="70454605" w14:textId="77777777" w:rsidTr="00483450">
              <w:trPr>
                <w:trHeight w:val="488"/>
              </w:trPr>
              <w:tc>
                <w:tcPr>
                  <w:tcW w:w="1421" w:type="dxa"/>
                  <w:tcBorders>
                    <w:top w:val="single" w:sz="4" w:space="0" w:color="auto"/>
                    <w:left w:val="single" w:sz="4" w:space="0" w:color="auto"/>
                    <w:bottom w:val="single" w:sz="4" w:space="0" w:color="auto"/>
                    <w:right w:val="single" w:sz="4" w:space="0" w:color="auto"/>
                  </w:tcBorders>
                </w:tcPr>
                <w:p w14:paraId="6B351A14" w14:textId="77777777" w:rsidR="00F425B3" w:rsidRPr="001F5724" w:rsidRDefault="00F425B3" w:rsidP="00F425B3">
                  <w:pPr>
                    <w:spacing w:after="0"/>
                    <w:jc w:val="both"/>
                    <w:rPr>
                      <w:rFonts w:ascii="Calibri" w:hAnsi="Calibri" w:cs="Arial"/>
                      <w:color w:val="000000"/>
                      <w:sz w:val="22"/>
                      <w:szCs w:val="22"/>
                      <w:lang w:eastAsia="en-GB"/>
                    </w:rPr>
                  </w:pPr>
                  <w:r w:rsidRPr="001F5724">
                    <w:rPr>
                      <w:rFonts w:ascii="Calibri" w:hAnsi="Calibri" w:cs="Arial"/>
                      <w:color w:val="000000"/>
                      <w:sz w:val="22"/>
                      <w:szCs w:val="22"/>
                      <w:lang w:eastAsia="en-GB"/>
                    </w:rPr>
                    <w:t>Domain 5</w:t>
                  </w:r>
                </w:p>
              </w:tc>
              <w:tc>
                <w:tcPr>
                  <w:tcW w:w="6640" w:type="dxa"/>
                  <w:tcBorders>
                    <w:top w:val="single" w:sz="4" w:space="0" w:color="auto"/>
                    <w:left w:val="single" w:sz="4" w:space="0" w:color="auto"/>
                    <w:bottom w:val="single" w:sz="4" w:space="0" w:color="auto"/>
                    <w:right w:val="single" w:sz="4" w:space="0" w:color="auto"/>
                  </w:tcBorders>
                </w:tcPr>
                <w:p w14:paraId="6F3654B1" w14:textId="77777777" w:rsidR="00F425B3" w:rsidRPr="001F5724" w:rsidRDefault="00F425B3" w:rsidP="00F425B3">
                  <w:pPr>
                    <w:spacing w:after="0"/>
                    <w:jc w:val="both"/>
                    <w:rPr>
                      <w:rFonts w:ascii="Calibri" w:hAnsi="Calibri" w:cs="Arial"/>
                      <w:color w:val="000000"/>
                      <w:sz w:val="22"/>
                      <w:szCs w:val="22"/>
                      <w:lang w:eastAsia="en-GB"/>
                    </w:rPr>
                  </w:pPr>
                  <w:r w:rsidRPr="001F5724">
                    <w:rPr>
                      <w:rFonts w:ascii="Calibri" w:hAnsi="Calibri" w:cs="Arial"/>
                      <w:color w:val="000000"/>
                      <w:sz w:val="22"/>
                      <w:szCs w:val="22"/>
                      <w:lang w:eastAsia="en-GB"/>
                    </w:rPr>
                    <w:t>Treating and caring for people in safe environment and protecting them from avoidable harm</w:t>
                  </w:r>
                </w:p>
              </w:tc>
              <w:tc>
                <w:tcPr>
                  <w:tcW w:w="714" w:type="dxa"/>
                  <w:tcBorders>
                    <w:top w:val="single" w:sz="4" w:space="0" w:color="auto"/>
                    <w:left w:val="single" w:sz="4" w:space="0" w:color="auto"/>
                    <w:bottom w:val="single" w:sz="4" w:space="0" w:color="auto"/>
                    <w:right w:val="single" w:sz="4" w:space="0" w:color="auto"/>
                  </w:tcBorders>
                </w:tcPr>
                <w:p w14:paraId="125C0C01" w14:textId="36FB1D93" w:rsidR="00F425B3" w:rsidRPr="001F5724" w:rsidRDefault="004B1C25" w:rsidP="00F425B3">
                  <w:pPr>
                    <w:spacing w:after="0"/>
                    <w:jc w:val="center"/>
                    <w:rPr>
                      <w:rFonts w:ascii="Calibri" w:hAnsi="Calibri" w:cs="Arial"/>
                      <w:b/>
                      <w:color w:val="000000"/>
                      <w:sz w:val="22"/>
                      <w:szCs w:val="22"/>
                      <w:lang w:eastAsia="en-GB"/>
                    </w:rPr>
                  </w:pPr>
                  <w:r>
                    <w:rPr>
                      <w:rFonts w:ascii="Calibri" w:hAnsi="Calibri" w:cs="Arial"/>
                      <w:b/>
                      <w:color w:val="000000"/>
                      <w:sz w:val="22"/>
                      <w:szCs w:val="22"/>
                      <w:lang w:eastAsia="en-GB"/>
                    </w:rPr>
                    <w:t>X</w:t>
                  </w:r>
                </w:p>
              </w:tc>
            </w:tr>
          </w:tbl>
          <w:p w14:paraId="218BBD20" w14:textId="2226F9CD" w:rsidR="00F425B3" w:rsidRDefault="00F425B3" w:rsidP="00F425B3">
            <w:pPr>
              <w:spacing w:after="0"/>
              <w:ind w:left="488" w:hanging="425"/>
              <w:jc w:val="both"/>
              <w:rPr>
                <w:rFonts w:ascii="Calibri" w:hAnsi="Calibri" w:cs="Arial"/>
                <w:b/>
                <w:sz w:val="22"/>
                <w:szCs w:val="22"/>
              </w:rPr>
            </w:pPr>
            <w:r w:rsidRPr="00F9100B">
              <w:rPr>
                <w:rFonts w:ascii="Calibri" w:hAnsi="Calibri" w:cs="Arial"/>
                <w:b/>
                <w:sz w:val="22"/>
                <w:szCs w:val="22"/>
              </w:rPr>
              <w:t>2</w:t>
            </w:r>
            <w:r w:rsidRPr="00F9100B">
              <w:rPr>
                <w:rFonts w:ascii="Calibri" w:hAnsi="Calibri" w:cs="Arial"/>
                <w:sz w:val="22"/>
                <w:szCs w:val="22"/>
              </w:rPr>
              <w:t>.</w:t>
            </w:r>
            <w:r w:rsidRPr="00F9100B">
              <w:rPr>
                <w:rFonts w:ascii="Calibri" w:hAnsi="Calibri" w:cs="Arial"/>
                <w:b/>
                <w:sz w:val="22"/>
                <w:szCs w:val="22"/>
              </w:rPr>
              <w:t>2</w:t>
            </w:r>
            <w:r w:rsidRPr="00F9100B">
              <w:rPr>
                <w:rFonts w:ascii="Calibri" w:hAnsi="Calibri" w:cs="Arial"/>
                <w:b/>
                <w:sz w:val="22"/>
                <w:szCs w:val="22"/>
              </w:rPr>
              <w:tab/>
              <w:t>Local defined outcomes</w:t>
            </w:r>
          </w:p>
          <w:p w14:paraId="042030DE" w14:textId="172036FF" w:rsidR="00536831" w:rsidRPr="004606F3" w:rsidRDefault="00A7647E" w:rsidP="00D70005">
            <w:pPr>
              <w:pStyle w:val="ListParagraph"/>
              <w:numPr>
                <w:ilvl w:val="0"/>
                <w:numId w:val="6"/>
              </w:numPr>
              <w:jc w:val="both"/>
              <w:rPr>
                <w:rFonts w:ascii="Calibri" w:hAnsi="Calibri" w:cs="Arial"/>
                <w:bCs/>
                <w:sz w:val="22"/>
                <w:szCs w:val="22"/>
                <w:lang w:eastAsia="en-US"/>
              </w:rPr>
            </w:pPr>
            <w:r>
              <w:rPr>
                <w:rFonts w:ascii="Calibri" w:hAnsi="Calibri" w:cs="Arial"/>
                <w:bCs/>
                <w:sz w:val="22"/>
                <w:szCs w:val="22"/>
                <w:lang w:eastAsia="en-US"/>
              </w:rPr>
              <w:t>Support GP practices to the r</w:t>
            </w:r>
            <w:r w:rsidR="00536831" w:rsidRPr="004606F3">
              <w:rPr>
                <w:rFonts w:ascii="Calibri" w:hAnsi="Calibri" w:cs="Arial"/>
                <w:bCs/>
                <w:sz w:val="22"/>
                <w:szCs w:val="22"/>
                <w:lang w:eastAsia="en-US"/>
              </w:rPr>
              <w:t xml:space="preserve">educe the number of patients referred to secondary care for ECGs </w:t>
            </w:r>
          </w:p>
          <w:p w14:paraId="61FF6833" w14:textId="77777777" w:rsidR="00536831" w:rsidRPr="00CC7A16" w:rsidRDefault="00536831" w:rsidP="00D70005">
            <w:pPr>
              <w:pStyle w:val="ListParagraph"/>
              <w:numPr>
                <w:ilvl w:val="0"/>
                <w:numId w:val="6"/>
              </w:numPr>
              <w:jc w:val="both"/>
              <w:rPr>
                <w:rFonts w:ascii="Calibri" w:hAnsi="Calibri" w:cs="Arial"/>
                <w:bCs/>
                <w:sz w:val="22"/>
                <w:szCs w:val="22"/>
                <w:lang w:eastAsia="en-US"/>
              </w:rPr>
            </w:pPr>
            <w:r w:rsidRPr="004606F3">
              <w:rPr>
                <w:rFonts w:ascii="Calibri" w:hAnsi="Calibri" w:cs="Arial"/>
                <w:bCs/>
                <w:sz w:val="22"/>
                <w:szCs w:val="22"/>
                <w:lang w:eastAsia="en-US"/>
              </w:rPr>
              <w:t>Delivering comprehensive, equitable and convenient care (right place, right time)</w:t>
            </w:r>
            <w:r>
              <w:t xml:space="preserve"> </w:t>
            </w:r>
          </w:p>
          <w:p w14:paraId="4C49F2A2" w14:textId="0B513A33" w:rsidR="00536831" w:rsidRPr="00A7647E" w:rsidRDefault="00536831" w:rsidP="00D70005">
            <w:pPr>
              <w:pStyle w:val="ListParagraph"/>
              <w:numPr>
                <w:ilvl w:val="0"/>
                <w:numId w:val="6"/>
              </w:numPr>
              <w:jc w:val="both"/>
              <w:rPr>
                <w:rFonts w:ascii="Calibri" w:hAnsi="Calibri" w:cs="Arial"/>
                <w:b/>
                <w:sz w:val="22"/>
                <w:szCs w:val="22"/>
              </w:rPr>
            </w:pPr>
            <w:r w:rsidRPr="00536831">
              <w:rPr>
                <w:rFonts w:ascii="Calibri" w:hAnsi="Calibri" w:cs="Arial"/>
                <w:bCs/>
                <w:sz w:val="22"/>
                <w:szCs w:val="22"/>
                <w:lang w:eastAsia="en-US"/>
              </w:rPr>
              <w:t xml:space="preserve">To </w:t>
            </w:r>
            <w:r w:rsidR="00A7647E">
              <w:rPr>
                <w:rFonts w:ascii="Calibri" w:hAnsi="Calibri" w:cs="Arial"/>
                <w:bCs/>
                <w:sz w:val="22"/>
                <w:szCs w:val="22"/>
                <w:lang w:eastAsia="en-US"/>
              </w:rPr>
              <w:t xml:space="preserve">support GP practices to </w:t>
            </w:r>
            <w:r w:rsidRPr="00536831">
              <w:rPr>
                <w:rFonts w:ascii="Calibri" w:hAnsi="Calibri" w:cs="Arial"/>
                <w:bCs/>
                <w:sz w:val="22"/>
                <w:szCs w:val="22"/>
                <w:lang w:eastAsia="en-US"/>
              </w:rPr>
              <w:t>offer a patient focused</w:t>
            </w:r>
            <w:r w:rsidR="00D02D3D">
              <w:rPr>
                <w:rFonts w:ascii="Calibri" w:hAnsi="Calibri" w:cs="Arial"/>
                <w:bCs/>
                <w:sz w:val="22"/>
                <w:szCs w:val="22"/>
                <w:lang w:eastAsia="en-US"/>
              </w:rPr>
              <w:t>,</w:t>
            </w:r>
            <w:r w:rsidRPr="00536831">
              <w:rPr>
                <w:rFonts w:ascii="Calibri" w:hAnsi="Calibri" w:cs="Arial"/>
                <w:bCs/>
                <w:sz w:val="22"/>
                <w:szCs w:val="22"/>
                <w:lang w:eastAsia="en-US"/>
              </w:rPr>
              <w:t xml:space="preserve"> clinically effective and efficient service in support of delivering timely diagnosis</w:t>
            </w:r>
            <w:r w:rsidR="00D02D3D">
              <w:rPr>
                <w:rFonts w:ascii="Calibri" w:hAnsi="Calibri" w:cs="Arial"/>
                <w:bCs/>
                <w:sz w:val="22"/>
                <w:szCs w:val="22"/>
                <w:lang w:eastAsia="en-US"/>
              </w:rPr>
              <w:t xml:space="preserve"> and</w:t>
            </w:r>
            <w:r w:rsidRPr="00536831">
              <w:rPr>
                <w:rFonts w:ascii="Calibri" w:hAnsi="Calibri" w:cs="Arial"/>
                <w:bCs/>
                <w:sz w:val="22"/>
                <w:szCs w:val="22"/>
                <w:lang w:eastAsia="en-US"/>
              </w:rPr>
              <w:t xml:space="preserve"> treatment in accordance with local and national targets</w:t>
            </w:r>
          </w:p>
          <w:p w14:paraId="46326BE0" w14:textId="3F8B5C97" w:rsidR="00A7647E" w:rsidRPr="00536831" w:rsidRDefault="00A7647E" w:rsidP="00D70005">
            <w:pPr>
              <w:pStyle w:val="ListParagraph"/>
              <w:numPr>
                <w:ilvl w:val="0"/>
                <w:numId w:val="6"/>
              </w:numPr>
              <w:jc w:val="both"/>
              <w:rPr>
                <w:rFonts w:ascii="Calibri" w:hAnsi="Calibri" w:cs="Arial"/>
                <w:b/>
                <w:sz w:val="22"/>
                <w:szCs w:val="22"/>
              </w:rPr>
            </w:pPr>
            <w:r>
              <w:rPr>
                <w:rFonts w:ascii="Calibri" w:hAnsi="Calibri" w:cs="Arial"/>
                <w:bCs/>
                <w:sz w:val="22"/>
                <w:szCs w:val="22"/>
                <w:lang w:eastAsia="en-US"/>
              </w:rPr>
              <w:t>Responsive and effective ECG reporting into GP practice information systems</w:t>
            </w:r>
          </w:p>
          <w:p w14:paraId="78BF504C" w14:textId="77777777" w:rsidR="00F425B3" w:rsidRPr="007B5F60" w:rsidRDefault="00F425B3" w:rsidP="00536831">
            <w:pPr>
              <w:spacing w:after="0"/>
              <w:ind w:left="720"/>
              <w:jc w:val="both"/>
              <w:rPr>
                <w:rFonts w:ascii="Calibri" w:hAnsi="Calibri" w:cs="Arial"/>
                <w:b/>
                <w:color w:val="009966"/>
                <w:sz w:val="22"/>
                <w:szCs w:val="22"/>
                <w:lang w:eastAsia="en-US"/>
              </w:rPr>
            </w:pPr>
          </w:p>
        </w:tc>
      </w:tr>
      <w:tr w:rsidR="00F425B3" w:rsidRPr="0005750A" w14:paraId="52363580" w14:textId="77777777" w:rsidTr="005B293F">
        <w:tc>
          <w:tcPr>
            <w:tcW w:w="10093" w:type="dxa"/>
            <w:shd w:val="clear" w:color="auto" w:fill="595959"/>
          </w:tcPr>
          <w:p w14:paraId="4F643446" w14:textId="56DBA349" w:rsidR="00F425B3" w:rsidRPr="0005750A" w:rsidRDefault="00F425B3" w:rsidP="00F425B3">
            <w:pPr>
              <w:spacing w:after="0" w:line="276" w:lineRule="auto"/>
              <w:rPr>
                <w:rFonts w:ascii="Calibri" w:hAnsi="Calibri" w:cs="Arial"/>
                <w:b/>
                <w:color w:val="F79646" w:themeColor="accent6"/>
                <w:sz w:val="22"/>
                <w:szCs w:val="22"/>
              </w:rPr>
            </w:pPr>
            <w:r w:rsidRPr="0005750A">
              <w:rPr>
                <w:rFonts w:ascii="Calibri" w:hAnsi="Calibri" w:cs="Arial"/>
                <w:b/>
                <w:color w:val="F79646" w:themeColor="accent6"/>
                <w:sz w:val="22"/>
                <w:szCs w:val="22"/>
              </w:rPr>
              <w:t>3</w:t>
            </w:r>
            <w:r w:rsidRPr="0005750A">
              <w:rPr>
                <w:rFonts w:ascii="Calibri" w:hAnsi="Calibri" w:cs="Arial"/>
                <w:color w:val="F79646" w:themeColor="accent6"/>
                <w:sz w:val="22"/>
                <w:szCs w:val="22"/>
              </w:rPr>
              <w:t>.</w:t>
            </w:r>
            <w:r w:rsidRPr="0005750A">
              <w:rPr>
                <w:rFonts w:ascii="Calibri" w:hAnsi="Calibri" w:cs="Arial"/>
                <w:b/>
                <w:color w:val="F79646" w:themeColor="accent6"/>
                <w:sz w:val="22"/>
                <w:szCs w:val="22"/>
              </w:rPr>
              <w:tab/>
              <w:t>Scope</w:t>
            </w:r>
          </w:p>
        </w:tc>
      </w:tr>
      <w:tr w:rsidR="00F425B3" w:rsidRPr="00404B2E" w14:paraId="0F278F12" w14:textId="77777777" w:rsidTr="005B293F">
        <w:tc>
          <w:tcPr>
            <w:tcW w:w="10093" w:type="dxa"/>
            <w:shd w:val="clear" w:color="auto" w:fill="auto"/>
          </w:tcPr>
          <w:p w14:paraId="768ECE6D" w14:textId="465A09D9" w:rsidR="007B3066" w:rsidRDefault="00536831" w:rsidP="00536831">
            <w:pPr>
              <w:autoSpaceDE w:val="0"/>
              <w:autoSpaceDN w:val="0"/>
              <w:adjustRightInd w:val="0"/>
              <w:spacing w:after="0"/>
              <w:jc w:val="both"/>
              <w:rPr>
                <w:rFonts w:asciiTheme="majorHAnsi" w:eastAsia="Calibri" w:hAnsiTheme="majorHAnsi" w:cstheme="majorHAnsi"/>
                <w:sz w:val="22"/>
                <w:szCs w:val="22"/>
              </w:rPr>
            </w:pPr>
            <w:r w:rsidRPr="00536831">
              <w:rPr>
                <w:rFonts w:asciiTheme="majorHAnsi" w:eastAsia="Calibri" w:hAnsiTheme="majorHAnsi" w:cstheme="majorHAnsi"/>
                <w:sz w:val="22"/>
                <w:szCs w:val="22"/>
              </w:rPr>
              <w:t xml:space="preserve">The Service </w:t>
            </w:r>
            <w:r w:rsidR="00317E94">
              <w:rPr>
                <w:rFonts w:asciiTheme="majorHAnsi" w:eastAsia="Calibri" w:hAnsiTheme="majorHAnsi" w:cstheme="majorHAnsi"/>
                <w:sz w:val="22"/>
                <w:szCs w:val="22"/>
              </w:rPr>
              <w:t>will support and enable primary care practices</w:t>
            </w:r>
            <w:r w:rsidRPr="00536831">
              <w:rPr>
                <w:rFonts w:asciiTheme="majorHAnsi" w:eastAsia="Calibri" w:hAnsiTheme="majorHAnsi" w:cstheme="majorHAnsi"/>
                <w:sz w:val="22"/>
                <w:szCs w:val="22"/>
              </w:rPr>
              <w:t xml:space="preserve"> </w:t>
            </w:r>
            <w:r w:rsidR="00317E94">
              <w:rPr>
                <w:rFonts w:asciiTheme="majorHAnsi" w:eastAsia="Calibri" w:hAnsiTheme="majorHAnsi" w:cstheme="majorHAnsi"/>
                <w:sz w:val="22"/>
                <w:szCs w:val="22"/>
              </w:rPr>
              <w:t xml:space="preserve">to use </w:t>
            </w:r>
            <w:r w:rsidRPr="00536831">
              <w:rPr>
                <w:rFonts w:asciiTheme="majorHAnsi" w:eastAsia="Calibri" w:hAnsiTheme="majorHAnsi" w:cstheme="majorHAnsi"/>
                <w:sz w:val="22"/>
                <w:szCs w:val="22"/>
              </w:rPr>
              <w:t xml:space="preserve">12-lead ECG as a diagnostic tool in the management of confirmed or suspected cardiovascular disease </w:t>
            </w:r>
            <w:r w:rsidR="00DF6B26">
              <w:rPr>
                <w:rFonts w:asciiTheme="majorHAnsi" w:eastAsia="Calibri" w:hAnsiTheme="majorHAnsi" w:cstheme="majorHAnsi"/>
                <w:sz w:val="22"/>
                <w:szCs w:val="22"/>
              </w:rPr>
              <w:t xml:space="preserve">in </w:t>
            </w:r>
            <w:r w:rsidRPr="00536831">
              <w:rPr>
                <w:rFonts w:asciiTheme="majorHAnsi" w:eastAsia="Calibri" w:hAnsiTheme="majorHAnsi" w:cstheme="majorHAnsi"/>
                <w:sz w:val="22"/>
                <w:szCs w:val="22"/>
              </w:rPr>
              <w:t>primary care setting</w:t>
            </w:r>
            <w:r w:rsidR="00DF6B26">
              <w:rPr>
                <w:rFonts w:asciiTheme="majorHAnsi" w:eastAsia="Calibri" w:hAnsiTheme="majorHAnsi" w:cstheme="majorHAnsi"/>
                <w:sz w:val="22"/>
                <w:szCs w:val="22"/>
              </w:rPr>
              <w:t xml:space="preserve">s.  </w:t>
            </w:r>
          </w:p>
          <w:p w14:paraId="0738B103" w14:textId="77777777" w:rsidR="00724DBF" w:rsidRPr="00536831" w:rsidRDefault="00724DBF" w:rsidP="00536831">
            <w:pPr>
              <w:autoSpaceDE w:val="0"/>
              <w:autoSpaceDN w:val="0"/>
              <w:adjustRightInd w:val="0"/>
              <w:spacing w:after="0"/>
              <w:jc w:val="both"/>
              <w:rPr>
                <w:rFonts w:asciiTheme="majorHAnsi" w:eastAsia="Calibri" w:hAnsiTheme="majorHAnsi" w:cstheme="majorHAnsi"/>
                <w:sz w:val="22"/>
                <w:szCs w:val="22"/>
              </w:rPr>
            </w:pPr>
          </w:p>
          <w:p w14:paraId="750A38FD" w14:textId="4ED38FA2" w:rsidR="00536831" w:rsidRDefault="00536831" w:rsidP="00536831">
            <w:pPr>
              <w:autoSpaceDE w:val="0"/>
              <w:autoSpaceDN w:val="0"/>
              <w:adjustRightInd w:val="0"/>
              <w:spacing w:after="0"/>
              <w:jc w:val="both"/>
              <w:rPr>
                <w:rFonts w:asciiTheme="majorHAnsi" w:eastAsia="Calibri" w:hAnsiTheme="majorHAnsi" w:cstheme="majorHAnsi"/>
                <w:b/>
                <w:bCs/>
                <w:sz w:val="22"/>
                <w:szCs w:val="22"/>
              </w:rPr>
            </w:pPr>
            <w:r w:rsidRPr="00536831">
              <w:rPr>
                <w:rFonts w:asciiTheme="majorHAnsi" w:eastAsia="Calibri" w:hAnsiTheme="majorHAnsi" w:cstheme="majorHAnsi"/>
                <w:sz w:val="22"/>
                <w:szCs w:val="22"/>
              </w:rPr>
              <w:t xml:space="preserve">3.1   </w:t>
            </w:r>
            <w:r w:rsidRPr="00DF6B26">
              <w:rPr>
                <w:rFonts w:asciiTheme="majorHAnsi" w:eastAsia="Calibri" w:hAnsiTheme="majorHAnsi" w:cstheme="majorHAnsi"/>
                <w:b/>
                <w:bCs/>
                <w:sz w:val="22"/>
                <w:szCs w:val="22"/>
              </w:rPr>
              <w:t>Aim</w:t>
            </w:r>
            <w:r w:rsidR="00DF6B26" w:rsidRPr="00DF6B26">
              <w:rPr>
                <w:rFonts w:asciiTheme="majorHAnsi" w:eastAsia="Calibri" w:hAnsiTheme="majorHAnsi" w:cstheme="majorHAnsi"/>
                <w:b/>
                <w:bCs/>
                <w:sz w:val="22"/>
                <w:szCs w:val="22"/>
              </w:rPr>
              <w:t>s and objectives of service</w:t>
            </w:r>
          </w:p>
          <w:p w14:paraId="253A0A7A" w14:textId="22BE645C" w:rsidR="00DF6B26" w:rsidRPr="00536831" w:rsidRDefault="00DF6B26" w:rsidP="00B94DE7">
            <w:pPr>
              <w:autoSpaceDE w:val="0"/>
              <w:autoSpaceDN w:val="0"/>
              <w:adjustRightInd w:val="0"/>
              <w:spacing w:after="120"/>
              <w:jc w:val="both"/>
              <w:rPr>
                <w:rFonts w:asciiTheme="majorHAnsi" w:eastAsia="Calibri" w:hAnsiTheme="majorHAnsi" w:cstheme="majorHAnsi"/>
                <w:sz w:val="22"/>
                <w:szCs w:val="22"/>
              </w:rPr>
            </w:pPr>
            <w:r>
              <w:rPr>
                <w:rFonts w:asciiTheme="majorHAnsi" w:eastAsia="Calibri" w:hAnsiTheme="majorHAnsi" w:cstheme="majorHAnsi"/>
                <w:sz w:val="22"/>
                <w:szCs w:val="22"/>
              </w:rPr>
              <w:t>This service specification aims to:</w:t>
            </w:r>
          </w:p>
          <w:p w14:paraId="4EF54C2C" w14:textId="59652D11" w:rsidR="00907E1A" w:rsidRDefault="00907E1A" w:rsidP="00D70005">
            <w:pPr>
              <w:pStyle w:val="ListParagraph"/>
              <w:numPr>
                <w:ilvl w:val="0"/>
                <w:numId w:val="7"/>
              </w:numPr>
              <w:autoSpaceDE w:val="0"/>
              <w:autoSpaceDN w:val="0"/>
              <w:adjustRightInd w:val="0"/>
              <w:jc w:val="both"/>
              <w:rPr>
                <w:rFonts w:asciiTheme="majorHAnsi" w:eastAsia="Calibri" w:hAnsiTheme="majorHAnsi" w:cstheme="majorHAnsi"/>
                <w:sz w:val="22"/>
                <w:szCs w:val="22"/>
              </w:rPr>
            </w:pPr>
            <w:r>
              <w:rPr>
                <w:rFonts w:asciiTheme="majorHAnsi" w:eastAsia="Calibri" w:hAnsiTheme="majorHAnsi" w:cstheme="majorHAnsi"/>
                <w:sz w:val="22"/>
                <w:szCs w:val="22"/>
              </w:rPr>
              <w:t xml:space="preserve">Assist GPs in making appropriate diagnosis and treatment of cardiac conditions in primary care settings. </w:t>
            </w:r>
          </w:p>
          <w:p w14:paraId="24392C76" w14:textId="5C5F3D16" w:rsidR="00536831" w:rsidRPr="00536831" w:rsidRDefault="00684C8A" w:rsidP="00D70005">
            <w:pPr>
              <w:pStyle w:val="ListParagraph"/>
              <w:numPr>
                <w:ilvl w:val="0"/>
                <w:numId w:val="7"/>
              </w:numPr>
              <w:autoSpaceDE w:val="0"/>
              <w:autoSpaceDN w:val="0"/>
              <w:adjustRightInd w:val="0"/>
              <w:jc w:val="both"/>
              <w:rPr>
                <w:rFonts w:asciiTheme="majorHAnsi" w:eastAsia="Calibri" w:hAnsiTheme="majorHAnsi" w:cstheme="majorHAnsi"/>
                <w:sz w:val="22"/>
                <w:szCs w:val="22"/>
              </w:rPr>
            </w:pPr>
            <w:r>
              <w:rPr>
                <w:rFonts w:asciiTheme="majorHAnsi" w:eastAsia="Calibri" w:hAnsiTheme="majorHAnsi" w:cstheme="majorHAnsi"/>
                <w:sz w:val="22"/>
                <w:szCs w:val="22"/>
              </w:rPr>
              <w:t>Assist GPs in managing patients in a primary care setting and avoiding unnecessary referrals</w:t>
            </w:r>
          </w:p>
          <w:p w14:paraId="406B69BB" w14:textId="5A8729E3" w:rsidR="00536831" w:rsidRPr="00536831" w:rsidRDefault="00E4017D" w:rsidP="00D70005">
            <w:pPr>
              <w:pStyle w:val="ListParagraph"/>
              <w:numPr>
                <w:ilvl w:val="0"/>
                <w:numId w:val="7"/>
              </w:numPr>
              <w:autoSpaceDE w:val="0"/>
              <w:autoSpaceDN w:val="0"/>
              <w:adjustRightInd w:val="0"/>
              <w:jc w:val="both"/>
              <w:rPr>
                <w:rFonts w:asciiTheme="majorHAnsi" w:eastAsia="Calibri" w:hAnsiTheme="majorHAnsi" w:cstheme="majorHAnsi"/>
                <w:sz w:val="22"/>
                <w:szCs w:val="22"/>
              </w:rPr>
            </w:pPr>
            <w:r>
              <w:rPr>
                <w:rFonts w:asciiTheme="majorHAnsi" w:eastAsia="Calibri" w:hAnsiTheme="majorHAnsi" w:cstheme="majorHAnsi"/>
                <w:sz w:val="22"/>
                <w:szCs w:val="22"/>
              </w:rPr>
              <w:t>I</w:t>
            </w:r>
            <w:r w:rsidR="00536831" w:rsidRPr="00536831">
              <w:rPr>
                <w:rFonts w:asciiTheme="majorHAnsi" w:eastAsia="Calibri" w:hAnsiTheme="majorHAnsi" w:cstheme="majorHAnsi"/>
                <w:sz w:val="22"/>
                <w:szCs w:val="22"/>
              </w:rPr>
              <w:t xml:space="preserve">mprove the detection of atrial fibrillation in primary care. </w:t>
            </w:r>
          </w:p>
          <w:p w14:paraId="35CDF998" w14:textId="7E884985" w:rsidR="00D51FD0" w:rsidRPr="00536831" w:rsidRDefault="00D51FD0" w:rsidP="00D70005">
            <w:pPr>
              <w:pStyle w:val="ListParagraph"/>
              <w:numPr>
                <w:ilvl w:val="0"/>
                <w:numId w:val="7"/>
              </w:numPr>
              <w:autoSpaceDE w:val="0"/>
              <w:autoSpaceDN w:val="0"/>
              <w:adjustRightInd w:val="0"/>
              <w:jc w:val="both"/>
              <w:rPr>
                <w:rFonts w:asciiTheme="majorHAnsi" w:eastAsia="Calibri" w:hAnsiTheme="majorHAnsi" w:cstheme="majorHAnsi"/>
                <w:sz w:val="22"/>
                <w:szCs w:val="22"/>
              </w:rPr>
            </w:pPr>
            <w:r>
              <w:rPr>
                <w:rFonts w:asciiTheme="majorHAnsi" w:eastAsia="Calibri" w:hAnsiTheme="majorHAnsi" w:cstheme="majorHAnsi"/>
                <w:sz w:val="22"/>
                <w:szCs w:val="22"/>
              </w:rPr>
              <w:t>Ensure safe monitoring and prescribing.</w:t>
            </w:r>
          </w:p>
          <w:p w14:paraId="443F7759" w14:textId="77777777" w:rsidR="00536831" w:rsidRPr="00536831" w:rsidRDefault="00536831" w:rsidP="00536831">
            <w:pPr>
              <w:autoSpaceDE w:val="0"/>
              <w:autoSpaceDN w:val="0"/>
              <w:adjustRightInd w:val="0"/>
              <w:spacing w:after="0"/>
              <w:jc w:val="both"/>
              <w:rPr>
                <w:rFonts w:asciiTheme="majorHAnsi" w:eastAsia="Calibri" w:hAnsiTheme="majorHAnsi" w:cstheme="majorHAnsi"/>
                <w:sz w:val="22"/>
                <w:szCs w:val="22"/>
              </w:rPr>
            </w:pPr>
          </w:p>
          <w:p w14:paraId="51D27237" w14:textId="5466BA47" w:rsidR="00536831" w:rsidRDefault="00536831" w:rsidP="00536831">
            <w:pPr>
              <w:autoSpaceDE w:val="0"/>
              <w:autoSpaceDN w:val="0"/>
              <w:adjustRightInd w:val="0"/>
              <w:spacing w:after="0"/>
              <w:jc w:val="both"/>
              <w:rPr>
                <w:rFonts w:asciiTheme="majorHAnsi" w:eastAsia="Calibri" w:hAnsiTheme="majorHAnsi" w:cstheme="majorHAnsi"/>
                <w:b/>
                <w:bCs/>
                <w:sz w:val="22"/>
                <w:szCs w:val="22"/>
              </w:rPr>
            </w:pPr>
            <w:r w:rsidRPr="00536831">
              <w:rPr>
                <w:rFonts w:asciiTheme="majorHAnsi" w:eastAsia="Calibri" w:hAnsiTheme="majorHAnsi" w:cstheme="majorHAnsi"/>
                <w:sz w:val="22"/>
                <w:szCs w:val="22"/>
              </w:rPr>
              <w:t xml:space="preserve">3.2   </w:t>
            </w:r>
            <w:r w:rsidRPr="00595D76">
              <w:rPr>
                <w:rFonts w:asciiTheme="majorHAnsi" w:eastAsia="Calibri" w:hAnsiTheme="majorHAnsi" w:cstheme="majorHAnsi"/>
                <w:b/>
                <w:bCs/>
                <w:sz w:val="22"/>
                <w:szCs w:val="22"/>
              </w:rPr>
              <w:t>Service description/care pathway</w:t>
            </w:r>
          </w:p>
          <w:p w14:paraId="4BE0605F" w14:textId="191A5B43" w:rsidR="00606CDF" w:rsidRDefault="00606CDF" w:rsidP="00606CDF">
            <w:pPr>
              <w:autoSpaceDE w:val="0"/>
              <w:autoSpaceDN w:val="0"/>
              <w:adjustRightInd w:val="0"/>
              <w:spacing w:after="0"/>
              <w:jc w:val="both"/>
              <w:rPr>
                <w:rFonts w:asciiTheme="majorHAnsi" w:eastAsia="Calibri" w:hAnsiTheme="majorHAnsi" w:cstheme="majorHAnsi"/>
                <w:sz w:val="22"/>
                <w:szCs w:val="22"/>
              </w:rPr>
            </w:pPr>
            <w:r>
              <w:rPr>
                <w:rFonts w:asciiTheme="majorHAnsi" w:eastAsia="Calibri" w:hAnsiTheme="majorHAnsi" w:cstheme="majorHAnsi"/>
                <w:sz w:val="22"/>
                <w:szCs w:val="22"/>
              </w:rPr>
              <w:t>Actual ECG testing will be delivered at practice level by GP practice teams</w:t>
            </w:r>
            <w:r w:rsidR="009455C1">
              <w:rPr>
                <w:rFonts w:asciiTheme="majorHAnsi" w:eastAsia="Calibri" w:hAnsiTheme="majorHAnsi" w:cstheme="majorHAnsi"/>
                <w:sz w:val="22"/>
                <w:szCs w:val="22"/>
              </w:rPr>
              <w:t xml:space="preserve"> in </w:t>
            </w:r>
            <w:r>
              <w:rPr>
                <w:rFonts w:asciiTheme="majorHAnsi" w:eastAsia="Calibri" w:hAnsiTheme="majorHAnsi" w:cstheme="majorHAnsi"/>
                <w:sz w:val="22"/>
                <w:szCs w:val="22"/>
              </w:rPr>
              <w:t>suitable location</w:t>
            </w:r>
            <w:r w:rsidR="009455C1">
              <w:rPr>
                <w:rFonts w:asciiTheme="majorHAnsi" w:eastAsia="Calibri" w:hAnsiTheme="majorHAnsi" w:cstheme="majorHAnsi"/>
                <w:sz w:val="22"/>
                <w:szCs w:val="22"/>
              </w:rPr>
              <w:t>s</w:t>
            </w:r>
            <w:r>
              <w:rPr>
                <w:rFonts w:asciiTheme="majorHAnsi" w:eastAsia="Calibri" w:hAnsiTheme="majorHAnsi" w:cstheme="majorHAnsi"/>
                <w:sz w:val="22"/>
                <w:szCs w:val="22"/>
              </w:rPr>
              <w:t xml:space="preserve"> expected to be within the practice premises but may also include supporting patients within a domiciliary and/or residential setting. </w:t>
            </w:r>
            <w:r w:rsidRPr="00595D76">
              <w:rPr>
                <w:rFonts w:asciiTheme="majorHAnsi" w:eastAsia="Calibri" w:hAnsiTheme="majorHAnsi" w:cstheme="majorHAnsi"/>
                <w:sz w:val="22"/>
                <w:szCs w:val="22"/>
              </w:rPr>
              <w:t xml:space="preserve"> </w:t>
            </w:r>
            <w:r>
              <w:rPr>
                <w:rFonts w:asciiTheme="majorHAnsi" w:eastAsia="Calibri" w:hAnsiTheme="majorHAnsi" w:cstheme="majorHAnsi"/>
                <w:sz w:val="22"/>
                <w:szCs w:val="22"/>
              </w:rPr>
              <w:t>This element is outside the scope of the contract, i.e. is delivered by GP practices.</w:t>
            </w:r>
          </w:p>
          <w:p w14:paraId="076A017A" w14:textId="77777777" w:rsidR="00606CDF" w:rsidRDefault="00606CDF" w:rsidP="00536831">
            <w:pPr>
              <w:autoSpaceDE w:val="0"/>
              <w:autoSpaceDN w:val="0"/>
              <w:adjustRightInd w:val="0"/>
              <w:spacing w:after="0"/>
              <w:jc w:val="both"/>
              <w:rPr>
                <w:rFonts w:asciiTheme="majorHAnsi" w:eastAsia="Calibri" w:hAnsiTheme="majorHAnsi" w:cstheme="majorHAnsi"/>
                <w:sz w:val="22"/>
                <w:szCs w:val="22"/>
                <w:u w:val="single"/>
              </w:rPr>
            </w:pPr>
          </w:p>
          <w:p w14:paraId="62951C8E" w14:textId="77777777" w:rsidR="00606CDF" w:rsidRDefault="00606CDF" w:rsidP="00536831">
            <w:pPr>
              <w:autoSpaceDE w:val="0"/>
              <w:autoSpaceDN w:val="0"/>
              <w:adjustRightInd w:val="0"/>
              <w:spacing w:after="0"/>
              <w:jc w:val="both"/>
              <w:rPr>
                <w:rFonts w:asciiTheme="majorHAnsi" w:eastAsia="Calibri" w:hAnsiTheme="majorHAnsi" w:cstheme="majorHAnsi"/>
                <w:sz w:val="22"/>
                <w:szCs w:val="22"/>
                <w:u w:val="single"/>
              </w:rPr>
            </w:pPr>
            <w:r>
              <w:rPr>
                <w:rFonts w:asciiTheme="majorHAnsi" w:eastAsia="Calibri" w:hAnsiTheme="majorHAnsi" w:cstheme="majorHAnsi"/>
                <w:sz w:val="22"/>
                <w:szCs w:val="22"/>
                <w:u w:val="single"/>
              </w:rPr>
              <w:lastRenderedPageBreak/>
              <w:t>The elements of service to be delivered by the provider consists of 3 elements:</w:t>
            </w:r>
          </w:p>
          <w:p w14:paraId="08C7585A" w14:textId="0D7D2A2C" w:rsidR="00606CDF" w:rsidRDefault="00606CDF" w:rsidP="00D70005">
            <w:pPr>
              <w:pStyle w:val="ListParagraph"/>
              <w:numPr>
                <w:ilvl w:val="0"/>
                <w:numId w:val="15"/>
              </w:numPr>
              <w:autoSpaceDE w:val="0"/>
              <w:autoSpaceDN w:val="0"/>
              <w:adjustRightInd w:val="0"/>
              <w:jc w:val="both"/>
              <w:rPr>
                <w:rFonts w:asciiTheme="majorHAnsi" w:eastAsia="Calibri" w:hAnsiTheme="majorHAnsi" w:cstheme="majorHAnsi"/>
                <w:sz w:val="22"/>
                <w:szCs w:val="22"/>
                <w:u w:val="single"/>
              </w:rPr>
            </w:pPr>
            <w:r>
              <w:rPr>
                <w:rFonts w:asciiTheme="majorHAnsi" w:eastAsia="Calibri" w:hAnsiTheme="majorHAnsi" w:cstheme="majorHAnsi"/>
                <w:sz w:val="22"/>
                <w:szCs w:val="22"/>
                <w:u w:val="single"/>
              </w:rPr>
              <w:t>(a) Provision of ECG equipment</w:t>
            </w:r>
          </w:p>
          <w:p w14:paraId="72D1680F" w14:textId="15C7A524" w:rsidR="00606CDF" w:rsidRDefault="00606CDF" w:rsidP="00D70005">
            <w:pPr>
              <w:pStyle w:val="ListParagraph"/>
              <w:numPr>
                <w:ilvl w:val="0"/>
                <w:numId w:val="15"/>
              </w:numPr>
              <w:autoSpaceDE w:val="0"/>
              <w:autoSpaceDN w:val="0"/>
              <w:adjustRightInd w:val="0"/>
              <w:jc w:val="both"/>
              <w:rPr>
                <w:rFonts w:asciiTheme="majorHAnsi" w:eastAsia="Calibri" w:hAnsiTheme="majorHAnsi" w:cstheme="majorHAnsi"/>
                <w:sz w:val="22"/>
                <w:szCs w:val="22"/>
                <w:u w:val="single"/>
              </w:rPr>
            </w:pPr>
            <w:r>
              <w:rPr>
                <w:rFonts w:asciiTheme="majorHAnsi" w:eastAsia="Calibri" w:hAnsiTheme="majorHAnsi" w:cstheme="majorHAnsi"/>
                <w:sz w:val="22"/>
                <w:szCs w:val="22"/>
                <w:u w:val="single"/>
              </w:rPr>
              <w:t>(b) Staff training</w:t>
            </w:r>
          </w:p>
          <w:p w14:paraId="07AD2C7D" w14:textId="0D6B29AF" w:rsidR="00606CDF" w:rsidRPr="00606CDF" w:rsidRDefault="00606CDF" w:rsidP="00D70005">
            <w:pPr>
              <w:pStyle w:val="ListParagraph"/>
              <w:numPr>
                <w:ilvl w:val="0"/>
                <w:numId w:val="15"/>
              </w:numPr>
              <w:autoSpaceDE w:val="0"/>
              <w:autoSpaceDN w:val="0"/>
              <w:adjustRightInd w:val="0"/>
              <w:jc w:val="both"/>
              <w:rPr>
                <w:rFonts w:asciiTheme="majorHAnsi" w:eastAsia="Calibri" w:hAnsiTheme="majorHAnsi" w:cstheme="majorHAnsi"/>
                <w:sz w:val="22"/>
                <w:szCs w:val="22"/>
                <w:u w:val="single"/>
              </w:rPr>
            </w:pPr>
            <w:r>
              <w:rPr>
                <w:rFonts w:asciiTheme="majorHAnsi" w:eastAsia="Calibri" w:hAnsiTheme="majorHAnsi" w:cstheme="majorHAnsi"/>
                <w:sz w:val="22"/>
                <w:szCs w:val="22"/>
                <w:u w:val="single"/>
              </w:rPr>
              <w:t>(c) ECG interpretation and reporting</w:t>
            </w:r>
          </w:p>
          <w:p w14:paraId="12A63E95" w14:textId="77777777" w:rsidR="00606CDF" w:rsidRDefault="00606CDF" w:rsidP="00536831">
            <w:pPr>
              <w:autoSpaceDE w:val="0"/>
              <w:autoSpaceDN w:val="0"/>
              <w:adjustRightInd w:val="0"/>
              <w:spacing w:after="0"/>
              <w:jc w:val="both"/>
              <w:rPr>
                <w:rFonts w:asciiTheme="majorHAnsi" w:eastAsia="Calibri" w:hAnsiTheme="majorHAnsi" w:cstheme="majorHAnsi"/>
                <w:sz w:val="22"/>
                <w:szCs w:val="22"/>
                <w:u w:val="single"/>
              </w:rPr>
            </w:pPr>
          </w:p>
          <w:p w14:paraId="56CFC7E9" w14:textId="6E0CEB0D" w:rsidR="00606CDF" w:rsidRDefault="00606CDF" w:rsidP="00606CDF">
            <w:pPr>
              <w:autoSpaceDE w:val="0"/>
              <w:autoSpaceDN w:val="0"/>
              <w:adjustRightInd w:val="0"/>
              <w:spacing w:after="0"/>
              <w:jc w:val="both"/>
              <w:rPr>
                <w:rFonts w:asciiTheme="majorHAnsi" w:eastAsia="Calibri" w:hAnsiTheme="majorHAnsi" w:cstheme="majorHAnsi"/>
                <w:sz w:val="22"/>
                <w:szCs w:val="22"/>
              </w:rPr>
            </w:pPr>
            <w:r>
              <w:rPr>
                <w:rFonts w:asciiTheme="majorHAnsi" w:eastAsia="Calibri" w:hAnsiTheme="majorHAnsi" w:cstheme="majorHAnsi"/>
                <w:sz w:val="22"/>
                <w:szCs w:val="22"/>
              </w:rPr>
              <w:t>Note: Merton and Wandsworth CCGs have different requirements, based on the expectation that Wandsworth CCG GP practices will continue to procure and maintain their own ECG equipment. Additionally, a proportion of ECG interpretation within Wandsworth will be completed by GP practice staff themselves, with a reduced volume of ECG traces requiring interpretation and reporting by the provider. The following table sets out relevant indicate metrics.</w:t>
            </w:r>
          </w:p>
          <w:p w14:paraId="4BE98858" w14:textId="77777777" w:rsidR="00606CDF" w:rsidRPr="009455C1" w:rsidRDefault="00606CDF" w:rsidP="00536831">
            <w:pPr>
              <w:autoSpaceDE w:val="0"/>
              <w:autoSpaceDN w:val="0"/>
              <w:adjustRightInd w:val="0"/>
              <w:spacing w:after="0"/>
              <w:jc w:val="both"/>
              <w:rPr>
                <w:rFonts w:asciiTheme="majorHAnsi" w:eastAsia="Calibri" w:hAnsiTheme="majorHAnsi" w:cstheme="majorHAnsi"/>
                <w:sz w:val="22"/>
                <w:szCs w:val="22"/>
                <w:u w:val="single"/>
              </w:rPr>
            </w:pPr>
          </w:p>
          <w:p w14:paraId="04051F5F" w14:textId="6CAC864A" w:rsidR="00595D76" w:rsidRPr="009455C1" w:rsidRDefault="00595D76" w:rsidP="00D70005">
            <w:pPr>
              <w:pStyle w:val="ListParagraph"/>
              <w:numPr>
                <w:ilvl w:val="0"/>
                <w:numId w:val="16"/>
              </w:numPr>
              <w:autoSpaceDE w:val="0"/>
              <w:autoSpaceDN w:val="0"/>
              <w:adjustRightInd w:val="0"/>
              <w:ind w:left="1080"/>
              <w:jc w:val="both"/>
              <w:rPr>
                <w:rFonts w:asciiTheme="majorHAnsi" w:eastAsia="Calibri" w:hAnsiTheme="majorHAnsi" w:cstheme="majorHAnsi"/>
                <w:sz w:val="22"/>
                <w:szCs w:val="22"/>
                <w:u w:val="single"/>
              </w:rPr>
            </w:pPr>
            <w:r w:rsidRPr="009455C1">
              <w:rPr>
                <w:rFonts w:asciiTheme="majorHAnsi" w:eastAsia="Calibri" w:hAnsiTheme="majorHAnsi" w:cstheme="majorHAnsi"/>
                <w:sz w:val="22"/>
                <w:szCs w:val="22"/>
                <w:u w:val="single"/>
              </w:rPr>
              <w:t xml:space="preserve">ECG </w:t>
            </w:r>
            <w:r w:rsidR="000F4F07" w:rsidRPr="009455C1">
              <w:rPr>
                <w:rFonts w:asciiTheme="majorHAnsi" w:eastAsia="Calibri" w:hAnsiTheme="majorHAnsi" w:cstheme="majorHAnsi"/>
                <w:sz w:val="22"/>
                <w:szCs w:val="22"/>
                <w:u w:val="single"/>
              </w:rPr>
              <w:t xml:space="preserve">Equipment </w:t>
            </w:r>
            <w:r w:rsidR="00317E94" w:rsidRPr="009455C1">
              <w:rPr>
                <w:rFonts w:asciiTheme="majorHAnsi" w:eastAsia="Calibri" w:hAnsiTheme="majorHAnsi" w:cstheme="majorHAnsi"/>
                <w:sz w:val="22"/>
                <w:szCs w:val="22"/>
                <w:u w:val="single"/>
              </w:rPr>
              <w:t>(Merton only)</w:t>
            </w:r>
          </w:p>
          <w:p w14:paraId="03F94A1D" w14:textId="25EE3F4C" w:rsidR="00595D76" w:rsidRPr="009455C1" w:rsidRDefault="00595D76" w:rsidP="009455C1">
            <w:pPr>
              <w:autoSpaceDE w:val="0"/>
              <w:autoSpaceDN w:val="0"/>
              <w:adjustRightInd w:val="0"/>
              <w:spacing w:after="0"/>
              <w:ind w:left="720"/>
              <w:jc w:val="both"/>
              <w:rPr>
                <w:rFonts w:asciiTheme="majorHAnsi" w:eastAsia="Calibri" w:hAnsiTheme="majorHAnsi" w:cstheme="majorHAnsi"/>
                <w:sz w:val="22"/>
                <w:szCs w:val="22"/>
              </w:rPr>
            </w:pPr>
            <w:r w:rsidRPr="009455C1">
              <w:rPr>
                <w:rFonts w:asciiTheme="majorHAnsi" w:eastAsia="Calibri" w:hAnsiTheme="majorHAnsi" w:cstheme="majorHAnsi"/>
                <w:sz w:val="22"/>
                <w:szCs w:val="22"/>
              </w:rPr>
              <w:t>The ECG diagnostic service provider will provide the ECG monitoring equipment for GPs</w:t>
            </w:r>
            <w:r w:rsidR="009455C1" w:rsidRPr="009455C1">
              <w:rPr>
                <w:rFonts w:asciiTheme="majorHAnsi" w:eastAsia="Calibri" w:hAnsiTheme="majorHAnsi" w:cstheme="majorHAnsi"/>
                <w:sz w:val="22"/>
                <w:szCs w:val="22"/>
              </w:rPr>
              <w:t xml:space="preserve">, including the provision of </w:t>
            </w:r>
            <w:r w:rsidRPr="009455C1">
              <w:rPr>
                <w:rFonts w:asciiTheme="majorHAnsi" w:eastAsia="Calibri" w:hAnsiTheme="majorHAnsi" w:cstheme="majorHAnsi"/>
                <w:sz w:val="22"/>
                <w:szCs w:val="22"/>
              </w:rPr>
              <w:t xml:space="preserve">consumables. </w:t>
            </w:r>
          </w:p>
          <w:p w14:paraId="447AA78A" w14:textId="77777777" w:rsidR="00606CDF" w:rsidRPr="009455C1" w:rsidRDefault="00606CDF" w:rsidP="009455C1">
            <w:pPr>
              <w:autoSpaceDE w:val="0"/>
              <w:autoSpaceDN w:val="0"/>
              <w:adjustRightInd w:val="0"/>
              <w:spacing w:after="0"/>
              <w:ind w:left="720"/>
              <w:jc w:val="both"/>
              <w:rPr>
                <w:rFonts w:asciiTheme="majorHAnsi" w:eastAsia="Calibri" w:hAnsiTheme="majorHAnsi" w:cstheme="majorHAnsi"/>
                <w:sz w:val="22"/>
                <w:szCs w:val="22"/>
              </w:rPr>
            </w:pPr>
          </w:p>
          <w:p w14:paraId="307A3DD6" w14:textId="31A8AFF5" w:rsidR="00606CDF" w:rsidRPr="009455C1" w:rsidRDefault="00606CDF" w:rsidP="00D70005">
            <w:pPr>
              <w:pStyle w:val="ListParagraph"/>
              <w:numPr>
                <w:ilvl w:val="0"/>
                <w:numId w:val="16"/>
              </w:numPr>
              <w:autoSpaceDE w:val="0"/>
              <w:autoSpaceDN w:val="0"/>
              <w:adjustRightInd w:val="0"/>
              <w:ind w:left="1080"/>
              <w:jc w:val="both"/>
              <w:rPr>
                <w:rFonts w:asciiTheme="majorHAnsi" w:eastAsia="Calibri" w:hAnsiTheme="majorHAnsi" w:cstheme="majorHAnsi"/>
                <w:sz w:val="22"/>
                <w:szCs w:val="22"/>
                <w:u w:val="single"/>
              </w:rPr>
            </w:pPr>
            <w:r w:rsidRPr="009455C1">
              <w:rPr>
                <w:rFonts w:asciiTheme="majorHAnsi" w:eastAsia="Calibri" w:hAnsiTheme="majorHAnsi" w:cstheme="majorHAnsi"/>
                <w:sz w:val="22"/>
                <w:szCs w:val="22"/>
                <w:u w:val="single"/>
              </w:rPr>
              <w:t>Staff Training</w:t>
            </w:r>
            <w:r w:rsidR="00317E94" w:rsidRPr="009455C1">
              <w:rPr>
                <w:rFonts w:asciiTheme="majorHAnsi" w:eastAsia="Calibri" w:hAnsiTheme="majorHAnsi" w:cstheme="majorHAnsi"/>
                <w:sz w:val="22"/>
                <w:szCs w:val="22"/>
                <w:u w:val="single"/>
              </w:rPr>
              <w:t xml:space="preserve"> (both CCGs)</w:t>
            </w:r>
          </w:p>
          <w:p w14:paraId="421BA2D7" w14:textId="56C1E1F3" w:rsidR="005D743C" w:rsidRPr="009455C1" w:rsidRDefault="00317E94" w:rsidP="009455C1">
            <w:pPr>
              <w:autoSpaceDE w:val="0"/>
              <w:autoSpaceDN w:val="0"/>
              <w:adjustRightInd w:val="0"/>
              <w:spacing w:after="0"/>
              <w:ind w:left="720"/>
              <w:jc w:val="both"/>
              <w:rPr>
                <w:rFonts w:asciiTheme="majorHAnsi" w:eastAsia="Calibri" w:hAnsiTheme="majorHAnsi" w:cstheme="majorHAnsi"/>
                <w:sz w:val="22"/>
                <w:szCs w:val="22"/>
              </w:rPr>
            </w:pPr>
            <w:r w:rsidRPr="009455C1">
              <w:rPr>
                <w:rFonts w:asciiTheme="majorHAnsi" w:eastAsia="Calibri" w:hAnsiTheme="majorHAnsi" w:cstheme="majorHAnsi"/>
                <w:sz w:val="22"/>
                <w:szCs w:val="22"/>
              </w:rPr>
              <w:t>The provider will provide training and support to primary care staff (nurses, healthcare assistants, GPs)</w:t>
            </w:r>
            <w:r w:rsidR="00724DBF">
              <w:rPr>
                <w:rFonts w:asciiTheme="majorHAnsi" w:eastAsia="Calibri" w:hAnsiTheme="majorHAnsi" w:cstheme="majorHAnsi"/>
                <w:sz w:val="22"/>
                <w:szCs w:val="22"/>
              </w:rPr>
              <w:t xml:space="preserve"> who</w:t>
            </w:r>
            <w:r w:rsidRPr="009455C1">
              <w:rPr>
                <w:rFonts w:asciiTheme="majorHAnsi" w:eastAsia="Calibri" w:hAnsiTheme="majorHAnsi" w:cstheme="majorHAnsi"/>
                <w:sz w:val="22"/>
                <w:szCs w:val="22"/>
              </w:rPr>
              <w:t xml:space="preserve"> will be expected to carry out ECG tests. </w:t>
            </w:r>
            <w:r w:rsidR="00D51FD0">
              <w:rPr>
                <w:rFonts w:asciiTheme="majorHAnsi" w:eastAsia="Calibri" w:hAnsiTheme="majorHAnsi" w:cstheme="majorHAnsi"/>
                <w:sz w:val="22"/>
                <w:szCs w:val="22"/>
              </w:rPr>
              <w:t>Training will include safe requesting and dealing with abnormal results.</w:t>
            </w:r>
          </w:p>
          <w:p w14:paraId="19C05FC7" w14:textId="5438855B" w:rsidR="00595D76" w:rsidRPr="009455C1" w:rsidRDefault="00595D76" w:rsidP="009455C1">
            <w:pPr>
              <w:autoSpaceDE w:val="0"/>
              <w:autoSpaceDN w:val="0"/>
              <w:adjustRightInd w:val="0"/>
              <w:spacing w:after="0"/>
              <w:ind w:left="720"/>
              <w:jc w:val="both"/>
              <w:rPr>
                <w:rFonts w:asciiTheme="majorHAnsi" w:eastAsia="Calibri" w:hAnsiTheme="majorHAnsi" w:cstheme="majorHAnsi"/>
                <w:sz w:val="22"/>
                <w:szCs w:val="22"/>
              </w:rPr>
            </w:pPr>
          </w:p>
          <w:p w14:paraId="1760E4FA" w14:textId="2F731336" w:rsidR="00595D76" w:rsidRPr="009455C1" w:rsidRDefault="00317E94" w:rsidP="009455C1">
            <w:pPr>
              <w:autoSpaceDE w:val="0"/>
              <w:autoSpaceDN w:val="0"/>
              <w:adjustRightInd w:val="0"/>
              <w:spacing w:after="0"/>
              <w:ind w:left="720"/>
              <w:jc w:val="both"/>
              <w:rPr>
                <w:rFonts w:asciiTheme="majorHAnsi" w:eastAsia="Calibri" w:hAnsiTheme="majorHAnsi" w:cstheme="majorHAnsi"/>
                <w:sz w:val="22"/>
                <w:szCs w:val="22"/>
                <w:u w:val="single"/>
              </w:rPr>
            </w:pPr>
            <w:r w:rsidRPr="009455C1">
              <w:rPr>
                <w:rFonts w:asciiTheme="majorHAnsi" w:eastAsia="Calibri" w:hAnsiTheme="majorHAnsi" w:cstheme="majorHAnsi"/>
                <w:sz w:val="22"/>
                <w:szCs w:val="22"/>
              </w:rPr>
              <w:t>(c)</w:t>
            </w:r>
            <w:r w:rsidRPr="009455C1">
              <w:rPr>
                <w:rFonts w:asciiTheme="majorHAnsi" w:eastAsia="Calibri" w:hAnsiTheme="majorHAnsi" w:cstheme="majorHAnsi"/>
                <w:sz w:val="22"/>
                <w:szCs w:val="22"/>
                <w:u w:val="single"/>
              </w:rPr>
              <w:t xml:space="preserve">  </w:t>
            </w:r>
            <w:r w:rsidR="00595D76" w:rsidRPr="009455C1">
              <w:rPr>
                <w:rFonts w:asciiTheme="majorHAnsi" w:eastAsia="Calibri" w:hAnsiTheme="majorHAnsi" w:cstheme="majorHAnsi"/>
                <w:sz w:val="22"/>
                <w:szCs w:val="22"/>
                <w:u w:val="single"/>
              </w:rPr>
              <w:t>ECG Interpretation &amp; Reporting Service</w:t>
            </w:r>
            <w:r w:rsidRPr="009455C1">
              <w:rPr>
                <w:rFonts w:asciiTheme="majorHAnsi" w:eastAsia="Calibri" w:hAnsiTheme="majorHAnsi" w:cstheme="majorHAnsi"/>
                <w:sz w:val="22"/>
                <w:szCs w:val="22"/>
                <w:u w:val="single"/>
              </w:rPr>
              <w:t xml:space="preserve"> (both CCGs)</w:t>
            </w:r>
            <w:r w:rsidR="000011F3" w:rsidRPr="009455C1">
              <w:rPr>
                <w:rFonts w:asciiTheme="majorHAnsi" w:eastAsia="Calibri" w:hAnsiTheme="majorHAnsi" w:cstheme="majorHAnsi"/>
                <w:sz w:val="22"/>
                <w:szCs w:val="22"/>
                <w:u w:val="single"/>
              </w:rPr>
              <w:t xml:space="preserve"> </w:t>
            </w:r>
          </w:p>
          <w:p w14:paraId="3E9D2540" w14:textId="6DAF2ED2" w:rsidR="000F4F07" w:rsidRDefault="000F4F07" w:rsidP="009455C1">
            <w:pPr>
              <w:autoSpaceDE w:val="0"/>
              <w:autoSpaceDN w:val="0"/>
              <w:adjustRightInd w:val="0"/>
              <w:spacing w:after="0"/>
              <w:ind w:left="720"/>
              <w:jc w:val="both"/>
              <w:rPr>
                <w:rFonts w:asciiTheme="majorHAnsi" w:eastAsia="Calibri" w:hAnsiTheme="majorHAnsi" w:cstheme="majorHAnsi"/>
                <w:sz w:val="22"/>
                <w:szCs w:val="22"/>
              </w:rPr>
            </w:pPr>
            <w:r w:rsidRPr="009455C1">
              <w:rPr>
                <w:rFonts w:asciiTheme="majorHAnsi" w:eastAsia="Calibri" w:hAnsiTheme="majorHAnsi" w:cstheme="majorHAnsi"/>
                <w:sz w:val="22"/>
                <w:szCs w:val="22"/>
              </w:rPr>
              <w:t>The GP practice staff will be responsible for setting up ECG</w:t>
            </w:r>
            <w:r w:rsidRPr="00595D76">
              <w:rPr>
                <w:rFonts w:asciiTheme="majorHAnsi" w:eastAsia="Calibri" w:hAnsiTheme="majorHAnsi" w:cstheme="majorHAnsi"/>
                <w:sz w:val="22"/>
                <w:szCs w:val="22"/>
              </w:rPr>
              <w:t xml:space="preserve"> sensors,</w:t>
            </w:r>
            <w:r>
              <w:rPr>
                <w:rFonts w:asciiTheme="majorHAnsi" w:eastAsia="Calibri" w:hAnsiTheme="majorHAnsi" w:cstheme="majorHAnsi"/>
                <w:sz w:val="22"/>
                <w:szCs w:val="22"/>
              </w:rPr>
              <w:t xml:space="preserve"> </w:t>
            </w:r>
            <w:r w:rsidRPr="00595D76">
              <w:rPr>
                <w:rFonts w:asciiTheme="majorHAnsi" w:eastAsia="Calibri" w:hAnsiTheme="majorHAnsi" w:cstheme="majorHAnsi"/>
                <w:sz w:val="22"/>
                <w:szCs w:val="22"/>
              </w:rPr>
              <w:t xml:space="preserve">taking measurements and transmitting measurements to the </w:t>
            </w:r>
            <w:r>
              <w:rPr>
                <w:rFonts w:asciiTheme="majorHAnsi" w:eastAsia="Calibri" w:hAnsiTheme="majorHAnsi" w:cstheme="majorHAnsi"/>
                <w:sz w:val="22"/>
                <w:szCs w:val="22"/>
              </w:rPr>
              <w:t>ECG</w:t>
            </w:r>
            <w:r w:rsidRPr="00595D76">
              <w:rPr>
                <w:rFonts w:asciiTheme="majorHAnsi" w:eastAsia="Calibri" w:hAnsiTheme="majorHAnsi" w:cstheme="majorHAnsi"/>
                <w:sz w:val="22"/>
                <w:szCs w:val="22"/>
              </w:rPr>
              <w:t xml:space="preserve"> service provider. </w:t>
            </w:r>
          </w:p>
          <w:p w14:paraId="74A42858" w14:textId="77777777" w:rsidR="000F4F07" w:rsidRDefault="000F4F07" w:rsidP="00595D76">
            <w:pPr>
              <w:autoSpaceDE w:val="0"/>
              <w:autoSpaceDN w:val="0"/>
              <w:adjustRightInd w:val="0"/>
              <w:spacing w:after="0"/>
              <w:jc w:val="both"/>
              <w:rPr>
                <w:rFonts w:asciiTheme="majorHAnsi" w:eastAsia="Calibri" w:hAnsiTheme="majorHAnsi" w:cstheme="majorHAnsi"/>
                <w:sz w:val="22"/>
                <w:szCs w:val="22"/>
              </w:rPr>
            </w:pPr>
          </w:p>
          <w:p w14:paraId="18E675DD" w14:textId="2CF9380A" w:rsidR="009455C1" w:rsidRDefault="00595D76" w:rsidP="00724DBF">
            <w:pPr>
              <w:autoSpaceDE w:val="0"/>
              <w:autoSpaceDN w:val="0"/>
              <w:adjustRightInd w:val="0"/>
              <w:spacing w:after="0"/>
              <w:jc w:val="both"/>
              <w:rPr>
                <w:rFonts w:asciiTheme="majorHAnsi" w:eastAsia="Calibri" w:hAnsiTheme="majorHAnsi" w:cstheme="majorHAnsi"/>
                <w:sz w:val="22"/>
                <w:szCs w:val="22"/>
              </w:rPr>
            </w:pPr>
            <w:r>
              <w:rPr>
                <w:rFonts w:asciiTheme="majorHAnsi" w:eastAsia="Calibri" w:hAnsiTheme="majorHAnsi" w:cstheme="majorHAnsi"/>
                <w:sz w:val="22"/>
                <w:szCs w:val="22"/>
              </w:rPr>
              <w:t xml:space="preserve">The ECG diagnostic </w:t>
            </w:r>
            <w:r w:rsidRPr="00595D76">
              <w:rPr>
                <w:rFonts w:asciiTheme="majorHAnsi" w:eastAsia="Calibri" w:hAnsiTheme="majorHAnsi" w:cstheme="majorHAnsi"/>
                <w:sz w:val="22"/>
                <w:szCs w:val="22"/>
              </w:rPr>
              <w:t>provider shall deliver an electronic written interpretation service for any adult ECGs undertaken</w:t>
            </w:r>
            <w:r w:rsidR="009455C1">
              <w:rPr>
                <w:rFonts w:asciiTheme="majorHAnsi" w:eastAsia="Calibri" w:hAnsiTheme="majorHAnsi" w:cstheme="majorHAnsi"/>
                <w:sz w:val="22"/>
                <w:szCs w:val="22"/>
              </w:rPr>
              <w:t xml:space="preserve"> and transmitted by primary care practices</w:t>
            </w:r>
            <w:r>
              <w:rPr>
                <w:rFonts w:asciiTheme="majorHAnsi" w:eastAsia="Calibri" w:hAnsiTheme="majorHAnsi" w:cstheme="majorHAnsi"/>
                <w:sz w:val="22"/>
                <w:szCs w:val="22"/>
              </w:rPr>
              <w:t xml:space="preserve">. </w:t>
            </w:r>
            <w:r w:rsidRPr="00595D76">
              <w:rPr>
                <w:rFonts w:asciiTheme="majorHAnsi" w:eastAsia="Calibri" w:hAnsiTheme="majorHAnsi" w:cstheme="majorHAnsi"/>
                <w:sz w:val="22"/>
                <w:szCs w:val="22"/>
              </w:rPr>
              <w:t>The electronic report</w:t>
            </w:r>
            <w:r w:rsidR="0058319B">
              <w:rPr>
                <w:rFonts w:asciiTheme="majorHAnsi" w:eastAsia="Calibri" w:hAnsiTheme="majorHAnsi" w:cstheme="majorHAnsi"/>
                <w:sz w:val="22"/>
                <w:szCs w:val="22"/>
              </w:rPr>
              <w:t xml:space="preserve"> </w:t>
            </w:r>
            <w:r w:rsidR="003425F6">
              <w:rPr>
                <w:rFonts w:asciiTheme="majorHAnsi" w:eastAsia="Calibri" w:hAnsiTheme="majorHAnsi" w:cstheme="majorHAnsi"/>
                <w:sz w:val="22"/>
                <w:szCs w:val="22"/>
              </w:rPr>
              <w:t>must</w:t>
            </w:r>
            <w:r w:rsidRPr="00595D76">
              <w:rPr>
                <w:rFonts w:asciiTheme="majorHAnsi" w:eastAsia="Calibri" w:hAnsiTheme="majorHAnsi" w:cstheme="majorHAnsi"/>
                <w:sz w:val="22"/>
                <w:szCs w:val="22"/>
              </w:rPr>
              <w:t xml:space="preserve"> be compatible with </w:t>
            </w:r>
            <w:r w:rsidR="009455C1">
              <w:rPr>
                <w:rFonts w:asciiTheme="majorHAnsi" w:eastAsia="Calibri" w:hAnsiTheme="majorHAnsi" w:cstheme="majorHAnsi"/>
                <w:sz w:val="22"/>
                <w:szCs w:val="22"/>
              </w:rPr>
              <w:t xml:space="preserve">primary care </w:t>
            </w:r>
            <w:r w:rsidR="00820758">
              <w:rPr>
                <w:rFonts w:asciiTheme="majorHAnsi" w:eastAsia="Calibri" w:hAnsiTheme="majorHAnsi" w:cstheme="majorHAnsi"/>
                <w:sz w:val="22"/>
                <w:szCs w:val="22"/>
              </w:rPr>
              <w:t>clinical IT systems (</w:t>
            </w:r>
            <w:r w:rsidR="009455C1">
              <w:rPr>
                <w:rFonts w:asciiTheme="majorHAnsi" w:eastAsia="Calibri" w:hAnsiTheme="majorHAnsi" w:cstheme="majorHAnsi"/>
                <w:sz w:val="22"/>
                <w:szCs w:val="22"/>
              </w:rPr>
              <w:t xml:space="preserve">both </w:t>
            </w:r>
            <w:r w:rsidRPr="00595D76">
              <w:rPr>
                <w:rFonts w:asciiTheme="majorHAnsi" w:eastAsia="Calibri" w:hAnsiTheme="majorHAnsi" w:cstheme="majorHAnsi"/>
                <w:sz w:val="22"/>
                <w:szCs w:val="22"/>
              </w:rPr>
              <w:t>EMIS</w:t>
            </w:r>
            <w:r w:rsidR="00820758">
              <w:rPr>
                <w:rFonts w:asciiTheme="majorHAnsi" w:eastAsia="Calibri" w:hAnsiTheme="majorHAnsi" w:cstheme="majorHAnsi"/>
                <w:sz w:val="22"/>
                <w:szCs w:val="22"/>
              </w:rPr>
              <w:t xml:space="preserve"> </w:t>
            </w:r>
            <w:r w:rsidR="009455C1">
              <w:rPr>
                <w:rFonts w:asciiTheme="majorHAnsi" w:eastAsia="Calibri" w:hAnsiTheme="majorHAnsi" w:cstheme="majorHAnsi"/>
                <w:sz w:val="22"/>
                <w:szCs w:val="22"/>
              </w:rPr>
              <w:t>and</w:t>
            </w:r>
            <w:r w:rsidR="00820758">
              <w:rPr>
                <w:rFonts w:asciiTheme="majorHAnsi" w:eastAsia="Calibri" w:hAnsiTheme="majorHAnsi" w:cstheme="majorHAnsi"/>
                <w:sz w:val="22"/>
                <w:szCs w:val="22"/>
              </w:rPr>
              <w:t xml:space="preserve"> Vision</w:t>
            </w:r>
            <w:r w:rsidR="009455C1">
              <w:rPr>
                <w:rFonts w:asciiTheme="majorHAnsi" w:eastAsia="Calibri" w:hAnsiTheme="majorHAnsi" w:cstheme="majorHAnsi"/>
                <w:sz w:val="22"/>
                <w:szCs w:val="22"/>
              </w:rPr>
              <w:t xml:space="preserve"> as relevant to each GP practice</w:t>
            </w:r>
            <w:r w:rsidR="00820758">
              <w:rPr>
                <w:rFonts w:asciiTheme="majorHAnsi" w:eastAsia="Calibri" w:hAnsiTheme="majorHAnsi" w:cstheme="majorHAnsi"/>
                <w:sz w:val="22"/>
                <w:szCs w:val="22"/>
              </w:rPr>
              <w:t>) t</w:t>
            </w:r>
            <w:r w:rsidRPr="00595D76">
              <w:rPr>
                <w:rFonts w:asciiTheme="majorHAnsi" w:eastAsia="Calibri" w:hAnsiTheme="majorHAnsi" w:cstheme="majorHAnsi"/>
                <w:sz w:val="22"/>
                <w:szCs w:val="22"/>
              </w:rPr>
              <w:t xml:space="preserve">o allow for efficient integration into the patients record. </w:t>
            </w:r>
          </w:p>
          <w:p w14:paraId="46137566" w14:textId="77777777" w:rsidR="009455C1" w:rsidRDefault="009455C1" w:rsidP="009455C1">
            <w:pPr>
              <w:autoSpaceDE w:val="0"/>
              <w:autoSpaceDN w:val="0"/>
              <w:adjustRightInd w:val="0"/>
              <w:spacing w:after="0"/>
              <w:ind w:left="720"/>
              <w:jc w:val="both"/>
              <w:rPr>
                <w:rFonts w:asciiTheme="majorHAnsi" w:eastAsia="Calibri" w:hAnsiTheme="majorHAnsi" w:cstheme="majorHAnsi"/>
                <w:sz w:val="22"/>
                <w:szCs w:val="22"/>
              </w:rPr>
            </w:pPr>
          </w:p>
          <w:p w14:paraId="5A9179DB" w14:textId="5C445F93" w:rsidR="00595D76" w:rsidRPr="00595D76" w:rsidRDefault="00595D76" w:rsidP="00724DBF">
            <w:pPr>
              <w:autoSpaceDE w:val="0"/>
              <w:autoSpaceDN w:val="0"/>
              <w:adjustRightInd w:val="0"/>
              <w:spacing w:after="0"/>
              <w:jc w:val="both"/>
              <w:rPr>
                <w:rFonts w:asciiTheme="majorHAnsi" w:eastAsia="Calibri" w:hAnsiTheme="majorHAnsi" w:cstheme="majorHAnsi"/>
                <w:sz w:val="22"/>
                <w:szCs w:val="22"/>
              </w:rPr>
            </w:pPr>
            <w:r w:rsidRPr="00595D76">
              <w:rPr>
                <w:rFonts w:asciiTheme="majorHAnsi" w:eastAsia="Calibri" w:hAnsiTheme="majorHAnsi" w:cstheme="majorHAnsi"/>
                <w:sz w:val="22"/>
                <w:szCs w:val="22"/>
              </w:rPr>
              <w:t xml:space="preserve">The interpretations are to be made by a </w:t>
            </w:r>
            <w:r w:rsidR="000011F3" w:rsidRPr="00595D76">
              <w:rPr>
                <w:rFonts w:asciiTheme="majorHAnsi" w:eastAsia="Calibri" w:hAnsiTheme="majorHAnsi" w:cstheme="majorHAnsi"/>
                <w:sz w:val="22"/>
                <w:szCs w:val="22"/>
              </w:rPr>
              <w:t>registered clinician</w:t>
            </w:r>
            <w:r w:rsidRPr="00595D76">
              <w:rPr>
                <w:rFonts w:asciiTheme="majorHAnsi" w:eastAsia="Calibri" w:hAnsiTheme="majorHAnsi" w:cstheme="majorHAnsi"/>
                <w:sz w:val="22"/>
                <w:szCs w:val="22"/>
              </w:rPr>
              <w:t xml:space="preserve"> (</w:t>
            </w:r>
            <w:r w:rsidR="00820758">
              <w:rPr>
                <w:rFonts w:asciiTheme="majorHAnsi" w:eastAsia="Calibri" w:hAnsiTheme="majorHAnsi" w:cstheme="majorHAnsi"/>
                <w:sz w:val="22"/>
                <w:szCs w:val="22"/>
              </w:rPr>
              <w:t xml:space="preserve">cardiac </w:t>
            </w:r>
            <w:r w:rsidRPr="00595D76">
              <w:rPr>
                <w:rFonts w:asciiTheme="majorHAnsi" w:eastAsia="Calibri" w:hAnsiTheme="majorHAnsi" w:cstheme="majorHAnsi"/>
                <w:sz w:val="22"/>
                <w:szCs w:val="22"/>
              </w:rPr>
              <w:t>physiologist</w:t>
            </w:r>
            <w:r w:rsidR="000011F3">
              <w:rPr>
                <w:rFonts w:asciiTheme="majorHAnsi" w:eastAsia="Calibri" w:hAnsiTheme="majorHAnsi" w:cstheme="majorHAnsi"/>
                <w:sz w:val="22"/>
                <w:szCs w:val="22"/>
              </w:rPr>
              <w:t>/cardiologist</w:t>
            </w:r>
            <w:r w:rsidRPr="00595D76">
              <w:rPr>
                <w:rFonts w:asciiTheme="majorHAnsi" w:eastAsia="Calibri" w:hAnsiTheme="majorHAnsi" w:cstheme="majorHAnsi"/>
                <w:sz w:val="22"/>
                <w:szCs w:val="22"/>
              </w:rPr>
              <w:t xml:space="preserve">) with expertise in ECG interpretation. </w:t>
            </w:r>
          </w:p>
          <w:p w14:paraId="19FCA259" w14:textId="77777777" w:rsidR="00595D76" w:rsidRPr="00595D76" w:rsidRDefault="00595D76" w:rsidP="009455C1">
            <w:pPr>
              <w:autoSpaceDE w:val="0"/>
              <w:autoSpaceDN w:val="0"/>
              <w:adjustRightInd w:val="0"/>
              <w:spacing w:after="0"/>
              <w:ind w:left="720"/>
              <w:jc w:val="both"/>
              <w:rPr>
                <w:rFonts w:asciiTheme="majorHAnsi" w:eastAsia="Calibri" w:hAnsiTheme="majorHAnsi" w:cstheme="majorHAnsi"/>
                <w:sz w:val="22"/>
                <w:szCs w:val="22"/>
              </w:rPr>
            </w:pPr>
            <w:r w:rsidRPr="00595D76">
              <w:rPr>
                <w:rFonts w:asciiTheme="majorHAnsi" w:eastAsia="Calibri" w:hAnsiTheme="majorHAnsi" w:cstheme="majorHAnsi"/>
                <w:sz w:val="22"/>
                <w:szCs w:val="22"/>
              </w:rPr>
              <w:t xml:space="preserve"> </w:t>
            </w:r>
          </w:p>
          <w:p w14:paraId="073E32DE" w14:textId="71641043" w:rsidR="00595D76" w:rsidRPr="00595D76" w:rsidRDefault="00595D76" w:rsidP="00724DBF">
            <w:pPr>
              <w:autoSpaceDE w:val="0"/>
              <w:autoSpaceDN w:val="0"/>
              <w:adjustRightInd w:val="0"/>
              <w:spacing w:after="0"/>
              <w:jc w:val="both"/>
              <w:rPr>
                <w:rFonts w:asciiTheme="majorHAnsi" w:eastAsia="Calibri" w:hAnsiTheme="majorHAnsi" w:cstheme="majorHAnsi"/>
                <w:sz w:val="22"/>
                <w:szCs w:val="22"/>
              </w:rPr>
            </w:pPr>
            <w:r w:rsidRPr="00595D76">
              <w:rPr>
                <w:rFonts w:asciiTheme="majorHAnsi" w:eastAsia="Calibri" w:hAnsiTheme="majorHAnsi" w:cstheme="majorHAnsi"/>
                <w:sz w:val="22"/>
                <w:szCs w:val="22"/>
              </w:rPr>
              <w:t xml:space="preserve">The ECG interpretative report should include a risk rating, including red flags for clinically urgent cases, together with a copy of the ECG graph reading and clinical interpretative notes. In cases of onward referral to a cardiology outpatient appointment, the service provider will also make available an electronic file of the ECG trace recording on request </w:t>
            </w:r>
            <w:r w:rsidR="007340BD">
              <w:rPr>
                <w:rFonts w:asciiTheme="majorHAnsi" w:eastAsia="Calibri" w:hAnsiTheme="majorHAnsi" w:cstheme="majorHAnsi"/>
                <w:sz w:val="22"/>
                <w:szCs w:val="22"/>
              </w:rPr>
              <w:t>to</w:t>
            </w:r>
            <w:r w:rsidR="00EB46E3">
              <w:rPr>
                <w:rFonts w:asciiTheme="majorHAnsi" w:eastAsia="Calibri" w:hAnsiTheme="majorHAnsi" w:cstheme="majorHAnsi"/>
                <w:sz w:val="22"/>
                <w:szCs w:val="22"/>
              </w:rPr>
              <w:t xml:space="preserve"> the</w:t>
            </w:r>
            <w:r w:rsidR="00820758">
              <w:rPr>
                <w:rFonts w:asciiTheme="majorHAnsi" w:eastAsia="Calibri" w:hAnsiTheme="majorHAnsi" w:cstheme="majorHAnsi"/>
                <w:sz w:val="22"/>
                <w:szCs w:val="22"/>
              </w:rPr>
              <w:t xml:space="preserve"> secondary care</w:t>
            </w:r>
            <w:r w:rsidRPr="00595D76">
              <w:rPr>
                <w:rFonts w:asciiTheme="majorHAnsi" w:eastAsia="Calibri" w:hAnsiTheme="majorHAnsi" w:cstheme="majorHAnsi"/>
                <w:sz w:val="22"/>
                <w:szCs w:val="22"/>
              </w:rPr>
              <w:t xml:space="preserve"> cardiology department. The service provider should hold documentation and traces for five years</w:t>
            </w:r>
            <w:r w:rsidR="00820758">
              <w:rPr>
                <w:rFonts w:asciiTheme="majorHAnsi" w:eastAsia="Calibri" w:hAnsiTheme="majorHAnsi" w:cstheme="majorHAnsi"/>
                <w:sz w:val="22"/>
                <w:szCs w:val="22"/>
              </w:rPr>
              <w:t>.</w:t>
            </w:r>
            <w:r w:rsidRPr="00595D76">
              <w:rPr>
                <w:rFonts w:asciiTheme="majorHAnsi" w:eastAsia="Calibri" w:hAnsiTheme="majorHAnsi" w:cstheme="majorHAnsi"/>
                <w:sz w:val="22"/>
                <w:szCs w:val="22"/>
              </w:rPr>
              <w:t xml:space="preserve"> </w:t>
            </w:r>
            <w:r w:rsidR="00D51FD0">
              <w:rPr>
                <w:rFonts w:asciiTheme="majorHAnsi" w:eastAsia="Calibri" w:hAnsiTheme="majorHAnsi" w:cstheme="majorHAnsi"/>
                <w:sz w:val="22"/>
                <w:szCs w:val="22"/>
              </w:rPr>
              <w:t xml:space="preserve"> The enhanced ECG reports should be </w:t>
            </w:r>
            <w:proofErr w:type="gramStart"/>
            <w:r w:rsidR="00D51FD0">
              <w:rPr>
                <w:rFonts w:asciiTheme="majorHAnsi" w:eastAsia="Calibri" w:hAnsiTheme="majorHAnsi" w:cstheme="majorHAnsi"/>
                <w:sz w:val="22"/>
                <w:szCs w:val="22"/>
              </w:rPr>
              <w:t>similar to</w:t>
            </w:r>
            <w:proofErr w:type="gramEnd"/>
            <w:r w:rsidR="00D51FD0">
              <w:rPr>
                <w:rFonts w:asciiTheme="majorHAnsi" w:eastAsia="Calibri" w:hAnsiTheme="majorHAnsi" w:cstheme="majorHAnsi"/>
                <w:sz w:val="22"/>
                <w:szCs w:val="22"/>
              </w:rPr>
              <w:t xml:space="preserve"> the quality of reports practices currently receive from the Nelson.</w:t>
            </w:r>
          </w:p>
          <w:p w14:paraId="78322B90" w14:textId="77777777" w:rsidR="00595D76" w:rsidRPr="00595D76" w:rsidRDefault="00595D76" w:rsidP="009455C1">
            <w:pPr>
              <w:autoSpaceDE w:val="0"/>
              <w:autoSpaceDN w:val="0"/>
              <w:adjustRightInd w:val="0"/>
              <w:spacing w:after="0"/>
              <w:ind w:left="720"/>
              <w:jc w:val="both"/>
              <w:rPr>
                <w:rFonts w:asciiTheme="majorHAnsi" w:eastAsia="Calibri" w:hAnsiTheme="majorHAnsi" w:cstheme="majorHAnsi"/>
                <w:sz w:val="22"/>
                <w:szCs w:val="22"/>
              </w:rPr>
            </w:pPr>
            <w:r w:rsidRPr="00595D76">
              <w:rPr>
                <w:rFonts w:asciiTheme="majorHAnsi" w:eastAsia="Calibri" w:hAnsiTheme="majorHAnsi" w:cstheme="majorHAnsi"/>
                <w:sz w:val="22"/>
                <w:szCs w:val="22"/>
              </w:rPr>
              <w:t xml:space="preserve"> </w:t>
            </w:r>
          </w:p>
          <w:p w14:paraId="1F3D6681" w14:textId="77777777" w:rsidR="00606CDF" w:rsidRDefault="00595D76" w:rsidP="00724DBF">
            <w:pPr>
              <w:autoSpaceDE w:val="0"/>
              <w:autoSpaceDN w:val="0"/>
              <w:adjustRightInd w:val="0"/>
              <w:spacing w:after="0"/>
              <w:jc w:val="both"/>
              <w:rPr>
                <w:rFonts w:asciiTheme="majorHAnsi" w:eastAsia="Calibri" w:hAnsiTheme="majorHAnsi" w:cstheme="majorHAnsi"/>
                <w:sz w:val="22"/>
                <w:szCs w:val="22"/>
              </w:rPr>
            </w:pPr>
            <w:r w:rsidRPr="00595D76">
              <w:rPr>
                <w:rFonts w:asciiTheme="majorHAnsi" w:eastAsia="Calibri" w:hAnsiTheme="majorHAnsi" w:cstheme="majorHAnsi"/>
                <w:sz w:val="22"/>
                <w:szCs w:val="22"/>
              </w:rPr>
              <w:t>The written interpretation report</w:t>
            </w:r>
            <w:r w:rsidR="007C6D38">
              <w:rPr>
                <w:rFonts w:asciiTheme="majorHAnsi" w:eastAsia="Calibri" w:hAnsiTheme="majorHAnsi" w:cstheme="majorHAnsi"/>
                <w:sz w:val="22"/>
                <w:szCs w:val="22"/>
              </w:rPr>
              <w:t xml:space="preserve"> will be</w:t>
            </w:r>
            <w:r w:rsidRPr="00595D76">
              <w:rPr>
                <w:rFonts w:asciiTheme="majorHAnsi" w:eastAsia="Calibri" w:hAnsiTheme="majorHAnsi" w:cstheme="majorHAnsi"/>
                <w:sz w:val="22"/>
                <w:szCs w:val="22"/>
              </w:rPr>
              <w:t xml:space="preserve"> sent electronically to the referring practice for normal results and non-urgent patients</w:t>
            </w:r>
            <w:r w:rsidR="00062038">
              <w:rPr>
                <w:rFonts w:asciiTheme="majorHAnsi" w:eastAsia="Calibri" w:hAnsiTheme="majorHAnsi" w:cstheme="majorHAnsi"/>
                <w:sz w:val="22"/>
                <w:szCs w:val="22"/>
              </w:rPr>
              <w:t>.</w:t>
            </w:r>
            <w:r w:rsidRPr="00595D76">
              <w:rPr>
                <w:rFonts w:asciiTheme="majorHAnsi" w:eastAsia="Calibri" w:hAnsiTheme="majorHAnsi" w:cstheme="majorHAnsi"/>
                <w:sz w:val="22"/>
                <w:szCs w:val="22"/>
              </w:rPr>
              <w:t xml:space="preserve"> </w:t>
            </w:r>
            <w:r w:rsidR="00062038">
              <w:rPr>
                <w:rFonts w:asciiTheme="majorHAnsi" w:eastAsia="Calibri" w:hAnsiTheme="majorHAnsi" w:cstheme="majorHAnsi"/>
                <w:sz w:val="22"/>
                <w:szCs w:val="22"/>
              </w:rPr>
              <w:t>F</w:t>
            </w:r>
            <w:r w:rsidRPr="00595D76">
              <w:rPr>
                <w:rFonts w:asciiTheme="majorHAnsi" w:eastAsia="Calibri" w:hAnsiTheme="majorHAnsi" w:cstheme="majorHAnsi"/>
                <w:sz w:val="22"/>
                <w:szCs w:val="22"/>
              </w:rPr>
              <w:t>or patients who could be at clinical risk with abnormal investigation results, the report should also be phoned through and sent to the practice performing the ECG. The electronic report should be emailed to GP practices</w:t>
            </w:r>
            <w:r w:rsidR="00062038">
              <w:rPr>
                <w:rFonts w:asciiTheme="majorHAnsi" w:eastAsia="Calibri" w:hAnsiTheme="majorHAnsi" w:cstheme="majorHAnsi"/>
                <w:sz w:val="22"/>
                <w:szCs w:val="22"/>
              </w:rPr>
              <w:t>’</w:t>
            </w:r>
            <w:r w:rsidRPr="00595D76">
              <w:rPr>
                <w:rFonts w:asciiTheme="majorHAnsi" w:eastAsia="Calibri" w:hAnsiTheme="majorHAnsi" w:cstheme="majorHAnsi"/>
                <w:sz w:val="22"/>
                <w:szCs w:val="22"/>
              </w:rPr>
              <w:t xml:space="preserve"> generic</w:t>
            </w:r>
            <w:r w:rsidR="00AC3FF1">
              <w:rPr>
                <w:rFonts w:asciiTheme="majorHAnsi" w:eastAsia="Calibri" w:hAnsiTheme="majorHAnsi" w:cstheme="majorHAnsi"/>
                <w:sz w:val="22"/>
                <w:szCs w:val="22"/>
              </w:rPr>
              <w:t xml:space="preserve"> or specified</w:t>
            </w:r>
            <w:r w:rsidRPr="00595D76">
              <w:rPr>
                <w:rFonts w:asciiTheme="majorHAnsi" w:eastAsia="Calibri" w:hAnsiTheme="majorHAnsi" w:cstheme="majorHAnsi"/>
                <w:sz w:val="22"/>
                <w:szCs w:val="22"/>
              </w:rPr>
              <w:t xml:space="preserve"> email address rather than the referring GP.</w:t>
            </w:r>
            <w:r w:rsidR="00606CDF">
              <w:rPr>
                <w:rFonts w:asciiTheme="majorHAnsi" w:eastAsia="Calibri" w:hAnsiTheme="majorHAnsi" w:cstheme="majorHAnsi"/>
                <w:sz w:val="22"/>
                <w:szCs w:val="22"/>
              </w:rPr>
              <w:t xml:space="preserve"> </w:t>
            </w:r>
          </w:p>
          <w:p w14:paraId="2D33507C" w14:textId="41FC6F41" w:rsidR="00606CDF" w:rsidRDefault="00606CDF" w:rsidP="00595D76">
            <w:pPr>
              <w:autoSpaceDE w:val="0"/>
              <w:autoSpaceDN w:val="0"/>
              <w:adjustRightInd w:val="0"/>
              <w:spacing w:after="0"/>
              <w:jc w:val="both"/>
              <w:rPr>
                <w:rFonts w:asciiTheme="majorHAnsi" w:eastAsia="Calibri" w:hAnsiTheme="majorHAnsi" w:cstheme="majorHAnsi"/>
                <w:sz w:val="22"/>
                <w:szCs w:val="22"/>
              </w:rPr>
            </w:pPr>
          </w:p>
          <w:p w14:paraId="0C44F732" w14:textId="4CCBDFD4" w:rsidR="00724DBF" w:rsidRDefault="00724DBF" w:rsidP="00595D76">
            <w:pPr>
              <w:autoSpaceDE w:val="0"/>
              <w:autoSpaceDN w:val="0"/>
              <w:adjustRightInd w:val="0"/>
              <w:spacing w:after="0"/>
              <w:jc w:val="both"/>
              <w:rPr>
                <w:rFonts w:asciiTheme="majorHAnsi" w:eastAsia="Calibri" w:hAnsiTheme="majorHAnsi" w:cstheme="majorHAnsi"/>
                <w:sz w:val="22"/>
                <w:szCs w:val="22"/>
              </w:rPr>
            </w:pPr>
          </w:p>
          <w:p w14:paraId="4456975D" w14:textId="67061066" w:rsidR="00724DBF" w:rsidRDefault="00724DBF" w:rsidP="00595D76">
            <w:pPr>
              <w:autoSpaceDE w:val="0"/>
              <w:autoSpaceDN w:val="0"/>
              <w:adjustRightInd w:val="0"/>
              <w:spacing w:after="0"/>
              <w:jc w:val="both"/>
              <w:rPr>
                <w:rFonts w:asciiTheme="majorHAnsi" w:eastAsia="Calibri" w:hAnsiTheme="majorHAnsi" w:cstheme="majorHAnsi"/>
                <w:sz w:val="22"/>
                <w:szCs w:val="22"/>
              </w:rPr>
            </w:pPr>
          </w:p>
          <w:p w14:paraId="6EB0132F" w14:textId="73DCF51F" w:rsidR="00724DBF" w:rsidRDefault="00724DBF" w:rsidP="00595D76">
            <w:pPr>
              <w:autoSpaceDE w:val="0"/>
              <w:autoSpaceDN w:val="0"/>
              <w:adjustRightInd w:val="0"/>
              <w:spacing w:after="0"/>
              <w:jc w:val="both"/>
              <w:rPr>
                <w:rFonts w:asciiTheme="majorHAnsi" w:eastAsia="Calibri" w:hAnsiTheme="majorHAnsi" w:cstheme="majorHAnsi"/>
                <w:sz w:val="22"/>
                <w:szCs w:val="22"/>
              </w:rPr>
            </w:pPr>
          </w:p>
          <w:p w14:paraId="7EB49A9F" w14:textId="719CC968" w:rsidR="00724DBF" w:rsidRDefault="00724DBF" w:rsidP="00595D76">
            <w:pPr>
              <w:autoSpaceDE w:val="0"/>
              <w:autoSpaceDN w:val="0"/>
              <w:adjustRightInd w:val="0"/>
              <w:spacing w:after="0"/>
              <w:jc w:val="both"/>
              <w:rPr>
                <w:rFonts w:asciiTheme="majorHAnsi" w:eastAsia="Calibri" w:hAnsiTheme="majorHAnsi" w:cstheme="majorHAnsi"/>
                <w:sz w:val="22"/>
                <w:szCs w:val="22"/>
              </w:rPr>
            </w:pPr>
          </w:p>
          <w:p w14:paraId="26E7A088" w14:textId="77777777" w:rsidR="00724DBF" w:rsidRDefault="00724DBF" w:rsidP="00595D76">
            <w:pPr>
              <w:autoSpaceDE w:val="0"/>
              <w:autoSpaceDN w:val="0"/>
              <w:adjustRightInd w:val="0"/>
              <w:spacing w:after="0"/>
              <w:jc w:val="both"/>
              <w:rPr>
                <w:rFonts w:asciiTheme="majorHAnsi" w:eastAsia="Calibri" w:hAnsiTheme="majorHAnsi" w:cstheme="majorHAnsi"/>
                <w:sz w:val="22"/>
                <w:szCs w:val="22"/>
              </w:rPr>
            </w:pPr>
          </w:p>
          <w:p w14:paraId="2E3B6822" w14:textId="77777777" w:rsidR="00724DBF" w:rsidRDefault="00724DBF" w:rsidP="00595D76">
            <w:pPr>
              <w:autoSpaceDE w:val="0"/>
              <w:autoSpaceDN w:val="0"/>
              <w:adjustRightInd w:val="0"/>
              <w:spacing w:after="0"/>
              <w:jc w:val="both"/>
              <w:rPr>
                <w:rFonts w:asciiTheme="majorHAnsi" w:eastAsia="Calibri" w:hAnsiTheme="majorHAnsi" w:cstheme="majorHAnsi"/>
                <w:sz w:val="22"/>
                <w:szCs w:val="22"/>
              </w:rPr>
            </w:pPr>
          </w:p>
          <w:p w14:paraId="070725A5" w14:textId="6D5639F7" w:rsidR="00606CDF" w:rsidRPr="00724DBF" w:rsidRDefault="009455C1" w:rsidP="00536831">
            <w:pPr>
              <w:autoSpaceDE w:val="0"/>
              <w:autoSpaceDN w:val="0"/>
              <w:adjustRightInd w:val="0"/>
              <w:spacing w:after="0"/>
              <w:jc w:val="both"/>
              <w:rPr>
                <w:rFonts w:asciiTheme="majorHAnsi" w:eastAsia="Calibri" w:hAnsiTheme="majorHAnsi" w:cstheme="majorHAnsi"/>
                <w:b/>
                <w:bCs/>
                <w:sz w:val="22"/>
                <w:szCs w:val="22"/>
                <w:u w:val="single"/>
              </w:rPr>
            </w:pPr>
            <w:r w:rsidRPr="00724DBF">
              <w:rPr>
                <w:rFonts w:asciiTheme="majorHAnsi" w:eastAsia="Calibri" w:hAnsiTheme="majorHAnsi" w:cstheme="majorHAnsi"/>
                <w:b/>
                <w:bCs/>
                <w:sz w:val="22"/>
                <w:szCs w:val="22"/>
                <w:u w:val="single"/>
              </w:rPr>
              <w:t>Relevant metrics are shown below:</w:t>
            </w:r>
          </w:p>
          <w:tbl>
            <w:tblPr>
              <w:tblStyle w:val="TableGrid"/>
              <w:tblW w:w="0" w:type="auto"/>
              <w:tblLook w:val="04A0" w:firstRow="1" w:lastRow="0" w:firstColumn="1" w:lastColumn="0" w:noHBand="0" w:noVBand="1"/>
            </w:tblPr>
            <w:tblGrid>
              <w:gridCol w:w="5841"/>
              <w:gridCol w:w="1984"/>
              <w:gridCol w:w="2037"/>
            </w:tblGrid>
            <w:tr w:rsidR="00606CDF" w14:paraId="3D031F6A" w14:textId="77777777" w:rsidTr="005D743C">
              <w:tc>
                <w:tcPr>
                  <w:tcW w:w="5841" w:type="dxa"/>
                </w:tcPr>
                <w:p w14:paraId="625F5B3A" w14:textId="77777777" w:rsidR="00606CDF" w:rsidRDefault="00606CDF" w:rsidP="003A2A07">
                  <w:pPr>
                    <w:rPr>
                      <w:rFonts w:asciiTheme="majorHAnsi" w:hAnsiTheme="majorHAnsi" w:cstheme="majorHAnsi"/>
                      <w:sz w:val="22"/>
                      <w:szCs w:val="22"/>
                    </w:rPr>
                  </w:pPr>
                </w:p>
              </w:tc>
              <w:tc>
                <w:tcPr>
                  <w:tcW w:w="1984" w:type="dxa"/>
                </w:tcPr>
                <w:p w14:paraId="7F3BB195" w14:textId="77777777" w:rsidR="00606CDF" w:rsidRDefault="00606CDF" w:rsidP="003A2A07">
                  <w:pPr>
                    <w:jc w:val="center"/>
                    <w:rPr>
                      <w:rFonts w:asciiTheme="majorHAnsi" w:hAnsiTheme="majorHAnsi" w:cstheme="majorHAnsi"/>
                      <w:sz w:val="22"/>
                      <w:szCs w:val="22"/>
                    </w:rPr>
                  </w:pPr>
                  <w:r>
                    <w:rPr>
                      <w:rFonts w:asciiTheme="majorHAnsi" w:hAnsiTheme="majorHAnsi" w:cstheme="majorHAnsi"/>
                      <w:sz w:val="22"/>
                      <w:szCs w:val="22"/>
                    </w:rPr>
                    <w:t>Merton CCG</w:t>
                  </w:r>
                </w:p>
              </w:tc>
              <w:tc>
                <w:tcPr>
                  <w:tcW w:w="2037" w:type="dxa"/>
                </w:tcPr>
                <w:p w14:paraId="3018A873" w14:textId="77777777" w:rsidR="00606CDF" w:rsidRDefault="00606CDF" w:rsidP="003A2A07">
                  <w:pPr>
                    <w:jc w:val="center"/>
                    <w:rPr>
                      <w:rFonts w:asciiTheme="majorHAnsi" w:hAnsiTheme="majorHAnsi" w:cstheme="majorHAnsi"/>
                      <w:sz w:val="22"/>
                      <w:szCs w:val="22"/>
                    </w:rPr>
                  </w:pPr>
                  <w:r>
                    <w:rPr>
                      <w:rFonts w:asciiTheme="majorHAnsi" w:hAnsiTheme="majorHAnsi" w:cstheme="majorHAnsi"/>
                      <w:sz w:val="22"/>
                      <w:szCs w:val="22"/>
                    </w:rPr>
                    <w:t>Wandsworth CCG</w:t>
                  </w:r>
                </w:p>
              </w:tc>
            </w:tr>
            <w:tr w:rsidR="00606CDF" w14:paraId="229E3F8C" w14:textId="77777777" w:rsidTr="005D743C">
              <w:tc>
                <w:tcPr>
                  <w:tcW w:w="5841" w:type="dxa"/>
                </w:tcPr>
                <w:p w14:paraId="3BD904F8" w14:textId="77777777" w:rsidR="00606CDF" w:rsidRDefault="00606CDF" w:rsidP="003A2A07">
                  <w:pPr>
                    <w:rPr>
                      <w:rFonts w:asciiTheme="majorHAnsi" w:hAnsiTheme="majorHAnsi" w:cstheme="majorHAnsi"/>
                      <w:sz w:val="22"/>
                      <w:szCs w:val="22"/>
                    </w:rPr>
                  </w:pPr>
                  <w:r>
                    <w:rPr>
                      <w:rFonts w:asciiTheme="majorHAnsi" w:hAnsiTheme="majorHAnsi" w:cstheme="majorHAnsi"/>
                      <w:sz w:val="22"/>
                      <w:szCs w:val="22"/>
                    </w:rPr>
                    <w:t>Number of GP Practices</w:t>
                  </w:r>
                </w:p>
              </w:tc>
              <w:tc>
                <w:tcPr>
                  <w:tcW w:w="1984" w:type="dxa"/>
                </w:tcPr>
                <w:p w14:paraId="0FA0614F" w14:textId="77777777" w:rsidR="00606CDF" w:rsidRDefault="00606CDF" w:rsidP="003A2A07">
                  <w:pPr>
                    <w:jc w:val="center"/>
                    <w:rPr>
                      <w:rFonts w:asciiTheme="majorHAnsi" w:hAnsiTheme="majorHAnsi" w:cstheme="majorHAnsi"/>
                      <w:sz w:val="22"/>
                      <w:szCs w:val="22"/>
                    </w:rPr>
                  </w:pPr>
                  <w:r>
                    <w:rPr>
                      <w:rFonts w:asciiTheme="majorHAnsi" w:hAnsiTheme="majorHAnsi" w:cstheme="majorHAnsi"/>
                      <w:sz w:val="22"/>
                      <w:szCs w:val="22"/>
                    </w:rPr>
                    <w:t>22</w:t>
                  </w:r>
                </w:p>
              </w:tc>
              <w:tc>
                <w:tcPr>
                  <w:tcW w:w="2037" w:type="dxa"/>
                </w:tcPr>
                <w:p w14:paraId="16C1C48E" w14:textId="77777777" w:rsidR="00606CDF" w:rsidRDefault="00606CDF" w:rsidP="003A2A07">
                  <w:pPr>
                    <w:jc w:val="center"/>
                    <w:rPr>
                      <w:rFonts w:asciiTheme="majorHAnsi" w:hAnsiTheme="majorHAnsi" w:cstheme="majorHAnsi"/>
                      <w:sz w:val="22"/>
                      <w:szCs w:val="22"/>
                    </w:rPr>
                  </w:pPr>
                  <w:r>
                    <w:rPr>
                      <w:rFonts w:asciiTheme="majorHAnsi" w:hAnsiTheme="majorHAnsi" w:cstheme="majorHAnsi"/>
                      <w:sz w:val="22"/>
                      <w:szCs w:val="22"/>
                    </w:rPr>
                    <w:t>40</w:t>
                  </w:r>
                </w:p>
              </w:tc>
            </w:tr>
            <w:tr w:rsidR="00606CDF" w14:paraId="0F97FBDA" w14:textId="77777777" w:rsidTr="005D743C">
              <w:tc>
                <w:tcPr>
                  <w:tcW w:w="5841" w:type="dxa"/>
                </w:tcPr>
                <w:p w14:paraId="09A30036" w14:textId="77777777" w:rsidR="00606CDF" w:rsidRDefault="00606CDF" w:rsidP="0079152F">
                  <w:pPr>
                    <w:rPr>
                      <w:rFonts w:asciiTheme="majorHAnsi" w:hAnsiTheme="majorHAnsi" w:cstheme="majorHAnsi"/>
                      <w:sz w:val="22"/>
                      <w:szCs w:val="22"/>
                    </w:rPr>
                  </w:pPr>
                  <w:r>
                    <w:rPr>
                      <w:rFonts w:asciiTheme="majorHAnsi" w:hAnsiTheme="majorHAnsi" w:cstheme="majorHAnsi"/>
                      <w:sz w:val="22"/>
                      <w:szCs w:val="22"/>
                    </w:rPr>
                    <w:t>Number of Primary Care Networks (PCNs)</w:t>
                  </w:r>
                </w:p>
              </w:tc>
              <w:tc>
                <w:tcPr>
                  <w:tcW w:w="1984" w:type="dxa"/>
                </w:tcPr>
                <w:p w14:paraId="4D4BD548" w14:textId="77777777" w:rsidR="00606CDF" w:rsidRDefault="00606CDF" w:rsidP="0079152F">
                  <w:pPr>
                    <w:jc w:val="center"/>
                    <w:rPr>
                      <w:rFonts w:asciiTheme="majorHAnsi" w:hAnsiTheme="majorHAnsi" w:cstheme="majorHAnsi"/>
                      <w:sz w:val="22"/>
                      <w:szCs w:val="22"/>
                    </w:rPr>
                  </w:pPr>
                  <w:r>
                    <w:rPr>
                      <w:rFonts w:asciiTheme="majorHAnsi" w:hAnsiTheme="majorHAnsi" w:cstheme="majorHAnsi"/>
                      <w:sz w:val="22"/>
                      <w:szCs w:val="22"/>
                    </w:rPr>
                    <w:t>6</w:t>
                  </w:r>
                </w:p>
              </w:tc>
              <w:tc>
                <w:tcPr>
                  <w:tcW w:w="2037" w:type="dxa"/>
                </w:tcPr>
                <w:p w14:paraId="714217CD" w14:textId="77777777" w:rsidR="00606CDF" w:rsidRDefault="00606CDF" w:rsidP="0079152F">
                  <w:pPr>
                    <w:jc w:val="center"/>
                    <w:rPr>
                      <w:rFonts w:asciiTheme="majorHAnsi" w:hAnsiTheme="majorHAnsi" w:cstheme="majorHAnsi"/>
                      <w:sz w:val="22"/>
                      <w:szCs w:val="22"/>
                    </w:rPr>
                  </w:pPr>
                  <w:r>
                    <w:rPr>
                      <w:rFonts w:asciiTheme="majorHAnsi" w:hAnsiTheme="majorHAnsi" w:cstheme="majorHAnsi"/>
                      <w:sz w:val="22"/>
                      <w:szCs w:val="22"/>
                    </w:rPr>
                    <w:t>9</w:t>
                  </w:r>
                </w:p>
              </w:tc>
            </w:tr>
            <w:tr w:rsidR="00606CDF" w14:paraId="24A13FF1" w14:textId="77777777" w:rsidTr="005D743C">
              <w:tc>
                <w:tcPr>
                  <w:tcW w:w="5841" w:type="dxa"/>
                </w:tcPr>
                <w:p w14:paraId="2BF8AE09" w14:textId="77777777" w:rsidR="00606CDF" w:rsidRDefault="00606CDF" w:rsidP="003A2A07">
                  <w:pPr>
                    <w:rPr>
                      <w:rFonts w:asciiTheme="majorHAnsi" w:hAnsiTheme="majorHAnsi" w:cstheme="majorHAnsi"/>
                      <w:sz w:val="22"/>
                      <w:szCs w:val="22"/>
                    </w:rPr>
                  </w:pPr>
                  <w:r>
                    <w:rPr>
                      <w:rFonts w:asciiTheme="majorHAnsi" w:hAnsiTheme="majorHAnsi" w:cstheme="majorHAnsi"/>
                      <w:sz w:val="22"/>
                      <w:szCs w:val="22"/>
                    </w:rPr>
                    <w:t>Registered population (March 2019)</w:t>
                  </w:r>
                </w:p>
              </w:tc>
              <w:tc>
                <w:tcPr>
                  <w:tcW w:w="1984" w:type="dxa"/>
                </w:tcPr>
                <w:p w14:paraId="7E395061" w14:textId="77777777" w:rsidR="00606CDF" w:rsidRDefault="00606CDF" w:rsidP="003A2A07">
                  <w:pPr>
                    <w:jc w:val="center"/>
                    <w:rPr>
                      <w:rFonts w:asciiTheme="majorHAnsi" w:hAnsiTheme="majorHAnsi" w:cstheme="majorHAnsi"/>
                      <w:sz w:val="22"/>
                      <w:szCs w:val="22"/>
                    </w:rPr>
                  </w:pPr>
                  <w:r>
                    <w:rPr>
                      <w:rFonts w:asciiTheme="majorHAnsi" w:hAnsiTheme="majorHAnsi" w:cstheme="majorHAnsi"/>
                      <w:sz w:val="22"/>
                      <w:szCs w:val="22"/>
                    </w:rPr>
                    <w:t>223,000</w:t>
                  </w:r>
                </w:p>
              </w:tc>
              <w:tc>
                <w:tcPr>
                  <w:tcW w:w="2037" w:type="dxa"/>
                </w:tcPr>
                <w:p w14:paraId="77CD9385" w14:textId="77777777" w:rsidR="00606CDF" w:rsidRDefault="00606CDF" w:rsidP="003A2A07">
                  <w:pPr>
                    <w:jc w:val="center"/>
                    <w:rPr>
                      <w:rFonts w:asciiTheme="majorHAnsi" w:hAnsiTheme="majorHAnsi" w:cstheme="majorHAnsi"/>
                      <w:sz w:val="22"/>
                      <w:szCs w:val="22"/>
                    </w:rPr>
                  </w:pPr>
                  <w:r>
                    <w:rPr>
                      <w:rFonts w:asciiTheme="majorHAnsi" w:hAnsiTheme="majorHAnsi" w:cstheme="majorHAnsi"/>
                      <w:sz w:val="22"/>
                      <w:szCs w:val="22"/>
                    </w:rPr>
                    <w:t>410,000</w:t>
                  </w:r>
                </w:p>
              </w:tc>
            </w:tr>
            <w:tr w:rsidR="00606CDF" w14:paraId="35508D62" w14:textId="77777777" w:rsidTr="005D743C">
              <w:tc>
                <w:tcPr>
                  <w:tcW w:w="5841" w:type="dxa"/>
                </w:tcPr>
                <w:p w14:paraId="60BB97C6" w14:textId="77777777" w:rsidR="00606CDF" w:rsidRDefault="00606CDF" w:rsidP="003A2A07">
                  <w:pPr>
                    <w:spacing w:before="60" w:after="60"/>
                    <w:rPr>
                      <w:rFonts w:asciiTheme="majorHAnsi" w:hAnsiTheme="majorHAnsi" w:cstheme="majorHAnsi"/>
                      <w:sz w:val="22"/>
                      <w:szCs w:val="22"/>
                    </w:rPr>
                  </w:pPr>
                  <w:r>
                    <w:rPr>
                      <w:rFonts w:asciiTheme="majorHAnsi" w:hAnsiTheme="majorHAnsi" w:cstheme="majorHAnsi"/>
                      <w:sz w:val="22"/>
                      <w:szCs w:val="22"/>
                    </w:rPr>
                    <w:t>Expected number of ECG machines to be provided</w:t>
                  </w:r>
                </w:p>
              </w:tc>
              <w:tc>
                <w:tcPr>
                  <w:tcW w:w="1984" w:type="dxa"/>
                </w:tcPr>
                <w:p w14:paraId="17BA83D7" w14:textId="77777777" w:rsidR="00606CDF" w:rsidRDefault="00606CDF" w:rsidP="003A2A07">
                  <w:pPr>
                    <w:spacing w:before="60" w:after="60"/>
                    <w:jc w:val="center"/>
                    <w:rPr>
                      <w:rFonts w:asciiTheme="majorHAnsi" w:hAnsiTheme="majorHAnsi" w:cstheme="majorHAnsi"/>
                      <w:sz w:val="22"/>
                      <w:szCs w:val="22"/>
                    </w:rPr>
                  </w:pPr>
                  <w:r>
                    <w:rPr>
                      <w:rFonts w:asciiTheme="majorHAnsi" w:hAnsiTheme="majorHAnsi" w:cstheme="majorHAnsi"/>
                      <w:sz w:val="22"/>
                      <w:szCs w:val="22"/>
                    </w:rPr>
                    <w:t>22</w:t>
                  </w:r>
                </w:p>
              </w:tc>
              <w:tc>
                <w:tcPr>
                  <w:tcW w:w="2037" w:type="dxa"/>
                </w:tcPr>
                <w:p w14:paraId="69607AB6" w14:textId="77777777" w:rsidR="00606CDF" w:rsidRDefault="00606CDF" w:rsidP="003A2A07">
                  <w:pPr>
                    <w:spacing w:before="60" w:after="60"/>
                    <w:jc w:val="center"/>
                    <w:rPr>
                      <w:rFonts w:asciiTheme="majorHAnsi" w:hAnsiTheme="majorHAnsi" w:cstheme="majorHAnsi"/>
                      <w:sz w:val="22"/>
                      <w:szCs w:val="22"/>
                    </w:rPr>
                  </w:pPr>
                  <w:r>
                    <w:rPr>
                      <w:rFonts w:asciiTheme="majorHAnsi" w:hAnsiTheme="majorHAnsi" w:cstheme="majorHAnsi"/>
                      <w:sz w:val="22"/>
                      <w:szCs w:val="22"/>
                    </w:rPr>
                    <w:t>N/A</w:t>
                  </w:r>
                </w:p>
              </w:tc>
            </w:tr>
            <w:tr w:rsidR="00606CDF" w14:paraId="38329190" w14:textId="77777777" w:rsidTr="005D743C">
              <w:tc>
                <w:tcPr>
                  <w:tcW w:w="5841" w:type="dxa"/>
                </w:tcPr>
                <w:p w14:paraId="6E4CA657" w14:textId="77777777" w:rsidR="00606CDF" w:rsidRDefault="00606CDF" w:rsidP="003A2A07">
                  <w:pPr>
                    <w:spacing w:before="60" w:after="60"/>
                    <w:rPr>
                      <w:rFonts w:asciiTheme="majorHAnsi" w:hAnsiTheme="majorHAnsi" w:cstheme="majorHAnsi"/>
                      <w:sz w:val="22"/>
                      <w:szCs w:val="22"/>
                    </w:rPr>
                  </w:pPr>
                  <w:r>
                    <w:rPr>
                      <w:rFonts w:asciiTheme="majorHAnsi" w:hAnsiTheme="majorHAnsi" w:cstheme="majorHAnsi"/>
                      <w:sz w:val="22"/>
                      <w:szCs w:val="22"/>
                    </w:rPr>
                    <w:t>Expected number of ECG interpretations to be reported by the provider back to GP practices:</w:t>
                  </w:r>
                </w:p>
                <w:p w14:paraId="0D964B39" w14:textId="77777777" w:rsidR="00606CDF" w:rsidRDefault="00606CDF" w:rsidP="00D70005">
                  <w:pPr>
                    <w:pStyle w:val="ListParagraph"/>
                    <w:numPr>
                      <w:ilvl w:val="0"/>
                      <w:numId w:val="15"/>
                    </w:numPr>
                    <w:spacing w:before="60" w:after="60"/>
                    <w:rPr>
                      <w:rFonts w:asciiTheme="majorHAnsi" w:hAnsiTheme="majorHAnsi" w:cstheme="majorHAnsi"/>
                      <w:sz w:val="22"/>
                      <w:szCs w:val="22"/>
                    </w:rPr>
                  </w:pPr>
                  <w:r>
                    <w:rPr>
                      <w:rFonts w:asciiTheme="majorHAnsi" w:hAnsiTheme="majorHAnsi" w:cstheme="majorHAnsi"/>
                      <w:sz w:val="22"/>
                      <w:szCs w:val="22"/>
                    </w:rPr>
                    <w:t>Year 1 (2020/21)</w:t>
                  </w:r>
                </w:p>
                <w:p w14:paraId="59D087AC" w14:textId="77777777" w:rsidR="00606CDF" w:rsidRDefault="00606CDF" w:rsidP="00D70005">
                  <w:pPr>
                    <w:pStyle w:val="ListParagraph"/>
                    <w:numPr>
                      <w:ilvl w:val="0"/>
                      <w:numId w:val="15"/>
                    </w:numPr>
                    <w:spacing w:before="60" w:after="60"/>
                    <w:rPr>
                      <w:rFonts w:asciiTheme="majorHAnsi" w:hAnsiTheme="majorHAnsi" w:cstheme="majorHAnsi"/>
                      <w:sz w:val="22"/>
                      <w:szCs w:val="22"/>
                    </w:rPr>
                  </w:pPr>
                  <w:r>
                    <w:rPr>
                      <w:rFonts w:asciiTheme="majorHAnsi" w:hAnsiTheme="majorHAnsi" w:cstheme="majorHAnsi"/>
                      <w:sz w:val="22"/>
                      <w:szCs w:val="22"/>
                    </w:rPr>
                    <w:t>Year 2 (2021/22)</w:t>
                  </w:r>
                </w:p>
                <w:p w14:paraId="2FF1B3A4" w14:textId="77777777" w:rsidR="00606CDF" w:rsidRPr="007B3066" w:rsidRDefault="00606CDF" w:rsidP="00D70005">
                  <w:pPr>
                    <w:pStyle w:val="ListParagraph"/>
                    <w:numPr>
                      <w:ilvl w:val="0"/>
                      <w:numId w:val="15"/>
                    </w:numPr>
                    <w:spacing w:before="60" w:after="60"/>
                    <w:rPr>
                      <w:rFonts w:asciiTheme="majorHAnsi" w:hAnsiTheme="majorHAnsi" w:cstheme="majorHAnsi"/>
                      <w:sz w:val="22"/>
                      <w:szCs w:val="22"/>
                    </w:rPr>
                  </w:pPr>
                  <w:r>
                    <w:rPr>
                      <w:rFonts w:asciiTheme="majorHAnsi" w:hAnsiTheme="majorHAnsi" w:cstheme="majorHAnsi"/>
                      <w:sz w:val="22"/>
                      <w:szCs w:val="22"/>
                    </w:rPr>
                    <w:t>Year 3 (2022/23)</w:t>
                  </w:r>
                </w:p>
              </w:tc>
              <w:tc>
                <w:tcPr>
                  <w:tcW w:w="1984" w:type="dxa"/>
                </w:tcPr>
                <w:p w14:paraId="66857278" w14:textId="77777777" w:rsidR="00606CDF" w:rsidRDefault="00606CDF" w:rsidP="003A2A07">
                  <w:pPr>
                    <w:spacing w:before="60"/>
                    <w:jc w:val="center"/>
                    <w:rPr>
                      <w:rFonts w:asciiTheme="majorHAnsi" w:hAnsiTheme="majorHAnsi" w:cstheme="majorHAnsi"/>
                      <w:sz w:val="22"/>
                      <w:szCs w:val="22"/>
                    </w:rPr>
                  </w:pPr>
                </w:p>
                <w:p w14:paraId="288541E8" w14:textId="77777777" w:rsidR="00606CDF" w:rsidRDefault="00606CDF" w:rsidP="003A2A07">
                  <w:pPr>
                    <w:spacing w:after="60"/>
                    <w:jc w:val="center"/>
                    <w:rPr>
                      <w:rFonts w:asciiTheme="majorHAnsi" w:hAnsiTheme="majorHAnsi" w:cstheme="majorHAnsi"/>
                      <w:sz w:val="22"/>
                      <w:szCs w:val="22"/>
                    </w:rPr>
                  </w:pPr>
                </w:p>
                <w:p w14:paraId="1B3E32BB" w14:textId="77777777" w:rsidR="00606CDF" w:rsidRDefault="00606CDF" w:rsidP="003A2A07">
                  <w:pPr>
                    <w:spacing w:before="60" w:after="60"/>
                    <w:jc w:val="center"/>
                    <w:rPr>
                      <w:rFonts w:asciiTheme="majorHAnsi" w:hAnsiTheme="majorHAnsi" w:cstheme="majorHAnsi"/>
                      <w:sz w:val="22"/>
                      <w:szCs w:val="22"/>
                    </w:rPr>
                  </w:pPr>
                  <w:r>
                    <w:rPr>
                      <w:rFonts w:asciiTheme="majorHAnsi" w:hAnsiTheme="majorHAnsi" w:cstheme="majorHAnsi"/>
                      <w:sz w:val="22"/>
                      <w:szCs w:val="22"/>
                    </w:rPr>
                    <w:t>4,291</w:t>
                  </w:r>
                </w:p>
                <w:p w14:paraId="3C2CF46B" w14:textId="77777777" w:rsidR="00606CDF" w:rsidRDefault="00606CDF" w:rsidP="003A2A07">
                  <w:pPr>
                    <w:spacing w:before="60" w:after="60"/>
                    <w:jc w:val="center"/>
                    <w:rPr>
                      <w:rFonts w:asciiTheme="majorHAnsi" w:hAnsiTheme="majorHAnsi" w:cstheme="majorHAnsi"/>
                      <w:sz w:val="22"/>
                      <w:szCs w:val="22"/>
                    </w:rPr>
                  </w:pPr>
                  <w:r>
                    <w:rPr>
                      <w:rFonts w:asciiTheme="majorHAnsi" w:hAnsiTheme="majorHAnsi" w:cstheme="majorHAnsi"/>
                      <w:sz w:val="22"/>
                      <w:szCs w:val="22"/>
                    </w:rPr>
                    <w:t>4,394</w:t>
                  </w:r>
                </w:p>
                <w:p w14:paraId="23A98776" w14:textId="77777777" w:rsidR="00606CDF" w:rsidRDefault="00606CDF" w:rsidP="003A2A07">
                  <w:pPr>
                    <w:spacing w:before="60" w:after="60"/>
                    <w:jc w:val="center"/>
                    <w:rPr>
                      <w:rFonts w:asciiTheme="majorHAnsi" w:hAnsiTheme="majorHAnsi" w:cstheme="majorHAnsi"/>
                      <w:sz w:val="22"/>
                      <w:szCs w:val="22"/>
                    </w:rPr>
                  </w:pPr>
                  <w:r>
                    <w:rPr>
                      <w:rFonts w:asciiTheme="majorHAnsi" w:hAnsiTheme="majorHAnsi" w:cstheme="majorHAnsi"/>
                      <w:sz w:val="22"/>
                      <w:szCs w:val="22"/>
                    </w:rPr>
                    <w:t>4,499</w:t>
                  </w:r>
                </w:p>
              </w:tc>
              <w:tc>
                <w:tcPr>
                  <w:tcW w:w="2037" w:type="dxa"/>
                </w:tcPr>
                <w:p w14:paraId="39BE847F" w14:textId="77777777" w:rsidR="00606CDF" w:rsidRDefault="00606CDF" w:rsidP="003A2A07">
                  <w:pPr>
                    <w:spacing w:before="60"/>
                    <w:jc w:val="center"/>
                    <w:rPr>
                      <w:rFonts w:asciiTheme="majorHAnsi" w:hAnsiTheme="majorHAnsi" w:cstheme="majorHAnsi"/>
                      <w:sz w:val="22"/>
                      <w:szCs w:val="22"/>
                    </w:rPr>
                  </w:pPr>
                </w:p>
                <w:p w14:paraId="5CEDD2AD" w14:textId="77777777" w:rsidR="00606CDF" w:rsidRDefault="00606CDF" w:rsidP="003A2A07">
                  <w:pPr>
                    <w:spacing w:after="60"/>
                    <w:jc w:val="center"/>
                    <w:rPr>
                      <w:rFonts w:asciiTheme="majorHAnsi" w:hAnsiTheme="majorHAnsi" w:cstheme="majorHAnsi"/>
                      <w:sz w:val="22"/>
                      <w:szCs w:val="22"/>
                    </w:rPr>
                  </w:pPr>
                </w:p>
                <w:p w14:paraId="2AB82F2F" w14:textId="77777777" w:rsidR="00606CDF" w:rsidRDefault="00606CDF" w:rsidP="003A2A07">
                  <w:pPr>
                    <w:spacing w:before="60" w:after="60"/>
                    <w:jc w:val="center"/>
                    <w:rPr>
                      <w:rFonts w:asciiTheme="majorHAnsi" w:hAnsiTheme="majorHAnsi" w:cstheme="majorHAnsi"/>
                      <w:sz w:val="22"/>
                      <w:szCs w:val="22"/>
                    </w:rPr>
                  </w:pPr>
                  <w:r>
                    <w:rPr>
                      <w:rFonts w:asciiTheme="majorHAnsi" w:hAnsiTheme="majorHAnsi" w:cstheme="majorHAnsi"/>
                      <w:sz w:val="22"/>
                      <w:szCs w:val="22"/>
                    </w:rPr>
                    <w:t>496</w:t>
                  </w:r>
                </w:p>
                <w:p w14:paraId="76F6ECF8" w14:textId="77777777" w:rsidR="00606CDF" w:rsidRDefault="00606CDF" w:rsidP="003A2A07">
                  <w:pPr>
                    <w:spacing w:before="60" w:after="60"/>
                    <w:jc w:val="center"/>
                    <w:rPr>
                      <w:rFonts w:asciiTheme="majorHAnsi" w:hAnsiTheme="majorHAnsi" w:cstheme="majorHAnsi"/>
                      <w:sz w:val="22"/>
                      <w:szCs w:val="22"/>
                    </w:rPr>
                  </w:pPr>
                  <w:r>
                    <w:rPr>
                      <w:rFonts w:asciiTheme="majorHAnsi" w:hAnsiTheme="majorHAnsi" w:cstheme="majorHAnsi"/>
                      <w:sz w:val="22"/>
                      <w:szCs w:val="22"/>
                    </w:rPr>
                    <w:t>510</w:t>
                  </w:r>
                </w:p>
                <w:p w14:paraId="79EDF08F" w14:textId="77777777" w:rsidR="00606CDF" w:rsidRDefault="00606CDF" w:rsidP="003A2A07">
                  <w:pPr>
                    <w:spacing w:before="60" w:after="60"/>
                    <w:jc w:val="center"/>
                    <w:rPr>
                      <w:rFonts w:asciiTheme="majorHAnsi" w:hAnsiTheme="majorHAnsi" w:cstheme="majorHAnsi"/>
                      <w:sz w:val="22"/>
                      <w:szCs w:val="22"/>
                    </w:rPr>
                  </w:pPr>
                  <w:r>
                    <w:rPr>
                      <w:rFonts w:asciiTheme="majorHAnsi" w:hAnsiTheme="majorHAnsi" w:cstheme="majorHAnsi"/>
                      <w:sz w:val="22"/>
                      <w:szCs w:val="22"/>
                    </w:rPr>
                    <w:t>524</w:t>
                  </w:r>
                </w:p>
              </w:tc>
            </w:tr>
          </w:tbl>
          <w:p w14:paraId="4DCFB1E0" w14:textId="77777777" w:rsidR="00606CDF" w:rsidRDefault="00606CDF" w:rsidP="00536831">
            <w:pPr>
              <w:autoSpaceDE w:val="0"/>
              <w:autoSpaceDN w:val="0"/>
              <w:adjustRightInd w:val="0"/>
              <w:spacing w:after="0"/>
              <w:jc w:val="both"/>
              <w:rPr>
                <w:rFonts w:asciiTheme="majorHAnsi" w:eastAsia="Calibri" w:hAnsiTheme="majorHAnsi" w:cstheme="majorHAnsi"/>
                <w:sz w:val="22"/>
                <w:szCs w:val="22"/>
              </w:rPr>
            </w:pPr>
          </w:p>
          <w:p w14:paraId="3D520E05" w14:textId="6405F3A5" w:rsidR="00536831" w:rsidRPr="00536831" w:rsidRDefault="00536831" w:rsidP="00536831">
            <w:pPr>
              <w:autoSpaceDE w:val="0"/>
              <w:autoSpaceDN w:val="0"/>
              <w:adjustRightInd w:val="0"/>
              <w:spacing w:after="0"/>
              <w:jc w:val="both"/>
              <w:rPr>
                <w:rFonts w:asciiTheme="majorHAnsi" w:eastAsia="Calibri" w:hAnsiTheme="majorHAnsi" w:cstheme="majorHAnsi"/>
                <w:sz w:val="22"/>
                <w:szCs w:val="22"/>
              </w:rPr>
            </w:pPr>
            <w:r w:rsidRPr="00536831">
              <w:rPr>
                <w:rFonts w:asciiTheme="majorHAnsi" w:eastAsia="Calibri" w:hAnsiTheme="majorHAnsi" w:cstheme="majorHAnsi"/>
                <w:sz w:val="22"/>
                <w:szCs w:val="22"/>
              </w:rPr>
              <w:t xml:space="preserve"> 3.3 </w:t>
            </w:r>
            <w:r w:rsidRPr="008D4581">
              <w:rPr>
                <w:rFonts w:asciiTheme="majorHAnsi" w:eastAsia="Calibri" w:hAnsiTheme="majorHAnsi" w:cstheme="majorHAnsi"/>
                <w:b/>
                <w:bCs/>
                <w:sz w:val="22"/>
                <w:szCs w:val="22"/>
              </w:rPr>
              <w:t>Population Inclusion</w:t>
            </w:r>
          </w:p>
          <w:p w14:paraId="47D28189" w14:textId="77777777" w:rsidR="00817238" w:rsidRDefault="00817238" w:rsidP="00536831">
            <w:pPr>
              <w:autoSpaceDE w:val="0"/>
              <w:autoSpaceDN w:val="0"/>
              <w:adjustRightInd w:val="0"/>
              <w:spacing w:after="0"/>
              <w:jc w:val="both"/>
              <w:rPr>
                <w:rFonts w:asciiTheme="majorHAnsi" w:eastAsia="Calibri" w:hAnsiTheme="majorHAnsi" w:cstheme="majorHAnsi"/>
                <w:sz w:val="22"/>
                <w:szCs w:val="22"/>
              </w:rPr>
            </w:pPr>
          </w:p>
          <w:p w14:paraId="0FF0ADEF" w14:textId="37440722" w:rsidR="00536831" w:rsidRPr="00536831" w:rsidRDefault="00536831" w:rsidP="00536831">
            <w:pPr>
              <w:autoSpaceDE w:val="0"/>
              <w:autoSpaceDN w:val="0"/>
              <w:adjustRightInd w:val="0"/>
              <w:spacing w:after="0"/>
              <w:jc w:val="both"/>
              <w:rPr>
                <w:rFonts w:asciiTheme="majorHAnsi" w:eastAsia="Calibri" w:hAnsiTheme="majorHAnsi" w:cstheme="majorHAnsi"/>
                <w:sz w:val="22"/>
                <w:szCs w:val="22"/>
              </w:rPr>
            </w:pPr>
            <w:r w:rsidRPr="00536831">
              <w:rPr>
                <w:rFonts w:asciiTheme="majorHAnsi" w:eastAsia="Calibri" w:hAnsiTheme="majorHAnsi" w:cstheme="majorHAnsi"/>
                <w:sz w:val="22"/>
                <w:szCs w:val="22"/>
              </w:rPr>
              <w:t xml:space="preserve">Acceptance criteria </w:t>
            </w:r>
          </w:p>
          <w:p w14:paraId="1F4D74AE" w14:textId="5C927FE9" w:rsidR="00536831" w:rsidRPr="00536831" w:rsidRDefault="00536831" w:rsidP="00D70005">
            <w:pPr>
              <w:pStyle w:val="ListParagraph"/>
              <w:numPr>
                <w:ilvl w:val="0"/>
                <w:numId w:val="8"/>
              </w:numPr>
              <w:autoSpaceDE w:val="0"/>
              <w:autoSpaceDN w:val="0"/>
              <w:adjustRightInd w:val="0"/>
              <w:jc w:val="both"/>
              <w:rPr>
                <w:rFonts w:asciiTheme="majorHAnsi" w:eastAsia="Calibri" w:hAnsiTheme="majorHAnsi" w:cstheme="majorHAnsi"/>
                <w:sz w:val="22"/>
                <w:szCs w:val="22"/>
              </w:rPr>
            </w:pPr>
            <w:r w:rsidRPr="00536831">
              <w:rPr>
                <w:rFonts w:asciiTheme="majorHAnsi" w:eastAsia="Calibri" w:hAnsiTheme="majorHAnsi" w:cstheme="majorHAnsi"/>
                <w:sz w:val="22"/>
                <w:szCs w:val="22"/>
              </w:rPr>
              <w:t xml:space="preserve">When cardiac disease is </w:t>
            </w:r>
            <w:r w:rsidR="003425F6" w:rsidRPr="00536831">
              <w:rPr>
                <w:rFonts w:asciiTheme="majorHAnsi" w:eastAsia="Calibri" w:hAnsiTheme="majorHAnsi" w:cstheme="majorHAnsi"/>
                <w:sz w:val="22"/>
                <w:szCs w:val="22"/>
              </w:rPr>
              <w:t>suspected,</w:t>
            </w:r>
            <w:r w:rsidR="00C47B6C">
              <w:rPr>
                <w:rFonts w:asciiTheme="majorHAnsi" w:eastAsia="Calibri" w:hAnsiTheme="majorHAnsi" w:cstheme="majorHAnsi"/>
                <w:sz w:val="22"/>
                <w:szCs w:val="22"/>
              </w:rPr>
              <w:t xml:space="preserve"> </w:t>
            </w:r>
            <w:r w:rsidRPr="00536831">
              <w:rPr>
                <w:rFonts w:asciiTheme="majorHAnsi" w:eastAsia="Calibri" w:hAnsiTheme="majorHAnsi" w:cstheme="majorHAnsi"/>
                <w:sz w:val="22"/>
                <w:szCs w:val="22"/>
              </w:rPr>
              <w:t xml:space="preserve">and an ECG is clinically indicated. </w:t>
            </w:r>
          </w:p>
          <w:p w14:paraId="14C151CC" w14:textId="77777777" w:rsidR="00536831" w:rsidRDefault="00536831" w:rsidP="00D70005">
            <w:pPr>
              <w:pStyle w:val="ListParagraph"/>
              <w:numPr>
                <w:ilvl w:val="0"/>
                <w:numId w:val="8"/>
              </w:numPr>
              <w:autoSpaceDE w:val="0"/>
              <w:autoSpaceDN w:val="0"/>
              <w:adjustRightInd w:val="0"/>
              <w:jc w:val="both"/>
              <w:rPr>
                <w:rFonts w:asciiTheme="majorHAnsi" w:eastAsia="Calibri" w:hAnsiTheme="majorHAnsi" w:cstheme="majorHAnsi"/>
                <w:sz w:val="22"/>
                <w:szCs w:val="22"/>
              </w:rPr>
            </w:pPr>
            <w:r w:rsidRPr="00536831">
              <w:rPr>
                <w:rFonts w:asciiTheme="majorHAnsi" w:eastAsia="Calibri" w:hAnsiTheme="majorHAnsi" w:cstheme="majorHAnsi"/>
                <w:sz w:val="22"/>
                <w:szCs w:val="22"/>
              </w:rPr>
              <w:t xml:space="preserve">When it is indicated as part of a patients’ routine assessment for a long-term condition or for an on-going review. </w:t>
            </w:r>
          </w:p>
          <w:p w14:paraId="4ACD69CE" w14:textId="77777777" w:rsidR="00B701C9" w:rsidRDefault="00536831" w:rsidP="00D70005">
            <w:pPr>
              <w:pStyle w:val="ListParagraph"/>
              <w:numPr>
                <w:ilvl w:val="0"/>
                <w:numId w:val="8"/>
              </w:numPr>
              <w:autoSpaceDE w:val="0"/>
              <w:autoSpaceDN w:val="0"/>
              <w:adjustRightInd w:val="0"/>
              <w:jc w:val="both"/>
              <w:rPr>
                <w:rFonts w:asciiTheme="majorHAnsi" w:eastAsia="Calibri" w:hAnsiTheme="majorHAnsi" w:cstheme="majorHAnsi"/>
                <w:sz w:val="22"/>
                <w:szCs w:val="22"/>
              </w:rPr>
            </w:pPr>
            <w:r w:rsidRPr="00536831">
              <w:rPr>
                <w:rFonts w:asciiTheme="majorHAnsi" w:eastAsia="Calibri" w:hAnsiTheme="majorHAnsi" w:cstheme="majorHAnsi"/>
                <w:sz w:val="22"/>
                <w:szCs w:val="22"/>
              </w:rPr>
              <w:t>Routine ECG recording for the diagnosis and management of Atrial Fibrillation.</w:t>
            </w:r>
          </w:p>
          <w:p w14:paraId="0AB8B539" w14:textId="0B172AEF" w:rsidR="00536831" w:rsidRPr="00536831" w:rsidRDefault="00B701C9" w:rsidP="00D70005">
            <w:pPr>
              <w:pStyle w:val="ListParagraph"/>
              <w:numPr>
                <w:ilvl w:val="0"/>
                <w:numId w:val="8"/>
              </w:numPr>
              <w:autoSpaceDE w:val="0"/>
              <w:autoSpaceDN w:val="0"/>
              <w:adjustRightInd w:val="0"/>
              <w:jc w:val="both"/>
              <w:rPr>
                <w:rFonts w:asciiTheme="majorHAnsi" w:eastAsia="Calibri" w:hAnsiTheme="majorHAnsi" w:cstheme="majorHAnsi"/>
                <w:sz w:val="22"/>
                <w:szCs w:val="22"/>
              </w:rPr>
            </w:pPr>
            <w:r>
              <w:rPr>
                <w:rFonts w:asciiTheme="majorHAnsi" w:eastAsia="Calibri" w:hAnsiTheme="majorHAnsi" w:cstheme="majorHAnsi"/>
                <w:sz w:val="22"/>
                <w:szCs w:val="22"/>
              </w:rPr>
              <w:t>ECG monitoring for interpretation will be forwarded to the provider by GP practices specifically included within scope of the contract</w:t>
            </w:r>
            <w:r w:rsidR="00A16663">
              <w:rPr>
                <w:rFonts w:asciiTheme="majorHAnsi" w:eastAsia="Calibri" w:hAnsiTheme="majorHAnsi" w:cstheme="majorHAnsi"/>
                <w:sz w:val="22"/>
                <w:szCs w:val="22"/>
              </w:rPr>
              <w:t>.</w:t>
            </w:r>
            <w:r w:rsidR="00536831" w:rsidRPr="00536831">
              <w:rPr>
                <w:rFonts w:asciiTheme="majorHAnsi" w:eastAsia="Calibri" w:hAnsiTheme="majorHAnsi" w:cstheme="majorHAnsi"/>
                <w:sz w:val="22"/>
                <w:szCs w:val="22"/>
              </w:rPr>
              <w:t xml:space="preserve">  </w:t>
            </w:r>
          </w:p>
          <w:p w14:paraId="6B0CF571" w14:textId="77777777" w:rsidR="00536831" w:rsidRPr="00536831" w:rsidRDefault="00536831" w:rsidP="00536831">
            <w:pPr>
              <w:autoSpaceDE w:val="0"/>
              <w:autoSpaceDN w:val="0"/>
              <w:adjustRightInd w:val="0"/>
              <w:spacing w:after="0"/>
              <w:jc w:val="both"/>
              <w:rPr>
                <w:rFonts w:asciiTheme="majorHAnsi" w:eastAsia="Calibri" w:hAnsiTheme="majorHAnsi" w:cstheme="majorHAnsi"/>
                <w:sz w:val="22"/>
                <w:szCs w:val="22"/>
              </w:rPr>
            </w:pPr>
            <w:r w:rsidRPr="00536831">
              <w:rPr>
                <w:rFonts w:asciiTheme="majorHAnsi" w:eastAsia="Calibri" w:hAnsiTheme="majorHAnsi" w:cstheme="majorHAnsi"/>
                <w:sz w:val="22"/>
                <w:szCs w:val="22"/>
              </w:rPr>
              <w:t xml:space="preserve"> </w:t>
            </w:r>
          </w:p>
          <w:p w14:paraId="6B30D08E" w14:textId="77777777" w:rsidR="00536831" w:rsidRPr="00536831" w:rsidRDefault="00536831" w:rsidP="00536831">
            <w:pPr>
              <w:autoSpaceDE w:val="0"/>
              <w:autoSpaceDN w:val="0"/>
              <w:adjustRightInd w:val="0"/>
              <w:spacing w:after="0"/>
              <w:jc w:val="both"/>
              <w:rPr>
                <w:rFonts w:asciiTheme="majorHAnsi" w:eastAsia="Calibri" w:hAnsiTheme="majorHAnsi" w:cstheme="majorHAnsi"/>
                <w:sz w:val="22"/>
                <w:szCs w:val="22"/>
              </w:rPr>
            </w:pPr>
            <w:r w:rsidRPr="00536831">
              <w:rPr>
                <w:rFonts w:asciiTheme="majorHAnsi" w:eastAsia="Calibri" w:hAnsiTheme="majorHAnsi" w:cstheme="majorHAnsi"/>
                <w:sz w:val="22"/>
                <w:szCs w:val="22"/>
              </w:rPr>
              <w:t xml:space="preserve">Exclusion criteria </w:t>
            </w:r>
          </w:p>
          <w:p w14:paraId="4ABDD5FD" w14:textId="6D2D349A" w:rsidR="00536831" w:rsidRPr="00536831" w:rsidRDefault="00536831" w:rsidP="00D70005">
            <w:pPr>
              <w:pStyle w:val="ListParagraph"/>
              <w:numPr>
                <w:ilvl w:val="0"/>
                <w:numId w:val="9"/>
              </w:numPr>
              <w:autoSpaceDE w:val="0"/>
              <w:autoSpaceDN w:val="0"/>
              <w:adjustRightInd w:val="0"/>
              <w:jc w:val="both"/>
              <w:rPr>
                <w:rFonts w:asciiTheme="majorHAnsi" w:eastAsia="Calibri" w:hAnsiTheme="majorHAnsi" w:cstheme="majorHAnsi"/>
                <w:sz w:val="22"/>
                <w:szCs w:val="22"/>
              </w:rPr>
            </w:pPr>
            <w:r w:rsidRPr="00536831">
              <w:rPr>
                <w:rFonts w:asciiTheme="majorHAnsi" w:eastAsia="Calibri" w:hAnsiTheme="majorHAnsi" w:cstheme="majorHAnsi"/>
                <w:sz w:val="22"/>
                <w:szCs w:val="22"/>
              </w:rPr>
              <w:t>ECGs</w:t>
            </w:r>
            <w:r w:rsidR="00381AAC">
              <w:rPr>
                <w:rFonts w:asciiTheme="majorHAnsi" w:eastAsia="Calibri" w:hAnsiTheme="majorHAnsi" w:cstheme="majorHAnsi"/>
                <w:sz w:val="22"/>
                <w:szCs w:val="22"/>
              </w:rPr>
              <w:t xml:space="preserve"> are not</w:t>
            </w:r>
            <w:r w:rsidRPr="00536831">
              <w:rPr>
                <w:rFonts w:asciiTheme="majorHAnsi" w:eastAsia="Calibri" w:hAnsiTheme="majorHAnsi" w:cstheme="majorHAnsi"/>
                <w:sz w:val="22"/>
                <w:szCs w:val="22"/>
              </w:rPr>
              <w:t xml:space="preserve"> required for routine medicals and medical certificates. </w:t>
            </w:r>
          </w:p>
          <w:p w14:paraId="6FC7353B" w14:textId="5B1C05BD" w:rsidR="00536831" w:rsidRPr="00536831" w:rsidRDefault="00536831" w:rsidP="00D70005">
            <w:pPr>
              <w:pStyle w:val="ListParagraph"/>
              <w:numPr>
                <w:ilvl w:val="0"/>
                <w:numId w:val="9"/>
              </w:numPr>
              <w:autoSpaceDE w:val="0"/>
              <w:autoSpaceDN w:val="0"/>
              <w:adjustRightInd w:val="0"/>
              <w:jc w:val="both"/>
              <w:rPr>
                <w:rFonts w:asciiTheme="majorHAnsi" w:eastAsia="Calibri" w:hAnsiTheme="majorHAnsi" w:cstheme="majorHAnsi"/>
                <w:sz w:val="22"/>
                <w:szCs w:val="22"/>
              </w:rPr>
            </w:pPr>
            <w:r w:rsidRPr="00536831">
              <w:rPr>
                <w:rFonts w:asciiTheme="majorHAnsi" w:eastAsia="Calibri" w:hAnsiTheme="majorHAnsi" w:cstheme="majorHAnsi"/>
                <w:sz w:val="22"/>
                <w:szCs w:val="22"/>
              </w:rPr>
              <w:t xml:space="preserve">ECGs are not to be performed as part of a pre-operative assessment. </w:t>
            </w:r>
          </w:p>
          <w:p w14:paraId="48520EF8" w14:textId="192F76F9" w:rsidR="00536831" w:rsidRPr="00536831" w:rsidRDefault="00536831" w:rsidP="00D70005">
            <w:pPr>
              <w:pStyle w:val="ListParagraph"/>
              <w:numPr>
                <w:ilvl w:val="0"/>
                <w:numId w:val="9"/>
              </w:numPr>
              <w:autoSpaceDE w:val="0"/>
              <w:autoSpaceDN w:val="0"/>
              <w:adjustRightInd w:val="0"/>
              <w:jc w:val="both"/>
              <w:rPr>
                <w:rFonts w:asciiTheme="majorHAnsi" w:eastAsia="Calibri" w:hAnsiTheme="majorHAnsi" w:cstheme="majorHAnsi"/>
                <w:sz w:val="22"/>
                <w:szCs w:val="22"/>
              </w:rPr>
            </w:pPr>
            <w:r w:rsidRPr="00536831">
              <w:rPr>
                <w:rFonts w:asciiTheme="majorHAnsi" w:eastAsia="Calibri" w:hAnsiTheme="majorHAnsi" w:cstheme="majorHAnsi"/>
                <w:sz w:val="22"/>
                <w:szCs w:val="22"/>
              </w:rPr>
              <w:t>ECGs</w:t>
            </w:r>
            <w:r w:rsidR="006A7F78">
              <w:rPr>
                <w:rFonts w:asciiTheme="majorHAnsi" w:eastAsia="Calibri" w:hAnsiTheme="majorHAnsi" w:cstheme="majorHAnsi"/>
                <w:sz w:val="22"/>
                <w:szCs w:val="22"/>
              </w:rPr>
              <w:t xml:space="preserve"> </w:t>
            </w:r>
            <w:r w:rsidR="00AC3FF1">
              <w:rPr>
                <w:rFonts w:asciiTheme="majorHAnsi" w:eastAsia="Calibri" w:hAnsiTheme="majorHAnsi" w:cstheme="majorHAnsi"/>
                <w:sz w:val="22"/>
                <w:szCs w:val="22"/>
              </w:rPr>
              <w:t xml:space="preserve">is not provided to patients </w:t>
            </w:r>
            <w:r w:rsidRPr="00536831">
              <w:rPr>
                <w:rFonts w:asciiTheme="majorHAnsi" w:eastAsia="Calibri" w:hAnsiTheme="majorHAnsi" w:cstheme="majorHAnsi"/>
                <w:sz w:val="22"/>
                <w:szCs w:val="22"/>
              </w:rPr>
              <w:t>under the age of 18 years old.</w:t>
            </w:r>
          </w:p>
          <w:p w14:paraId="0F1527B9" w14:textId="77777777" w:rsidR="00536831" w:rsidRPr="00536831" w:rsidRDefault="00536831" w:rsidP="00536831">
            <w:pPr>
              <w:autoSpaceDE w:val="0"/>
              <w:autoSpaceDN w:val="0"/>
              <w:adjustRightInd w:val="0"/>
              <w:spacing w:after="0"/>
              <w:jc w:val="both"/>
              <w:rPr>
                <w:rFonts w:asciiTheme="majorHAnsi" w:eastAsia="Calibri" w:hAnsiTheme="majorHAnsi" w:cstheme="majorHAnsi"/>
                <w:sz w:val="22"/>
                <w:szCs w:val="22"/>
              </w:rPr>
            </w:pPr>
          </w:p>
          <w:p w14:paraId="39A19FB3" w14:textId="6FE7A093" w:rsidR="00536831" w:rsidRPr="00536831" w:rsidRDefault="00536831" w:rsidP="00536831">
            <w:pPr>
              <w:autoSpaceDE w:val="0"/>
              <w:autoSpaceDN w:val="0"/>
              <w:adjustRightInd w:val="0"/>
              <w:spacing w:after="0"/>
              <w:jc w:val="both"/>
              <w:rPr>
                <w:rFonts w:asciiTheme="majorHAnsi" w:eastAsia="Calibri" w:hAnsiTheme="majorHAnsi" w:cstheme="majorHAnsi"/>
                <w:sz w:val="22"/>
                <w:szCs w:val="22"/>
              </w:rPr>
            </w:pPr>
            <w:r w:rsidRPr="00536831">
              <w:rPr>
                <w:rFonts w:asciiTheme="majorHAnsi" w:eastAsia="Calibri" w:hAnsiTheme="majorHAnsi" w:cstheme="majorHAnsi"/>
                <w:sz w:val="22"/>
                <w:szCs w:val="22"/>
              </w:rPr>
              <w:t>3.</w:t>
            </w:r>
            <w:r w:rsidR="008D4581">
              <w:rPr>
                <w:rFonts w:asciiTheme="majorHAnsi" w:eastAsia="Calibri" w:hAnsiTheme="majorHAnsi" w:cstheme="majorHAnsi"/>
                <w:sz w:val="22"/>
                <w:szCs w:val="22"/>
              </w:rPr>
              <w:t>4</w:t>
            </w:r>
            <w:r w:rsidRPr="00536831">
              <w:rPr>
                <w:rFonts w:asciiTheme="majorHAnsi" w:eastAsia="Calibri" w:hAnsiTheme="majorHAnsi" w:cstheme="majorHAnsi"/>
                <w:sz w:val="22"/>
                <w:szCs w:val="22"/>
              </w:rPr>
              <w:t xml:space="preserve"> </w:t>
            </w:r>
            <w:r w:rsidRPr="008D4581">
              <w:rPr>
                <w:rFonts w:asciiTheme="majorHAnsi" w:eastAsia="Calibri" w:hAnsiTheme="majorHAnsi" w:cstheme="majorHAnsi"/>
                <w:b/>
                <w:bCs/>
                <w:sz w:val="22"/>
                <w:szCs w:val="22"/>
              </w:rPr>
              <w:t xml:space="preserve">Training, Skills and Experience  </w:t>
            </w:r>
          </w:p>
          <w:p w14:paraId="10B01A95" w14:textId="75A973B2" w:rsidR="00536831" w:rsidRDefault="00AC3FF1" w:rsidP="00AC3FF1">
            <w:pPr>
              <w:autoSpaceDE w:val="0"/>
              <w:autoSpaceDN w:val="0"/>
              <w:adjustRightInd w:val="0"/>
              <w:spacing w:after="0"/>
              <w:jc w:val="both"/>
              <w:rPr>
                <w:rFonts w:asciiTheme="majorHAnsi" w:eastAsia="Calibri" w:hAnsiTheme="majorHAnsi" w:cstheme="majorHAnsi"/>
                <w:sz w:val="22"/>
                <w:szCs w:val="22"/>
              </w:rPr>
            </w:pPr>
            <w:r w:rsidRPr="00AC3FF1">
              <w:rPr>
                <w:rFonts w:asciiTheme="majorHAnsi" w:eastAsia="Calibri" w:hAnsiTheme="majorHAnsi" w:cstheme="majorHAnsi"/>
                <w:sz w:val="22"/>
                <w:szCs w:val="22"/>
              </w:rPr>
              <w:t xml:space="preserve">The interpretations are to be made by a registered clinician (cardiac physiologist/cardiologist) with expertise in ECG interpretation. </w:t>
            </w:r>
            <w:r w:rsidRPr="00536831">
              <w:rPr>
                <w:rFonts w:asciiTheme="majorHAnsi" w:eastAsia="Calibri" w:hAnsiTheme="majorHAnsi" w:cstheme="majorHAnsi"/>
                <w:sz w:val="22"/>
                <w:szCs w:val="22"/>
              </w:rPr>
              <w:t>The Provider must ensure that there is appropriate support and supervision</w:t>
            </w:r>
            <w:r>
              <w:rPr>
                <w:rFonts w:asciiTheme="majorHAnsi" w:eastAsia="Calibri" w:hAnsiTheme="majorHAnsi" w:cstheme="majorHAnsi"/>
                <w:sz w:val="22"/>
                <w:szCs w:val="22"/>
              </w:rPr>
              <w:t xml:space="preserve"> </w:t>
            </w:r>
            <w:r w:rsidR="00536831" w:rsidRPr="00536831">
              <w:rPr>
                <w:rFonts w:asciiTheme="majorHAnsi" w:eastAsia="Calibri" w:hAnsiTheme="majorHAnsi" w:cstheme="majorHAnsi"/>
                <w:sz w:val="22"/>
                <w:szCs w:val="22"/>
              </w:rPr>
              <w:t xml:space="preserve">available for those providing the service. </w:t>
            </w:r>
          </w:p>
          <w:p w14:paraId="4EF86FB7" w14:textId="77777777" w:rsidR="00536831" w:rsidRPr="00536831" w:rsidRDefault="00536831" w:rsidP="00536831">
            <w:pPr>
              <w:autoSpaceDE w:val="0"/>
              <w:autoSpaceDN w:val="0"/>
              <w:adjustRightInd w:val="0"/>
              <w:spacing w:after="0"/>
              <w:jc w:val="both"/>
              <w:rPr>
                <w:rFonts w:asciiTheme="majorHAnsi" w:eastAsia="Calibri" w:hAnsiTheme="majorHAnsi" w:cstheme="majorHAnsi"/>
                <w:sz w:val="22"/>
                <w:szCs w:val="22"/>
              </w:rPr>
            </w:pPr>
          </w:p>
          <w:p w14:paraId="6EDA49B8" w14:textId="24080DCB" w:rsidR="008D4581" w:rsidRDefault="00820758" w:rsidP="00820758">
            <w:pPr>
              <w:autoSpaceDE w:val="0"/>
              <w:autoSpaceDN w:val="0"/>
              <w:adjustRightInd w:val="0"/>
              <w:spacing w:after="0"/>
              <w:jc w:val="both"/>
              <w:rPr>
                <w:rFonts w:asciiTheme="majorHAnsi" w:eastAsia="Calibri" w:hAnsiTheme="majorHAnsi" w:cstheme="majorHAnsi"/>
                <w:sz w:val="22"/>
                <w:szCs w:val="22"/>
              </w:rPr>
            </w:pPr>
            <w:r w:rsidRPr="008D4581">
              <w:rPr>
                <w:rFonts w:asciiTheme="majorHAnsi" w:eastAsia="Calibri" w:hAnsiTheme="majorHAnsi" w:cstheme="majorHAnsi"/>
                <w:sz w:val="22"/>
                <w:szCs w:val="22"/>
              </w:rPr>
              <w:t>3.</w:t>
            </w:r>
            <w:r w:rsidR="008D4581">
              <w:rPr>
                <w:rFonts w:asciiTheme="majorHAnsi" w:eastAsia="Calibri" w:hAnsiTheme="majorHAnsi" w:cstheme="majorHAnsi"/>
                <w:sz w:val="22"/>
                <w:szCs w:val="22"/>
              </w:rPr>
              <w:t>5</w:t>
            </w:r>
            <w:r w:rsidRPr="008D4581">
              <w:rPr>
                <w:rFonts w:asciiTheme="majorHAnsi" w:eastAsia="Calibri" w:hAnsiTheme="majorHAnsi" w:cstheme="majorHAnsi"/>
                <w:b/>
                <w:bCs/>
                <w:sz w:val="22"/>
                <w:szCs w:val="22"/>
              </w:rPr>
              <w:t xml:space="preserve"> Equipment</w:t>
            </w:r>
            <w:r w:rsidRPr="00820758">
              <w:rPr>
                <w:rFonts w:asciiTheme="majorHAnsi" w:eastAsia="Calibri" w:hAnsiTheme="majorHAnsi" w:cstheme="majorHAnsi"/>
                <w:sz w:val="22"/>
                <w:szCs w:val="22"/>
              </w:rPr>
              <w:t xml:space="preserve"> </w:t>
            </w:r>
          </w:p>
          <w:p w14:paraId="4D641B4C" w14:textId="2A0135BB" w:rsidR="00820758" w:rsidRPr="008D4581" w:rsidRDefault="00820758" w:rsidP="00D70005">
            <w:pPr>
              <w:pStyle w:val="ListParagraph"/>
              <w:numPr>
                <w:ilvl w:val="0"/>
                <w:numId w:val="12"/>
              </w:numPr>
              <w:autoSpaceDE w:val="0"/>
              <w:autoSpaceDN w:val="0"/>
              <w:adjustRightInd w:val="0"/>
              <w:jc w:val="both"/>
              <w:rPr>
                <w:rFonts w:asciiTheme="majorHAnsi" w:eastAsia="Calibri" w:hAnsiTheme="majorHAnsi" w:cstheme="majorHAnsi"/>
                <w:sz w:val="22"/>
                <w:szCs w:val="22"/>
              </w:rPr>
            </w:pPr>
            <w:r w:rsidRPr="008D4581">
              <w:rPr>
                <w:rFonts w:asciiTheme="majorHAnsi" w:eastAsia="Calibri" w:hAnsiTheme="majorHAnsi" w:cstheme="majorHAnsi"/>
                <w:sz w:val="22"/>
                <w:szCs w:val="22"/>
                <w:u w:val="single"/>
              </w:rPr>
              <w:t>Installation, Testing and Calibration</w:t>
            </w:r>
            <w:r w:rsidRPr="008D4581">
              <w:rPr>
                <w:rFonts w:asciiTheme="majorHAnsi" w:eastAsia="Calibri" w:hAnsiTheme="majorHAnsi" w:cstheme="majorHAnsi"/>
                <w:sz w:val="22"/>
                <w:szCs w:val="22"/>
              </w:rPr>
              <w:t xml:space="preserve"> </w:t>
            </w:r>
            <w:r w:rsidR="008D4581" w:rsidRPr="008D4581">
              <w:rPr>
                <w:rFonts w:asciiTheme="majorHAnsi" w:eastAsia="Calibri" w:hAnsiTheme="majorHAnsi" w:cstheme="majorHAnsi"/>
                <w:sz w:val="22"/>
                <w:szCs w:val="22"/>
              </w:rPr>
              <w:t xml:space="preserve">- </w:t>
            </w:r>
            <w:r w:rsidRPr="008D4581">
              <w:rPr>
                <w:rFonts w:asciiTheme="majorHAnsi" w:eastAsia="Calibri" w:hAnsiTheme="majorHAnsi" w:cstheme="majorHAnsi"/>
                <w:sz w:val="22"/>
                <w:szCs w:val="22"/>
              </w:rPr>
              <w:t>The Provider will be responsible for supplying all necessary equipment to deliver the service, install</w:t>
            </w:r>
            <w:r w:rsidR="002A2EAA">
              <w:rPr>
                <w:rFonts w:asciiTheme="majorHAnsi" w:eastAsia="Calibri" w:hAnsiTheme="majorHAnsi" w:cstheme="majorHAnsi"/>
                <w:sz w:val="22"/>
                <w:szCs w:val="22"/>
              </w:rPr>
              <w:t>ation of</w:t>
            </w:r>
            <w:r w:rsidRPr="008D4581">
              <w:rPr>
                <w:rFonts w:asciiTheme="majorHAnsi" w:eastAsia="Calibri" w:hAnsiTheme="majorHAnsi" w:cstheme="majorHAnsi"/>
                <w:sz w:val="22"/>
                <w:szCs w:val="22"/>
              </w:rPr>
              <w:t xml:space="preserve"> the equipment and testing</w:t>
            </w:r>
            <w:r w:rsidR="00070009">
              <w:rPr>
                <w:rFonts w:asciiTheme="majorHAnsi" w:eastAsia="Calibri" w:hAnsiTheme="majorHAnsi" w:cstheme="majorHAnsi"/>
                <w:sz w:val="22"/>
                <w:szCs w:val="22"/>
              </w:rPr>
              <w:t xml:space="preserve"> of</w:t>
            </w:r>
            <w:r w:rsidRPr="008D4581">
              <w:rPr>
                <w:rFonts w:asciiTheme="majorHAnsi" w:eastAsia="Calibri" w:hAnsiTheme="majorHAnsi" w:cstheme="majorHAnsi"/>
                <w:sz w:val="22"/>
                <w:szCs w:val="22"/>
              </w:rPr>
              <w:t xml:space="preserve"> its functionality during the mobilisation period. The Providers equipment and software </w:t>
            </w:r>
            <w:r w:rsidR="003425F6">
              <w:rPr>
                <w:rFonts w:asciiTheme="majorHAnsi" w:eastAsia="Calibri" w:hAnsiTheme="majorHAnsi" w:cstheme="majorHAnsi"/>
                <w:sz w:val="22"/>
                <w:szCs w:val="22"/>
              </w:rPr>
              <w:t>must</w:t>
            </w:r>
            <w:r w:rsidRPr="008D4581">
              <w:rPr>
                <w:rFonts w:asciiTheme="majorHAnsi" w:eastAsia="Calibri" w:hAnsiTheme="majorHAnsi" w:cstheme="majorHAnsi"/>
                <w:sz w:val="22"/>
                <w:szCs w:val="22"/>
              </w:rPr>
              <w:t xml:space="preserve"> be totally compatible and integrate seamlessly with the GPs IT practice systems and meet NHS IT standards</w:t>
            </w:r>
            <w:r w:rsidR="00817238">
              <w:rPr>
                <w:rFonts w:asciiTheme="majorHAnsi" w:eastAsia="Calibri" w:hAnsiTheme="majorHAnsi" w:cstheme="majorHAnsi"/>
                <w:sz w:val="22"/>
                <w:szCs w:val="22"/>
              </w:rPr>
              <w:t>.</w:t>
            </w:r>
            <w:r w:rsidRPr="008D4581">
              <w:rPr>
                <w:rFonts w:asciiTheme="majorHAnsi" w:eastAsia="Calibri" w:hAnsiTheme="majorHAnsi" w:cstheme="majorHAnsi"/>
                <w:sz w:val="22"/>
                <w:szCs w:val="22"/>
              </w:rPr>
              <w:t xml:space="preserve"> </w:t>
            </w:r>
          </w:p>
          <w:p w14:paraId="147817FE" w14:textId="77777777" w:rsidR="00820758" w:rsidRPr="00820758" w:rsidRDefault="00820758" w:rsidP="00820758">
            <w:pPr>
              <w:autoSpaceDE w:val="0"/>
              <w:autoSpaceDN w:val="0"/>
              <w:adjustRightInd w:val="0"/>
              <w:spacing w:after="0"/>
              <w:jc w:val="both"/>
              <w:rPr>
                <w:rFonts w:asciiTheme="majorHAnsi" w:eastAsia="Calibri" w:hAnsiTheme="majorHAnsi" w:cstheme="majorHAnsi"/>
                <w:sz w:val="22"/>
                <w:szCs w:val="22"/>
              </w:rPr>
            </w:pPr>
            <w:r w:rsidRPr="00820758">
              <w:rPr>
                <w:rFonts w:asciiTheme="majorHAnsi" w:eastAsia="Calibri" w:hAnsiTheme="majorHAnsi" w:cstheme="majorHAnsi"/>
                <w:sz w:val="22"/>
                <w:szCs w:val="22"/>
              </w:rPr>
              <w:t xml:space="preserve"> </w:t>
            </w:r>
          </w:p>
          <w:p w14:paraId="28F09113" w14:textId="2E7A6881" w:rsidR="00820758" w:rsidRPr="008D4581" w:rsidRDefault="00820758" w:rsidP="00D70005">
            <w:pPr>
              <w:pStyle w:val="ListParagraph"/>
              <w:numPr>
                <w:ilvl w:val="0"/>
                <w:numId w:val="12"/>
              </w:numPr>
              <w:autoSpaceDE w:val="0"/>
              <w:autoSpaceDN w:val="0"/>
              <w:adjustRightInd w:val="0"/>
              <w:jc w:val="both"/>
              <w:rPr>
                <w:rFonts w:asciiTheme="majorHAnsi" w:eastAsia="Calibri" w:hAnsiTheme="majorHAnsi" w:cstheme="majorHAnsi"/>
                <w:sz w:val="22"/>
                <w:szCs w:val="22"/>
              </w:rPr>
            </w:pPr>
            <w:r w:rsidRPr="008D4581">
              <w:rPr>
                <w:rFonts w:asciiTheme="majorHAnsi" w:eastAsia="Calibri" w:hAnsiTheme="majorHAnsi" w:cstheme="majorHAnsi"/>
                <w:sz w:val="22"/>
                <w:szCs w:val="22"/>
                <w:u w:val="single"/>
              </w:rPr>
              <w:t xml:space="preserve">Consumables </w:t>
            </w:r>
            <w:r w:rsidR="008D4581" w:rsidRPr="008D4581">
              <w:rPr>
                <w:rFonts w:asciiTheme="majorHAnsi" w:eastAsia="Calibri" w:hAnsiTheme="majorHAnsi" w:cstheme="majorHAnsi"/>
                <w:sz w:val="22"/>
                <w:szCs w:val="22"/>
              </w:rPr>
              <w:t xml:space="preserve">- </w:t>
            </w:r>
            <w:r w:rsidRPr="008D4581">
              <w:rPr>
                <w:rFonts w:asciiTheme="majorHAnsi" w:eastAsia="Calibri" w:hAnsiTheme="majorHAnsi" w:cstheme="majorHAnsi"/>
                <w:sz w:val="22"/>
                <w:szCs w:val="22"/>
              </w:rPr>
              <w:t>The Provider will be responsible for supplying all necessary consumables including patches and leads to deliver the service. The Provider must arrange for timely stock replenishment and delivery of consumables to assure service continuity. The Provider should also provide a quick reference list for Health</w:t>
            </w:r>
            <w:r w:rsidR="00A16663">
              <w:rPr>
                <w:rFonts w:asciiTheme="majorHAnsi" w:eastAsia="Calibri" w:hAnsiTheme="majorHAnsi" w:cstheme="majorHAnsi"/>
                <w:sz w:val="22"/>
                <w:szCs w:val="22"/>
              </w:rPr>
              <w:t xml:space="preserve">care Assistance </w:t>
            </w:r>
            <w:r w:rsidRPr="008D4581">
              <w:rPr>
                <w:rFonts w:asciiTheme="majorHAnsi" w:eastAsia="Calibri" w:hAnsiTheme="majorHAnsi" w:cstheme="majorHAnsi"/>
                <w:sz w:val="22"/>
                <w:szCs w:val="22"/>
              </w:rPr>
              <w:t xml:space="preserve">and nurses to check the required consumables needed for each ECG setup.   </w:t>
            </w:r>
          </w:p>
          <w:p w14:paraId="2FFA4C69" w14:textId="77777777" w:rsidR="00820758" w:rsidRPr="00820758" w:rsidRDefault="00820758" w:rsidP="00820758">
            <w:pPr>
              <w:autoSpaceDE w:val="0"/>
              <w:autoSpaceDN w:val="0"/>
              <w:adjustRightInd w:val="0"/>
              <w:spacing w:after="0"/>
              <w:jc w:val="both"/>
              <w:rPr>
                <w:rFonts w:asciiTheme="majorHAnsi" w:eastAsia="Calibri" w:hAnsiTheme="majorHAnsi" w:cstheme="majorHAnsi"/>
                <w:sz w:val="22"/>
                <w:szCs w:val="22"/>
              </w:rPr>
            </w:pPr>
            <w:r w:rsidRPr="00820758">
              <w:rPr>
                <w:rFonts w:asciiTheme="majorHAnsi" w:eastAsia="Calibri" w:hAnsiTheme="majorHAnsi" w:cstheme="majorHAnsi"/>
                <w:sz w:val="22"/>
                <w:szCs w:val="22"/>
              </w:rPr>
              <w:t xml:space="preserve"> </w:t>
            </w:r>
          </w:p>
          <w:p w14:paraId="5F8EB5FF" w14:textId="79D1BB6A" w:rsidR="00820758" w:rsidRDefault="00820758" w:rsidP="00D70005">
            <w:pPr>
              <w:pStyle w:val="ListParagraph"/>
              <w:numPr>
                <w:ilvl w:val="0"/>
                <w:numId w:val="12"/>
              </w:numPr>
              <w:autoSpaceDE w:val="0"/>
              <w:autoSpaceDN w:val="0"/>
              <w:adjustRightInd w:val="0"/>
              <w:jc w:val="both"/>
              <w:rPr>
                <w:rFonts w:asciiTheme="majorHAnsi" w:eastAsia="Calibri" w:hAnsiTheme="majorHAnsi" w:cstheme="majorHAnsi"/>
                <w:sz w:val="22"/>
                <w:szCs w:val="22"/>
              </w:rPr>
            </w:pPr>
            <w:r w:rsidRPr="008D4581">
              <w:rPr>
                <w:rFonts w:asciiTheme="majorHAnsi" w:eastAsia="Calibri" w:hAnsiTheme="majorHAnsi" w:cstheme="majorHAnsi"/>
                <w:sz w:val="22"/>
                <w:szCs w:val="22"/>
                <w:u w:val="single"/>
              </w:rPr>
              <w:t>Equipment Maintenance</w:t>
            </w:r>
            <w:r w:rsidR="008D4581" w:rsidRPr="008D4581">
              <w:rPr>
                <w:rFonts w:asciiTheme="majorHAnsi" w:eastAsia="Calibri" w:hAnsiTheme="majorHAnsi" w:cstheme="majorHAnsi"/>
                <w:sz w:val="22"/>
                <w:szCs w:val="22"/>
              </w:rPr>
              <w:t xml:space="preserve"> - </w:t>
            </w:r>
            <w:r w:rsidRPr="008D4581">
              <w:rPr>
                <w:rFonts w:asciiTheme="majorHAnsi" w:eastAsia="Calibri" w:hAnsiTheme="majorHAnsi" w:cstheme="majorHAnsi"/>
                <w:sz w:val="22"/>
                <w:szCs w:val="22"/>
              </w:rPr>
              <w:t xml:space="preserve">The Provider shall make adequate arrangements for a repair/replace facility for all devices, enabling any equipment problems to be resolved within 48 hours by repairing or replacing </w:t>
            </w:r>
            <w:r w:rsidR="003425F6">
              <w:rPr>
                <w:rFonts w:asciiTheme="majorHAnsi" w:eastAsia="Calibri" w:hAnsiTheme="majorHAnsi" w:cstheme="majorHAnsi"/>
                <w:sz w:val="22"/>
                <w:szCs w:val="22"/>
              </w:rPr>
              <w:t xml:space="preserve">the </w:t>
            </w:r>
            <w:r w:rsidR="003425F6" w:rsidRPr="008D4581">
              <w:rPr>
                <w:rFonts w:asciiTheme="majorHAnsi" w:eastAsia="Calibri" w:hAnsiTheme="majorHAnsi" w:cstheme="majorHAnsi"/>
                <w:sz w:val="22"/>
                <w:szCs w:val="22"/>
              </w:rPr>
              <w:t>equipment</w:t>
            </w:r>
            <w:r w:rsidRPr="008D4581">
              <w:rPr>
                <w:rFonts w:asciiTheme="majorHAnsi" w:eastAsia="Calibri" w:hAnsiTheme="majorHAnsi" w:cstheme="majorHAnsi"/>
                <w:sz w:val="22"/>
                <w:szCs w:val="22"/>
              </w:rPr>
              <w:t xml:space="preserve">. </w:t>
            </w:r>
          </w:p>
          <w:p w14:paraId="3F0FAEE6" w14:textId="77777777" w:rsidR="00724DBF" w:rsidRPr="00724DBF" w:rsidRDefault="00724DBF" w:rsidP="00724DBF">
            <w:pPr>
              <w:pStyle w:val="ListParagraph"/>
              <w:rPr>
                <w:rFonts w:asciiTheme="majorHAnsi" w:eastAsia="Calibri" w:hAnsiTheme="majorHAnsi" w:cstheme="majorHAnsi"/>
                <w:sz w:val="22"/>
                <w:szCs w:val="22"/>
              </w:rPr>
            </w:pPr>
          </w:p>
          <w:p w14:paraId="7E0FCBF0" w14:textId="77777777" w:rsidR="00724DBF" w:rsidRPr="00724DBF" w:rsidRDefault="00724DBF" w:rsidP="00724DBF">
            <w:pPr>
              <w:autoSpaceDE w:val="0"/>
              <w:autoSpaceDN w:val="0"/>
              <w:adjustRightInd w:val="0"/>
              <w:jc w:val="both"/>
              <w:rPr>
                <w:rFonts w:asciiTheme="majorHAnsi" w:eastAsia="Calibri" w:hAnsiTheme="majorHAnsi" w:cstheme="majorHAnsi"/>
                <w:sz w:val="22"/>
                <w:szCs w:val="22"/>
              </w:rPr>
            </w:pPr>
          </w:p>
          <w:p w14:paraId="00E8DD9E" w14:textId="77777777" w:rsidR="00820758" w:rsidRPr="00820758" w:rsidRDefault="00820758" w:rsidP="00820758">
            <w:pPr>
              <w:autoSpaceDE w:val="0"/>
              <w:autoSpaceDN w:val="0"/>
              <w:adjustRightInd w:val="0"/>
              <w:spacing w:after="0"/>
              <w:jc w:val="both"/>
              <w:rPr>
                <w:rFonts w:asciiTheme="majorHAnsi" w:eastAsia="Calibri" w:hAnsiTheme="majorHAnsi" w:cstheme="majorHAnsi"/>
                <w:sz w:val="22"/>
                <w:szCs w:val="22"/>
              </w:rPr>
            </w:pPr>
            <w:r w:rsidRPr="00820758">
              <w:rPr>
                <w:rFonts w:asciiTheme="majorHAnsi" w:eastAsia="Calibri" w:hAnsiTheme="majorHAnsi" w:cstheme="majorHAnsi"/>
                <w:sz w:val="22"/>
                <w:szCs w:val="22"/>
              </w:rPr>
              <w:t xml:space="preserve"> </w:t>
            </w:r>
          </w:p>
          <w:p w14:paraId="008AB20C" w14:textId="4D7AC483" w:rsidR="00820758" w:rsidRPr="008D4581" w:rsidRDefault="008D4581" w:rsidP="00820758">
            <w:pPr>
              <w:autoSpaceDE w:val="0"/>
              <w:autoSpaceDN w:val="0"/>
              <w:adjustRightInd w:val="0"/>
              <w:spacing w:after="0"/>
              <w:jc w:val="both"/>
              <w:rPr>
                <w:rFonts w:asciiTheme="majorHAnsi" w:eastAsia="Calibri" w:hAnsiTheme="majorHAnsi" w:cstheme="majorHAnsi"/>
                <w:b/>
                <w:bCs/>
                <w:sz w:val="22"/>
                <w:szCs w:val="22"/>
              </w:rPr>
            </w:pPr>
            <w:r w:rsidRPr="008D4581">
              <w:rPr>
                <w:rFonts w:asciiTheme="majorHAnsi" w:eastAsia="Calibri" w:hAnsiTheme="majorHAnsi" w:cstheme="majorHAnsi"/>
                <w:sz w:val="22"/>
                <w:szCs w:val="22"/>
              </w:rPr>
              <w:lastRenderedPageBreak/>
              <w:t>3.</w:t>
            </w:r>
            <w:r w:rsidR="00724DBF">
              <w:rPr>
                <w:rFonts w:asciiTheme="majorHAnsi" w:eastAsia="Calibri" w:hAnsiTheme="majorHAnsi" w:cstheme="majorHAnsi"/>
                <w:sz w:val="22"/>
                <w:szCs w:val="22"/>
              </w:rPr>
              <w:t>6</w:t>
            </w:r>
            <w:r w:rsidRPr="008D4581">
              <w:rPr>
                <w:rFonts w:asciiTheme="majorHAnsi" w:eastAsia="Calibri" w:hAnsiTheme="majorHAnsi" w:cstheme="majorHAnsi"/>
                <w:b/>
                <w:bCs/>
                <w:sz w:val="22"/>
                <w:szCs w:val="22"/>
              </w:rPr>
              <w:t xml:space="preserve"> </w:t>
            </w:r>
            <w:r w:rsidR="00820758" w:rsidRPr="008D4581">
              <w:rPr>
                <w:rFonts w:asciiTheme="majorHAnsi" w:eastAsia="Calibri" w:hAnsiTheme="majorHAnsi" w:cstheme="majorHAnsi"/>
                <w:b/>
                <w:bCs/>
                <w:sz w:val="22"/>
                <w:szCs w:val="22"/>
              </w:rPr>
              <w:t xml:space="preserve">Quality Assurance  </w:t>
            </w:r>
          </w:p>
          <w:p w14:paraId="0669F55D" w14:textId="79B3827A" w:rsidR="00536831" w:rsidRDefault="00820758" w:rsidP="00820758">
            <w:pPr>
              <w:autoSpaceDE w:val="0"/>
              <w:autoSpaceDN w:val="0"/>
              <w:adjustRightInd w:val="0"/>
              <w:spacing w:after="0"/>
              <w:jc w:val="both"/>
              <w:rPr>
                <w:rFonts w:asciiTheme="majorHAnsi" w:eastAsia="Calibri" w:hAnsiTheme="majorHAnsi" w:cstheme="majorHAnsi"/>
                <w:sz w:val="22"/>
                <w:szCs w:val="22"/>
              </w:rPr>
            </w:pPr>
            <w:r w:rsidRPr="00820758">
              <w:rPr>
                <w:rFonts w:asciiTheme="majorHAnsi" w:eastAsia="Calibri" w:hAnsiTheme="majorHAnsi" w:cstheme="majorHAnsi"/>
                <w:sz w:val="22"/>
                <w:szCs w:val="22"/>
              </w:rPr>
              <w:t xml:space="preserve"> The Provider will work within, and meet the standards of a quality management system, ensuring all standard operating procedures comply with</w:t>
            </w:r>
            <w:r w:rsidR="0085148D">
              <w:rPr>
                <w:rFonts w:asciiTheme="majorHAnsi" w:eastAsia="Calibri" w:hAnsiTheme="majorHAnsi" w:cstheme="majorHAnsi"/>
                <w:sz w:val="22"/>
                <w:szCs w:val="22"/>
              </w:rPr>
              <w:t xml:space="preserve"> the</w:t>
            </w:r>
            <w:r w:rsidRPr="00820758">
              <w:rPr>
                <w:rFonts w:asciiTheme="majorHAnsi" w:eastAsia="Calibri" w:hAnsiTheme="majorHAnsi" w:cstheme="majorHAnsi"/>
                <w:sz w:val="22"/>
                <w:szCs w:val="22"/>
              </w:rPr>
              <w:t xml:space="preserve"> National minimum standards and regulatory body’s requirements. </w:t>
            </w:r>
            <w:r w:rsidR="00536831" w:rsidRPr="00536831">
              <w:rPr>
                <w:rFonts w:asciiTheme="majorHAnsi" w:eastAsia="Calibri" w:hAnsiTheme="majorHAnsi" w:cstheme="majorHAnsi"/>
                <w:sz w:val="22"/>
                <w:szCs w:val="22"/>
              </w:rPr>
              <w:t xml:space="preserve"> </w:t>
            </w:r>
          </w:p>
          <w:p w14:paraId="7833CEAC" w14:textId="768CA021" w:rsidR="008D4581" w:rsidRDefault="008D4581" w:rsidP="00820758">
            <w:pPr>
              <w:autoSpaceDE w:val="0"/>
              <w:autoSpaceDN w:val="0"/>
              <w:adjustRightInd w:val="0"/>
              <w:spacing w:after="0"/>
              <w:jc w:val="both"/>
              <w:rPr>
                <w:rFonts w:asciiTheme="majorHAnsi" w:eastAsia="Calibri" w:hAnsiTheme="majorHAnsi" w:cstheme="majorHAnsi"/>
                <w:sz w:val="22"/>
                <w:szCs w:val="22"/>
              </w:rPr>
            </w:pPr>
          </w:p>
          <w:p w14:paraId="0BE817BD" w14:textId="18C16EAB" w:rsidR="008D4581" w:rsidRDefault="008D4581" w:rsidP="00820758">
            <w:pPr>
              <w:autoSpaceDE w:val="0"/>
              <w:autoSpaceDN w:val="0"/>
              <w:adjustRightInd w:val="0"/>
              <w:spacing w:after="0"/>
              <w:jc w:val="both"/>
              <w:rPr>
                <w:rFonts w:asciiTheme="majorHAnsi" w:eastAsia="Calibri" w:hAnsiTheme="majorHAnsi" w:cstheme="majorHAnsi"/>
                <w:sz w:val="22"/>
                <w:szCs w:val="22"/>
              </w:rPr>
            </w:pPr>
            <w:r>
              <w:rPr>
                <w:rFonts w:asciiTheme="majorHAnsi" w:eastAsia="Calibri" w:hAnsiTheme="majorHAnsi" w:cstheme="majorHAnsi"/>
                <w:sz w:val="22"/>
                <w:szCs w:val="22"/>
              </w:rPr>
              <w:t>3.</w:t>
            </w:r>
            <w:r w:rsidR="00724DBF">
              <w:rPr>
                <w:rFonts w:asciiTheme="majorHAnsi" w:eastAsia="Calibri" w:hAnsiTheme="majorHAnsi" w:cstheme="majorHAnsi"/>
                <w:sz w:val="22"/>
                <w:szCs w:val="22"/>
              </w:rPr>
              <w:t>7</w:t>
            </w:r>
            <w:r>
              <w:rPr>
                <w:rFonts w:asciiTheme="majorHAnsi" w:eastAsia="Calibri" w:hAnsiTheme="majorHAnsi" w:cstheme="majorHAnsi"/>
                <w:sz w:val="22"/>
                <w:szCs w:val="22"/>
              </w:rPr>
              <w:t xml:space="preserve"> </w:t>
            </w:r>
            <w:r w:rsidR="00907E1A" w:rsidRPr="00940AA7">
              <w:rPr>
                <w:rFonts w:asciiTheme="majorHAnsi" w:eastAsia="Calibri" w:hAnsiTheme="majorHAnsi" w:cstheme="majorHAnsi"/>
                <w:b/>
                <w:bCs/>
                <w:sz w:val="22"/>
                <w:szCs w:val="22"/>
              </w:rPr>
              <w:t>Key Performance Indicators</w:t>
            </w:r>
            <w:r w:rsidR="00907E1A">
              <w:rPr>
                <w:rFonts w:asciiTheme="majorHAnsi" w:eastAsia="Calibri" w:hAnsiTheme="majorHAnsi" w:cstheme="majorHAnsi"/>
                <w:sz w:val="22"/>
                <w:szCs w:val="22"/>
              </w:rPr>
              <w:t xml:space="preserve"> </w:t>
            </w:r>
          </w:p>
          <w:tbl>
            <w:tblPr>
              <w:tblStyle w:val="TableGrid"/>
              <w:tblW w:w="0" w:type="auto"/>
              <w:tblLook w:val="04A0" w:firstRow="1" w:lastRow="0" w:firstColumn="1" w:lastColumn="0" w:noHBand="0" w:noVBand="1"/>
            </w:tblPr>
            <w:tblGrid>
              <w:gridCol w:w="433"/>
              <w:gridCol w:w="3323"/>
              <w:gridCol w:w="2429"/>
              <w:gridCol w:w="1841"/>
              <w:gridCol w:w="1841"/>
            </w:tblGrid>
            <w:tr w:rsidR="00EA331C" w:rsidRPr="00940AA7" w14:paraId="63A0035B" w14:textId="77777777" w:rsidTr="00940AA7">
              <w:tc>
                <w:tcPr>
                  <w:tcW w:w="433" w:type="dxa"/>
                </w:tcPr>
                <w:p w14:paraId="407E082B" w14:textId="77777777" w:rsidR="00EA331C" w:rsidRPr="00940AA7" w:rsidRDefault="00EA331C" w:rsidP="00820758">
                  <w:pPr>
                    <w:autoSpaceDE w:val="0"/>
                    <w:autoSpaceDN w:val="0"/>
                    <w:adjustRightInd w:val="0"/>
                    <w:jc w:val="both"/>
                    <w:rPr>
                      <w:rFonts w:asciiTheme="majorHAnsi" w:eastAsia="Calibri" w:hAnsiTheme="majorHAnsi" w:cstheme="majorHAnsi"/>
                      <w:b/>
                      <w:bCs/>
                      <w:sz w:val="22"/>
                      <w:szCs w:val="22"/>
                    </w:rPr>
                  </w:pPr>
                </w:p>
              </w:tc>
              <w:tc>
                <w:tcPr>
                  <w:tcW w:w="3323" w:type="dxa"/>
                </w:tcPr>
                <w:p w14:paraId="3E0C3F39" w14:textId="49F3C0CE" w:rsidR="00EA331C" w:rsidRPr="00940AA7" w:rsidRDefault="00EA331C" w:rsidP="00820758">
                  <w:pPr>
                    <w:autoSpaceDE w:val="0"/>
                    <w:autoSpaceDN w:val="0"/>
                    <w:adjustRightInd w:val="0"/>
                    <w:jc w:val="both"/>
                    <w:rPr>
                      <w:rFonts w:asciiTheme="majorHAnsi" w:eastAsia="Calibri" w:hAnsiTheme="majorHAnsi" w:cstheme="majorHAnsi"/>
                      <w:b/>
                      <w:bCs/>
                      <w:sz w:val="22"/>
                      <w:szCs w:val="22"/>
                    </w:rPr>
                  </w:pPr>
                  <w:r w:rsidRPr="00940AA7">
                    <w:rPr>
                      <w:rFonts w:asciiTheme="majorHAnsi" w:eastAsia="Calibri" w:hAnsiTheme="majorHAnsi" w:cstheme="majorHAnsi"/>
                      <w:b/>
                      <w:bCs/>
                      <w:sz w:val="22"/>
                      <w:szCs w:val="22"/>
                    </w:rPr>
                    <w:t>Indicator</w:t>
                  </w:r>
                </w:p>
              </w:tc>
              <w:tc>
                <w:tcPr>
                  <w:tcW w:w="2429" w:type="dxa"/>
                </w:tcPr>
                <w:p w14:paraId="6FAF946D" w14:textId="77777777" w:rsidR="002825EA" w:rsidRDefault="002825EA" w:rsidP="00820758">
                  <w:pPr>
                    <w:autoSpaceDE w:val="0"/>
                    <w:autoSpaceDN w:val="0"/>
                    <w:adjustRightInd w:val="0"/>
                    <w:jc w:val="both"/>
                    <w:rPr>
                      <w:rFonts w:asciiTheme="majorHAnsi" w:eastAsia="Calibri" w:hAnsiTheme="majorHAnsi" w:cstheme="majorHAnsi"/>
                      <w:b/>
                      <w:bCs/>
                      <w:sz w:val="22"/>
                      <w:szCs w:val="22"/>
                    </w:rPr>
                  </w:pPr>
                  <w:r>
                    <w:rPr>
                      <w:rFonts w:asciiTheme="majorHAnsi" w:eastAsia="Calibri" w:hAnsiTheme="majorHAnsi" w:cstheme="majorHAnsi"/>
                      <w:b/>
                      <w:bCs/>
                      <w:sz w:val="22"/>
                      <w:szCs w:val="22"/>
                    </w:rPr>
                    <w:t xml:space="preserve">Target </w:t>
                  </w:r>
                </w:p>
                <w:p w14:paraId="6802F5BC" w14:textId="633B2963" w:rsidR="00EA331C" w:rsidRPr="00940AA7" w:rsidRDefault="00EA331C" w:rsidP="00820758">
                  <w:pPr>
                    <w:autoSpaceDE w:val="0"/>
                    <w:autoSpaceDN w:val="0"/>
                    <w:adjustRightInd w:val="0"/>
                    <w:jc w:val="both"/>
                    <w:rPr>
                      <w:rFonts w:asciiTheme="majorHAnsi" w:eastAsia="Calibri" w:hAnsiTheme="majorHAnsi" w:cstheme="majorHAnsi"/>
                      <w:b/>
                      <w:bCs/>
                      <w:sz w:val="22"/>
                      <w:szCs w:val="22"/>
                    </w:rPr>
                  </w:pPr>
                  <w:r w:rsidRPr="00940AA7">
                    <w:rPr>
                      <w:rFonts w:asciiTheme="majorHAnsi" w:eastAsia="Calibri" w:hAnsiTheme="majorHAnsi" w:cstheme="majorHAnsi"/>
                      <w:b/>
                      <w:bCs/>
                      <w:sz w:val="22"/>
                      <w:szCs w:val="22"/>
                    </w:rPr>
                    <w:t xml:space="preserve">Threshold </w:t>
                  </w:r>
                </w:p>
              </w:tc>
              <w:tc>
                <w:tcPr>
                  <w:tcW w:w="1841" w:type="dxa"/>
                </w:tcPr>
                <w:p w14:paraId="09B4354F" w14:textId="7E43C54E" w:rsidR="00EA331C" w:rsidRPr="00940AA7" w:rsidRDefault="002825EA" w:rsidP="002825EA">
                  <w:pPr>
                    <w:autoSpaceDE w:val="0"/>
                    <w:autoSpaceDN w:val="0"/>
                    <w:adjustRightInd w:val="0"/>
                    <w:rPr>
                      <w:rFonts w:asciiTheme="majorHAnsi" w:eastAsia="Calibri" w:hAnsiTheme="majorHAnsi" w:cstheme="majorHAnsi"/>
                      <w:b/>
                      <w:bCs/>
                      <w:sz w:val="22"/>
                      <w:szCs w:val="22"/>
                    </w:rPr>
                  </w:pPr>
                  <w:r>
                    <w:rPr>
                      <w:rFonts w:asciiTheme="majorHAnsi" w:eastAsia="Calibri" w:hAnsiTheme="majorHAnsi" w:cstheme="majorHAnsi"/>
                      <w:b/>
                      <w:bCs/>
                      <w:sz w:val="22"/>
                      <w:szCs w:val="22"/>
                    </w:rPr>
                    <w:t xml:space="preserve">Frequency of Monitoring </w:t>
                  </w:r>
                  <w:r w:rsidR="00EA331C" w:rsidRPr="00940AA7">
                    <w:rPr>
                      <w:rFonts w:asciiTheme="majorHAnsi" w:eastAsia="Calibri" w:hAnsiTheme="majorHAnsi" w:cstheme="majorHAnsi"/>
                      <w:b/>
                      <w:bCs/>
                      <w:sz w:val="22"/>
                      <w:szCs w:val="22"/>
                    </w:rPr>
                    <w:t xml:space="preserve"> </w:t>
                  </w:r>
                </w:p>
              </w:tc>
              <w:tc>
                <w:tcPr>
                  <w:tcW w:w="1841" w:type="dxa"/>
                </w:tcPr>
                <w:p w14:paraId="76E2533B" w14:textId="08F54AE8" w:rsidR="00EA331C" w:rsidRPr="00940AA7" w:rsidRDefault="00EA331C" w:rsidP="00820758">
                  <w:pPr>
                    <w:autoSpaceDE w:val="0"/>
                    <w:autoSpaceDN w:val="0"/>
                    <w:adjustRightInd w:val="0"/>
                    <w:jc w:val="both"/>
                    <w:rPr>
                      <w:rFonts w:asciiTheme="majorHAnsi" w:eastAsia="Calibri" w:hAnsiTheme="majorHAnsi" w:cstheme="majorHAnsi"/>
                      <w:b/>
                      <w:bCs/>
                      <w:sz w:val="22"/>
                      <w:szCs w:val="22"/>
                    </w:rPr>
                  </w:pPr>
                  <w:r w:rsidRPr="00940AA7">
                    <w:rPr>
                      <w:rFonts w:asciiTheme="majorHAnsi" w:eastAsia="Calibri" w:hAnsiTheme="majorHAnsi" w:cstheme="majorHAnsi"/>
                      <w:b/>
                      <w:bCs/>
                      <w:sz w:val="22"/>
                      <w:szCs w:val="22"/>
                    </w:rPr>
                    <w:t xml:space="preserve">Consequence </w:t>
                  </w:r>
                </w:p>
              </w:tc>
            </w:tr>
            <w:tr w:rsidR="00EA331C" w14:paraId="6B74677F" w14:textId="77777777" w:rsidTr="00940AA7">
              <w:tc>
                <w:tcPr>
                  <w:tcW w:w="433" w:type="dxa"/>
                </w:tcPr>
                <w:p w14:paraId="0CAD9CE4" w14:textId="77777777" w:rsidR="00EA331C" w:rsidRDefault="00EA331C" w:rsidP="00820758">
                  <w:pPr>
                    <w:autoSpaceDE w:val="0"/>
                    <w:autoSpaceDN w:val="0"/>
                    <w:adjustRightInd w:val="0"/>
                    <w:jc w:val="both"/>
                    <w:rPr>
                      <w:rFonts w:asciiTheme="majorHAnsi" w:eastAsia="Calibri" w:hAnsiTheme="majorHAnsi" w:cstheme="majorHAnsi"/>
                      <w:sz w:val="22"/>
                      <w:szCs w:val="22"/>
                    </w:rPr>
                  </w:pPr>
                </w:p>
              </w:tc>
              <w:tc>
                <w:tcPr>
                  <w:tcW w:w="3323" w:type="dxa"/>
                </w:tcPr>
                <w:p w14:paraId="4EF98966" w14:textId="57A24081" w:rsidR="00EA331C" w:rsidRPr="00605903" w:rsidRDefault="00EA331C" w:rsidP="00940AA7">
                  <w:pPr>
                    <w:autoSpaceDE w:val="0"/>
                    <w:autoSpaceDN w:val="0"/>
                    <w:adjustRightInd w:val="0"/>
                    <w:rPr>
                      <w:rFonts w:asciiTheme="majorHAnsi" w:eastAsia="Calibri" w:hAnsiTheme="majorHAnsi" w:cstheme="majorHAnsi"/>
                      <w:b/>
                      <w:bCs/>
                      <w:sz w:val="22"/>
                      <w:szCs w:val="22"/>
                      <w:u w:val="single"/>
                    </w:rPr>
                  </w:pPr>
                  <w:r w:rsidRPr="00605903">
                    <w:rPr>
                      <w:rFonts w:asciiTheme="majorHAnsi" w:eastAsia="Calibri" w:hAnsiTheme="majorHAnsi" w:cstheme="majorHAnsi"/>
                      <w:b/>
                      <w:bCs/>
                      <w:sz w:val="22"/>
                      <w:szCs w:val="22"/>
                      <w:u w:val="single"/>
                    </w:rPr>
                    <w:t>Reporting</w:t>
                  </w:r>
                  <w:r w:rsidR="00AC3FF1">
                    <w:rPr>
                      <w:rFonts w:asciiTheme="majorHAnsi" w:eastAsia="Calibri" w:hAnsiTheme="majorHAnsi" w:cstheme="majorHAnsi"/>
                      <w:b/>
                      <w:bCs/>
                      <w:sz w:val="22"/>
                      <w:szCs w:val="22"/>
                      <w:u w:val="single"/>
                    </w:rPr>
                    <w:t>:</w:t>
                  </w:r>
                </w:p>
                <w:p w14:paraId="2A48CCAB" w14:textId="77777777" w:rsidR="00605903" w:rsidRDefault="00EA331C" w:rsidP="002825EA">
                  <w:pPr>
                    <w:autoSpaceDE w:val="0"/>
                    <w:autoSpaceDN w:val="0"/>
                    <w:adjustRightInd w:val="0"/>
                    <w:rPr>
                      <w:rFonts w:asciiTheme="majorHAnsi" w:eastAsia="Calibri" w:hAnsiTheme="majorHAnsi" w:cstheme="majorHAnsi"/>
                      <w:sz w:val="22"/>
                      <w:szCs w:val="22"/>
                    </w:rPr>
                  </w:pPr>
                  <w:r>
                    <w:rPr>
                      <w:rFonts w:asciiTheme="majorHAnsi" w:eastAsia="Calibri" w:hAnsiTheme="majorHAnsi" w:cstheme="majorHAnsi"/>
                      <w:sz w:val="22"/>
                      <w:szCs w:val="22"/>
                    </w:rPr>
                    <w:t>ECGs have a written interpretation report, ECG graph and include</w:t>
                  </w:r>
                  <w:r w:rsidR="00606BA0">
                    <w:rPr>
                      <w:rFonts w:asciiTheme="majorHAnsi" w:eastAsia="Calibri" w:hAnsiTheme="majorHAnsi" w:cstheme="majorHAnsi"/>
                      <w:sz w:val="22"/>
                      <w:szCs w:val="22"/>
                    </w:rPr>
                    <w:t>s</w:t>
                  </w:r>
                  <w:r>
                    <w:rPr>
                      <w:rFonts w:asciiTheme="majorHAnsi" w:eastAsia="Calibri" w:hAnsiTheme="majorHAnsi" w:cstheme="majorHAnsi"/>
                      <w:sz w:val="22"/>
                      <w:szCs w:val="22"/>
                    </w:rPr>
                    <w:t xml:space="preserve"> a risk classification rating. </w:t>
                  </w:r>
                </w:p>
                <w:p w14:paraId="7B68A0B4" w14:textId="3B579701" w:rsidR="002825EA" w:rsidRPr="00EA331C" w:rsidRDefault="002825EA" w:rsidP="002825EA">
                  <w:pPr>
                    <w:autoSpaceDE w:val="0"/>
                    <w:autoSpaceDN w:val="0"/>
                    <w:adjustRightInd w:val="0"/>
                    <w:rPr>
                      <w:rFonts w:asciiTheme="majorHAnsi" w:eastAsia="Calibri" w:hAnsiTheme="majorHAnsi" w:cstheme="majorHAnsi"/>
                      <w:sz w:val="22"/>
                      <w:szCs w:val="22"/>
                    </w:rPr>
                  </w:pPr>
                </w:p>
              </w:tc>
              <w:tc>
                <w:tcPr>
                  <w:tcW w:w="2429" w:type="dxa"/>
                </w:tcPr>
                <w:p w14:paraId="35C8679A" w14:textId="63B768B8" w:rsidR="00EA331C" w:rsidRDefault="00EA331C" w:rsidP="00820758">
                  <w:pPr>
                    <w:autoSpaceDE w:val="0"/>
                    <w:autoSpaceDN w:val="0"/>
                    <w:adjustRightInd w:val="0"/>
                    <w:jc w:val="both"/>
                    <w:rPr>
                      <w:rFonts w:asciiTheme="majorHAnsi" w:eastAsia="Calibri" w:hAnsiTheme="majorHAnsi" w:cstheme="majorHAnsi"/>
                      <w:sz w:val="22"/>
                      <w:szCs w:val="22"/>
                    </w:rPr>
                  </w:pPr>
                  <w:r>
                    <w:rPr>
                      <w:rFonts w:asciiTheme="majorHAnsi" w:eastAsia="Calibri" w:hAnsiTheme="majorHAnsi" w:cstheme="majorHAnsi"/>
                      <w:sz w:val="22"/>
                      <w:szCs w:val="22"/>
                    </w:rPr>
                    <w:t>100%</w:t>
                  </w:r>
                </w:p>
              </w:tc>
              <w:tc>
                <w:tcPr>
                  <w:tcW w:w="1841" w:type="dxa"/>
                </w:tcPr>
                <w:p w14:paraId="4D49014F" w14:textId="6A993A27" w:rsidR="00EA331C" w:rsidRDefault="003062C5" w:rsidP="00820758">
                  <w:pPr>
                    <w:autoSpaceDE w:val="0"/>
                    <w:autoSpaceDN w:val="0"/>
                    <w:adjustRightInd w:val="0"/>
                    <w:jc w:val="both"/>
                    <w:rPr>
                      <w:rFonts w:asciiTheme="majorHAnsi" w:eastAsia="Calibri" w:hAnsiTheme="majorHAnsi" w:cstheme="majorHAnsi"/>
                      <w:sz w:val="22"/>
                      <w:szCs w:val="22"/>
                    </w:rPr>
                  </w:pPr>
                  <w:r>
                    <w:rPr>
                      <w:rFonts w:asciiTheme="majorHAnsi" w:eastAsia="Calibri" w:hAnsiTheme="majorHAnsi" w:cstheme="majorHAnsi"/>
                      <w:sz w:val="22"/>
                      <w:szCs w:val="22"/>
                    </w:rPr>
                    <w:t>Monthly</w:t>
                  </w:r>
                  <w:r w:rsidR="002825EA">
                    <w:rPr>
                      <w:rFonts w:asciiTheme="majorHAnsi" w:eastAsia="Calibri" w:hAnsiTheme="majorHAnsi" w:cstheme="majorHAnsi"/>
                      <w:sz w:val="22"/>
                      <w:szCs w:val="22"/>
                    </w:rPr>
                    <w:t xml:space="preserve"> </w:t>
                  </w:r>
                </w:p>
              </w:tc>
              <w:tc>
                <w:tcPr>
                  <w:tcW w:w="1841" w:type="dxa"/>
                </w:tcPr>
                <w:p w14:paraId="77EA1D56" w14:textId="78711C07" w:rsidR="00EA331C" w:rsidRDefault="002825EA" w:rsidP="002825EA">
                  <w:pPr>
                    <w:autoSpaceDE w:val="0"/>
                    <w:autoSpaceDN w:val="0"/>
                    <w:adjustRightInd w:val="0"/>
                    <w:rPr>
                      <w:rFonts w:asciiTheme="majorHAnsi" w:eastAsia="Calibri" w:hAnsiTheme="majorHAnsi" w:cstheme="majorHAnsi"/>
                      <w:sz w:val="22"/>
                      <w:szCs w:val="22"/>
                    </w:rPr>
                  </w:pPr>
                  <w:r>
                    <w:rPr>
                      <w:rFonts w:asciiTheme="majorHAnsi" w:eastAsia="Calibri" w:hAnsiTheme="majorHAnsi" w:cstheme="majorHAnsi"/>
                      <w:sz w:val="22"/>
                      <w:szCs w:val="22"/>
                    </w:rPr>
                    <w:t xml:space="preserve">NHS Standard General Conditions apply </w:t>
                  </w:r>
                </w:p>
              </w:tc>
            </w:tr>
            <w:tr w:rsidR="00EA331C" w14:paraId="6560C960" w14:textId="77777777" w:rsidTr="00940AA7">
              <w:tc>
                <w:tcPr>
                  <w:tcW w:w="433" w:type="dxa"/>
                </w:tcPr>
                <w:p w14:paraId="6BB36BB2" w14:textId="77777777" w:rsidR="00EA331C" w:rsidRDefault="00EA331C" w:rsidP="00820758">
                  <w:pPr>
                    <w:autoSpaceDE w:val="0"/>
                    <w:autoSpaceDN w:val="0"/>
                    <w:adjustRightInd w:val="0"/>
                    <w:jc w:val="both"/>
                    <w:rPr>
                      <w:rFonts w:asciiTheme="majorHAnsi" w:eastAsia="Calibri" w:hAnsiTheme="majorHAnsi" w:cstheme="majorHAnsi"/>
                      <w:sz w:val="22"/>
                      <w:szCs w:val="22"/>
                    </w:rPr>
                  </w:pPr>
                </w:p>
              </w:tc>
              <w:tc>
                <w:tcPr>
                  <w:tcW w:w="3323" w:type="dxa"/>
                </w:tcPr>
                <w:p w14:paraId="43CF2D70" w14:textId="0691794F" w:rsidR="00EA331C" w:rsidRPr="00605903" w:rsidRDefault="00EA331C" w:rsidP="00940AA7">
                  <w:pPr>
                    <w:autoSpaceDE w:val="0"/>
                    <w:autoSpaceDN w:val="0"/>
                    <w:adjustRightInd w:val="0"/>
                    <w:rPr>
                      <w:rFonts w:asciiTheme="majorHAnsi" w:eastAsia="Calibri" w:hAnsiTheme="majorHAnsi" w:cstheme="majorHAnsi"/>
                      <w:b/>
                      <w:bCs/>
                      <w:sz w:val="22"/>
                      <w:szCs w:val="22"/>
                      <w:u w:val="single"/>
                    </w:rPr>
                  </w:pPr>
                  <w:r w:rsidRPr="00605903">
                    <w:rPr>
                      <w:rFonts w:asciiTheme="majorHAnsi" w:eastAsia="Calibri" w:hAnsiTheme="majorHAnsi" w:cstheme="majorHAnsi"/>
                      <w:b/>
                      <w:bCs/>
                      <w:sz w:val="22"/>
                      <w:szCs w:val="22"/>
                      <w:u w:val="single"/>
                    </w:rPr>
                    <w:t>Turnaround Times:</w:t>
                  </w:r>
                </w:p>
                <w:p w14:paraId="5D376F8B" w14:textId="7233B37F" w:rsidR="00EA331C" w:rsidRPr="00EA331C" w:rsidRDefault="00EA331C" w:rsidP="00940AA7">
                  <w:pPr>
                    <w:autoSpaceDE w:val="0"/>
                    <w:autoSpaceDN w:val="0"/>
                    <w:adjustRightInd w:val="0"/>
                    <w:rPr>
                      <w:rFonts w:asciiTheme="majorHAnsi" w:eastAsia="Calibri" w:hAnsiTheme="majorHAnsi" w:cstheme="majorHAnsi"/>
                      <w:sz w:val="22"/>
                      <w:szCs w:val="22"/>
                    </w:rPr>
                  </w:pPr>
                  <w:r w:rsidRPr="00EA331C">
                    <w:rPr>
                      <w:rFonts w:asciiTheme="majorHAnsi" w:eastAsia="Calibri" w:hAnsiTheme="majorHAnsi" w:cstheme="majorHAnsi"/>
                      <w:sz w:val="22"/>
                      <w:szCs w:val="22"/>
                    </w:rPr>
                    <w:t xml:space="preserve">Maximum timeframes for simple 12 lead ECG investigations written interpretation reports to be created and sent back to the practice.  </w:t>
                  </w:r>
                </w:p>
              </w:tc>
              <w:tc>
                <w:tcPr>
                  <w:tcW w:w="2429" w:type="dxa"/>
                </w:tcPr>
                <w:p w14:paraId="5137A64E" w14:textId="592646B6" w:rsidR="00EA331C" w:rsidRDefault="00EA331C" w:rsidP="00820758">
                  <w:pPr>
                    <w:autoSpaceDE w:val="0"/>
                    <w:autoSpaceDN w:val="0"/>
                    <w:adjustRightInd w:val="0"/>
                    <w:jc w:val="both"/>
                    <w:rPr>
                      <w:rFonts w:asciiTheme="majorHAnsi" w:eastAsia="Calibri" w:hAnsiTheme="majorHAnsi" w:cstheme="majorHAnsi"/>
                      <w:sz w:val="22"/>
                      <w:szCs w:val="22"/>
                    </w:rPr>
                  </w:pPr>
                  <w:r>
                    <w:rPr>
                      <w:rFonts w:asciiTheme="majorHAnsi" w:eastAsia="Calibri" w:hAnsiTheme="majorHAnsi" w:cstheme="majorHAnsi"/>
                      <w:sz w:val="22"/>
                      <w:szCs w:val="22"/>
                    </w:rPr>
                    <w:t xml:space="preserve">100% within </w:t>
                  </w:r>
                  <w:r w:rsidR="00B34D32">
                    <w:rPr>
                      <w:rFonts w:asciiTheme="majorHAnsi" w:eastAsia="Calibri" w:hAnsiTheme="majorHAnsi" w:cstheme="majorHAnsi"/>
                      <w:sz w:val="22"/>
                      <w:szCs w:val="22"/>
                    </w:rPr>
                    <w:t>24-hours</w:t>
                  </w:r>
                  <w:r>
                    <w:rPr>
                      <w:rFonts w:asciiTheme="majorHAnsi" w:eastAsia="Calibri" w:hAnsiTheme="majorHAnsi" w:cstheme="majorHAnsi"/>
                      <w:sz w:val="22"/>
                      <w:szCs w:val="22"/>
                    </w:rPr>
                    <w:t xml:space="preserve"> </w:t>
                  </w:r>
                </w:p>
              </w:tc>
              <w:tc>
                <w:tcPr>
                  <w:tcW w:w="1841" w:type="dxa"/>
                </w:tcPr>
                <w:p w14:paraId="73BD90F8" w14:textId="1358E940" w:rsidR="00EA331C" w:rsidRDefault="003062C5" w:rsidP="00820758">
                  <w:pPr>
                    <w:autoSpaceDE w:val="0"/>
                    <w:autoSpaceDN w:val="0"/>
                    <w:adjustRightInd w:val="0"/>
                    <w:jc w:val="both"/>
                    <w:rPr>
                      <w:rFonts w:asciiTheme="majorHAnsi" w:eastAsia="Calibri" w:hAnsiTheme="majorHAnsi" w:cstheme="majorHAnsi"/>
                      <w:sz w:val="22"/>
                      <w:szCs w:val="22"/>
                    </w:rPr>
                  </w:pPr>
                  <w:r>
                    <w:rPr>
                      <w:rFonts w:asciiTheme="majorHAnsi" w:eastAsia="Calibri" w:hAnsiTheme="majorHAnsi" w:cstheme="majorHAnsi"/>
                      <w:sz w:val="22"/>
                      <w:szCs w:val="22"/>
                    </w:rPr>
                    <w:t>Monthly</w:t>
                  </w:r>
                  <w:r w:rsidR="002825EA">
                    <w:rPr>
                      <w:rFonts w:asciiTheme="majorHAnsi" w:eastAsia="Calibri" w:hAnsiTheme="majorHAnsi" w:cstheme="majorHAnsi"/>
                      <w:sz w:val="22"/>
                      <w:szCs w:val="22"/>
                    </w:rPr>
                    <w:t xml:space="preserve"> </w:t>
                  </w:r>
                </w:p>
              </w:tc>
              <w:tc>
                <w:tcPr>
                  <w:tcW w:w="1841" w:type="dxa"/>
                </w:tcPr>
                <w:p w14:paraId="32BF0648" w14:textId="2EE30E30" w:rsidR="00EA331C" w:rsidRDefault="002825EA" w:rsidP="002825EA">
                  <w:pPr>
                    <w:autoSpaceDE w:val="0"/>
                    <w:autoSpaceDN w:val="0"/>
                    <w:adjustRightInd w:val="0"/>
                    <w:rPr>
                      <w:rFonts w:asciiTheme="majorHAnsi" w:eastAsia="Calibri" w:hAnsiTheme="majorHAnsi" w:cstheme="majorHAnsi"/>
                      <w:sz w:val="22"/>
                      <w:szCs w:val="22"/>
                    </w:rPr>
                  </w:pPr>
                  <w:r>
                    <w:rPr>
                      <w:rFonts w:asciiTheme="majorHAnsi" w:eastAsia="Calibri" w:hAnsiTheme="majorHAnsi" w:cstheme="majorHAnsi"/>
                      <w:sz w:val="22"/>
                      <w:szCs w:val="22"/>
                    </w:rPr>
                    <w:t>NHS Standard General Conditions apply</w:t>
                  </w:r>
                </w:p>
              </w:tc>
            </w:tr>
            <w:tr w:rsidR="00EA331C" w14:paraId="77331406" w14:textId="77777777" w:rsidTr="00940AA7">
              <w:tc>
                <w:tcPr>
                  <w:tcW w:w="433" w:type="dxa"/>
                </w:tcPr>
                <w:p w14:paraId="5DD3A668" w14:textId="77777777" w:rsidR="00EA331C" w:rsidRDefault="00EA331C" w:rsidP="00820758">
                  <w:pPr>
                    <w:autoSpaceDE w:val="0"/>
                    <w:autoSpaceDN w:val="0"/>
                    <w:adjustRightInd w:val="0"/>
                    <w:jc w:val="both"/>
                    <w:rPr>
                      <w:rFonts w:asciiTheme="majorHAnsi" w:eastAsia="Calibri" w:hAnsiTheme="majorHAnsi" w:cstheme="majorHAnsi"/>
                      <w:sz w:val="22"/>
                      <w:szCs w:val="22"/>
                    </w:rPr>
                  </w:pPr>
                </w:p>
              </w:tc>
              <w:tc>
                <w:tcPr>
                  <w:tcW w:w="3323" w:type="dxa"/>
                </w:tcPr>
                <w:p w14:paraId="74E2F990" w14:textId="68FB3B43" w:rsidR="00EA331C" w:rsidRPr="00605903" w:rsidRDefault="00EA331C" w:rsidP="00940AA7">
                  <w:pPr>
                    <w:autoSpaceDE w:val="0"/>
                    <w:autoSpaceDN w:val="0"/>
                    <w:adjustRightInd w:val="0"/>
                    <w:rPr>
                      <w:rFonts w:asciiTheme="majorHAnsi" w:eastAsia="Calibri" w:hAnsiTheme="majorHAnsi" w:cstheme="majorHAnsi"/>
                      <w:b/>
                      <w:bCs/>
                      <w:sz w:val="22"/>
                      <w:szCs w:val="22"/>
                      <w:u w:val="single"/>
                    </w:rPr>
                  </w:pPr>
                  <w:r w:rsidRPr="00605903">
                    <w:rPr>
                      <w:rFonts w:asciiTheme="majorHAnsi" w:eastAsia="Calibri" w:hAnsiTheme="majorHAnsi" w:cstheme="majorHAnsi"/>
                      <w:b/>
                      <w:bCs/>
                      <w:sz w:val="22"/>
                      <w:szCs w:val="22"/>
                      <w:u w:val="single"/>
                    </w:rPr>
                    <w:t>Quality</w:t>
                  </w:r>
                  <w:r w:rsidR="00C87E02">
                    <w:rPr>
                      <w:rFonts w:asciiTheme="majorHAnsi" w:eastAsia="Calibri" w:hAnsiTheme="majorHAnsi" w:cstheme="majorHAnsi"/>
                      <w:b/>
                      <w:bCs/>
                      <w:sz w:val="22"/>
                      <w:szCs w:val="22"/>
                      <w:u w:val="single"/>
                    </w:rPr>
                    <w:t xml:space="preserve"> Control</w:t>
                  </w:r>
                  <w:r w:rsidRPr="00605903">
                    <w:rPr>
                      <w:rFonts w:asciiTheme="majorHAnsi" w:eastAsia="Calibri" w:hAnsiTheme="majorHAnsi" w:cstheme="majorHAnsi"/>
                      <w:b/>
                      <w:bCs/>
                      <w:sz w:val="22"/>
                      <w:szCs w:val="22"/>
                      <w:u w:val="single"/>
                    </w:rPr>
                    <w:t>:</w:t>
                  </w:r>
                </w:p>
                <w:p w14:paraId="1BA3D4B3" w14:textId="45631981" w:rsidR="00EA331C" w:rsidRPr="00EA331C" w:rsidRDefault="00655C5E" w:rsidP="00940AA7">
                  <w:pPr>
                    <w:autoSpaceDE w:val="0"/>
                    <w:autoSpaceDN w:val="0"/>
                    <w:adjustRightInd w:val="0"/>
                    <w:rPr>
                      <w:rFonts w:asciiTheme="majorHAnsi" w:eastAsia="Calibri" w:hAnsiTheme="majorHAnsi" w:cstheme="majorHAnsi"/>
                      <w:sz w:val="22"/>
                      <w:szCs w:val="22"/>
                      <w:u w:val="single"/>
                    </w:rPr>
                  </w:pPr>
                  <w:r>
                    <w:rPr>
                      <w:rFonts w:asciiTheme="majorHAnsi" w:eastAsia="Calibri" w:hAnsiTheme="majorHAnsi" w:cstheme="majorHAnsi"/>
                      <w:sz w:val="22"/>
                      <w:szCs w:val="22"/>
                    </w:rPr>
                    <w:t>ECG interpretation to be checked by a second clinicians</w:t>
                  </w:r>
                  <w:r w:rsidR="00C87E02">
                    <w:rPr>
                      <w:rFonts w:asciiTheme="majorHAnsi" w:eastAsia="Calibri" w:hAnsiTheme="majorHAnsi" w:cstheme="majorHAnsi"/>
                      <w:sz w:val="22"/>
                      <w:szCs w:val="22"/>
                    </w:rPr>
                    <w:t>.</w:t>
                  </w:r>
                  <w:r>
                    <w:rPr>
                      <w:rFonts w:asciiTheme="majorHAnsi" w:eastAsia="Calibri" w:hAnsiTheme="majorHAnsi" w:cstheme="majorHAnsi"/>
                      <w:sz w:val="22"/>
                      <w:szCs w:val="22"/>
                    </w:rPr>
                    <w:t xml:space="preserve"> </w:t>
                  </w:r>
                </w:p>
              </w:tc>
              <w:tc>
                <w:tcPr>
                  <w:tcW w:w="2429" w:type="dxa"/>
                </w:tcPr>
                <w:p w14:paraId="7723A699" w14:textId="7CB3E3A6" w:rsidR="00EA331C" w:rsidRDefault="00655C5E" w:rsidP="00820758">
                  <w:pPr>
                    <w:autoSpaceDE w:val="0"/>
                    <w:autoSpaceDN w:val="0"/>
                    <w:adjustRightInd w:val="0"/>
                    <w:jc w:val="both"/>
                    <w:rPr>
                      <w:rFonts w:asciiTheme="majorHAnsi" w:eastAsia="Calibri" w:hAnsiTheme="majorHAnsi" w:cstheme="majorHAnsi"/>
                      <w:sz w:val="22"/>
                      <w:szCs w:val="22"/>
                    </w:rPr>
                  </w:pPr>
                  <w:r>
                    <w:rPr>
                      <w:rFonts w:asciiTheme="majorHAnsi" w:eastAsia="Calibri" w:hAnsiTheme="majorHAnsi" w:cstheme="majorHAnsi"/>
                      <w:sz w:val="22"/>
                      <w:szCs w:val="22"/>
                    </w:rPr>
                    <w:t>10%</w:t>
                  </w:r>
                </w:p>
              </w:tc>
              <w:tc>
                <w:tcPr>
                  <w:tcW w:w="1841" w:type="dxa"/>
                </w:tcPr>
                <w:p w14:paraId="2DBB380A" w14:textId="68914525" w:rsidR="00EA331C" w:rsidRDefault="002825EA" w:rsidP="00820758">
                  <w:pPr>
                    <w:autoSpaceDE w:val="0"/>
                    <w:autoSpaceDN w:val="0"/>
                    <w:adjustRightInd w:val="0"/>
                    <w:jc w:val="both"/>
                    <w:rPr>
                      <w:rFonts w:asciiTheme="majorHAnsi" w:eastAsia="Calibri" w:hAnsiTheme="majorHAnsi" w:cstheme="majorHAnsi"/>
                      <w:sz w:val="22"/>
                      <w:szCs w:val="22"/>
                    </w:rPr>
                  </w:pPr>
                  <w:r>
                    <w:rPr>
                      <w:rFonts w:asciiTheme="majorHAnsi" w:eastAsia="Calibri" w:hAnsiTheme="majorHAnsi" w:cstheme="majorHAnsi"/>
                      <w:sz w:val="22"/>
                      <w:szCs w:val="22"/>
                    </w:rPr>
                    <w:t xml:space="preserve">Quarterly </w:t>
                  </w:r>
                </w:p>
              </w:tc>
              <w:tc>
                <w:tcPr>
                  <w:tcW w:w="1841" w:type="dxa"/>
                </w:tcPr>
                <w:p w14:paraId="0261A63D" w14:textId="000D49C5" w:rsidR="00EA331C" w:rsidRDefault="002825EA" w:rsidP="002825EA">
                  <w:pPr>
                    <w:autoSpaceDE w:val="0"/>
                    <w:autoSpaceDN w:val="0"/>
                    <w:adjustRightInd w:val="0"/>
                    <w:rPr>
                      <w:rFonts w:asciiTheme="majorHAnsi" w:eastAsia="Calibri" w:hAnsiTheme="majorHAnsi" w:cstheme="majorHAnsi"/>
                      <w:sz w:val="22"/>
                      <w:szCs w:val="22"/>
                    </w:rPr>
                  </w:pPr>
                  <w:r>
                    <w:rPr>
                      <w:rFonts w:asciiTheme="majorHAnsi" w:eastAsia="Calibri" w:hAnsiTheme="majorHAnsi" w:cstheme="majorHAnsi"/>
                      <w:sz w:val="22"/>
                      <w:szCs w:val="22"/>
                    </w:rPr>
                    <w:t>NHS Standard General Conditions apply</w:t>
                  </w:r>
                </w:p>
              </w:tc>
            </w:tr>
            <w:tr w:rsidR="00EA331C" w14:paraId="129B2616" w14:textId="77777777" w:rsidTr="00940AA7">
              <w:tc>
                <w:tcPr>
                  <w:tcW w:w="433" w:type="dxa"/>
                </w:tcPr>
                <w:p w14:paraId="4A37576D" w14:textId="77777777" w:rsidR="00EA331C" w:rsidRDefault="00EA331C" w:rsidP="00820758">
                  <w:pPr>
                    <w:autoSpaceDE w:val="0"/>
                    <w:autoSpaceDN w:val="0"/>
                    <w:adjustRightInd w:val="0"/>
                    <w:jc w:val="both"/>
                    <w:rPr>
                      <w:rFonts w:asciiTheme="majorHAnsi" w:eastAsia="Calibri" w:hAnsiTheme="majorHAnsi" w:cstheme="majorHAnsi"/>
                      <w:sz w:val="22"/>
                      <w:szCs w:val="22"/>
                    </w:rPr>
                  </w:pPr>
                </w:p>
              </w:tc>
              <w:tc>
                <w:tcPr>
                  <w:tcW w:w="3323" w:type="dxa"/>
                </w:tcPr>
                <w:p w14:paraId="428CFFED" w14:textId="720F3865" w:rsidR="00EA331C" w:rsidRPr="00605903" w:rsidRDefault="00EA331C" w:rsidP="00940AA7">
                  <w:pPr>
                    <w:autoSpaceDE w:val="0"/>
                    <w:autoSpaceDN w:val="0"/>
                    <w:adjustRightInd w:val="0"/>
                    <w:rPr>
                      <w:rFonts w:asciiTheme="majorHAnsi" w:eastAsia="Calibri" w:hAnsiTheme="majorHAnsi" w:cstheme="majorHAnsi"/>
                      <w:b/>
                      <w:bCs/>
                      <w:sz w:val="22"/>
                      <w:szCs w:val="22"/>
                      <w:u w:val="single"/>
                    </w:rPr>
                  </w:pPr>
                  <w:r w:rsidRPr="00605903">
                    <w:rPr>
                      <w:rFonts w:asciiTheme="majorHAnsi" w:eastAsia="Calibri" w:hAnsiTheme="majorHAnsi" w:cstheme="majorHAnsi"/>
                      <w:b/>
                      <w:bCs/>
                      <w:sz w:val="22"/>
                      <w:szCs w:val="22"/>
                      <w:u w:val="single"/>
                    </w:rPr>
                    <w:t>Quality</w:t>
                  </w:r>
                  <w:r w:rsidR="00C87E02">
                    <w:rPr>
                      <w:rFonts w:asciiTheme="majorHAnsi" w:eastAsia="Calibri" w:hAnsiTheme="majorHAnsi" w:cstheme="majorHAnsi"/>
                      <w:b/>
                      <w:bCs/>
                      <w:sz w:val="22"/>
                      <w:szCs w:val="22"/>
                      <w:u w:val="single"/>
                    </w:rPr>
                    <w:t xml:space="preserve"> Control</w:t>
                  </w:r>
                  <w:r w:rsidRPr="00605903">
                    <w:rPr>
                      <w:rFonts w:asciiTheme="majorHAnsi" w:eastAsia="Calibri" w:hAnsiTheme="majorHAnsi" w:cstheme="majorHAnsi"/>
                      <w:b/>
                      <w:bCs/>
                      <w:sz w:val="22"/>
                      <w:szCs w:val="22"/>
                      <w:u w:val="single"/>
                    </w:rPr>
                    <w:t>:</w:t>
                  </w:r>
                </w:p>
                <w:p w14:paraId="4821C75D" w14:textId="3970805D" w:rsidR="00EA331C" w:rsidRPr="00655C5E" w:rsidRDefault="00655C5E" w:rsidP="00940AA7">
                  <w:pPr>
                    <w:autoSpaceDE w:val="0"/>
                    <w:autoSpaceDN w:val="0"/>
                    <w:adjustRightInd w:val="0"/>
                    <w:rPr>
                      <w:rFonts w:asciiTheme="majorHAnsi" w:eastAsia="Calibri" w:hAnsiTheme="majorHAnsi" w:cstheme="majorHAnsi"/>
                      <w:sz w:val="22"/>
                      <w:szCs w:val="22"/>
                    </w:rPr>
                  </w:pPr>
                  <w:r>
                    <w:rPr>
                      <w:rFonts w:asciiTheme="majorHAnsi" w:eastAsia="Calibri" w:hAnsiTheme="majorHAnsi" w:cstheme="majorHAnsi"/>
                      <w:sz w:val="22"/>
                      <w:szCs w:val="22"/>
                    </w:rPr>
                    <w:t xml:space="preserve">Number of ECGs requiring amendment following checks </w:t>
                  </w:r>
                </w:p>
              </w:tc>
              <w:tc>
                <w:tcPr>
                  <w:tcW w:w="2429" w:type="dxa"/>
                </w:tcPr>
                <w:p w14:paraId="52EA21A9" w14:textId="29F73EFF" w:rsidR="00EA331C" w:rsidRDefault="00655C5E" w:rsidP="00820758">
                  <w:pPr>
                    <w:autoSpaceDE w:val="0"/>
                    <w:autoSpaceDN w:val="0"/>
                    <w:adjustRightInd w:val="0"/>
                    <w:jc w:val="both"/>
                    <w:rPr>
                      <w:rFonts w:asciiTheme="majorHAnsi" w:eastAsia="Calibri" w:hAnsiTheme="majorHAnsi" w:cstheme="majorHAnsi"/>
                      <w:sz w:val="22"/>
                      <w:szCs w:val="22"/>
                    </w:rPr>
                  </w:pPr>
                  <w:r>
                    <w:rPr>
                      <w:rFonts w:asciiTheme="majorHAnsi" w:eastAsia="Calibri" w:hAnsiTheme="majorHAnsi" w:cstheme="majorHAnsi"/>
                      <w:sz w:val="22"/>
                      <w:szCs w:val="22"/>
                    </w:rPr>
                    <w:t>2%</w:t>
                  </w:r>
                </w:p>
              </w:tc>
              <w:tc>
                <w:tcPr>
                  <w:tcW w:w="1841" w:type="dxa"/>
                </w:tcPr>
                <w:p w14:paraId="7B1A394A" w14:textId="38429BCA" w:rsidR="00EA331C" w:rsidRDefault="002825EA" w:rsidP="00820758">
                  <w:pPr>
                    <w:autoSpaceDE w:val="0"/>
                    <w:autoSpaceDN w:val="0"/>
                    <w:adjustRightInd w:val="0"/>
                    <w:jc w:val="both"/>
                    <w:rPr>
                      <w:rFonts w:asciiTheme="majorHAnsi" w:eastAsia="Calibri" w:hAnsiTheme="majorHAnsi" w:cstheme="majorHAnsi"/>
                      <w:sz w:val="22"/>
                      <w:szCs w:val="22"/>
                    </w:rPr>
                  </w:pPr>
                  <w:r>
                    <w:rPr>
                      <w:rFonts w:asciiTheme="majorHAnsi" w:eastAsia="Calibri" w:hAnsiTheme="majorHAnsi" w:cstheme="majorHAnsi"/>
                      <w:sz w:val="22"/>
                      <w:szCs w:val="22"/>
                    </w:rPr>
                    <w:t xml:space="preserve">Quarterly </w:t>
                  </w:r>
                </w:p>
              </w:tc>
              <w:tc>
                <w:tcPr>
                  <w:tcW w:w="1841" w:type="dxa"/>
                </w:tcPr>
                <w:p w14:paraId="3814D77A" w14:textId="18D3BD25" w:rsidR="00EA331C" w:rsidRDefault="002825EA" w:rsidP="002825EA">
                  <w:pPr>
                    <w:autoSpaceDE w:val="0"/>
                    <w:autoSpaceDN w:val="0"/>
                    <w:adjustRightInd w:val="0"/>
                    <w:rPr>
                      <w:rFonts w:asciiTheme="majorHAnsi" w:eastAsia="Calibri" w:hAnsiTheme="majorHAnsi" w:cstheme="majorHAnsi"/>
                      <w:sz w:val="22"/>
                      <w:szCs w:val="22"/>
                    </w:rPr>
                  </w:pPr>
                  <w:r>
                    <w:rPr>
                      <w:rFonts w:asciiTheme="majorHAnsi" w:eastAsia="Calibri" w:hAnsiTheme="majorHAnsi" w:cstheme="majorHAnsi"/>
                      <w:sz w:val="22"/>
                      <w:szCs w:val="22"/>
                    </w:rPr>
                    <w:t>NHS Standard General Conditions apply</w:t>
                  </w:r>
                </w:p>
              </w:tc>
            </w:tr>
            <w:tr w:rsidR="00EA331C" w14:paraId="2D7E7722" w14:textId="77777777" w:rsidTr="00940AA7">
              <w:tc>
                <w:tcPr>
                  <w:tcW w:w="433" w:type="dxa"/>
                </w:tcPr>
                <w:p w14:paraId="7C0321AC" w14:textId="77777777" w:rsidR="00EA331C" w:rsidRDefault="00EA331C" w:rsidP="00820758">
                  <w:pPr>
                    <w:autoSpaceDE w:val="0"/>
                    <w:autoSpaceDN w:val="0"/>
                    <w:adjustRightInd w:val="0"/>
                    <w:jc w:val="both"/>
                    <w:rPr>
                      <w:rFonts w:asciiTheme="majorHAnsi" w:eastAsia="Calibri" w:hAnsiTheme="majorHAnsi" w:cstheme="majorHAnsi"/>
                      <w:sz w:val="22"/>
                      <w:szCs w:val="22"/>
                    </w:rPr>
                  </w:pPr>
                </w:p>
              </w:tc>
              <w:tc>
                <w:tcPr>
                  <w:tcW w:w="3323" w:type="dxa"/>
                </w:tcPr>
                <w:p w14:paraId="2247DB1E" w14:textId="6CB4C3D9" w:rsidR="00EA331C" w:rsidRPr="00605903" w:rsidRDefault="00EA331C" w:rsidP="00940AA7">
                  <w:pPr>
                    <w:autoSpaceDE w:val="0"/>
                    <w:autoSpaceDN w:val="0"/>
                    <w:adjustRightInd w:val="0"/>
                    <w:rPr>
                      <w:rFonts w:asciiTheme="majorHAnsi" w:eastAsia="Calibri" w:hAnsiTheme="majorHAnsi" w:cstheme="majorHAnsi"/>
                      <w:b/>
                      <w:bCs/>
                      <w:sz w:val="22"/>
                      <w:szCs w:val="22"/>
                      <w:u w:val="single"/>
                    </w:rPr>
                  </w:pPr>
                  <w:r w:rsidRPr="00605903">
                    <w:rPr>
                      <w:rFonts w:asciiTheme="majorHAnsi" w:eastAsia="Calibri" w:hAnsiTheme="majorHAnsi" w:cstheme="majorHAnsi"/>
                      <w:b/>
                      <w:bCs/>
                      <w:sz w:val="22"/>
                      <w:szCs w:val="22"/>
                      <w:u w:val="single"/>
                    </w:rPr>
                    <w:t>Quality</w:t>
                  </w:r>
                  <w:r w:rsidR="00317E94">
                    <w:rPr>
                      <w:rFonts w:asciiTheme="majorHAnsi" w:eastAsia="Calibri" w:hAnsiTheme="majorHAnsi" w:cstheme="majorHAnsi"/>
                      <w:b/>
                      <w:bCs/>
                      <w:sz w:val="22"/>
                      <w:szCs w:val="22"/>
                      <w:u w:val="single"/>
                    </w:rPr>
                    <w:t xml:space="preserve"> Control</w:t>
                  </w:r>
                  <w:r w:rsidRPr="00605903">
                    <w:rPr>
                      <w:rFonts w:asciiTheme="majorHAnsi" w:eastAsia="Calibri" w:hAnsiTheme="majorHAnsi" w:cstheme="majorHAnsi"/>
                      <w:b/>
                      <w:bCs/>
                      <w:sz w:val="22"/>
                      <w:szCs w:val="22"/>
                      <w:u w:val="single"/>
                    </w:rPr>
                    <w:t>:</w:t>
                  </w:r>
                </w:p>
                <w:p w14:paraId="1F2FCC88" w14:textId="1B93BE9A" w:rsidR="00EA331C" w:rsidRPr="00655C5E" w:rsidRDefault="00940AA7" w:rsidP="00940AA7">
                  <w:pPr>
                    <w:autoSpaceDE w:val="0"/>
                    <w:autoSpaceDN w:val="0"/>
                    <w:adjustRightInd w:val="0"/>
                    <w:rPr>
                      <w:rFonts w:asciiTheme="majorHAnsi" w:eastAsia="Calibri" w:hAnsiTheme="majorHAnsi" w:cstheme="majorHAnsi"/>
                      <w:sz w:val="22"/>
                      <w:szCs w:val="22"/>
                    </w:rPr>
                  </w:pPr>
                  <w:r>
                    <w:rPr>
                      <w:rFonts w:asciiTheme="majorHAnsi" w:eastAsia="Calibri" w:hAnsiTheme="majorHAnsi" w:cstheme="majorHAnsi"/>
                      <w:sz w:val="22"/>
                      <w:szCs w:val="22"/>
                    </w:rPr>
                    <w:t>Reported dispute</w:t>
                  </w:r>
                  <w:r w:rsidR="00074D6F">
                    <w:rPr>
                      <w:rFonts w:asciiTheme="majorHAnsi" w:eastAsia="Calibri" w:hAnsiTheme="majorHAnsi" w:cstheme="majorHAnsi"/>
                      <w:sz w:val="22"/>
                      <w:szCs w:val="22"/>
                    </w:rPr>
                    <w:t>s</w:t>
                  </w:r>
                  <w:r>
                    <w:rPr>
                      <w:rFonts w:asciiTheme="majorHAnsi" w:eastAsia="Calibri" w:hAnsiTheme="majorHAnsi" w:cstheme="majorHAnsi"/>
                      <w:sz w:val="22"/>
                      <w:szCs w:val="22"/>
                    </w:rPr>
                    <w:t xml:space="preserve"> </w:t>
                  </w:r>
                  <w:r w:rsidR="00074D6F">
                    <w:rPr>
                      <w:rFonts w:asciiTheme="majorHAnsi" w:eastAsia="Calibri" w:hAnsiTheme="majorHAnsi" w:cstheme="majorHAnsi"/>
                      <w:sz w:val="22"/>
                      <w:szCs w:val="22"/>
                    </w:rPr>
                    <w:t>around</w:t>
                  </w:r>
                  <w:r>
                    <w:rPr>
                      <w:rFonts w:asciiTheme="majorHAnsi" w:eastAsia="Calibri" w:hAnsiTheme="majorHAnsi" w:cstheme="majorHAnsi"/>
                      <w:sz w:val="22"/>
                      <w:szCs w:val="22"/>
                    </w:rPr>
                    <w:t xml:space="preserve"> clinical interpretation</w:t>
                  </w:r>
                  <w:r w:rsidR="00074D6F">
                    <w:rPr>
                      <w:rFonts w:asciiTheme="majorHAnsi" w:eastAsia="Calibri" w:hAnsiTheme="majorHAnsi" w:cstheme="majorHAnsi"/>
                      <w:sz w:val="22"/>
                      <w:szCs w:val="22"/>
                    </w:rPr>
                    <w:t>s</w:t>
                  </w:r>
                  <w:r>
                    <w:rPr>
                      <w:rFonts w:asciiTheme="majorHAnsi" w:eastAsia="Calibri" w:hAnsiTheme="majorHAnsi" w:cstheme="majorHAnsi"/>
                      <w:sz w:val="22"/>
                      <w:szCs w:val="22"/>
                    </w:rPr>
                    <w:t xml:space="preserve"> by secondary care provider </w:t>
                  </w:r>
                </w:p>
              </w:tc>
              <w:tc>
                <w:tcPr>
                  <w:tcW w:w="2429" w:type="dxa"/>
                </w:tcPr>
                <w:p w14:paraId="07C6396D" w14:textId="253CAEC1" w:rsidR="00EA331C" w:rsidRDefault="00940AA7" w:rsidP="00820758">
                  <w:pPr>
                    <w:autoSpaceDE w:val="0"/>
                    <w:autoSpaceDN w:val="0"/>
                    <w:adjustRightInd w:val="0"/>
                    <w:jc w:val="both"/>
                    <w:rPr>
                      <w:rFonts w:asciiTheme="majorHAnsi" w:eastAsia="Calibri" w:hAnsiTheme="majorHAnsi" w:cstheme="majorHAnsi"/>
                      <w:sz w:val="22"/>
                      <w:szCs w:val="22"/>
                    </w:rPr>
                  </w:pPr>
                  <w:r>
                    <w:rPr>
                      <w:rFonts w:asciiTheme="majorHAnsi" w:eastAsia="Calibri" w:hAnsiTheme="majorHAnsi" w:cstheme="majorHAnsi"/>
                      <w:sz w:val="22"/>
                      <w:szCs w:val="22"/>
                    </w:rPr>
                    <w:t>0.5%</w:t>
                  </w:r>
                </w:p>
              </w:tc>
              <w:tc>
                <w:tcPr>
                  <w:tcW w:w="1841" w:type="dxa"/>
                </w:tcPr>
                <w:p w14:paraId="5A95D107" w14:textId="2AAC265E" w:rsidR="00EA331C" w:rsidRDefault="002825EA" w:rsidP="00820758">
                  <w:pPr>
                    <w:autoSpaceDE w:val="0"/>
                    <w:autoSpaceDN w:val="0"/>
                    <w:adjustRightInd w:val="0"/>
                    <w:jc w:val="both"/>
                    <w:rPr>
                      <w:rFonts w:asciiTheme="majorHAnsi" w:eastAsia="Calibri" w:hAnsiTheme="majorHAnsi" w:cstheme="majorHAnsi"/>
                      <w:sz w:val="22"/>
                      <w:szCs w:val="22"/>
                    </w:rPr>
                  </w:pPr>
                  <w:r>
                    <w:rPr>
                      <w:rFonts w:asciiTheme="majorHAnsi" w:eastAsia="Calibri" w:hAnsiTheme="majorHAnsi" w:cstheme="majorHAnsi"/>
                      <w:sz w:val="22"/>
                      <w:szCs w:val="22"/>
                    </w:rPr>
                    <w:t xml:space="preserve">Quarterly </w:t>
                  </w:r>
                </w:p>
              </w:tc>
              <w:tc>
                <w:tcPr>
                  <w:tcW w:w="1841" w:type="dxa"/>
                </w:tcPr>
                <w:p w14:paraId="4080EFDB" w14:textId="4051A7D0" w:rsidR="00EA331C" w:rsidRDefault="002825EA" w:rsidP="002825EA">
                  <w:pPr>
                    <w:autoSpaceDE w:val="0"/>
                    <w:autoSpaceDN w:val="0"/>
                    <w:adjustRightInd w:val="0"/>
                    <w:rPr>
                      <w:rFonts w:asciiTheme="majorHAnsi" w:eastAsia="Calibri" w:hAnsiTheme="majorHAnsi" w:cstheme="majorHAnsi"/>
                      <w:sz w:val="22"/>
                      <w:szCs w:val="22"/>
                    </w:rPr>
                  </w:pPr>
                  <w:r>
                    <w:rPr>
                      <w:rFonts w:asciiTheme="majorHAnsi" w:eastAsia="Calibri" w:hAnsiTheme="majorHAnsi" w:cstheme="majorHAnsi"/>
                      <w:sz w:val="22"/>
                      <w:szCs w:val="22"/>
                    </w:rPr>
                    <w:t>NHS Standard General Conditions apply</w:t>
                  </w:r>
                </w:p>
              </w:tc>
            </w:tr>
            <w:tr w:rsidR="00655C5E" w14:paraId="4FFAF5FB" w14:textId="77777777" w:rsidTr="00940AA7">
              <w:tc>
                <w:tcPr>
                  <w:tcW w:w="433" w:type="dxa"/>
                </w:tcPr>
                <w:p w14:paraId="259784B1" w14:textId="77777777" w:rsidR="00655C5E" w:rsidRDefault="00655C5E" w:rsidP="00820758">
                  <w:pPr>
                    <w:autoSpaceDE w:val="0"/>
                    <w:autoSpaceDN w:val="0"/>
                    <w:adjustRightInd w:val="0"/>
                    <w:jc w:val="both"/>
                    <w:rPr>
                      <w:rFonts w:asciiTheme="majorHAnsi" w:eastAsia="Calibri" w:hAnsiTheme="majorHAnsi" w:cstheme="majorHAnsi"/>
                      <w:sz w:val="22"/>
                      <w:szCs w:val="22"/>
                    </w:rPr>
                  </w:pPr>
                </w:p>
              </w:tc>
              <w:tc>
                <w:tcPr>
                  <w:tcW w:w="3323" w:type="dxa"/>
                </w:tcPr>
                <w:p w14:paraId="59683F4C" w14:textId="77777777" w:rsidR="00655C5E" w:rsidRPr="00605903" w:rsidRDefault="00655C5E" w:rsidP="00655C5E">
                  <w:pPr>
                    <w:autoSpaceDE w:val="0"/>
                    <w:autoSpaceDN w:val="0"/>
                    <w:adjustRightInd w:val="0"/>
                    <w:jc w:val="both"/>
                    <w:rPr>
                      <w:rFonts w:asciiTheme="majorHAnsi" w:eastAsia="Calibri" w:hAnsiTheme="majorHAnsi" w:cstheme="majorHAnsi"/>
                      <w:b/>
                      <w:bCs/>
                      <w:sz w:val="22"/>
                      <w:szCs w:val="22"/>
                      <w:u w:val="single"/>
                    </w:rPr>
                  </w:pPr>
                  <w:r w:rsidRPr="00605903">
                    <w:rPr>
                      <w:rFonts w:asciiTheme="majorHAnsi" w:eastAsia="Calibri" w:hAnsiTheme="majorHAnsi" w:cstheme="majorHAnsi"/>
                      <w:b/>
                      <w:bCs/>
                      <w:sz w:val="22"/>
                      <w:szCs w:val="22"/>
                      <w:u w:val="single"/>
                    </w:rPr>
                    <w:t xml:space="preserve">User Satisfaction: </w:t>
                  </w:r>
                </w:p>
                <w:p w14:paraId="40CA53EA" w14:textId="58335211" w:rsidR="00655C5E" w:rsidRPr="00655C5E" w:rsidRDefault="00655C5E" w:rsidP="00EA331C">
                  <w:pPr>
                    <w:autoSpaceDE w:val="0"/>
                    <w:autoSpaceDN w:val="0"/>
                    <w:adjustRightInd w:val="0"/>
                    <w:jc w:val="both"/>
                    <w:rPr>
                      <w:rFonts w:asciiTheme="majorHAnsi" w:eastAsia="Calibri" w:hAnsiTheme="majorHAnsi" w:cstheme="majorHAnsi"/>
                      <w:sz w:val="22"/>
                      <w:szCs w:val="22"/>
                    </w:rPr>
                  </w:pPr>
                  <w:r>
                    <w:rPr>
                      <w:rFonts w:asciiTheme="majorHAnsi" w:eastAsia="Calibri" w:hAnsiTheme="majorHAnsi" w:cstheme="majorHAnsi"/>
                      <w:sz w:val="22"/>
                      <w:szCs w:val="22"/>
                    </w:rPr>
                    <w:t xml:space="preserve">Number of complaints </w:t>
                  </w:r>
                  <w:r w:rsidR="00605903">
                    <w:rPr>
                      <w:rFonts w:asciiTheme="majorHAnsi" w:eastAsia="Calibri" w:hAnsiTheme="majorHAnsi" w:cstheme="majorHAnsi"/>
                      <w:sz w:val="22"/>
                      <w:szCs w:val="22"/>
                    </w:rPr>
                    <w:t xml:space="preserve">from GPs in one year </w:t>
                  </w:r>
                </w:p>
              </w:tc>
              <w:tc>
                <w:tcPr>
                  <w:tcW w:w="2429" w:type="dxa"/>
                </w:tcPr>
                <w:p w14:paraId="2D021B24" w14:textId="25F344A5" w:rsidR="00655C5E" w:rsidRDefault="00655C5E" w:rsidP="00820758">
                  <w:pPr>
                    <w:autoSpaceDE w:val="0"/>
                    <w:autoSpaceDN w:val="0"/>
                    <w:adjustRightInd w:val="0"/>
                    <w:jc w:val="both"/>
                    <w:rPr>
                      <w:rFonts w:asciiTheme="majorHAnsi" w:eastAsia="Calibri" w:hAnsiTheme="majorHAnsi" w:cstheme="majorHAnsi"/>
                      <w:sz w:val="22"/>
                      <w:szCs w:val="22"/>
                    </w:rPr>
                  </w:pPr>
                  <w:r>
                    <w:rPr>
                      <w:rFonts w:asciiTheme="majorHAnsi" w:eastAsia="Calibri" w:hAnsiTheme="majorHAnsi" w:cstheme="majorHAnsi"/>
                      <w:sz w:val="22"/>
                      <w:szCs w:val="22"/>
                    </w:rPr>
                    <w:t>&lt;2% of report delivered by the service</w:t>
                  </w:r>
                </w:p>
              </w:tc>
              <w:tc>
                <w:tcPr>
                  <w:tcW w:w="1841" w:type="dxa"/>
                </w:tcPr>
                <w:p w14:paraId="44D7F378" w14:textId="0C727F4A" w:rsidR="00655C5E" w:rsidRDefault="002825EA" w:rsidP="00820758">
                  <w:pPr>
                    <w:autoSpaceDE w:val="0"/>
                    <w:autoSpaceDN w:val="0"/>
                    <w:adjustRightInd w:val="0"/>
                    <w:jc w:val="both"/>
                    <w:rPr>
                      <w:rFonts w:asciiTheme="majorHAnsi" w:eastAsia="Calibri" w:hAnsiTheme="majorHAnsi" w:cstheme="majorHAnsi"/>
                      <w:sz w:val="22"/>
                      <w:szCs w:val="22"/>
                    </w:rPr>
                  </w:pPr>
                  <w:r>
                    <w:rPr>
                      <w:rFonts w:asciiTheme="majorHAnsi" w:eastAsia="Calibri" w:hAnsiTheme="majorHAnsi" w:cstheme="majorHAnsi"/>
                      <w:sz w:val="22"/>
                      <w:szCs w:val="22"/>
                    </w:rPr>
                    <w:t xml:space="preserve">Annually </w:t>
                  </w:r>
                </w:p>
              </w:tc>
              <w:tc>
                <w:tcPr>
                  <w:tcW w:w="1841" w:type="dxa"/>
                </w:tcPr>
                <w:p w14:paraId="2BA40FB2" w14:textId="63BAF709" w:rsidR="00655C5E" w:rsidRDefault="002825EA" w:rsidP="002825EA">
                  <w:pPr>
                    <w:autoSpaceDE w:val="0"/>
                    <w:autoSpaceDN w:val="0"/>
                    <w:adjustRightInd w:val="0"/>
                    <w:rPr>
                      <w:rFonts w:asciiTheme="majorHAnsi" w:eastAsia="Calibri" w:hAnsiTheme="majorHAnsi" w:cstheme="majorHAnsi"/>
                      <w:sz w:val="22"/>
                      <w:szCs w:val="22"/>
                    </w:rPr>
                  </w:pPr>
                  <w:r>
                    <w:rPr>
                      <w:rFonts w:asciiTheme="majorHAnsi" w:eastAsia="Calibri" w:hAnsiTheme="majorHAnsi" w:cstheme="majorHAnsi"/>
                      <w:sz w:val="22"/>
                      <w:szCs w:val="22"/>
                    </w:rPr>
                    <w:t>NHS Standard General Conditions apply</w:t>
                  </w:r>
                </w:p>
              </w:tc>
            </w:tr>
          </w:tbl>
          <w:p w14:paraId="4C59082C" w14:textId="77777777" w:rsidR="00907E1A" w:rsidRDefault="00907E1A" w:rsidP="00820758">
            <w:pPr>
              <w:autoSpaceDE w:val="0"/>
              <w:autoSpaceDN w:val="0"/>
              <w:adjustRightInd w:val="0"/>
              <w:spacing w:after="0"/>
              <w:jc w:val="both"/>
              <w:rPr>
                <w:rFonts w:asciiTheme="majorHAnsi" w:eastAsia="Calibri" w:hAnsiTheme="majorHAnsi" w:cstheme="majorHAnsi"/>
                <w:sz w:val="22"/>
                <w:szCs w:val="22"/>
              </w:rPr>
            </w:pPr>
          </w:p>
          <w:p w14:paraId="7E5E9FDB" w14:textId="77777777" w:rsidR="00F425B3" w:rsidRPr="00404B2E" w:rsidRDefault="00F425B3" w:rsidP="00536831">
            <w:pPr>
              <w:spacing w:after="0"/>
              <w:jc w:val="both"/>
              <w:rPr>
                <w:rFonts w:asciiTheme="majorHAnsi" w:hAnsiTheme="majorHAnsi" w:cstheme="majorHAnsi"/>
                <w:sz w:val="22"/>
                <w:szCs w:val="22"/>
              </w:rPr>
            </w:pPr>
          </w:p>
        </w:tc>
      </w:tr>
      <w:tr w:rsidR="00F425B3" w:rsidRPr="0005750A" w14:paraId="33778449" w14:textId="77777777" w:rsidTr="005B293F">
        <w:tc>
          <w:tcPr>
            <w:tcW w:w="10093" w:type="dxa"/>
            <w:shd w:val="clear" w:color="auto" w:fill="595959"/>
          </w:tcPr>
          <w:p w14:paraId="0BC22E51" w14:textId="19907A66" w:rsidR="00F425B3" w:rsidRPr="0005750A" w:rsidRDefault="00F425B3" w:rsidP="00F425B3">
            <w:pPr>
              <w:spacing w:after="0" w:line="276" w:lineRule="auto"/>
              <w:rPr>
                <w:rFonts w:ascii="Calibri" w:hAnsi="Calibri" w:cs="Arial"/>
                <w:b/>
                <w:color w:val="F79646" w:themeColor="accent6"/>
                <w:sz w:val="22"/>
                <w:szCs w:val="22"/>
              </w:rPr>
            </w:pPr>
            <w:r>
              <w:rPr>
                <w:rFonts w:ascii="Calibri" w:hAnsi="Calibri" w:cs="Arial"/>
                <w:b/>
                <w:color w:val="F79646" w:themeColor="accent6"/>
                <w:sz w:val="22"/>
                <w:szCs w:val="22"/>
              </w:rPr>
              <w:lastRenderedPageBreak/>
              <w:t>4</w:t>
            </w:r>
            <w:r w:rsidRPr="0005750A">
              <w:rPr>
                <w:rFonts w:ascii="Calibri" w:hAnsi="Calibri" w:cs="Arial"/>
                <w:color w:val="F79646" w:themeColor="accent6"/>
                <w:sz w:val="22"/>
                <w:szCs w:val="22"/>
              </w:rPr>
              <w:t>.</w:t>
            </w:r>
            <w:r w:rsidRPr="0005750A">
              <w:rPr>
                <w:rFonts w:ascii="Calibri" w:hAnsi="Calibri" w:cs="Arial"/>
                <w:b/>
                <w:color w:val="F79646" w:themeColor="accent6"/>
                <w:sz w:val="22"/>
                <w:szCs w:val="22"/>
              </w:rPr>
              <w:tab/>
            </w:r>
            <w:r>
              <w:rPr>
                <w:rFonts w:ascii="Calibri" w:hAnsi="Calibri" w:cs="Arial"/>
                <w:b/>
                <w:color w:val="F79646" w:themeColor="accent6"/>
                <w:sz w:val="22"/>
                <w:szCs w:val="22"/>
              </w:rPr>
              <w:t>Delivery</w:t>
            </w:r>
          </w:p>
        </w:tc>
      </w:tr>
      <w:tr w:rsidR="00F425B3" w:rsidRPr="00162B9B" w14:paraId="38B46CCB" w14:textId="77777777" w:rsidTr="005B293F">
        <w:tc>
          <w:tcPr>
            <w:tcW w:w="10093" w:type="dxa"/>
            <w:shd w:val="clear" w:color="auto" w:fill="auto"/>
          </w:tcPr>
          <w:p w14:paraId="3BDDEC7F" w14:textId="5C3781DD" w:rsidR="00536831" w:rsidRPr="007C6D99" w:rsidRDefault="00536831" w:rsidP="00536831">
            <w:pPr>
              <w:autoSpaceDE w:val="0"/>
              <w:autoSpaceDN w:val="0"/>
              <w:adjustRightInd w:val="0"/>
              <w:spacing w:after="0"/>
              <w:jc w:val="both"/>
              <w:rPr>
                <w:rFonts w:asciiTheme="majorHAnsi" w:hAnsiTheme="majorHAnsi" w:cstheme="majorHAnsi"/>
                <w:b/>
                <w:bCs/>
                <w:sz w:val="22"/>
                <w:szCs w:val="22"/>
              </w:rPr>
            </w:pPr>
            <w:r w:rsidRPr="007C6D99">
              <w:rPr>
                <w:rFonts w:asciiTheme="majorHAnsi" w:hAnsiTheme="majorHAnsi" w:cstheme="majorHAnsi"/>
                <w:b/>
                <w:bCs/>
                <w:sz w:val="22"/>
                <w:szCs w:val="22"/>
              </w:rPr>
              <w:t xml:space="preserve">4.1 Applicable national standards (e.g. NICE) </w:t>
            </w:r>
          </w:p>
          <w:p w14:paraId="4BC690CA" w14:textId="77777777" w:rsidR="00536831" w:rsidRDefault="00536831" w:rsidP="00536831">
            <w:pPr>
              <w:autoSpaceDE w:val="0"/>
              <w:autoSpaceDN w:val="0"/>
              <w:adjustRightInd w:val="0"/>
              <w:spacing w:after="0"/>
              <w:jc w:val="both"/>
              <w:rPr>
                <w:rFonts w:asciiTheme="majorHAnsi" w:hAnsiTheme="majorHAnsi" w:cstheme="majorHAnsi"/>
                <w:sz w:val="22"/>
                <w:szCs w:val="22"/>
              </w:rPr>
            </w:pPr>
            <w:r w:rsidRPr="00EC2B59">
              <w:rPr>
                <w:rFonts w:asciiTheme="majorHAnsi" w:hAnsiTheme="majorHAnsi" w:cstheme="majorHAnsi"/>
                <w:sz w:val="22"/>
                <w:szCs w:val="22"/>
              </w:rPr>
              <w:t xml:space="preserve"> </w:t>
            </w:r>
            <w:r w:rsidRPr="007C6D99">
              <w:rPr>
                <w:rFonts w:asciiTheme="majorHAnsi" w:hAnsiTheme="majorHAnsi" w:cstheme="majorHAnsi"/>
                <w:sz w:val="22"/>
                <w:szCs w:val="22"/>
              </w:rPr>
              <w:t xml:space="preserve">The provider is required to ensure that they have a system in place to ensure that any and all required national standards or clinical guidelines are identified and adhered to in order to deliver a safe, qualitative and effective 12 lead ECG service to patients where required.  </w:t>
            </w:r>
          </w:p>
          <w:p w14:paraId="1BAD6842" w14:textId="77777777" w:rsidR="00536831" w:rsidRDefault="00536831" w:rsidP="00536831">
            <w:pPr>
              <w:autoSpaceDE w:val="0"/>
              <w:autoSpaceDN w:val="0"/>
              <w:adjustRightInd w:val="0"/>
              <w:spacing w:after="0"/>
              <w:jc w:val="both"/>
              <w:rPr>
                <w:rFonts w:asciiTheme="majorHAnsi" w:hAnsiTheme="majorHAnsi" w:cstheme="majorHAnsi"/>
                <w:sz w:val="22"/>
                <w:szCs w:val="22"/>
              </w:rPr>
            </w:pPr>
          </w:p>
          <w:p w14:paraId="66855B67" w14:textId="77777777" w:rsidR="00536831" w:rsidRPr="007C6D99" w:rsidRDefault="00536831" w:rsidP="00536831">
            <w:pPr>
              <w:autoSpaceDE w:val="0"/>
              <w:autoSpaceDN w:val="0"/>
              <w:adjustRightInd w:val="0"/>
              <w:spacing w:after="0"/>
              <w:jc w:val="both"/>
              <w:rPr>
                <w:rFonts w:asciiTheme="majorHAnsi" w:hAnsiTheme="majorHAnsi" w:cstheme="majorHAnsi"/>
                <w:sz w:val="22"/>
                <w:szCs w:val="22"/>
              </w:rPr>
            </w:pPr>
            <w:r w:rsidRPr="007C6D99">
              <w:rPr>
                <w:rFonts w:asciiTheme="majorHAnsi" w:hAnsiTheme="majorHAnsi" w:cstheme="majorHAnsi"/>
                <w:sz w:val="22"/>
                <w:szCs w:val="22"/>
              </w:rPr>
              <w:t xml:space="preserve">Applicable national standards (e.g. NICE) </w:t>
            </w:r>
          </w:p>
          <w:p w14:paraId="25107DCC" w14:textId="77777777" w:rsidR="00536831" w:rsidRPr="007C6D99" w:rsidRDefault="00536831" w:rsidP="00D70005">
            <w:pPr>
              <w:pStyle w:val="ListParagraph"/>
              <w:numPr>
                <w:ilvl w:val="0"/>
                <w:numId w:val="10"/>
              </w:numPr>
              <w:autoSpaceDE w:val="0"/>
              <w:autoSpaceDN w:val="0"/>
              <w:adjustRightInd w:val="0"/>
              <w:jc w:val="both"/>
              <w:rPr>
                <w:rFonts w:asciiTheme="majorHAnsi" w:hAnsiTheme="majorHAnsi" w:cstheme="majorHAnsi"/>
                <w:sz w:val="22"/>
                <w:szCs w:val="22"/>
              </w:rPr>
            </w:pPr>
            <w:r w:rsidRPr="007C6D99">
              <w:rPr>
                <w:rFonts w:asciiTheme="majorHAnsi" w:hAnsiTheme="majorHAnsi" w:cstheme="majorHAnsi"/>
                <w:sz w:val="22"/>
                <w:szCs w:val="22"/>
              </w:rPr>
              <w:t xml:space="preserve">GC127: NICE Clinical Guideline on Clinical Management of Primary Hypertension in Adults </w:t>
            </w:r>
          </w:p>
          <w:p w14:paraId="04B6CCDC" w14:textId="77777777" w:rsidR="00536831" w:rsidRPr="007C6D99" w:rsidRDefault="00536831" w:rsidP="00D70005">
            <w:pPr>
              <w:pStyle w:val="ListParagraph"/>
              <w:numPr>
                <w:ilvl w:val="0"/>
                <w:numId w:val="10"/>
              </w:numPr>
              <w:autoSpaceDE w:val="0"/>
              <w:autoSpaceDN w:val="0"/>
              <w:adjustRightInd w:val="0"/>
              <w:jc w:val="both"/>
              <w:rPr>
                <w:rFonts w:asciiTheme="majorHAnsi" w:hAnsiTheme="majorHAnsi" w:cstheme="majorHAnsi"/>
                <w:sz w:val="22"/>
                <w:szCs w:val="22"/>
              </w:rPr>
            </w:pPr>
            <w:r w:rsidRPr="007C6D99">
              <w:rPr>
                <w:rFonts w:asciiTheme="majorHAnsi" w:hAnsiTheme="majorHAnsi" w:cstheme="majorHAnsi"/>
                <w:sz w:val="22"/>
                <w:szCs w:val="22"/>
              </w:rPr>
              <w:t xml:space="preserve">CG95 Chest Pain of Recent Onset: Assessment and Diagnosis of Recent Onset Chest Pain or Discomfort of Suspected Cardiac Origin (March 2010). www.nice.org.uk/guidnce/CG95 </w:t>
            </w:r>
          </w:p>
          <w:p w14:paraId="73DDCDEA" w14:textId="77777777" w:rsidR="00536831" w:rsidRPr="007C6D99" w:rsidRDefault="00536831" w:rsidP="00D70005">
            <w:pPr>
              <w:pStyle w:val="ListParagraph"/>
              <w:numPr>
                <w:ilvl w:val="0"/>
                <w:numId w:val="10"/>
              </w:numPr>
              <w:autoSpaceDE w:val="0"/>
              <w:autoSpaceDN w:val="0"/>
              <w:adjustRightInd w:val="0"/>
              <w:jc w:val="both"/>
              <w:rPr>
                <w:rFonts w:asciiTheme="majorHAnsi" w:hAnsiTheme="majorHAnsi" w:cstheme="majorHAnsi"/>
                <w:sz w:val="22"/>
                <w:szCs w:val="22"/>
              </w:rPr>
            </w:pPr>
            <w:r w:rsidRPr="007C6D99">
              <w:rPr>
                <w:rFonts w:asciiTheme="majorHAnsi" w:hAnsiTheme="majorHAnsi" w:cstheme="majorHAnsi"/>
                <w:sz w:val="22"/>
                <w:szCs w:val="22"/>
              </w:rPr>
              <w:t xml:space="preserve">CG108 Chronic heart failure. (August 2010) www.guidance.nice.org.uk/CG108 </w:t>
            </w:r>
          </w:p>
          <w:p w14:paraId="1F317A7A" w14:textId="77777777" w:rsidR="00536831" w:rsidRPr="007C6D99" w:rsidRDefault="00536831" w:rsidP="00D70005">
            <w:pPr>
              <w:pStyle w:val="ListParagraph"/>
              <w:numPr>
                <w:ilvl w:val="0"/>
                <w:numId w:val="10"/>
              </w:numPr>
              <w:autoSpaceDE w:val="0"/>
              <w:autoSpaceDN w:val="0"/>
              <w:adjustRightInd w:val="0"/>
              <w:jc w:val="both"/>
              <w:rPr>
                <w:rFonts w:asciiTheme="majorHAnsi" w:hAnsiTheme="majorHAnsi" w:cstheme="majorHAnsi"/>
                <w:sz w:val="22"/>
                <w:szCs w:val="22"/>
              </w:rPr>
            </w:pPr>
            <w:r w:rsidRPr="007C6D99">
              <w:rPr>
                <w:rFonts w:asciiTheme="majorHAnsi" w:hAnsiTheme="majorHAnsi" w:cstheme="majorHAnsi"/>
                <w:sz w:val="22"/>
                <w:szCs w:val="22"/>
              </w:rPr>
              <w:t xml:space="preserve">Clinical Guideline GC180 Atrial Fibrillation: The Management of Atrial Fibrillation (June 2014) http://www.nice.org.uk/guidance/CG180  </w:t>
            </w:r>
          </w:p>
          <w:p w14:paraId="48346686" w14:textId="77777777" w:rsidR="00536831" w:rsidRPr="007C6D99" w:rsidRDefault="00536831" w:rsidP="00D70005">
            <w:pPr>
              <w:pStyle w:val="ListParagraph"/>
              <w:numPr>
                <w:ilvl w:val="0"/>
                <w:numId w:val="10"/>
              </w:numPr>
              <w:autoSpaceDE w:val="0"/>
              <w:autoSpaceDN w:val="0"/>
              <w:adjustRightInd w:val="0"/>
              <w:jc w:val="both"/>
              <w:rPr>
                <w:rFonts w:asciiTheme="majorHAnsi" w:hAnsiTheme="majorHAnsi" w:cstheme="majorHAnsi"/>
                <w:sz w:val="22"/>
                <w:szCs w:val="22"/>
              </w:rPr>
            </w:pPr>
            <w:r w:rsidRPr="007C6D99">
              <w:rPr>
                <w:rFonts w:asciiTheme="majorHAnsi" w:hAnsiTheme="majorHAnsi" w:cstheme="majorHAnsi"/>
                <w:sz w:val="22"/>
                <w:szCs w:val="22"/>
              </w:rPr>
              <w:t xml:space="preserve">CG127 Hypertension; Clinical management of primary hypertension in adults. (August 2011) http://www.nice.org.uk/guidance/CG127 </w:t>
            </w:r>
          </w:p>
          <w:p w14:paraId="1D4DF21B" w14:textId="77777777" w:rsidR="00536831" w:rsidRPr="007C6D99" w:rsidRDefault="00536831" w:rsidP="00536831">
            <w:pPr>
              <w:autoSpaceDE w:val="0"/>
              <w:autoSpaceDN w:val="0"/>
              <w:adjustRightInd w:val="0"/>
              <w:spacing w:after="0"/>
              <w:jc w:val="both"/>
              <w:rPr>
                <w:rFonts w:asciiTheme="majorHAnsi" w:hAnsiTheme="majorHAnsi" w:cstheme="majorHAnsi"/>
                <w:sz w:val="22"/>
                <w:szCs w:val="22"/>
              </w:rPr>
            </w:pPr>
            <w:r w:rsidRPr="007C6D99">
              <w:rPr>
                <w:rFonts w:asciiTheme="majorHAnsi" w:hAnsiTheme="majorHAnsi" w:cstheme="majorHAnsi"/>
                <w:sz w:val="22"/>
                <w:szCs w:val="22"/>
              </w:rPr>
              <w:t xml:space="preserve"> </w:t>
            </w:r>
          </w:p>
          <w:p w14:paraId="524DBDF7" w14:textId="77777777" w:rsidR="00536831" w:rsidRPr="007C6D99" w:rsidRDefault="00536831" w:rsidP="00536831">
            <w:pPr>
              <w:autoSpaceDE w:val="0"/>
              <w:autoSpaceDN w:val="0"/>
              <w:adjustRightInd w:val="0"/>
              <w:spacing w:after="0"/>
              <w:jc w:val="both"/>
              <w:rPr>
                <w:rFonts w:asciiTheme="majorHAnsi" w:hAnsiTheme="majorHAnsi" w:cstheme="majorHAnsi"/>
                <w:b/>
                <w:bCs/>
                <w:sz w:val="22"/>
                <w:szCs w:val="22"/>
              </w:rPr>
            </w:pPr>
            <w:proofErr w:type="gramStart"/>
            <w:r w:rsidRPr="007C6D99">
              <w:rPr>
                <w:rFonts w:asciiTheme="majorHAnsi" w:hAnsiTheme="majorHAnsi" w:cstheme="majorHAnsi"/>
                <w:b/>
                <w:bCs/>
                <w:sz w:val="22"/>
                <w:szCs w:val="22"/>
              </w:rPr>
              <w:t>4.2  Applicable</w:t>
            </w:r>
            <w:proofErr w:type="gramEnd"/>
            <w:r w:rsidRPr="007C6D99">
              <w:rPr>
                <w:rFonts w:asciiTheme="majorHAnsi" w:hAnsiTheme="majorHAnsi" w:cstheme="majorHAnsi"/>
                <w:b/>
                <w:bCs/>
                <w:sz w:val="22"/>
                <w:szCs w:val="22"/>
              </w:rPr>
              <w:t xml:space="preserve"> standards set out in Guidance and/or issued by a competent body (e.g. Royal Colleges)  </w:t>
            </w:r>
          </w:p>
          <w:p w14:paraId="1B7027D2" w14:textId="74826BCC" w:rsidR="00BB2695" w:rsidRPr="00162B9B" w:rsidRDefault="00536831" w:rsidP="00D70005">
            <w:pPr>
              <w:pStyle w:val="ListParagraph"/>
              <w:numPr>
                <w:ilvl w:val="0"/>
                <w:numId w:val="11"/>
              </w:numPr>
              <w:autoSpaceDE w:val="0"/>
              <w:autoSpaceDN w:val="0"/>
              <w:adjustRightInd w:val="0"/>
              <w:contextualSpacing/>
              <w:jc w:val="both"/>
              <w:rPr>
                <w:rFonts w:asciiTheme="majorHAnsi" w:hAnsiTheme="majorHAnsi" w:cstheme="majorHAnsi"/>
                <w:b/>
                <w:color w:val="F79646" w:themeColor="accent6"/>
                <w:sz w:val="22"/>
                <w:szCs w:val="22"/>
              </w:rPr>
            </w:pPr>
            <w:r w:rsidRPr="002825EA">
              <w:rPr>
                <w:rFonts w:asciiTheme="majorHAnsi" w:hAnsiTheme="majorHAnsi" w:cstheme="majorHAnsi"/>
                <w:sz w:val="22"/>
                <w:szCs w:val="22"/>
              </w:rPr>
              <w:lastRenderedPageBreak/>
              <w:t xml:space="preserve">Society for Cardiological Science and Technology’s Approve Methodology for Recording a Standard 12-lead Electrocardiogram.  </w:t>
            </w:r>
          </w:p>
        </w:tc>
      </w:tr>
      <w:tr w:rsidR="00F425B3" w:rsidRPr="001F5724" w14:paraId="0EAD9D07" w14:textId="77777777" w:rsidTr="005B293F">
        <w:tc>
          <w:tcPr>
            <w:tcW w:w="10093" w:type="dxa"/>
            <w:shd w:val="clear" w:color="auto" w:fill="595959"/>
          </w:tcPr>
          <w:p w14:paraId="759921AB" w14:textId="38E7D65F" w:rsidR="00F425B3" w:rsidRPr="001F5724" w:rsidRDefault="003E6B9F" w:rsidP="00F425B3">
            <w:pPr>
              <w:spacing w:after="0" w:line="276" w:lineRule="auto"/>
              <w:rPr>
                <w:rFonts w:ascii="Calibri" w:hAnsi="Calibri" w:cs="Arial"/>
                <w:b/>
                <w:color w:val="F79646"/>
                <w:sz w:val="22"/>
                <w:szCs w:val="22"/>
              </w:rPr>
            </w:pPr>
            <w:r>
              <w:rPr>
                <w:rFonts w:ascii="Calibri" w:hAnsi="Calibri" w:cs="Arial"/>
                <w:color w:val="F79646"/>
                <w:sz w:val="22"/>
                <w:szCs w:val="22"/>
              </w:rPr>
              <w:lastRenderedPageBreak/>
              <w:t>5</w:t>
            </w:r>
            <w:r w:rsidR="00F425B3" w:rsidRPr="0005750A">
              <w:rPr>
                <w:rFonts w:ascii="Calibri" w:hAnsi="Calibri" w:cs="Arial"/>
                <w:color w:val="F79646"/>
                <w:sz w:val="22"/>
                <w:szCs w:val="22"/>
              </w:rPr>
              <w:t>.</w:t>
            </w:r>
            <w:r w:rsidR="00F425B3" w:rsidRPr="001F5724">
              <w:rPr>
                <w:rFonts w:ascii="Calibri" w:hAnsi="Calibri" w:cs="Arial"/>
                <w:b/>
                <w:color w:val="F79646"/>
                <w:sz w:val="22"/>
                <w:szCs w:val="22"/>
              </w:rPr>
              <w:tab/>
              <w:t>Applicable quality requirements and CQUIN goals</w:t>
            </w:r>
          </w:p>
        </w:tc>
      </w:tr>
      <w:tr w:rsidR="00F425B3" w:rsidRPr="001F5724" w14:paraId="3CB63D3F" w14:textId="77777777" w:rsidTr="005B293F">
        <w:tc>
          <w:tcPr>
            <w:tcW w:w="10093" w:type="dxa"/>
            <w:shd w:val="clear" w:color="auto" w:fill="auto"/>
          </w:tcPr>
          <w:p w14:paraId="43271D7D" w14:textId="77777777" w:rsidR="00317E94" w:rsidRDefault="00317E94" w:rsidP="00F425B3">
            <w:pPr>
              <w:spacing w:after="0"/>
              <w:jc w:val="both"/>
              <w:rPr>
                <w:rFonts w:ascii="Calibri" w:hAnsi="Calibri" w:cs="Arial"/>
                <w:sz w:val="22"/>
                <w:szCs w:val="22"/>
              </w:rPr>
            </w:pPr>
          </w:p>
          <w:p w14:paraId="27B23C0B" w14:textId="099EF5C4" w:rsidR="00B34D32" w:rsidRDefault="00B34D32" w:rsidP="00F425B3">
            <w:pPr>
              <w:spacing w:after="0"/>
              <w:jc w:val="both"/>
              <w:rPr>
                <w:rFonts w:ascii="Calibri" w:hAnsi="Calibri" w:cs="Arial"/>
                <w:sz w:val="22"/>
                <w:szCs w:val="22"/>
              </w:rPr>
            </w:pPr>
            <w:r w:rsidRPr="00B34D32">
              <w:rPr>
                <w:rFonts w:ascii="Calibri" w:hAnsi="Calibri" w:cs="Arial"/>
                <w:sz w:val="22"/>
                <w:szCs w:val="22"/>
              </w:rPr>
              <w:t>There will be no national or local CQUIN schemes relevant to this service. All CQUIN funding is already included within the local tariff.</w:t>
            </w:r>
          </w:p>
          <w:p w14:paraId="65139E8C" w14:textId="77777777" w:rsidR="00F425B3" w:rsidRPr="001F5724" w:rsidRDefault="00F425B3" w:rsidP="00B34D32">
            <w:pPr>
              <w:spacing w:after="0"/>
              <w:jc w:val="both"/>
              <w:rPr>
                <w:rFonts w:ascii="Calibri" w:hAnsi="Calibri" w:cs="Arial"/>
                <w:sz w:val="22"/>
                <w:szCs w:val="22"/>
              </w:rPr>
            </w:pPr>
          </w:p>
        </w:tc>
      </w:tr>
      <w:tr w:rsidR="00F425B3" w:rsidRPr="0005750A" w14:paraId="548F71FB" w14:textId="77777777" w:rsidTr="005B293F">
        <w:tc>
          <w:tcPr>
            <w:tcW w:w="10093" w:type="dxa"/>
            <w:shd w:val="clear" w:color="auto" w:fill="595959"/>
          </w:tcPr>
          <w:p w14:paraId="07B56279" w14:textId="7896A53F" w:rsidR="00F425B3" w:rsidRDefault="003E6B9F" w:rsidP="00F425B3">
            <w:pPr>
              <w:spacing w:after="0" w:line="276" w:lineRule="auto"/>
              <w:rPr>
                <w:rFonts w:ascii="Calibri" w:hAnsi="Calibri" w:cs="Arial"/>
                <w:b/>
                <w:color w:val="F79646" w:themeColor="accent6"/>
                <w:sz w:val="22"/>
                <w:szCs w:val="22"/>
              </w:rPr>
            </w:pPr>
            <w:r>
              <w:rPr>
                <w:rFonts w:ascii="Calibri" w:hAnsi="Calibri" w:cs="Arial"/>
                <w:color w:val="F79646"/>
                <w:sz w:val="22"/>
                <w:szCs w:val="22"/>
              </w:rPr>
              <w:t>6</w:t>
            </w:r>
            <w:r w:rsidR="00F425B3" w:rsidRPr="0005750A">
              <w:rPr>
                <w:rFonts w:ascii="Calibri" w:hAnsi="Calibri" w:cs="Arial"/>
                <w:color w:val="F79646"/>
                <w:sz w:val="22"/>
                <w:szCs w:val="22"/>
              </w:rPr>
              <w:t>.</w:t>
            </w:r>
            <w:r w:rsidR="00F425B3" w:rsidRPr="001F5724">
              <w:rPr>
                <w:rFonts w:ascii="Calibri" w:hAnsi="Calibri" w:cs="Arial"/>
                <w:b/>
                <w:color w:val="F79646"/>
                <w:sz w:val="22"/>
                <w:szCs w:val="22"/>
              </w:rPr>
              <w:tab/>
            </w:r>
            <w:r w:rsidR="00F425B3">
              <w:rPr>
                <w:rFonts w:ascii="Calibri" w:hAnsi="Calibri" w:cs="Arial"/>
                <w:b/>
                <w:color w:val="F79646"/>
                <w:sz w:val="22"/>
                <w:szCs w:val="22"/>
              </w:rPr>
              <w:t>Payment</w:t>
            </w:r>
          </w:p>
        </w:tc>
      </w:tr>
      <w:tr w:rsidR="00F425B3" w:rsidRPr="00365312" w14:paraId="13E30E50" w14:textId="77777777" w:rsidTr="005B293F">
        <w:tc>
          <w:tcPr>
            <w:tcW w:w="10093" w:type="dxa"/>
            <w:shd w:val="clear" w:color="auto" w:fill="auto"/>
          </w:tcPr>
          <w:p w14:paraId="75068A82" w14:textId="71BF8C8B" w:rsidR="00C65C3B" w:rsidRDefault="00C65C3B" w:rsidP="00C65C3B">
            <w:pPr>
              <w:spacing w:after="0"/>
              <w:jc w:val="both"/>
              <w:rPr>
                <w:rFonts w:asciiTheme="majorHAnsi" w:hAnsiTheme="majorHAnsi" w:cstheme="majorHAnsi"/>
                <w:b/>
                <w:color w:val="F79646" w:themeColor="accent6"/>
                <w:sz w:val="22"/>
                <w:szCs w:val="22"/>
              </w:rPr>
            </w:pPr>
          </w:p>
          <w:p w14:paraId="33A4C1B2" w14:textId="56D16D00" w:rsidR="005F5F7C" w:rsidRDefault="005F5F7C" w:rsidP="00C65C3B">
            <w:pPr>
              <w:spacing w:after="0"/>
              <w:jc w:val="both"/>
              <w:rPr>
                <w:rFonts w:asciiTheme="majorHAnsi" w:hAnsiTheme="majorHAnsi" w:cstheme="majorHAnsi"/>
                <w:sz w:val="22"/>
                <w:szCs w:val="22"/>
              </w:rPr>
            </w:pPr>
            <w:r>
              <w:rPr>
                <w:rFonts w:asciiTheme="majorHAnsi" w:hAnsiTheme="majorHAnsi" w:cstheme="majorHAnsi"/>
                <w:sz w:val="22"/>
                <w:szCs w:val="22"/>
              </w:rPr>
              <w:t>The</w:t>
            </w:r>
            <w:r w:rsidR="003145FA">
              <w:rPr>
                <w:rFonts w:asciiTheme="majorHAnsi" w:hAnsiTheme="majorHAnsi" w:cstheme="majorHAnsi"/>
                <w:sz w:val="22"/>
                <w:szCs w:val="22"/>
              </w:rPr>
              <w:t xml:space="preserve"> payment for the </w:t>
            </w:r>
            <w:r>
              <w:rPr>
                <w:rFonts w:asciiTheme="majorHAnsi" w:hAnsiTheme="majorHAnsi" w:cstheme="majorHAnsi"/>
                <w:sz w:val="22"/>
                <w:szCs w:val="22"/>
              </w:rPr>
              <w:t>service</w:t>
            </w:r>
            <w:r w:rsidR="00A16663">
              <w:rPr>
                <w:rFonts w:asciiTheme="majorHAnsi" w:hAnsiTheme="majorHAnsi" w:cstheme="majorHAnsi"/>
                <w:sz w:val="22"/>
                <w:szCs w:val="22"/>
              </w:rPr>
              <w:t>s</w:t>
            </w:r>
            <w:r>
              <w:rPr>
                <w:rFonts w:asciiTheme="majorHAnsi" w:hAnsiTheme="majorHAnsi" w:cstheme="majorHAnsi"/>
                <w:sz w:val="22"/>
                <w:szCs w:val="22"/>
              </w:rPr>
              <w:t xml:space="preserve"> will be </w:t>
            </w:r>
            <w:r w:rsidR="003145FA">
              <w:rPr>
                <w:rFonts w:asciiTheme="majorHAnsi" w:hAnsiTheme="majorHAnsi" w:cstheme="majorHAnsi"/>
                <w:sz w:val="22"/>
                <w:szCs w:val="22"/>
              </w:rPr>
              <w:t xml:space="preserve">via </w:t>
            </w:r>
            <w:r>
              <w:rPr>
                <w:rFonts w:asciiTheme="majorHAnsi" w:hAnsiTheme="majorHAnsi" w:cstheme="majorHAnsi"/>
                <w:sz w:val="22"/>
                <w:szCs w:val="22"/>
              </w:rPr>
              <w:t xml:space="preserve">monthly </w:t>
            </w:r>
            <w:r w:rsidR="003145FA">
              <w:rPr>
                <w:rFonts w:asciiTheme="majorHAnsi" w:hAnsiTheme="majorHAnsi" w:cstheme="majorHAnsi"/>
                <w:sz w:val="22"/>
                <w:szCs w:val="22"/>
              </w:rPr>
              <w:t xml:space="preserve">invoicing </w:t>
            </w:r>
            <w:r>
              <w:rPr>
                <w:rFonts w:asciiTheme="majorHAnsi" w:hAnsiTheme="majorHAnsi" w:cstheme="majorHAnsi"/>
                <w:sz w:val="22"/>
                <w:szCs w:val="22"/>
              </w:rPr>
              <w:t>submitted by the provider to include two elements:</w:t>
            </w:r>
          </w:p>
          <w:p w14:paraId="054C5120" w14:textId="27DE56DF" w:rsidR="005F5F7C" w:rsidRPr="00B34D32" w:rsidRDefault="005F5F7C" w:rsidP="00D70005">
            <w:pPr>
              <w:pStyle w:val="ListParagraph"/>
              <w:numPr>
                <w:ilvl w:val="0"/>
                <w:numId w:val="14"/>
              </w:numPr>
              <w:jc w:val="both"/>
              <w:rPr>
                <w:rFonts w:asciiTheme="majorHAnsi" w:hAnsiTheme="majorHAnsi" w:cstheme="majorHAnsi"/>
                <w:sz w:val="22"/>
                <w:szCs w:val="22"/>
              </w:rPr>
            </w:pPr>
            <w:r w:rsidRPr="00B34D32">
              <w:rPr>
                <w:rFonts w:asciiTheme="majorHAnsi" w:hAnsiTheme="majorHAnsi" w:cstheme="majorHAnsi"/>
                <w:sz w:val="22"/>
                <w:szCs w:val="22"/>
              </w:rPr>
              <w:t>Monthly</w:t>
            </w:r>
            <w:r w:rsidR="003145FA">
              <w:rPr>
                <w:rFonts w:asciiTheme="majorHAnsi" w:hAnsiTheme="majorHAnsi" w:cstheme="majorHAnsi"/>
                <w:sz w:val="22"/>
                <w:szCs w:val="22"/>
              </w:rPr>
              <w:t xml:space="preserve">/Annual </w:t>
            </w:r>
            <w:r w:rsidRPr="00B34D32">
              <w:rPr>
                <w:rFonts w:asciiTheme="majorHAnsi" w:hAnsiTheme="majorHAnsi" w:cstheme="majorHAnsi"/>
                <w:sz w:val="22"/>
                <w:szCs w:val="22"/>
              </w:rPr>
              <w:t>charge for equipment</w:t>
            </w:r>
            <w:r w:rsidR="00B34D32">
              <w:rPr>
                <w:rFonts w:asciiTheme="majorHAnsi" w:hAnsiTheme="majorHAnsi" w:cstheme="majorHAnsi"/>
                <w:sz w:val="22"/>
                <w:szCs w:val="22"/>
              </w:rPr>
              <w:t xml:space="preserve"> (tbc)</w:t>
            </w:r>
          </w:p>
          <w:p w14:paraId="182B11E3" w14:textId="064821E2" w:rsidR="005F5F7C" w:rsidRPr="00B34D32" w:rsidRDefault="005F5F7C" w:rsidP="00D70005">
            <w:pPr>
              <w:pStyle w:val="ListParagraph"/>
              <w:numPr>
                <w:ilvl w:val="0"/>
                <w:numId w:val="14"/>
              </w:numPr>
              <w:jc w:val="both"/>
              <w:rPr>
                <w:rFonts w:asciiTheme="majorHAnsi" w:hAnsiTheme="majorHAnsi" w:cstheme="majorHAnsi"/>
                <w:sz w:val="22"/>
                <w:szCs w:val="22"/>
              </w:rPr>
            </w:pPr>
            <w:r w:rsidRPr="00B34D32">
              <w:rPr>
                <w:rFonts w:asciiTheme="majorHAnsi" w:hAnsiTheme="majorHAnsi" w:cstheme="majorHAnsi"/>
                <w:sz w:val="22"/>
                <w:szCs w:val="22"/>
              </w:rPr>
              <w:t xml:space="preserve">Monthly activity </w:t>
            </w:r>
            <w:r w:rsidR="00B34D32">
              <w:rPr>
                <w:rFonts w:asciiTheme="majorHAnsi" w:hAnsiTheme="majorHAnsi" w:cstheme="majorHAnsi"/>
                <w:sz w:val="22"/>
                <w:szCs w:val="22"/>
              </w:rPr>
              <w:t xml:space="preserve">at </w:t>
            </w:r>
            <w:r w:rsidRPr="00B34D32">
              <w:rPr>
                <w:rFonts w:asciiTheme="majorHAnsi" w:hAnsiTheme="majorHAnsi" w:cstheme="majorHAnsi"/>
                <w:sz w:val="22"/>
                <w:szCs w:val="22"/>
              </w:rPr>
              <w:t xml:space="preserve">agreed local tariff for ECG interpretations reported back to </w:t>
            </w:r>
            <w:r w:rsidR="00317E94">
              <w:rPr>
                <w:rFonts w:asciiTheme="majorHAnsi" w:hAnsiTheme="majorHAnsi" w:cstheme="majorHAnsi"/>
                <w:sz w:val="22"/>
                <w:szCs w:val="22"/>
              </w:rPr>
              <w:t xml:space="preserve">the </w:t>
            </w:r>
            <w:r w:rsidRPr="00B34D32">
              <w:rPr>
                <w:rFonts w:asciiTheme="majorHAnsi" w:hAnsiTheme="majorHAnsi" w:cstheme="majorHAnsi"/>
                <w:sz w:val="22"/>
                <w:szCs w:val="22"/>
              </w:rPr>
              <w:t>CCG</w:t>
            </w:r>
            <w:r w:rsidR="00317E94">
              <w:rPr>
                <w:rFonts w:asciiTheme="majorHAnsi" w:hAnsiTheme="majorHAnsi" w:cstheme="majorHAnsi"/>
                <w:sz w:val="22"/>
                <w:szCs w:val="22"/>
              </w:rPr>
              <w:t>s</w:t>
            </w:r>
            <w:r w:rsidR="003145FA">
              <w:rPr>
                <w:rFonts w:asciiTheme="majorHAnsi" w:hAnsiTheme="majorHAnsi" w:cstheme="majorHAnsi"/>
                <w:sz w:val="22"/>
                <w:szCs w:val="22"/>
              </w:rPr>
              <w:t xml:space="preserve">. Payment will be carried based on activity number. </w:t>
            </w:r>
          </w:p>
          <w:p w14:paraId="695B3695" w14:textId="77777777" w:rsidR="003145FA" w:rsidRDefault="003145FA" w:rsidP="003145FA">
            <w:pPr>
              <w:spacing w:after="0"/>
              <w:jc w:val="both"/>
              <w:rPr>
                <w:rFonts w:asciiTheme="majorHAnsi" w:hAnsiTheme="majorHAnsi" w:cstheme="majorHAnsi"/>
                <w:sz w:val="22"/>
                <w:szCs w:val="22"/>
              </w:rPr>
            </w:pPr>
          </w:p>
          <w:p w14:paraId="47031C69" w14:textId="7A033D7F" w:rsidR="005F5F7C" w:rsidRDefault="00B34D32" w:rsidP="005F5F7C">
            <w:pPr>
              <w:jc w:val="both"/>
              <w:rPr>
                <w:rFonts w:asciiTheme="majorHAnsi" w:hAnsiTheme="majorHAnsi" w:cstheme="majorHAnsi"/>
                <w:sz w:val="22"/>
                <w:szCs w:val="22"/>
              </w:rPr>
            </w:pPr>
            <w:r>
              <w:rPr>
                <w:rFonts w:asciiTheme="majorHAnsi" w:hAnsiTheme="majorHAnsi" w:cstheme="majorHAnsi"/>
                <w:sz w:val="22"/>
                <w:szCs w:val="22"/>
              </w:rPr>
              <w:t>I</w:t>
            </w:r>
            <w:r w:rsidR="005F5F7C">
              <w:rPr>
                <w:rFonts w:asciiTheme="majorHAnsi" w:hAnsiTheme="majorHAnsi" w:cstheme="majorHAnsi"/>
                <w:sz w:val="22"/>
                <w:szCs w:val="22"/>
              </w:rPr>
              <w:t>nvoices will need to be accompanied by disaggregated activity report detailing the breakdown of activity by:</w:t>
            </w:r>
          </w:p>
          <w:p w14:paraId="4C028BA9" w14:textId="5D368CFC" w:rsidR="005F5F7C" w:rsidRPr="00B34D32" w:rsidRDefault="005F5F7C" w:rsidP="00D70005">
            <w:pPr>
              <w:pStyle w:val="ListParagraph"/>
              <w:numPr>
                <w:ilvl w:val="0"/>
                <w:numId w:val="13"/>
              </w:numPr>
              <w:jc w:val="both"/>
              <w:rPr>
                <w:rFonts w:asciiTheme="majorHAnsi" w:hAnsiTheme="majorHAnsi" w:cstheme="majorHAnsi"/>
                <w:sz w:val="22"/>
                <w:szCs w:val="22"/>
              </w:rPr>
            </w:pPr>
            <w:r w:rsidRPr="00B34D32">
              <w:rPr>
                <w:rFonts w:asciiTheme="majorHAnsi" w:hAnsiTheme="majorHAnsi" w:cstheme="majorHAnsi"/>
                <w:sz w:val="22"/>
                <w:szCs w:val="22"/>
              </w:rPr>
              <w:t>GP practice</w:t>
            </w:r>
          </w:p>
          <w:p w14:paraId="019FFD28" w14:textId="5C7FA65C" w:rsidR="005F5F7C" w:rsidRPr="00B34D32" w:rsidRDefault="005F5F7C" w:rsidP="00D70005">
            <w:pPr>
              <w:pStyle w:val="ListParagraph"/>
              <w:numPr>
                <w:ilvl w:val="0"/>
                <w:numId w:val="13"/>
              </w:numPr>
              <w:jc w:val="both"/>
              <w:rPr>
                <w:rFonts w:asciiTheme="majorHAnsi" w:hAnsiTheme="majorHAnsi" w:cstheme="majorHAnsi"/>
                <w:sz w:val="22"/>
                <w:szCs w:val="22"/>
              </w:rPr>
            </w:pPr>
            <w:r w:rsidRPr="00B34D32">
              <w:rPr>
                <w:rFonts w:asciiTheme="majorHAnsi" w:hAnsiTheme="majorHAnsi" w:cstheme="majorHAnsi"/>
                <w:sz w:val="22"/>
                <w:szCs w:val="22"/>
              </w:rPr>
              <w:t>CCG</w:t>
            </w:r>
          </w:p>
          <w:p w14:paraId="1E14829A" w14:textId="4E6322D6" w:rsidR="00271788" w:rsidRPr="00365312" w:rsidRDefault="00271788" w:rsidP="003E6B9F">
            <w:pPr>
              <w:spacing w:after="0"/>
              <w:jc w:val="both"/>
              <w:rPr>
                <w:rFonts w:asciiTheme="majorHAnsi" w:hAnsiTheme="majorHAnsi" w:cstheme="majorHAnsi"/>
                <w:b/>
                <w:color w:val="F79646" w:themeColor="accent6"/>
                <w:sz w:val="22"/>
                <w:szCs w:val="22"/>
              </w:rPr>
            </w:pPr>
          </w:p>
        </w:tc>
      </w:tr>
      <w:tr w:rsidR="00F425B3" w:rsidRPr="0005750A" w14:paraId="7A25DAB2" w14:textId="77777777" w:rsidTr="005B293F">
        <w:tc>
          <w:tcPr>
            <w:tcW w:w="10093" w:type="dxa"/>
            <w:shd w:val="clear" w:color="auto" w:fill="595959"/>
          </w:tcPr>
          <w:p w14:paraId="3658724E" w14:textId="4632F3D4" w:rsidR="00F425B3" w:rsidRPr="0005750A" w:rsidRDefault="003E6B9F" w:rsidP="00F425B3">
            <w:pPr>
              <w:spacing w:after="0" w:line="276" w:lineRule="auto"/>
              <w:rPr>
                <w:rFonts w:ascii="Calibri" w:hAnsi="Calibri" w:cs="Arial"/>
                <w:b/>
                <w:color w:val="F79646" w:themeColor="accent6"/>
                <w:sz w:val="22"/>
                <w:szCs w:val="22"/>
              </w:rPr>
            </w:pPr>
            <w:r>
              <w:rPr>
                <w:rFonts w:ascii="Calibri" w:hAnsi="Calibri" w:cs="Arial"/>
                <w:color w:val="F79646" w:themeColor="accent6"/>
                <w:sz w:val="22"/>
                <w:szCs w:val="22"/>
              </w:rPr>
              <w:t>7</w:t>
            </w:r>
            <w:r w:rsidR="00F425B3" w:rsidRPr="0005750A">
              <w:rPr>
                <w:rFonts w:ascii="Calibri" w:hAnsi="Calibri" w:cs="Arial"/>
                <w:color w:val="F79646" w:themeColor="accent6"/>
                <w:sz w:val="22"/>
                <w:szCs w:val="22"/>
              </w:rPr>
              <w:t>.</w:t>
            </w:r>
            <w:r w:rsidR="00F425B3" w:rsidRPr="0005750A">
              <w:rPr>
                <w:rFonts w:ascii="Calibri" w:hAnsi="Calibri" w:cs="Arial"/>
                <w:b/>
                <w:color w:val="F79646" w:themeColor="accent6"/>
                <w:sz w:val="22"/>
                <w:szCs w:val="22"/>
              </w:rPr>
              <w:tab/>
              <w:t>Location of Provider Premises</w:t>
            </w:r>
          </w:p>
        </w:tc>
      </w:tr>
      <w:tr w:rsidR="00F425B3" w:rsidRPr="001F5724" w14:paraId="019D8CC3" w14:textId="77777777" w:rsidTr="005B293F">
        <w:tc>
          <w:tcPr>
            <w:tcW w:w="10093" w:type="dxa"/>
            <w:shd w:val="clear" w:color="auto" w:fill="auto"/>
          </w:tcPr>
          <w:p w14:paraId="1943DFFE" w14:textId="77777777" w:rsidR="00F425B3" w:rsidRPr="00F52E3C" w:rsidRDefault="00F425B3" w:rsidP="00F425B3">
            <w:pPr>
              <w:spacing w:after="0"/>
              <w:rPr>
                <w:rFonts w:ascii="Calibri" w:hAnsi="Calibri" w:cs="Arial"/>
                <w:sz w:val="10"/>
                <w:szCs w:val="22"/>
              </w:rPr>
            </w:pPr>
          </w:p>
          <w:p w14:paraId="6C20E105" w14:textId="61CB6F14" w:rsidR="00271788" w:rsidRDefault="00536831" w:rsidP="00F425B3">
            <w:pPr>
              <w:spacing w:after="0"/>
              <w:rPr>
                <w:rFonts w:ascii="Calibri" w:hAnsi="Calibri" w:cs="Arial"/>
                <w:sz w:val="22"/>
                <w:szCs w:val="22"/>
              </w:rPr>
            </w:pPr>
            <w:r>
              <w:rPr>
                <w:rFonts w:ascii="Calibri" w:hAnsi="Calibri" w:cs="Arial"/>
                <w:sz w:val="22"/>
                <w:szCs w:val="22"/>
              </w:rPr>
              <w:t>tbc</w:t>
            </w:r>
            <w:r w:rsidR="005F5F7C">
              <w:rPr>
                <w:rFonts w:ascii="Calibri" w:hAnsi="Calibri" w:cs="Arial"/>
                <w:sz w:val="22"/>
                <w:szCs w:val="22"/>
              </w:rPr>
              <w:t xml:space="preserve"> </w:t>
            </w:r>
          </w:p>
          <w:p w14:paraId="01EA980E" w14:textId="77777777" w:rsidR="00271788" w:rsidRDefault="00271788" w:rsidP="00F425B3">
            <w:pPr>
              <w:spacing w:after="0"/>
              <w:rPr>
                <w:rFonts w:ascii="Calibri" w:hAnsi="Calibri" w:cs="Arial"/>
                <w:sz w:val="22"/>
                <w:szCs w:val="22"/>
              </w:rPr>
            </w:pPr>
          </w:p>
          <w:p w14:paraId="5B706347" w14:textId="77777777" w:rsidR="00F425B3" w:rsidRPr="00F52E3C" w:rsidRDefault="00F425B3" w:rsidP="00F425B3">
            <w:pPr>
              <w:spacing w:after="0"/>
              <w:rPr>
                <w:rFonts w:ascii="Calibri" w:hAnsi="Calibri" w:cs="Arial"/>
                <w:sz w:val="12"/>
                <w:szCs w:val="22"/>
              </w:rPr>
            </w:pPr>
          </w:p>
        </w:tc>
      </w:tr>
      <w:tr w:rsidR="00F425B3" w:rsidRPr="0005750A" w14:paraId="3CFFEADD" w14:textId="77777777" w:rsidTr="005B293F">
        <w:tc>
          <w:tcPr>
            <w:tcW w:w="10093" w:type="dxa"/>
            <w:shd w:val="clear" w:color="auto" w:fill="595959" w:themeFill="text1" w:themeFillTint="A6"/>
          </w:tcPr>
          <w:p w14:paraId="142DD2E2" w14:textId="237DE5E1" w:rsidR="00F425B3" w:rsidRPr="0005750A" w:rsidRDefault="003E6B9F" w:rsidP="00F425B3">
            <w:pPr>
              <w:spacing w:after="0" w:line="276" w:lineRule="auto"/>
              <w:rPr>
                <w:rFonts w:ascii="Calibri" w:hAnsi="Calibri" w:cs="Arial"/>
                <w:b/>
                <w:color w:val="F79646" w:themeColor="accent6"/>
                <w:sz w:val="22"/>
                <w:szCs w:val="22"/>
              </w:rPr>
            </w:pPr>
            <w:r>
              <w:rPr>
                <w:rFonts w:ascii="Calibri" w:hAnsi="Calibri" w:cs="Arial"/>
                <w:color w:val="F79646" w:themeColor="accent6"/>
                <w:sz w:val="22"/>
                <w:szCs w:val="22"/>
              </w:rPr>
              <w:t>8</w:t>
            </w:r>
            <w:r w:rsidR="00F425B3" w:rsidRPr="0005750A">
              <w:rPr>
                <w:rFonts w:ascii="Calibri" w:hAnsi="Calibri" w:cs="Arial"/>
                <w:color w:val="F79646" w:themeColor="accent6"/>
                <w:sz w:val="22"/>
                <w:szCs w:val="22"/>
              </w:rPr>
              <w:t>.</w:t>
            </w:r>
            <w:r w:rsidR="00F425B3" w:rsidRPr="0005750A">
              <w:rPr>
                <w:rFonts w:ascii="Calibri" w:hAnsi="Calibri" w:cs="Arial"/>
                <w:b/>
                <w:color w:val="F79646" w:themeColor="accent6"/>
                <w:sz w:val="22"/>
                <w:szCs w:val="22"/>
              </w:rPr>
              <w:tab/>
            </w:r>
            <w:r w:rsidR="00F425B3">
              <w:rPr>
                <w:rFonts w:ascii="Calibri" w:hAnsi="Calibri" w:cs="Arial"/>
                <w:b/>
                <w:color w:val="F79646" w:themeColor="accent6"/>
                <w:sz w:val="22"/>
                <w:szCs w:val="22"/>
              </w:rPr>
              <w:t>Termination</w:t>
            </w:r>
          </w:p>
        </w:tc>
      </w:tr>
      <w:tr w:rsidR="00F425B3" w:rsidRPr="00FD7518" w14:paraId="46599FFB" w14:textId="77777777" w:rsidTr="005B293F">
        <w:tc>
          <w:tcPr>
            <w:tcW w:w="10093" w:type="dxa"/>
            <w:shd w:val="clear" w:color="auto" w:fill="auto"/>
          </w:tcPr>
          <w:p w14:paraId="40E1FF8F" w14:textId="7F3AB671" w:rsidR="00F425B3" w:rsidRPr="00FD7518" w:rsidRDefault="00536831" w:rsidP="00F425B3">
            <w:pPr>
              <w:spacing w:after="0"/>
              <w:jc w:val="both"/>
              <w:rPr>
                <w:rFonts w:asciiTheme="majorHAnsi" w:hAnsiTheme="majorHAnsi" w:cstheme="majorHAnsi"/>
                <w:sz w:val="22"/>
                <w:szCs w:val="22"/>
              </w:rPr>
            </w:pPr>
            <w:r>
              <w:rPr>
                <w:rFonts w:asciiTheme="majorHAnsi" w:hAnsiTheme="majorHAnsi" w:cstheme="majorHAnsi"/>
                <w:sz w:val="22"/>
                <w:szCs w:val="22"/>
              </w:rPr>
              <w:t>tbc</w:t>
            </w:r>
          </w:p>
          <w:p w14:paraId="15BB1D24" w14:textId="15D1F6FA" w:rsidR="00F425B3" w:rsidRPr="00FD7518" w:rsidRDefault="00BB14A8" w:rsidP="00007964">
            <w:pPr>
              <w:spacing w:after="0"/>
              <w:jc w:val="both"/>
              <w:rPr>
                <w:rFonts w:asciiTheme="majorHAnsi" w:hAnsiTheme="majorHAnsi" w:cstheme="majorHAnsi"/>
                <w:sz w:val="22"/>
                <w:szCs w:val="22"/>
              </w:rPr>
            </w:pPr>
            <w:r w:rsidRPr="00BB14A8">
              <w:rPr>
                <w:rFonts w:asciiTheme="majorHAnsi" w:hAnsiTheme="majorHAnsi" w:cstheme="majorHAnsi"/>
                <w:sz w:val="22"/>
                <w:szCs w:val="22"/>
              </w:rPr>
              <w:t xml:space="preserve"> </w:t>
            </w:r>
          </w:p>
        </w:tc>
      </w:tr>
    </w:tbl>
    <w:p w14:paraId="0720AF16" w14:textId="0BE99DB6" w:rsidR="0069660C" w:rsidRDefault="0069660C" w:rsidP="001000BC">
      <w:pPr>
        <w:spacing w:after="0"/>
        <w:rPr>
          <w:rFonts w:ascii="Calibri" w:hAnsi="Calibri" w:cs="Arial"/>
          <w:sz w:val="22"/>
          <w:szCs w:val="22"/>
        </w:rPr>
      </w:pPr>
    </w:p>
    <w:p w14:paraId="1C5403DF" w14:textId="5E2530B1" w:rsidR="0069660C" w:rsidRDefault="0069660C" w:rsidP="001000BC">
      <w:pPr>
        <w:spacing w:after="0"/>
        <w:rPr>
          <w:rFonts w:ascii="Calibri" w:hAnsi="Calibri" w:cs="Arial"/>
          <w:sz w:val="22"/>
          <w:szCs w:val="22"/>
        </w:rPr>
      </w:pPr>
    </w:p>
    <w:p w14:paraId="53C9D65C" w14:textId="01315C05" w:rsidR="0069660C" w:rsidRDefault="0069660C" w:rsidP="001000BC">
      <w:pPr>
        <w:spacing w:after="0"/>
        <w:rPr>
          <w:rFonts w:ascii="Calibri" w:hAnsi="Calibri" w:cs="Arial"/>
          <w:sz w:val="22"/>
          <w:szCs w:val="22"/>
        </w:rPr>
      </w:pPr>
    </w:p>
    <w:p w14:paraId="5DA3E210" w14:textId="73246D22" w:rsidR="0069660C" w:rsidRDefault="0069660C" w:rsidP="001000BC">
      <w:pPr>
        <w:spacing w:after="0"/>
        <w:rPr>
          <w:rFonts w:ascii="Calibri" w:hAnsi="Calibri" w:cs="Arial"/>
          <w:sz w:val="22"/>
          <w:szCs w:val="22"/>
        </w:rPr>
      </w:pPr>
    </w:p>
    <w:p w14:paraId="686BA414" w14:textId="048282EA" w:rsidR="0069660C" w:rsidRDefault="0069660C" w:rsidP="001000BC">
      <w:pPr>
        <w:spacing w:after="0"/>
        <w:rPr>
          <w:rFonts w:ascii="Calibri" w:hAnsi="Calibri" w:cs="Arial"/>
          <w:sz w:val="22"/>
          <w:szCs w:val="22"/>
        </w:rPr>
      </w:pPr>
    </w:p>
    <w:p w14:paraId="1DE4F0D9" w14:textId="72F88441" w:rsidR="0069660C" w:rsidRDefault="0069660C" w:rsidP="001000BC">
      <w:pPr>
        <w:spacing w:after="0"/>
        <w:rPr>
          <w:rFonts w:ascii="Calibri" w:hAnsi="Calibri" w:cs="Arial"/>
          <w:sz w:val="22"/>
          <w:szCs w:val="22"/>
        </w:rPr>
      </w:pPr>
    </w:p>
    <w:sectPr w:rsidR="0069660C" w:rsidSect="00FD7518">
      <w:headerReference w:type="even" r:id="rId13"/>
      <w:headerReference w:type="default" r:id="rId14"/>
      <w:footerReference w:type="even" r:id="rId15"/>
      <w:footerReference w:type="default" r:id="rId16"/>
      <w:headerReference w:type="first" r:id="rId17"/>
      <w:footerReference w:type="first" r:id="rId18"/>
      <w:pgSz w:w="11900" w:h="16840"/>
      <w:pgMar w:top="1701" w:right="907" w:bottom="1134" w:left="907"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40A58" w14:textId="77777777" w:rsidR="00871AB4" w:rsidRDefault="00871AB4" w:rsidP="00674BEC">
      <w:pPr>
        <w:spacing w:after="0"/>
      </w:pPr>
      <w:r>
        <w:separator/>
      </w:r>
    </w:p>
  </w:endnote>
  <w:endnote w:type="continuationSeparator" w:id="0">
    <w:p w14:paraId="67F96BFC" w14:textId="77777777" w:rsidR="00871AB4" w:rsidRDefault="00871AB4" w:rsidP="00674B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Franklin Gothic Medium Cond"/>
    <w:panose1 w:val="00000000000000000000"/>
    <w:charset w:val="00"/>
    <w:family w:val="auto"/>
    <w:notTrueType/>
    <w:pitch w:val="variable"/>
    <w:sig w:usb0="00000003" w:usb1="00000000" w:usb2="00000000" w:usb3="00000000" w:csb0="00000001" w:csb1="00000000"/>
  </w:font>
  <w:font w:name="Syntax">
    <w:altName w:val="Calibri"/>
    <w:charset w:val="00"/>
    <w:family w:val="auto"/>
    <w:pitch w:val="variable"/>
    <w:sig w:usb0="00000003" w:usb1="00000000" w:usb2="00000000" w:usb3="00000000" w:csb0="00000001" w:csb1="00000000"/>
  </w:font>
  <w:font w:name="MS ??">
    <w:altName w:val="MS Gothic"/>
    <w:charset w:val="80"/>
    <w:family w:val="auto"/>
    <w:pitch w:val="variable"/>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268E6" w14:textId="77777777" w:rsidR="00051C43" w:rsidRDefault="00051C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9765378"/>
      <w:docPartObj>
        <w:docPartGallery w:val="Page Numbers (Bottom of Page)"/>
        <w:docPartUnique/>
      </w:docPartObj>
    </w:sdtPr>
    <w:sdtEndPr>
      <w:rPr>
        <w:noProof/>
      </w:rPr>
    </w:sdtEndPr>
    <w:sdtContent>
      <w:p w14:paraId="00298580" w14:textId="31D54B11" w:rsidR="00F07699" w:rsidRDefault="00F07699">
        <w:pPr>
          <w:pStyle w:val="Footer"/>
          <w:jc w:val="right"/>
        </w:pPr>
        <w:r>
          <w:fldChar w:fldCharType="begin"/>
        </w:r>
        <w:r>
          <w:instrText xml:space="preserve"> PAGE   \* MERGEFORMAT </w:instrText>
        </w:r>
        <w:r>
          <w:fldChar w:fldCharType="separate"/>
        </w:r>
        <w:r w:rsidR="00684C8A">
          <w:rPr>
            <w:noProof/>
          </w:rPr>
          <w:t>1</w:t>
        </w:r>
        <w:r>
          <w:rPr>
            <w:noProof/>
          </w:rPr>
          <w:fldChar w:fldCharType="end"/>
        </w:r>
      </w:p>
    </w:sdtContent>
  </w:sdt>
  <w:p w14:paraId="39D1074F" w14:textId="77777777" w:rsidR="00AF06D2" w:rsidRDefault="00AF06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5C066" w14:textId="77777777" w:rsidR="00051C43" w:rsidRDefault="00051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AF4CF" w14:textId="77777777" w:rsidR="00871AB4" w:rsidRDefault="00871AB4" w:rsidP="00674BEC">
      <w:pPr>
        <w:spacing w:after="0"/>
      </w:pPr>
      <w:r>
        <w:separator/>
      </w:r>
    </w:p>
  </w:footnote>
  <w:footnote w:type="continuationSeparator" w:id="0">
    <w:p w14:paraId="11B0FBF7" w14:textId="77777777" w:rsidR="00871AB4" w:rsidRDefault="00871AB4" w:rsidP="00674BEC">
      <w:pPr>
        <w:spacing w:after="0"/>
      </w:pPr>
      <w:r>
        <w:continuationSeparator/>
      </w:r>
    </w:p>
  </w:footnote>
  <w:footnote w:id="1">
    <w:p w14:paraId="05A263EE" w14:textId="00340AD3" w:rsidR="00B01ECD" w:rsidRDefault="00B01ECD">
      <w:pPr>
        <w:pStyle w:val="FootnoteText"/>
      </w:pPr>
      <w:r>
        <w:rPr>
          <w:rStyle w:val="FootnoteReference"/>
        </w:rPr>
        <w:footnoteRef/>
      </w:r>
      <w:r>
        <w:t xml:space="preserve"> </w:t>
      </w:r>
      <w:r w:rsidRPr="00B01ECD">
        <w:rPr>
          <w:rFonts w:asciiTheme="majorHAnsi" w:hAnsiTheme="majorHAnsi" w:cstheme="majorHAnsi"/>
          <w:sz w:val="20"/>
          <w:szCs w:val="20"/>
        </w:rPr>
        <w:t>https://www.nice.org.uk/guidance/cg180</w:t>
      </w:r>
    </w:p>
  </w:footnote>
  <w:footnote w:id="2">
    <w:p w14:paraId="75060832" w14:textId="08E6831F" w:rsidR="00817238" w:rsidRPr="00817238" w:rsidRDefault="00817238">
      <w:pPr>
        <w:pStyle w:val="FootnoteText"/>
        <w:rPr>
          <w:rFonts w:asciiTheme="majorHAnsi" w:hAnsiTheme="majorHAnsi" w:cstheme="majorHAnsi"/>
          <w:sz w:val="20"/>
          <w:szCs w:val="20"/>
        </w:rPr>
      </w:pPr>
      <w:r w:rsidRPr="00817238">
        <w:rPr>
          <w:rStyle w:val="FootnoteReference"/>
          <w:rFonts w:asciiTheme="majorHAnsi" w:hAnsiTheme="majorHAnsi" w:cstheme="majorHAnsi"/>
          <w:sz w:val="20"/>
          <w:szCs w:val="20"/>
        </w:rPr>
        <w:footnoteRef/>
      </w:r>
      <w:r w:rsidRPr="00817238">
        <w:rPr>
          <w:rFonts w:asciiTheme="majorHAnsi" w:hAnsiTheme="majorHAnsi" w:cstheme="majorHAnsi"/>
          <w:sz w:val="20"/>
          <w:szCs w:val="20"/>
        </w:rPr>
        <w:t xml:space="preserve"> http://www.scst.org.uk/resources/SCST_ECG_Recording_Guidelines_20171.pdf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78CE" w14:textId="77777777" w:rsidR="00051C43" w:rsidRDefault="00051C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4334686"/>
      <w:docPartObj>
        <w:docPartGallery w:val="Watermarks"/>
        <w:docPartUnique/>
      </w:docPartObj>
    </w:sdtPr>
    <w:sdtContent>
      <w:p w14:paraId="5DA3DC0A" w14:textId="2217C1CB" w:rsidR="00AF06D2" w:rsidRDefault="001245A7">
        <w:pPr>
          <w:pStyle w:val="Header"/>
        </w:pPr>
        <w:r>
          <w:rPr>
            <w:noProof/>
          </w:rPr>
          <w:pict w14:anchorId="2871D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3CD5B" w14:textId="77777777" w:rsidR="00051C43" w:rsidRDefault="00051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11FFD"/>
    <w:multiLevelType w:val="hybridMultilevel"/>
    <w:tmpl w:val="EFAE9640"/>
    <w:lvl w:ilvl="0" w:tplc="C4881514">
      <w:start w:val="1"/>
      <w:numFmt w:val="bullet"/>
      <w:lvlText w:val=""/>
      <w:lvlJc w:val="left"/>
      <w:pPr>
        <w:ind w:left="765" w:hanging="360"/>
      </w:pPr>
      <w:rPr>
        <w:rFonts w:ascii="Symbol" w:hAnsi="Symbol" w:hint="default"/>
        <w:sz w:val="16"/>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399346C"/>
    <w:multiLevelType w:val="hybridMultilevel"/>
    <w:tmpl w:val="86F4BABA"/>
    <w:lvl w:ilvl="0" w:tplc="C1F0CC4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97026E"/>
    <w:multiLevelType w:val="hybridMultilevel"/>
    <w:tmpl w:val="99689CFE"/>
    <w:lvl w:ilvl="0" w:tplc="81CC188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4A4BA5"/>
    <w:multiLevelType w:val="hybridMultilevel"/>
    <w:tmpl w:val="8BCA2B54"/>
    <w:lvl w:ilvl="0" w:tplc="C1F0CC46">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 w15:restartNumberingAfterBreak="0">
    <w:nsid w:val="13404458"/>
    <w:multiLevelType w:val="hybridMultilevel"/>
    <w:tmpl w:val="BC1624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F52685"/>
    <w:multiLevelType w:val="hybridMultilevel"/>
    <w:tmpl w:val="A3486AFA"/>
    <w:lvl w:ilvl="0" w:tplc="62DC2304">
      <w:start w:val="3"/>
      <w:numFmt w:val="bullet"/>
      <w:lvlText w:val="-"/>
      <w:lvlJc w:val="left"/>
      <w:pPr>
        <w:ind w:left="405" w:hanging="360"/>
      </w:pPr>
      <w:rPr>
        <w:rFonts w:ascii="Calibri" w:eastAsia="Calibri" w:hAnsi="Calibri" w:cstheme="majorHAns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7" w15:restartNumberingAfterBreak="0">
    <w:nsid w:val="3938668B"/>
    <w:multiLevelType w:val="hybridMultilevel"/>
    <w:tmpl w:val="5D3C32C4"/>
    <w:lvl w:ilvl="0" w:tplc="C1F0CC46">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8" w15:restartNumberingAfterBreak="0">
    <w:nsid w:val="4FF6669C"/>
    <w:multiLevelType w:val="hybridMultilevel"/>
    <w:tmpl w:val="A4A01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20253A1"/>
    <w:multiLevelType w:val="multilevel"/>
    <w:tmpl w:val="1E18E586"/>
    <w:lvl w:ilvl="0">
      <w:start w:val="1"/>
      <w:numFmt w:val="decimal"/>
      <w:lvlText w:val="%1"/>
      <w:lvlJc w:val="left"/>
      <w:pPr>
        <w:ind w:left="428" w:hanging="428"/>
      </w:pPr>
      <w:rPr>
        <w:rFonts w:hint="default"/>
      </w:rPr>
    </w:lvl>
    <w:lvl w:ilvl="1">
      <w:start w:val="1"/>
      <w:numFmt w:val="decimal"/>
      <w:lvlText w:val="%1.%2"/>
      <w:lvlJc w:val="left"/>
      <w:pPr>
        <w:ind w:left="428" w:hanging="4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79827F2"/>
    <w:multiLevelType w:val="hybridMultilevel"/>
    <w:tmpl w:val="FEBAAAD8"/>
    <w:lvl w:ilvl="0" w:tplc="C1F0CC46">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6A7764"/>
    <w:multiLevelType w:val="hybridMultilevel"/>
    <w:tmpl w:val="1E6444AA"/>
    <w:lvl w:ilvl="0" w:tplc="C1F0CC4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3C1D38"/>
    <w:multiLevelType w:val="hybridMultilevel"/>
    <w:tmpl w:val="6BD66556"/>
    <w:lvl w:ilvl="0" w:tplc="C4881514">
      <w:start w:val="1"/>
      <w:numFmt w:val="bullet"/>
      <w:lvlText w:val=""/>
      <w:lvlJc w:val="left"/>
      <w:pPr>
        <w:ind w:left="765" w:hanging="360"/>
      </w:pPr>
      <w:rPr>
        <w:rFonts w:ascii="Symbol" w:hAnsi="Symbol" w:hint="default"/>
        <w:sz w:val="16"/>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6ABD1917"/>
    <w:multiLevelType w:val="hybridMultilevel"/>
    <w:tmpl w:val="7A245C04"/>
    <w:lvl w:ilvl="0" w:tplc="C1F0CC46">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5" w15:restartNumberingAfterBreak="0">
    <w:nsid w:val="7ADF08D9"/>
    <w:multiLevelType w:val="hybridMultilevel"/>
    <w:tmpl w:val="8940E9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5"/>
  </w:num>
  <w:num w:numId="4">
    <w:abstractNumId w:val="9"/>
  </w:num>
  <w:num w:numId="5">
    <w:abstractNumId w:val="15"/>
  </w:num>
  <w:num w:numId="6">
    <w:abstractNumId w:val="10"/>
  </w:num>
  <w:num w:numId="7">
    <w:abstractNumId w:val="7"/>
  </w:num>
  <w:num w:numId="8">
    <w:abstractNumId w:val="14"/>
  </w:num>
  <w:num w:numId="9">
    <w:abstractNumId w:val="4"/>
  </w:num>
  <w:num w:numId="10">
    <w:abstractNumId w:val="1"/>
  </w:num>
  <w:num w:numId="11">
    <w:abstractNumId w:val="12"/>
  </w:num>
  <w:num w:numId="12">
    <w:abstractNumId w:val="8"/>
  </w:num>
  <w:num w:numId="13">
    <w:abstractNumId w:val="0"/>
  </w:num>
  <w:num w:numId="14">
    <w:abstractNumId w:val="13"/>
  </w:num>
  <w:num w:numId="15">
    <w:abstractNumId w:val="6"/>
  </w:num>
  <w:num w:numId="1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Formatting/>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8"/>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8C3"/>
    <w:rsid w:val="000009FF"/>
    <w:rsid w:val="00000BAE"/>
    <w:rsid w:val="000011F3"/>
    <w:rsid w:val="000055CC"/>
    <w:rsid w:val="00005ADC"/>
    <w:rsid w:val="00006097"/>
    <w:rsid w:val="00007964"/>
    <w:rsid w:val="000119A7"/>
    <w:rsid w:val="00012257"/>
    <w:rsid w:val="00015643"/>
    <w:rsid w:val="0001794B"/>
    <w:rsid w:val="0004149B"/>
    <w:rsid w:val="00046225"/>
    <w:rsid w:val="00047ED3"/>
    <w:rsid w:val="00051C43"/>
    <w:rsid w:val="00056F52"/>
    <w:rsid w:val="0005750A"/>
    <w:rsid w:val="00062038"/>
    <w:rsid w:val="00062735"/>
    <w:rsid w:val="00070009"/>
    <w:rsid w:val="00070982"/>
    <w:rsid w:val="00074D6F"/>
    <w:rsid w:val="000823CD"/>
    <w:rsid w:val="000833C0"/>
    <w:rsid w:val="00086269"/>
    <w:rsid w:val="00091F2A"/>
    <w:rsid w:val="000961D3"/>
    <w:rsid w:val="000A5766"/>
    <w:rsid w:val="000B035A"/>
    <w:rsid w:val="000B12E7"/>
    <w:rsid w:val="000B66F1"/>
    <w:rsid w:val="000B6AF5"/>
    <w:rsid w:val="000C1BB0"/>
    <w:rsid w:val="000C2FF1"/>
    <w:rsid w:val="000D0BB4"/>
    <w:rsid w:val="000D138A"/>
    <w:rsid w:val="000D4B80"/>
    <w:rsid w:val="000D689B"/>
    <w:rsid w:val="000D778B"/>
    <w:rsid w:val="000E40E9"/>
    <w:rsid w:val="000F4F07"/>
    <w:rsid w:val="000F6DE4"/>
    <w:rsid w:val="001000BC"/>
    <w:rsid w:val="0010025C"/>
    <w:rsid w:val="001012BB"/>
    <w:rsid w:val="00102EEB"/>
    <w:rsid w:val="0010351D"/>
    <w:rsid w:val="00104871"/>
    <w:rsid w:val="00107F0E"/>
    <w:rsid w:val="00115089"/>
    <w:rsid w:val="00115B68"/>
    <w:rsid w:val="001245A7"/>
    <w:rsid w:val="00124AFE"/>
    <w:rsid w:val="00126802"/>
    <w:rsid w:val="00126AF8"/>
    <w:rsid w:val="00131D13"/>
    <w:rsid w:val="00136AF6"/>
    <w:rsid w:val="00137789"/>
    <w:rsid w:val="001406F8"/>
    <w:rsid w:val="0014358D"/>
    <w:rsid w:val="00143B18"/>
    <w:rsid w:val="0014597D"/>
    <w:rsid w:val="00150894"/>
    <w:rsid w:val="00154DDB"/>
    <w:rsid w:val="00156E33"/>
    <w:rsid w:val="001623F8"/>
    <w:rsid w:val="00162B9B"/>
    <w:rsid w:val="00164E47"/>
    <w:rsid w:val="001656AE"/>
    <w:rsid w:val="00184C1E"/>
    <w:rsid w:val="00190297"/>
    <w:rsid w:val="00194E19"/>
    <w:rsid w:val="00195267"/>
    <w:rsid w:val="001A1B78"/>
    <w:rsid w:val="001A2178"/>
    <w:rsid w:val="001A2493"/>
    <w:rsid w:val="001A551B"/>
    <w:rsid w:val="001B3803"/>
    <w:rsid w:val="001B49A9"/>
    <w:rsid w:val="001C00D7"/>
    <w:rsid w:val="001C75F2"/>
    <w:rsid w:val="001D439B"/>
    <w:rsid w:val="001D4504"/>
    <w:rsid w:val="001E0CA5"/>
    <w:rsid w:val="001E4E86"/>
    <w:rsid w:val="001E729E"/>
    <w:rsid w:val="001E7DAF"/>
    <w:rsid w:val="001F4509"/>
    <w:rsid w:val="001F539A"/>
    <w:rsid w:val="001F5724"/>
    <w:rsid w:val="00204766"/>
    <w:rsid w:val="002101C1"/>
    <w:rsid w:val="00230508"/>
    <w:rsid w:val="00230D91"/>
    <w:rsid w:val="00232265"/>
    <w:rsid w:val="00233040"/>
    <w:rsid w:val="00237C7D"/>
    <w:rsid w:val="002403E6"/>
    <w:rsid w:val="00244C1A"/>
    <w:rsid w:val="00244EE0"/>
    <w:rsid w:val="0025365F"/>
    <w:rsid w:val="00260951"/>
    <w:rsid w:val="00261A91"/>
    <w:rsid w:val="00265821"/>
    <w:rsid w:val="00266FA3"/>
    <w:rsid w:val="00267CEE"/>
    <w:rsid w:val="00271788"/>
    <w:rsid w:val="00275EDD"/>
    <w:rsid w:val="002825EA"/>
    <w:rsid w:val="002830B9"/>
    <w:rsid w:val="002904B0"/>
    <w:rsid w:val="00293DFC"/>
    <w:rsid w:val="00295A22"/>
    <w:rsid w:val="002A257B"/>
    <w:rsid w:val="002A2EAA"/>
    <w:rsid w:val="002A2F6A"/>
    <w:rsid w:val="002A3927"/>
    <w:rsid w:val="002A3D88"/>
    <w:rsid w:val="002A4EB6"/>
    <w:rsid w:val="002A5464"/>
    <w:rsid w:val="002A6A86"/>
    <w:rsid w:val="002B2787"/>
    <w:rsid w:val="002B2AF4"/>
    <w:rsid w:val="002C0C12"/>
    <w:rsid w:val="002D2B75"/>
    <w:rsid w:val="002D4F63"/>
    <w:rsid w:val="002D5E7D"/>
    <w:rsid w:val="002D677C"/>
    <w:rsid w:val="002E41B0"/>
    <w:rsid w:val="002E4698"/>
    <w:rsid w:val="002E6697"/>
    <w:rsid w:val="002F0B28"/>
    <w:rsid w:val="002F147F"/>
    <w:rsid w:val="002F33AC"/>
    <w:rsid w:val="002F6772"/>
    <w:rsid w:val="003003FD"/>
    <w:rsid w:val="00301A96"/>
    <w:rsid w:val="003062C5"/>
    <w:rsid w:val="00307C45"/>
    <w:rsid w:val="00313897"/>
    <w:rsid w:val="003145FA"/>
    <w:rsid w:val="00315121"/>
    <w:rsid w:val="00317D41"/>
    <w:rsid w:val="00317E94"/>
    <w:rsid w:val="00326C1F"/>
    <w:rsid w:val="00332316"/>
    <w:rsid w:val="003330FC"/>
    <w:rsid w:val="0033710C"/>
    <w:rsid w:val="00340418"/>
    <w:rsid w:val="00341302"/>
    <w:rsid w:val="00341DA8"/>
    <w:rsid w:val="003425F6"/>
    <w:rsid w:val="00344839"/>
    <w:rsid w:val="00363762"/>
    <w:rsid w:val="00365312"/>
    <w:rsid w:val="00371B7D"/>
    <w:rsid w:val="00373D3F"/>
    <w:rsid w:val="0037573D"/>
    <w:rsid w:val="00381AAC"/>
    <w:rsid w:val="00385034"/>
    <w:rsid w:val="00385918"/>
    <w:rsid w:val="00385DF2"/>
    <w:rsid w:val="00386C17"/>
    <w:rsid w:val="00387D3C"/>
    <w:rsid w:val="003906C5"/>
    <w:rsid w:val="00397450"/>
    <w:rsid w:val="003A0FFC"/>
    <w:rsid w:val="003A2446"/>
    <w:rsid w:val="003A4D35"/>
    <w:rsid w:val="003A4EAB"/>
    <w:rsid w:val="003A744A"/>
    <w:rsid w:val="003C47B3"/>
    <w:rsid w:val="003C7936"/>
    <w:rsid w:val="003D24A0"/>
    <w:rsid w:val="003D2B08"/>
    <w:rsid w:val="003D7645"/>
    <w:rsid w:val="003E2BDC"/>
    <w:rsid w:val="003E3965"/>
    <w:rsid w:val="003E5D2F"/>
    <w:rsid w:val="003E5E42"/>
    <w:rsid w:val="003E6B9F"/>
    <w:rsid w:val="003F2D1F"/>
    <w:rsid w:val="003F6CC9"/>
    <w:rsid w:val="00404B2E"/>
    <w:rsid w:val="00406AC5"/>
    <w:rsid w:val="004079ED"/>
    <w:rsid w:val="004131AC"/>
    <w:rsid w:val="00420CC1"/>
    <w:rsid w:val="0042163C"/>
    <w:rsid w:val="0042447C"/>
    <w:rsid w:val="00426808"/>
    <w:rsid w:val="00431CA5"/>
    <w:rsid w:val="0043276F"/>
    <w:rsid w:val="00432C75"/>
    <w:rsid w:val="00435744"/>
    <w:rsid w:val="0043790A"/>
    <w:rsid w:val="00457793"/>
    <w:rsid w:val="00460916"/>
    <w:rsid w:val="00462526"/>
    <w:rsid w:val="00467B67"/>
    <w:rsid w:val="004708C3"/>
    <w:rsid w:val="00483450"/>
    <w:rsid w:val="00484676"/>
    <w:rsid w:val="004855B0"/>
    <w:rsid w:val="004874D0"/>
    <w:rsid w:val="00491992"/>
    <w:rsid w:val="00492D25"/>
    <w:rsid w:val="00496DBE"/>
    <w:rsid w:val="00497310"/>
    <w:rsid w:val="00497D24"/>
    <w:rsid w:val="004A0D0F"/>
    <w:rsid w:val="004A2FD9"/>
    <w:rsid w:val="004A7ED5"/>
    <w:rsid w:val="004B1C25"/>
    <w:rsid w:val="004B49D9"/>
    <w:rsid w:val="004B6BBF"/>
    <w:rsid w:val="004C0AF2"/>
    <w:rsid w:val="004C139A"/>
    <w:rsid w:val="004C26FB"/>
    <w:rsid w:val="004C328F"/>
    <w:rsid w:val="004D2A9E"/>
    <w:rsid w:val="004D2F0C"/>
    <w:rsid w:val="004E465C"/>
    <w:rsid w:val="004E6B9E"/>
    <w:rsid w:val="004F2C05"/>
    <w:rsid w:val="0050013B"/>
    <w:rsid w:val="0050014B"/>
    <w:rsid w:val="00513809"/>
    <w:rsid w:val="005143B9"/>
    <w:rsid w:val="0051498F"/>
    <w:rsid w:val="00514BF2"/>
    <w:rsid w:val="005217DA"/>
    <w:rsid w:val="00521E97"/>
    <w:rsid w:val="00526843"/>
    <w:rsid w:val="00530761"/>
    <w:rsid w:val="00532F04"/>
    <w:rsid w:val="00534024"/>
    <w:rsid w:val="00536831"/>
    <w:rsid w:val="00536CA1"/>
    <w:rsid w:val="005430F7"/>
    <w:rsid w:val="00552F3A"/>
    <w:rsid w:val="00554325"/>
    <w:rsid w:val="00554491"/>
    <w:rsid w:val="0055765E"/>
    <w:rsid w:val="00560077"/>
    <w:rsid w:val="0056068D"/>
    <w:rsid w:val="00561846"/>
    <w:rsid w:val="00563C09"/>
    <w:rsid w:val="00565907"/>
    <w:rsid w:val="005675AF"/>
    <w:rsid w:val="00571F1C"/>
    <w:rsid w:val="005742AE"/>
    <w:rsid w:val="00577F7C"/>
    <w:rsid w:val="00581FE2"/>
    <w:rsid w:val="00582358"/>
    <w:rsid w:val="00582EA6"/>
    <w:rsid w:val="0058319B"/>
    <w:rsid w:val="00584A23"/>
    <w:rsid w:val="00585428"/>
    <w:rsid w:val="00585C90"/>
    <w:rsid w:val="00587FA8"/>
    <w:rsid w:val="0059587C"/>
    <w:rsid w:val="00595D76"/>
    <w:rsid w:val="005A0C28"/>
    <w:rsid w:val="005A4A55"/>
    <w:rsid w:val="005A53CB"/>
    <w:rsid w:val="005A6F68"/>
    <w:rsid w:val="005B2636"/>
    <w:rsid w:val="005B293F"/>
    <w:rsid w:val="005B2F69"/>
    <w:rsid w:val="005B346B"/>
    <w:rsid w:val="005B40B9"/>
    <w:rsid w:val="005B488F"/>
    <w:rsid w:val="005B6A9F"/>
    <w:rsid w:val="005C26DF"/>
    <w:rsid w:val="005C4CA9"/>
    <w:rsid w:val="005C63C2"/>
    <w:rsid w:val="005D3582"/>
    <w:rsid w:val="005D398D"/>
    <w:rsid w:val="005D661B"/>
    <w:rsid w:val="005D743C"/>
    <w:rsid w:val="005E0D58"/>
    <w:rsid w:val="005E4303"/>
    <w:rsid w:val="005E515F"/>
    <w:rsid w:val="005E7D62"/>
    <w:rsid w:val="005F15E2"/>
    <w:rsid w:val="005F2600"/>
    <w:rsid w:val="005F42C9"/>
    <w:rsid w:val="005F5F7C"/>
    <w:rsid w:val="005F5FB3"/>
    <w:rsid w:val="005F6FD1"/>
    <w:rsid w:val="005F7D9A"/>
    <w:rsid w:val="005F7DC7"/>
    <w:rsid w:val="005F7F41"/>
    <w:rsid w:val="00600EF9"/>
    <w:rsid w:val="00605903"/>
    <w:rsid w:val="00606BA0"/>
    <w:rsid w:val="00606CDF"/>
    <w:rsid w:val="006106F1"/>
    <w:rsid w:val="00621DE4"/>
    <w:rsid w:val="00624BE4"/>
    <w:rsid w:val="0062692D"/>
    <w:rsid w:val="0062764A"/>
    <w:rsid w:val="00632927"/>
    <w:rsid w:val="00636203"/>
    <w:rsid w:val="00636A63"/>
    <w:rsid w:val="00636CD9"/>
    <w:rsid w:val="00637D2A"/>
    <w:rsid w:val="00642D75"/>
    <w:rsid w:val="00651777"/>
    <w:rsid w:val="00652CE2"/>
    <w:rsid w:val="00654F51"/>
    <w:rsid w:val="00655C5E"/>
    <w:rsid w:val="00662978"/>
    <w:rsid w:val="00666F1D"/>
    <w:rsid w:val="00671864"/>
    <w:rsid w:val="00674BEC"/>
    <w:rsid w:val="006777E7"/>
    <w:rsid w:val="00684C8A"/>
    <w:rsid w:val="00695B4E"/>
    <w:rsid w:val="0069660C"/>
    <w:rsid w:val="006A137A"/>
    <w:rsid w:val="006A69E9"/>
    <w:rsid w:val="006A6C77"/>
    <w:rsid w:val="006A7B97"/>
    <w:rsid w:val="006A7F78"/>
    <w:rsid w:val="006B156A"/>
    <w:rsid w:val="006C2A9A"/>
    <w:rsid w:val="006C4C72"/>
    <w:rsid w:val="006C6D9D"/>
    <w:rsid w:val="006D04D9"/>
    <w:rsid w:val="006D0B7F"/>
    <w:rsid w:val="006D1E40"/>
    <w:rsid w:val="006D4D30"/>
    <w:rsid w:val="006D5A50"/>
    <w:rsid w:val="006D7FCD"/>
    <w:rsid w:val="006F1DA7"/>
    <w:rsid w:val="006F275A"/>
    <w:rsid w:val="006F403F"/>
    <w:rsid w:val="006F6118"/>
    <w:rsid w:val="006F7671"/>
    <w:rsid w:val="00702FA0"/>
    <w:rsid w:val="0070619A"/>
    <w:rsid w:val="00714F4F"/>
    <w:rsid w:val="00715F8D"/>
    <w:rsid w:val="00724DBF"/>
    <w:rsid w:val="007313D8"/>
    <w:rsid w:val="00733383"/>
    <w:rsid w:val="007340BD"/>
    <w:rsid w:val="00737095"/>
    <w:rsid w:val="00737A9A"/>
    <w:rsid w:val="007415EB"/>
    <w:rsid w:val="00741EE2"/>
    <w:rsid w:val="00742336"/>
    <w:rsid w:val="00743EFF"/>
    <w:rsid w:val="00747638"/>
    <w:rsid w:val="00747930"/>
    <w:rsid w:val="007526C8"/>
    <w:rsid w:val="00760096"/>
    <w:rsid w:val="00760C34"/>
    <w:rsid w:val="00761E1B"/>
    <w:rsid w:val="0076623B"/>
    <w:rsid w:val="00787C37"/>
    <w:rsid w:val="00793523"/>
    <w:rsid w:val="00794BE9"/>
    <w:rsid w:val="00796DB5"/>
    <w:rsid w:val="007A5E49"/>
    <w:rsid w:val="007B01F8"/>
    <w:rsid w:val="007B0579"/>
    <w:rsid w:val="007B2CEA"/>
    <w:rsid w:val="007B3066"/>
    <w:rsid w:val="007B5F60"/>
    <w:rsid w:val="007C2470"/>
    <w:rsid w:val="007C6D38"/>
    <w:rsid w:val="007D427E"/>
    <w:rsid w:val="007D4F05"/>
    <w:rsid w:val="007D56AF"/>
    <w:rsid w:val="007D7AB5"/>
    <w:rsid w:val="007E30FC"/>
    <w:rsid w:val="007E5365"/>
    <w:rsid w:val="007E6F05"/>
    <w:rsid w:val="007E70CD"/>
    <w:rsid w:val="007F155B"/>
    <w:rsid w:val="007F1747"/>
    <w:rsid w:val="00802153"/>
    <w:rsid w:val="00805EE9"/>
    <w:rsid w:val="00807C8B"/>
    <w:rsid w:val="00816A3A"/>
    <w:rsid w:val="00817238"/>
    <w:rsid w:val="00820758"/>
    <w:rsid w:val="0082620B"/>
    <w:rsid w:val="008269A8"/>
    <w:rsid w:val="00826D27"/>
    <w:rsid w:val="00830CE6"/>
    <w:rsid w:val="00833EA1"/>
    <w:rsid w:val="00835757"/>
    <w:rsid w:val="00836259"/>
    <w:rsid w:val="00837A01"/>
    <w:rsid w:val="00842338"/>
    <w:rsid w:val="00846917"/>
    <w:rsid w:val="0085148D"/>
    <w:rsid w:val="0085362D"/>
    <w:rsid w:val="008572BC"/>
    <w:rsid w:val="00860383"/>
    <w:rsid w:val="00860D73"/>
    <w:rsid w:val="00871AB4"/>
    <w:rsid w:val="00874C6B"/>
    <w:rsid w:val="008766CA"/>
    <w:rsid w:val="0087684A"/>
    <w:rsid w:val="00877F5F"/>
    <w:rsid w:val="00881ED2"/>
    <w:rsid w:val="00886172"/>
    <w:rsid w:val="00886D1C"/>
    <w:rsid w:val="008914D2"/>
    <w:rsid w:val="00893EAE"/>
    <w:rsid w:val="008941D5"/>
    <w:rsid w:val="008A3FC1"/>
    <w:rsid w:val="008A510C"/>
    <w:rsid w:val="008A69CC"/>
    <w:rsid w:val="008A6BD9"/>
    <w:rsid w:val="008A7414"/>
    <w:rsid w:val="008B0522"/>
    <w:rsid w:val="008B4AD2"/>
    <w:rsid w:val="008B6896"/>
    <w:rsid w:val="008C0068"/>
    <w:rsid w:val="008C1020"/>
    <w:rsid w:val="008C4866"/>
    <w:rsid w:val="008D1B1D"/>
    <w:rsid w:val="008D3CFB"/>
    <w:rsid w:val="008D4581"/>
    <w:rsid w:val="008D6EA8"/>
    <w:rsid w:val="008D702F"/>
    <w:rsid w:val="008D7B8F"/>
    <w:rsid w:val="008E47C8"/>
    <w:rsid w:val="008F1A13"/>
    <w:rsid w:val="008F62D8"/>
    <w:rsid w:val="00900F3F"/>
    <w:rsid w:val="009014F5"/>
    <w:rsid w:val="0090474A"/>
    <w:rsid w:val="0090503C"/>
    <w:rsid w:val="00905D3E"/>
    <w:rsid w:val="00907E1A"/>
    <w:rsid w:val="00911EC2"/>
    <w:rsid w:val="00921957"/>
    <w:rsid w:val="00927134"/>
    <w:rsid w:val="0093570F"/>
    <w:rsid w:val="00940AA7"/>
    <w:rsid w:val="00940F49"/>
    <w:rsid w:val="009455C1"/>
    <w:rsid w:val="00946BD0"/>
    <w:rsid w:val="00961F55"/>
    <w:rsid w:val="00976FA7"/>
    <w:rsid w:val="00980688"/>
    <w:rsid w:val="00991D49"/>
    <w:rsid w:val="009A25BD"/>
    <w:rsid w:val="009A7E93"/>
    <w:rsid w:val="009B100C"/>
    <w:rsid w:val="009B1CD3"/>
    <w:rsid w:val="009B6910"/>
    <w:rsid w:val="009B7158"/>
    <w:rsid w:val="009C0785"/>
    <w:rsid w:val="009C0EF2"/>
    <w:rsid w:val="009C3738"/>
    <w:rsid w:val="009D018C"/>
    <w:rsid w:val="009D09C0"/>
    <w:rsid w:val="009E1B26"/>
    <w:rsid w:val="009E51DD"/>
    <w:rsid w:val="009E5E78"/>
    <w:rsid w:val="009E651D"/>
    <w:rsid w:val="009E7880"/>
    <w:rsid w:val="009F2A15"/>
    <w:rsid w:val="009F4EE1"/>
    <w:rsid w:val="00A004E2"/>
    <w:rsid w:val="00A01609"/>
    <w:rsid w:val="00A05B82"/>
    <w:rsid w:val="00A10222"/>
    <w:rsid w:val="00A11D5F"/>
    <w:rsid w:val="00A16663"/>
    <w:rsid w:val="00A21D58"/>
    <w:rsid w:val="00A21E84"/>
    <w:rsid w:val="00A27A05"/>
    <w:rsid w:val="00A308F0"/>
    <w:rsid w:val="00A310EA"/>
    <w:rsid w:val="00A4669E"/>
    <w:rsid w:val="00A47DA1"/>
    <w:rsid w:val="00A52E19"/>
    <w:rsid w:val="00A53722"/>
    <w:rsid w:val="00A53ED7"/>
    <w:rsid w:val="00A55519"/>
    <w:rsid w:val="00A55BA8"/>
    <w:rsid w:val="00A57E46"/>
    <w:rsid w:val="00A61B98"/>
    <w:rsid w:val="00A67A16"/>
    <w:rsid w:val="00A734C2"/>
    <w:rsid w:val="00A7647E"/>
    <w:rsid w:val="00A76BE6"/>
    <w:rsid w:val="00A77CF9"/>
    <w:rsid w:val="00A81143"/>
    <w:rsid w:val="00A93FAB"/>
    <w:rsid w:val="00A95B91"/>
    <w:rsid w:val="00A97202"/>
    <w:rsid w:val="00AA12C9"/>
    <w:rsid w:val="00AA587E"/>
    <w:rsid w:val="00AB094C"/>
    <w:rsid w:val="00AB46F1"/>
    <w:rsid w:val="00AB5AA4"/>
    <w:rsid w:val="00AB6656"/>
    <w:rsid w:val="00AB7008"/>
    <w:rsid w:val="00AC0BD4"/>
    <w:rsid w:val="00AC3FF1"/>
    <w:rsid w:val="00AC68DD"/>
    <w:rsid w:val="00AD1E1A"/>
    <w:rsid w:val="00AD25E5"/>
    <w:rsid w:val="00AE1BF3"/>
    <w:rsid w:val="00AE294D"/>
    <w:rsid w:val="00AE4A0A"/>
    <w:rsid w:val="00AF06D2"/>
    <w:rsid w:val="00AF0C83"/>
    <w:rsid w:val="00AF545D"/>
    <w:rsid w:val="00AF635F"/>
    <w:rsid w:val="00AF73E7"/>
    <w:rsid w:val="00B00E29"/>
    <w:rsid w:val="00B0183D"/>
    <w:rsid w:val="00B01ECD"/>
    <w:rsid w:val="00B02030"/>
    <w:rsid w:val="00B03BA1"/>
    <w:rsid w:val="00B051EE"/>
    <w:rsid w:val="00B0615C"/>
    <w:rsid w:val="00B064FD"/>
    <w:rsid w:val="00B0677D"/>
    <w:rsid w:val="00B0763C"/>
    <w:rsid w:val="00B07756"/>
    <w:rsid w:val="00B159E4"/>
    <w:rsid w:val="00B21703"/>
    <w:rsid w:val="00B26BF0"/>
    <w:rsid w:val="00B27A3F"/>
    <w:rsid w:val="00B3097C"/>
    <w:rsid w:val="00B31B01"/>
    <w:rsid w:val="00B32497"/>
    <w:rsid w:val="00B32ECA"/>
    <w:rsid w:val="00B34D32"/>
    <w:rsid w:val="00B40124"/>
    <w:rsid w:val="00B469B7"/>
    <w:rsid w:val="00B51A46"/>
    <w:rsid w:val="00B51D91"/>
    <w:rsid w:val="00B567D0"/>
    <w:rsid w:val="00B571CE"/>
    <w:rsid w:val="00B65D94"/>
    <w:rsid w:val="00B701C9"/>
    <w:rsid w:val="00B704D9"/>
    <w:rsid w:val="00B7189E"/>
    <w:rsid w:val="00B84C02"/>
    <w:rsid w:val="00B86A92"/>
    <w:rsid w:val="00B94DE7"/>
    <w:rsid w:val="00BA5B3E"/>
    <w:rsid w:val="00BB02B7"/>
    <w:rsid w:val="00BB14A8"/>
    <w:rsid w:val="00BB2695"/>
    <w:rsid w:val="00BB35A0"/>
    <w:rsid w:val="00BB458D"/>
    <w:rsid w:val="00BB5940"/>
    <w:rsid w:val="00BC3E00"/>
    <w:rsid w:val="00BC572A"/>
    <w:rsid w:val="00BD0B9F"/>
    <w:rsid w:val="00BD229C"/>
    <w:rsid w:val="00BD43BB"/>
    <w:rsid w:val="00BD4ACC"/>
    <w:rsid w:val="00BE7A06"/>
    <w:rsid w:val="00BF02D2"/>
    <w:rsid w:val="00BF1A7B"/>
    <w:rsid w:val="00BF1FD1"/>
    <w:rsid w:val="00BF3A4F"/>
    <w:rsid w:val="00BF50FA"/>
    <w:rsid w:val="00BF76CD"/>
    <w:rsid w:val="00C01518"/>
    <w:rsid w:val="00C033D2"/>
    <w:rsid w:val="00C03C2A"/>
    <w:rsid w:val="00C05C81"/>
    <w:rsid w:val="00C101B1"/>
    <w:rsid w:val="00C12C9D"/>
    <w:rsid w:val="00C13795"/>
    <w:rsid w:val="00C226CA"/>
    <w:rsid w:val="00C25EA8"/>
    <w:rsid w:val="00C2682E"/>
    <w:rsid w:val="00C33B05"/>
    <w:rsid w:val="00C36728"/>
    <w:rsid w:val="00C37CAA"/>
    <w:rsid w:val="00C40A62"/>
    <w:rsid w:val="00C430BE"/>
    <w:rsid w:val="00C45499"/>
    <w:rsid w:val="00C47B6C"/>
    <w:rsid w:val="00C51300"/>
    <w:rsid w:val="00C525BB"/>
    <w:rsid w:val="00C52C23"/>
    <w:rsid w:val="00C55963"/>
    <w:rsid w:val="00C6315D"/>
    <w:rsid w:val="00C65C3B"/>
    <w:rsid w:val="00C71331"/>
    <w:rsid w:val="00C71C8A"/>
    <w:rsid w:val="00C7530C"/>
    <w:rsid w:val="00C80554"/>
    <w:rsid w:val="00C821B8"/>
    <w:rsid w:val="00C83BD7"/>
    <w:rsid w:val="00C859B0"/>
    <w:rsid w:val="00C85AC8"/>
    <w:rsid w:val="00C86FF4"/>
    <w:rsid w:val="00C87E02"/>
    <w:rsid w:val="00C907DA"/>
    <w:rsid w:val="00C90BED"/>
    <w:rsid w:val="00C90FBE"/>
    <w:rsid w:val="00C917F9"/>
    <w:rsid w:val="00C927C6"/>
    <w:rsid w:val="00C976E2"/>
    <w:rsid w:val="00CA3C98"/>
    <w:rsid w:val="00CA5ADF"/>
    <w:rsid w:val="00CC690F"/>
    <w:rsid w:val="00CD271B"/>
    <w:rsid w:val="00CD3272"/>
    <w:rsid w:val="00CD4CB9"/>
    <w:rsid w:val="00CD5494"/>
    <w:rsid w:val="00CD6898"/>
    <w:rsid w:val="00CE0D33"/>
    <w:rsid w:val="00CE1B27"/>
    <w:rsid w:val="00CE1D1C"/>
    <w:rsid w:val="00CE35D8"/>
    <w:rsid w:val="00CF349F"/>
    <w:rsid w:val="00CF3D70"/>
    <w:rsid w:val="00CF4F09"/>
    <w:rsid w:val="00CF6307"/>
    <w:rsid w:val="00CF6458"/>
    <w:rsid w:val="00CF662F"/>
    <w:rsid w:val="00D02D3D"/>
    <w:rsid w:val="00D04D99"/>
    <w:rsid w:val="00D07C8E"/>
    <w:rsid w:val="00D15820"/>
    <w:rsid w:val="00D177FF"/>
    <w:rsid w:val="00D215DF"/>
    <w:rsid w:val="00D23509"/>
    <w:rsid w:val="00D23C4C"/>
    <w:rsid w:val="00D3086F"/>
    <w:rsid w:val="00D33A37"/>
    <w:rsid w:val="00D3728A"/>
    <w:rsid w:val="00D37A0E"/>
    <w:rsid w:val="00D37B5D"/>
    <w:rsid w:val="00D41F4A"/>
    <w:rsid w:val="00D44926"/>
    <w:rsid w:val="00D471F0"/>
    <w:rsid w:val="00D51FD0"/>
    <w:rsid w:val="00D5215F"/>
    <w:rsid w:val="00D54A03"/>
    <w:rsid w:val="00D5785E"/>
    <w:rsid w:val="00D63E1F"/>
    <w:rsid w:val="00D648A6"/>
    <w:rsid w:val="00D65770"/>
    <w:rsid w:val="00D67C4F"/>
    <w:rsid w:val="00D70005"/>
    <w:rsid w:val="00D72C18"/>
    <w:rsid w:val="00D73366"/>
    <w:rsid w:val="00D746A8"/>
    <w:rsid w:val="00D76B09"/>
    <w:rsid w:val="00D770DC"/>
    <w:rsid w:val="00D7779F"/>
    <w:rsid w:val="00D80789"/>
    <w:rsid w:val="00D86456"/>
    <w:rsid w:val="00D97516"/>
    <w:rsid w:val="00D97DFF"/>
    <w:rsid w:val="00DA0ADA"/>
    <w:rsid w:val="00DA29C9"/>
    <w:rsid w:val="00DA4D22"/>
    <w:rsid w:val="00DA796D"/>
    <w:rsid w:val="00DB2681"/>
    <w:rsid w:val="00DC48D6"/>
    <w:rsid w:val="00DC6F79"/>
    <w:rsid w:val="00DD0DDC"/>
    <w:rsid w:val="00DE1098"/>
    <w:rsid w:val="00DE1703"/>
    <w:rsid w:val="00DF01A0"/>
    <w:rsid w:val="00DF038B"/>
    <w:rsid w:val="00DF6B26"/>
    <w:rsid w:val="00E02519"/>
    <w:rsid w:val="00E05DC8"/>
    <w:rsid w:val="00E0604A"/>
    <w:rsid w:val="00E14662"/>
    <w:rsid w:val="00E153FF"/>
    <w:rsid w:val="00E17DAE"/>
    <w:rsid w:val="00E3008F"/>
    <w:rsid w:val="00E32752"/>
    <w:rsid w:val="00E332AD"/>
    <w:rsid w:val="00E36810"/>
    <w:rsid w:val="00E4017D"/>
    <w:rsid w:val="00E42301"/>
    <w:rsid w:val="00E440D4"/>
    <w:rsid w:val="00E45156"/>
    <w:rsid w:val="00E46779"/>
    <w:rsid w:val="00E55626"/>
    <w:rsid w:val="00E613CF"/>
    <w:rsid w:val="00E62F5C"/>
    <w:rsid w:val="00E6428C"/>
    <w:rsid w:val="00E72FB0"/>
    <w:rsid w:val="00E74D93"/>
    <w:rsid w:val="00E77D7C"/>
    <w:rsid w:val="00E811F1"/>
    <w:rsid w:val="00E83507"/>
    <w:rsid w:val="00E856B2"/>
    <w:rsid w:val="00E93E38"/>
    <w:rsid w:val="00EA1F44"/>
    <w:rsid w:val="00EA331C"/>
    <w:rsid w:val="00EA357F"/>
    <w:rsid w:val="00EB2AE7"/>
    <w:rsid w:val="00EB30B0"/>
    <w:rsid w:val="00EB46E3"/>
    <w:rsid w:val="00EB5E20"/>
    <w:rsid w:val="00EB7047"/>
    <w:rsid w:val="00EB7F41"/>
    <w:rsid w:val="00EC2D0C"/>
    <w:rsid w:val="00EC4E63"/>
    <w:rsid w:val="00EC54DF"/>
    <w:rsid w:val="00ED0C1F"/>
    <w:rsid w:val="00ED35D0"/>
    <w:rsid w:val="00EE3EFB"/>
    <w:rsid w:val="00EE53F5"/>
    <w:rsid w:val="00EE7EDE"/>
    <w:rsid w:val="00F000E0"/>
    <w:rsid w:val="00F01F58"/>
    <w:rsid w:val="00F02B50"/>
    <w:rsid w:val="00F03501"/>
    <w:rsid w:val="00F06E23"/>
    <w:rsid w:val="00F07699"/>
    <w:rsid w:val="00F07EA8"/>
    <w:rsid w:val="00F1236B"/>
    <w:rsid w:val="00F202BC"/>
    <w:rsid w:val="00F26D49"/>
    <w:rsid w:val="00F32E5B"/>
    <w:rsid w:val="00F32F07"/>
    <w:rsid w:val="00F336F9"/>
    <w:rsid w:val="00F33768"/>
    <w:rsid w:val="00F348F3"/>
    <w:rsid w:val="00F37314"/>
    <w:rsid w:val="00F37F20"/>
    <w:rsid w:val="00F425B3"/>
    <w:rsid w:val="00F4604D"/>
    <w:rsid w:val="00F5015D"/>
    <w:rsid w:val="00F50D90"/>
    <w:rsid w:val="00F52603"/>
    <w:rsid w:val="00F52E3C"/>
    <w:rsid w:val="00F547F3"/>
    <w:rsid w:val="00F567E3"/>
    <w:rsid w:val="00F57546"/>
    <w:rsid w:val="00F609F9"/>
    <w:rsid w:val="00F60EB4"/>
    <w:rsid w:val="00F672F0"/>
    <w:rsid w:val="00F67817"/>
    <w:rsid w:val="00F83D7B"/>
    <w:rsid w:val="00F9100B"/>
    <w:rsid w:val="00F91D8B"/>
    <w:rsid w:val="00F94FF6"/>
    <w:rsid w:val="00FA0F40"/>
    <w:rsid w:val="00FA2EA9"/>
    <w:rsid w:val="00FA489F"/>
    <w:rsid w:val="00FA6DB9"/>
    <w:rsid w:val="00FB0B83"/>
    <w:rsid w:val="00FC5AE2"/>
    <w:rsid w:val="00FD20F7"/>
    <w:rsid w:val="00FD47D7"/>
    <w:rsid w:val="00FD5287"/>
    <w:rsid w:val="00FD59FD"/>
    <w:rsid w:val="00FD7518"/>
    <w:rsid w:val="00FE1E2E"/>
    <w:rsid w:val="00FE3BD7"/>
    <w:rsid w:val="00FE7ECE"/>
    <w:rsid w:val="00FF180C"/>
    <w:rsid w:val="00FF76B0"/>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oNotEmbedSmartTags/>
  <w:decimalSymbol w:val="."/>
  <w:listSeparator w:val=","/>
  <w14:docId w14:val="34CB3264"/>
  <w15:docId w15:val="{6C65D885-D155-4AFB-80C2-45FA05E3E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D33"/>
    <w:rPr>
      <w:sz w:val="24"/>
      <w:lang w:val="en-US"/>
    </w:rPr>
  </w:style>
  <w:style w:type="paragraph" w:styleId="Heading1">
    <w:name w:val="heading 1"/>
    <w:basedOn w:val="DHChapterHead"/>
    <w:next w:val="Normal"/>
    <w:link w:val="Heading1Char"/>
    <w:uiPriority w:val="9"/>
    <w:qFormat/>
    <w:rsid w:val="009F4EE1"/>
    <w:pPr>
      <w:outlineLvl w:val="0"/>
    </w:pPr>
    <w:rPr>
      <w:b/>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after="0"/>
      <w:outlineLvl w:val="1"/>
    </w:pPr>
    <w:rPr>
      <w:rFonts w:asciiTheme="majorHAnsi" w:eastAsiaTheme="majorEastAsia" w:hAnsiTheme="majorHAnsi" w:cstheme="majorBidi"/>
      <w:b/>
      <w:bCs/>
      <w:color w:val="4F81BD" w:themeColor="accent1"/>
      <w:sz w:val="26"/>
      <w:szCs w:val="26"/>
      <w:lang w:val="en-GB" w:eastAsia="en-GB"/>
    </w:rPr>
  </w:style>
  <w:style w:type="paragraph" w:styleId="Heading3">
    <w:name w:val="heading 3"/>
    <w:basedOn w:val="Normal"/>
    <w:next w:val="Normal"/>
    <w:link w:val="Heading3Char"/>
    <w:uiPriority w:val="9"/>
    <w:semiHidden/>
    <w:unhideWhenUsed/>
    <w:qFormat/>
    <w:rsid w:val="003A0F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009F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D439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uiPriority w:val="9"/>
    <w:rsid w:val="009F4EE1"/>
    <w:rPr>
      <w:rFonts w:ascii="Arial" w:hAnsi="Arial" w:cs="Arial"/>
      <w:b/>
      <w:sz w:val="28"/>
      <w:szCs w:val="28"/>
      <w:lang w:eastAsia="en-US"/>
    </w:rPr>
  </w:style>
  <w:style w:type="character" w:customStyle="1" w:styleId="Heading2Char">
    <w:name w:val="Heading 2 Char"/>
    <w:basedOn w:val="DefaultParagraphFont"/>
    <w:link w:val="Heading2"/>
    <w:uiPriority w:val="9"/>
    <w:semiHidden/>
    <w:rsid w:val="00530761"/>
    <w:rPr>
      <w:rFonts w:asciiTheme="majorHAnsi" w:eastAsiaTheme="majorEastAsia" w:hAnsiTheme="majorHAnsi" w:cstheme="majorBidi"/>
      <w:b/>
      <w:bCs/>
      <w:color w:val="4F81BD" w:themeColor="accent1"/>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532F04"/>
    <w:pPr>
      <w:spacing w:after="0"/>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val="en-GB"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styleId="TOC2">
    <w:name w:val="toc 2"/>
    <w:basedOn w:val="Normal"/>
    <w:next w:val="Normal"/>
    <w:autoRedefine/>
    <w:uiPriority w:val="39"/>
    <w:unhideWhenUsed/>
    <w:qFormat/>
    <w:rsid w:val="00530761"/>
    <w:pPr>
      <w:spacing w:after="100"/>
      <w:ind w:left="240"/>
    </w:pPr>
  </w:style>
  <w:style w:type="paragraph" w:customStyle="1" w:styleId="Style2">
    <w:name w:val="Style2"/>
    <w:basedOn w:val="Normal"/>
    <w:qFormat/>
    <w:rsid w:val="00530761"/>
    <w:pPr>
      <w:spacing w:after="0"/>
    </w:pPr>
    <w:rPr>
      <w:rFonts w:ascii="Times New Roman" w:eastAsia="Times New Roman" w:hAnsi="Times New Roman" w:cs="Times New Roman"/>
      <w:szCs w:val="24"/>
      <w:lang w:val="en-GB" w:eastAsia="en-GB"/>
    </w:rPr>
  </w:style>
  <w:style w:type="paragraph" w:customStyle="1" w:styleId="TitleV5">
    <w:name w:val="Title V5"/>
    <w:basedOn w:val="Normal"/>
    <w:next w:val="Normal"/>
    <w:qFormat/>
    <w:rsid w:val="00530761"/>
    <w:pPr>
      <w:numPr>
        <w:ilvl w:val="1"/>
        <w:numId w:val="2"/>
      </w:numPr>
      <w:spacing w:after="0"/>
      <w:jc w:val="both"/>
    </w:pPr>
    <w:rPr>
      <w:rFonts w:ascii="Arial" w:eastAsia="Times New Roman" w:hAnsi="Arial" w:cs="Arial"/>
      <w:sz w:val="20"/>
      <w:lang w:val="en-GB" w:eastAsia="en-GB"/>
    </w:rPr>
  </w:style>
  <w:style w:type="paragraph" w:styleId="Header">
    <w:name w:val="header"/>
    <w:basedOn w:val="Normal"/>
    <w:link w:val="HeaderChar"/>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3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Numbered List"/>
    <w:basedOn w:val="Normal"/>
    <w:link w:val="ListParagraphChar"/>
    <w:qFormat/>
    <w:rsid w:val="00530761"/>
    <w:pPr>
      <w:spacing w:after="0"/>
      <w:ind w:left="720"/>
    </w:pPr>
    <w:rPr>
      <w:rFonts w:ascii="Times New Roman" w:eastAsia="Times New Roman" w:hAnsi="Times New Roman" w:cs="Times New Roman"/>
      <w:szCs w:val="24"/>
      <w:lang w:val="en-GB" w:eastAsia="en-GB"/>
    </w:rPr>
  </w:style>
  <w:style w:type="character" w:customStyle="1" w:styleId="FootnoteTextChar">
    <w:name w:val="Footnote Text Char"/>
    <w:basedOn w:val="DefaultParagraphFont"/>
    <w:link w:val="FootnoteText"/>
    <w:uiPriority w:val="99"/>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rsid w:val="00530761"/>
    <w:pPr>
      <w:spacing w:after="0"/>
    </w:pPr>
    <w:rPr>
      <w:rFonts w:ascii="Times New Roman" w:eastAsia="Times New Roman" w:hAnsi="Times New Roman" w:cs="Times New Roman"/>
      <w:szCs w:val="24"/>
      <w:lang w:val="en-GB"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uiPriority w:val="99"/>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uiPriority w:val="99"/>
    <w:rsid w:val="00530761"/>
    <w:rPr>
      <w:rFonts w:ascii="Arial" w:eastAsia="Times New Roman" w:hAnsi="Arial" w:cs="Arial"/>
      <w:b/>
      <w:bCs/>
      <w:sz w:val="24"/>
      <w:szCs w:val="24"/>
      <w:lang w:eastAsia="en-GB"/>
    </w:rPr>
  </w:style>
  <w:style w:type="character" w:styleId="Emphasis">
    <w:name w:val="Emphasis"/>
    <w:basedOn w:val="DefaultParagraphFont"/>
    <w:uiPriority w:val="20"/>
    <w:qFormat/>
    <w:rsid w:val="00961F55"/>
    <w:rPr>
      <w:i/>
      <w:iCs/>
    </w:rPr>
  </w:style>
  <w:style w:type="paragraph" w:styleId="BodyText">
    <w:name w:val="Body Text"/>
    <w:basedOn w:val="Normal"/>
    <w:link w:val="BodyTextChar"/>
    <w:uiPriority w:val="99"/>
    <w:rsid w:val="008269A8"/>
    <w:pPr>
      <w:spacing w:after="0"/>
    </w:pPr>
    <w:rPr>
      <w:rFonts w:ascii="Arial" w:eastAsia="Times New Roman" w:hAnsi="Arial" w:cs="Arial"/>
      <w:sz w:val="22"/>
      <w:szCs w:val="22"/>
      <w:lang w:val="en-GB" w:eastAsia="en-US"/>
    </w:rPr>
  </w:style>
  <w:style w:type="character" w:customStyle="1" w:styleId="BodyTextChar">
    <w:name w:val="Body Text Char"/>
    <w:basedOn w:val="DefaultParagraphFont"/>
    <w:link w:val="BodyText"/>
    <w:uiPriority w:val="99"/>
    <w:rsid w:val="008269A8"/>
    <w:rPr>
      <w:rFonts w:ascii="Arial" w:eastAsia="Times New Roman" w:hAnsi="Arial" w:cs="Arial"/>
      <w:sz w:val="22"/>
      <w:szCs w:val="22"/>
      <w:lang w:eastAsia="en-US"/>
    </w:rPr>
  </w:style>
  <w:style w:type="character" w:customStyle="1" w:styleId="Heading3Char">
    <w:name w:val="Heading 3 Char"/>
    <w:basedOn w:val="DefaultParagraphFont"/>
    <w:link w:val="Heading3"/>
    <w:uiPriority w:val="9"/>
    <w:semiHidden/>
    <w:rsid w:val="003A0FFC"/>
    <w:rPr>
      <w:rFonts w:asciiTheme="majorHAnsi" w:eastAsiaTheme="majorEastAsia" w:hAnsiTheme="majorHAnsi" w:cstheme="majorBidi"/>
      <w:b/>
      <w:bCs/>
      <w:color w:val="4F81BD" w:themeColor="accent1"/>
      <w:sz w:val="24"/>
      <w:lang w:val="en-US"/>
    </w:rPr>
  </w:style>
  <w:style w:type="paragraph" w:styleId="BodyText2">
    <w:name w:val="Body Text 2"/>
    <w:basedOn w:val="Normal"/>
    <w:link w:val="BodyText2Char"/>
    <w:uiPriority w:val="99"/>
    <w:unhideWhenUsed/>
    <w:rsid w:val="003A0FFC"/>
    <w:pPr>
      <w:spacing w:after="120" w:line="480" w:lineRule="auto"/>
    </w:pPr>
  </w:style>
  <w:style w:type="character" w:customStyle="1" w:styleId="BodyText2Char">
    <w:name w:val="Body Text 2 Char"/>
    <w:basedOn w:val="DefaultParagraphFont"/>
    <w:link w:val="BodyText2"/>
    <w:uiPriority w:val="99"/>
    <w:rsid w:val="003A0FFC"/>
    <w:rPr>
      <w:sz w:val="24"/>
      <w:lang w:val="en-US"/>
    </w:rPr>
  </w:style>
  <w:style w:type="paragraph" w:styleId="BodyText3">
    <w:name w:val="Body Text 3"/>
    <w:basedOn w:val="Normal"/>
    <w:link w:val="BodyText3Char"/>
    <w:uiPriority w:val="99"/>
    <w:unhideWhenUsed/>
    <w:rsid w:val="003A0FFC"/>
    <w:pPr>
      <w:spacing w:after="120"/>
    </w:pPr>
    <w:rPr>
      <w:sz w:val="16"/>
      <w:szCs w:val="16"/>
    </w:rPr>
  </w:style>
  <w:style w:type="character" w:customStyle="1" w:styleId="BodyText3Char">
    <w:name w:val="Body Text 3 Char"/>
    <w:basedOn w:val="DefaultParagraphFont"/>
    <w:link w:val="BodyText3"/>
    <w:uiPriority w:val="99"/>
    <w:rsid w:val="003A0FFC"/>
    <w:rPr>
      <w:sz w:val="16"/>
      <w:szCs w:val="16"/>
      <w:lang w:val="en-US"/>
    </w:rPr>
  </w:style>
  <w:style w:type="character" w:customStyle="1" w:styleId="Heading5Char">
    <w:name w:val="Heading 5 Char"/>
    <w:basedOn w:val="DefaultParagraphFont"/>
    <w:link w:val="Heading5"/>
    <w:uiPriority w:val="9"/>
    <w:semiHidden/>
    <w:rsid w:val="001D439B"/>
    <w:rPr>
      <w:rFonts w:asciiTheme="majorHAnsi" w:eastAsiaTheme="majorEastAsia" w:hAnsiTheme="majorHAnsi" w:cstheme="majorBidi"/>
      <w:color w:val="243F60" w:themeColor="accent1" w:themeShade="7F"/>
      <w:sz w:val="24"/>
      <w:lang w:val="en-US"/>
    </w:rPr>
  </w:style>
  <w:style w:type="paragraph" w:styleId="NormalWeb">
    <w:name w:val="Normal (Web)"/>
    <w:basedOn w:val="Normal"/>
    <w:uiPriority w:val="99"/>
    <w:unhideWhenUsed/>
    <w:rsid w:val="001D439B"/>
    <w:pPr>
      <w:spacing w:before="100" w:beforeAutospacing="1" w:after="100" w:afterAutospacing="1"/>
    </w:pPr>
    <w:rPr>
      <w:rFonts w:ascii="Times New Roman" w:eastAsia="Calibri" w:hAnsi="Times New Roman" w:cs="Times New Roman"/>
      <w:szCs w:val="24"/>
      <w:lang w:val="en-GB" w:eastAsia="en-GB"/>
    </w:rPr>
  </w:style>
  <w:style w:type="character" w:styleId="CommentReference">
    <w:name w:val="annotation reference"/>
    <w:uiPriority w:val="99"/>
    <w:rsid w:val="00BB35A0"/>
    <w:rPr>
      <w:sz w:val="16"/>
      <w:szCs w:val="16"/>
    </w:rPr>
  </w:style>
  <w:style w:type="paragraph" w:styleId="CommentText">
    <w:name w:val="annotation text"/>
    <w:basedOn w:val="Normal"/>
    <w:link w:val="CommentTextChar"/>
    <w:uiPriority w:val="99"/>
    <w:rsid w:val="00BB35A0"/>
    <w:rPr>
      <w:rFonts w:ascii="Cambria" w:eastAsia="MS Mincho" w:hAnsi="Cambria" w:cs="Times New Roman"/>
      <w:sz w:val="20"/>
    </w:rPr>
  </w:style>
  <w:style w:type="character" w:customStyle="1" w:styleId="CommentTextChar">
    <w:name w:val="Comment Text Char"/>
    <w:basedOn w:val="DefaultParagraphFont"/>
    <w:link w:val="CommentText"/>
    <w:uiPriority w:val="99"/>
    <w:rsid w:val="00BB35A0"/>
    <w:rPr>
      <w:rFonts w:ascii="Cambria" w:eastAsia="MS Mincho" w:hAnsi="Cambria" w:cs="Times New Roman"/>
      <w:lang w:val="en-US"/>
    </w:rPr>
  </w:style>
  <w:style w:type="character" w:styleId="FootnoteReference">
    <w:name w:val="footnote reference"/>
    <w:uiPriority w:val="99"/>
    <w:semiHidden/>
    <w:rsid w:val="00491992"/>
    <w:rPr>
      <w:vertAlign w:val="superscript"/>
    </w:rPr>
  </w:style>
  <w:style w:type="paragraph" w:styleId="CommentSubject">
    <w:name w:val="annotation subject"/>
    <w:basedOn w:val="CommentText"/>
    <w:next w:val="CommentText"/>
    <w:link w:val="CommentSubjectChar"/>
    <w:uiPriority w:val="99"/>
    <w:semiHidden/>
    <w:unhideWhenUsed/>
    <w:rsid w:val="00D97DFF"/>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D97DFF"/>
    <w:rPr>
      <w:rFonts w:ascii="Cambria" w:eastAsia="MS Mincho" w:hAnsi="Cambria" w:cs="Times New Roman"/>
      <w:b/>
      <w:bCs/>
      <w:lang w:val="en-US"/>
    </w:rPr>
  </w:style>
  <w:style w:type="paragraph" w:customStyle="1" w:styleId="Heading">
    <w:name w:val="Heading"/>
    <w:next w:val="Normal"/>
    <w:rsid w:val="00B31B01"/>
    <w:pPr>
      <w:keepNext/>
      <w:pBdr>
        <w:top w:val="nil"/>
        <w:left w:val="nil"/>
        <w:bottom w:val="nil"/>
        <w:right w:val="nil"/>
        <w:between w:val="nil"/>
        <w:bar w:val="nil"/>
      </w:pBdr>
      <w:spacing w:after="0"/>
      <w:jc w:val="center"/>
      <w:outlineLvl w:val="0"/>
    </w:pPr>
    <w:rPr>
      <w:rFonts w:ascii="Times New Roman" w:eastAsia="Arial Unicode MS" w:hAnsi="Times New Roman" w:cs="Arial Unicode MS"/>
      <w:color w:val="000000"/>
      <w:sz w:val="32"/>
      <w:szCs w:val="32"/>
      <w:u w:color="000000"/>
      <w:bdr w:val="nil"/>
      <w:lang w:val="en-US" w:eastAsia="en-GB"/>
    </w:rPr>
  </w:style>
  <w:style w:type="character" w:styleId="Strong">
    <w:name w:val="Strong"/>
    <w:basedOn w:val="DefaultParagraphFont"/>
    <w:uiPriority w:val="22"/>
    <w:qFormat/>
    <w:rsid w:val="002101C1"/>
    <w:rPr>
      <w:b/>
      <w:bCs/>
    </w:rPr>
  </w:style>
  <w:style w:type="paragraph" w:customStyle="1" w:styleId="TableParagraph">
    <w:name w:val="Table Paragraph"/>
    <w:basedOn w:val="Normal"/>
    <w:uiPriority w:val="1"/>
    <w:qFormat/>
    <w:rsid w:val="00F52E3C"/>
    <w:pPr>
      <w:widowControl w:val="0"/>
      <w:spacing w:after="0"/>
    </w:pPr>
    <w:rPr>
      <w:rFonts w:eastAsiaTheme="minorHAnsi"/>
      <w:sz w:val="22"/>
      <w:szCs w:val="22"/>
      <w:lang w:eastAsia="en-US"/>
    </w:rPr>
  </w:style>
  <w:style w:type="character" w:customStyle="1" w:styleId="Heading4Char">
    <w:name w:val="Heading 4 Char"/>
    <w:basedOn w:val="DefaultParagraphFont"/>
    <w:link w:val="Heading4"/>
    <w:uiPriority w:val="9"/>
    <w:semiHidden/>
    <w:rsid w:val="000009FF"/>
    <w:rPr>
      <w:rFonts w:asciiTheme="majorHAnsi" w:eastAsiaTheme="majorEastAsia" w:hAnsiTheme="majorHAnsi" w:cstheme="majorBidi"/>
      <w:i/>
      <w:iCs/>
      <w:color w:val="365F91" w:themeColor="accent1" w:themeShade="BF"/>
      <w:sz w:val="24"/>
      <w:lang w:val="en-US"/>
    </w:rPr>
  </w:style>
  <w:style w:type="character" w:customStyle="1" w:styleId="ListParagraphChar">
    <w:name w:val="List Paragraph Char"/>
    <w:aliases w:val="Numbered list Char,Numbered List Char"/>
    <w:link w:val="ListParagraph"/>
    <w:uiPriority w:val="34"/>
    <w:locked/>
    <w:rsid w:val="008F62D8"/>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244C1A"/>
    <w:rPr>
      <w:color w:val="800080" w:themeColor="followedHyperlink"/>
      <w:u w:val="single"/>
    </w:rPr>
  </w:style>
  <w:style w:type="paragraph" w:styleId="NoSpacing">
    <w:name w:val="No Spacing"/>
    <w:uiPriority w:val="1"/>
    <w:qFormat/>
    <w:rsid w:val="00F425B3"/>
    <w:pPr>
      <w:spacing w:after="0"/>
    </w:pPr>
    <w:rPr>
      <w:sz w:val="24"/>
      <w:lang w:val="en-US"/>
    </w:rPr>
  </w:style>
  <w:style w:type="paragraph" w:styleId="EndnoteText">
    <w:name w:val="endnote text"/>
    <w:basedOn w:val="Normal"/>
    <w:link w:val="EndnoteTextChar"/>
    <w:uiPriority w:val="99"/>
    <w:semiHidden/>
    <w:unhideWhenUsed/>
    <w:rsid w:val="00150894"/>
    <w:pPr>
      <w:spacing w:after="0"/>
    </w:pPr>
    <w:rPr>
      <w:sz w:val="20"/>
    </w:rPr>
  </w:style>
  <w:style w:type="character" w:customStyle="1" w:styleId="EndnoteTextChar">
    <w:name w:val="Endnote Text Char"/>
    <w:basedOn w:val="DefaultParagraphFont"/>
    <w:link w:val="EndnoteText"/>
    <w:uiPriority w:val="99"/>
    <w:semiHidden/>
    <w:rsid w:val="00150894"/>
    <w:rPr>
      <w:lang w:val="en-US"/>
    </w:rPr>
  </w:style>
  <w:style w:type="character" w:styleId="EndnoteReference">
    <w:name w:val="endnote reference"/>
    <w:basedOn w:val="DefaultParagraphFont"/>
    <w:uiPriority w:val="99"/>
    <w:semiHidden/>
    <w:unhideWhenUsed/>
    <w:rsid w:val="00150894"/>
    <w:rPr>
      <w:vertAlign w:val="superscript"/>
    </w:rPr>
  </w:style>
  <w:style w:type="character" w:customStyle="1" w:styleId="UnresolvedMention1">
    <w:name w:val="Unresolved Mention1"/>
    <w:basedOn w:val="DefaultParagraphFont"/>
    <w:uiPriority w:val="99"/>
    <w:semiHidden/>
    <w:unhideWhenUsed/>
    <w:rsid w:val="00BE7A06"/>
    <w:rPr>
      <w:color w:val="605E5C"/>
      <w:shd w:val="clear" w:color="auto" w:fill="E1DFDD"/>
    </w:rPr>
  </w:style>
  <w:style w:type="table" w:customStyle="1" w:styleId="TableGrid0">
    <w:name w:val="TableGrid"/>
    <w:rsid w:val="004874D0"/>
    <w:pPr>
      <w:spacing w:after="0"/>
    </w:pPr>
    <w:rPr>
      <w:sz w:val="22"/>
      <w:szCs w:val="22"/>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42540">
      <w:bodyDiv w:val="1"/>
      <w:marLeft w:val="0"/>
      <w:marRight w:val="0"/>
      <w:marTop w:val="0"/>
      <w:marBottom w:val="0"/>
      <w:divBdr>
        <w:top w:val="none" w:sz="0" w:space="0" w:color="auto"/>
        <w:left w:val="none" w:sz="0" w:space="0" w:color="auto"/>
        <w:bottom w:val="none" w:sz="0" w:space="0" w:color="auto"/>
        <w:right w:val="none" w:sz="0" w:space="0" w:color="auto"/>
      </w:divBdr>
    </w:div>
    <w:div w:id="224221922">
      <w:bodyDiv w:val="1"/>
      <w:marLeft w:val="0"/>
      <w:marRight w:val="0"/>
      <w:marTop w:val="0"/>
      <w:marBottom w:val="0"/>
      <w:divBdr>
        <w:top w:val="none" w:sz="0" w:space="0" w:color="auto"/>
        <w:left w:val="none" w:sz="0" w:space="0" w:color="auto"/>
        <w:bottom w:val="none" w:sz="0" w:space="0" w:color="auto"/>
        <w:right w:val="none" w:sz="0" w:space="0" w:color="auto"/>
      </w:divBdr>
      <w:divsChild>
        <w:div w:id="176161760">
          <w:marLeft w:val="547"/>
          <w:marRight w:val="0"/>
          <w:marTop w:val="115"/>
          <w:marBottom w:val="0"/>
          <w:divBdr>
            <w:top w:val="none" w:sz="0" w:space="0" w:color="auto"/>
            <w:left w:val="none" w:sz="0" w:space="0" w:color="auto"/>
            <w:bottom w:val="none" w:sz="0" w:space="0" w:color="auto"/>
            <w:right w:val="none" w:sz="0" w:space="0" w:color="auto"/>
          </w:divBdr>
        </w:div>
        <w:div w:id="464587126">
          <w:marLeft w:val="547"/>
          <w:marRight w:val="0"/>
          <w:marTop w:val="115"/>
          <w:marBottom w:val="0"/>
          <w:divBdr>
            <w:top w:val="none" w:sz="0" w:space="0" w:color="auto"/>
            <w:left w:val="none" w:sz="0" w:space="0" w:color="auto"/>
            <w:bottom w:val="none" w:sz="0" w:space="0" w:color="auto"/>
            <w:right w:val="none" w:sz="0" w:space="0" w:color="auto"/>
          </w:divBdr>
        </w:div>
        <w:div w:id="1234659933">
          <w:marLeft w:val="547"/>
          <w:marRight w:val="0"/>
          <w:marTop w:val="115"/>
          <w:marBottom w:val="0"/>
          <w:divBdr>
            <w:top w:val="none" w:sz="0" w:space="0" w:color="auto"/>
            <w:left w:val="none" w:sz="0" w:space="0" w:color="auto"/>
            <w:bottom w:val="none" w:sz="0" w:space="0" w:color="auto"/>
            <w:right w:val="none" w:sz="0" w:space="0" w:color="auto"/>
          </w:divBdr>
        </w:div>
      </w:divsChild>
    </w:div>
    <w:div w:id="251862989">
      <w:bodyDiv w:val="1"/>
      <w:marLeft w:val="0"/>
      <w:marRight w:val="0"/>
      <w:marTop w:val="0"/>
      <w:marBottom w:val="0"/>
      <w:divBdr>
        <w:top w:val="none" w:sz="0" w:space="0" w:color="auto"/>
        <w:left w:val="none" w:sz="0" w:space="0" w:color="auto"/>
        <w:bottom w:val="none" w:sz="0" w:space="0" w:color="auto"/>
        <w:right w:val="none" w:sz="0" w:space="0" w:color="auto"/>
      </w:divBdr>
      <w:divsChild>
        <w:div w:id="589855542">
          <w:marLeft w:val="360"/>
          <w:marRight w:val="0"/>
          <w:marTop w:val="200"/>
          <w:marBottom w:val="0"/>
          <w:divBdr>
            <w:top w:val="none" w:sz="0" w:space="0" w:color="auto"/>
            <w:left w:val="none" w:sz="0" w:space="0" w:color="auto"/>
            <w:bottom w:val="none" w:sz="0" w:space="0" w:color="auto"/>
            <w:right w:val="none" w:sz="0" w:space="0" w:color="auto"/>
          </w:divBdr>
        </w:div>
        <w:div w:id="1787001234">
          <w:marLeft w:val="360"/>
          <w:marRight w:val="0"/>
          <w:marTop w:val="200"/>
          <w:marBottom w:val="0"/>
          <w:divBdr>
            <w:top w:val="none" w:sz="0" w:space="0" w:color="auto"/>
            <w:left w:val="none" w:sz="0" w:space="0" w:color="auto"/>
            <w:bottom w:val="none" w:sz="0" w:space="0" w:color="auto"/>
            <w:right w:val="none" w:sz="0" w:space="0" w:color="auto"/>
          </w:divBdr>
        </w:div>
        <w:div w:id="63529327">
          <w:marLeft w:val="360"/>
          <w:marRight w:val="0"/>
          <w:marTop w:val="200"/>
          <w:marBottom w:val="0"/>
          <w:divBdr>
            <w:top w:val="none" w:sz="0" w:space="0" w:color="auto"/>
            <w:left w:val="none" w:sz="0" w:space="0" w:color="auto"/>
            <w:bottom w:val="none" w:sz="0" w:space="0" w:color="auto"/>
            <w:right w:val="none" w:sz="0" w:space="0" w:color="auto"/>
          </w:divBdr>
        </w:div>
        <w:div w:id="599726883">
          <w:marLeft w:val="360"/>
          <w:marRight w:val="0"/>
          <w:marTop w:val="200"/>
          <w:marBottom w:val="0"/>
          <w:divBdr>
            <w:top w:val="none" w:sz="0" w:space="0" w:color="auto"/>
            <w:left w:val="none" w:sz="0" w:space="0" w:color="auto"/>
            <w:bottom w:val="none" w:sz="0" w:space="0" w:color="auto"/>
            <w:right w:val="none" w:sz="0" w:space="0" w:color="auto"/>
          </w:divBdr>
        </w:div>
        <w:div w:id="1021978147">
          <w:marLeft w:val="360"/>
          <w:marRight w:val="0"/>
          <w:marTop w:val="200"/>
          <w:marBottom w:val="0"/>
          <w:divBdr>
            <w:top w:val="none" w:sz="0" w:space="0" w:color="auto"/>
            <w:left w:val="none" w:sz="0" w:space="0" w:color="auto"/>
            <w:bottom w:val="none" w:sz="0" w:space="0" w:color="auto"/>
            <w:right w:val="none" w:sz="0" w:space="0" w:color="auto"/>
          </w:divBdr>
        </w:div>
        <w:div w:id="1411081270">
          <w:marLeft w:val="360"/>
          <w:marRight w:val="0"/>
          <w:marTop w:val="200"/>
          <w:marBottom w:val="0"/>
          <w:divBdr>
            <w:top w:val="none" w:sz="0" w:space="0" w:color="auto"/>
            <w:left w:val="none" w:sz="0" w:space="0" w:color="auto"/>
            <w:bottom w:val="none" w:sz="0" w:space="0" w:color="auto"/>
            <w:right w:val="none" w:sz="0" w:space="0" w:color="auto"/>
          </w:divBdr>
        </w:div>
      </w:divsChild>
    </w:div>
    <w:div w:id="264507568">
      <w:bodyDiv w:val="1"/>
      <w:marLeft w:val="0"/>
      <w:marRight w:val="0"/>
      <w:marTop w:val="0"/>
      <w:marBottom w:val="0"/>
      <w:divBdr>
        <w:top w:val="none" w:sz="0" w:space="0" w:color="auto"/>
        <w:left w:val="none" w:sz="0" w:space="0" w:color="auto"/>
        <w:bottom w:val="none" w:sz="0" w:space="0" w:color="auto"/>
        <w:right w:val="none" w:sz="0" w:space="0" w:color="auto"/>
      </w:divBdr>
    </w:div>
    <w:div w:id="575290228">
      <w:bodyDiv w:val="1"/>
      <w:marLeft w:val="0"/>
      <w:marRight w:val="0"/>
      <w:marTop w:val="0"/>
      <w:marBottom w:val="0"/>
      <w:divBdr>
        <w:top w:val="none" w:sz="0" w:space="0" w:color="auto"/>
        <w:left w:val="none" w:sz="0" w:space="0" w:color="auto"/>
        <w:bottom w:val="none" w:sz="0" w:space="0" w:color="auto"/>
        <w:right w:val="none" w:sz="0" w:space="0" w:color="auto"/>
      </w:divBdr>
      <w:divsChild>
        <w:div w:id="1597517794">
          <w:marLeft w:val="446"/>
          <w:marRight w:val="0"/>
          <w:marTop w:val="0"/>
          <w:marBottom w:val="0"/>
          <w:divBdr>
            <w:top w:val="none" w:sz="0" w:space="0" w:color="auto"/>
            <w:left w:val="none" w:sz="0" w:space="0" w:color="auto"/>
            <w:bottom w:val="none" w:sz="0" w:space="0" w:color="auto"/>
            <w:right w:val="none" w:sz="0" w:space="0" w:color="auto"/>
          </w:divBdr>
        </w:div>
        <w:div w:id="1636259020">
          <w:marLeft w:val="1166"/>
          <w:marRight w:val="0"/>
          <w:marTop w:val="0"/>
          <w:marBottom w:val="0"/>
          <w:divBdr>
            <w:top w:val="none" w:sz="0" w:space="0" w:color="auto"/>
            <w:left w:val="none" w:sz="0" w:space="0" w:color="auto"/>
            <w:bottom w:val="none" w:sz="0" w:space="0" w:color="auto"/>
            <w:right w:val="none" w:sz="0" w:space="0" w:color="auto"/>
          </w:divBdr>
        </w:div>
        <w:div w:id="1329793755">
          <w:marLeft w:val="1166"/>
          <w:marRight w:val="0"/>
          <w:marTop w:val="0"/>
          <w:marBottom w:val="0"/>
          <w:divBdr>
            <w:top w:val="none" w:sz="0" w:space="0" w:color="auto"/>
            <w:left w:val="none" w:sz="0" w:space="0" w:color="auto"/>
            <w:bottom w:val="none" w:sz="0" w:space="0" w:color="auto"/>
            <w:right w:val="none" w:sz="0" w:space="0" w:color="auto"/>
          </w:divBdr>
        </w:div>
        <w:div w:id="247664155">
          <w:marLeft w:val="1166"/>
          <w:marRight w:val="0"/>
          <w:marTop w:val="0"/>
          <w:marBottom w:val="0"/>
          <w:divBdr>
            <w:top w:val="none" w:sz="0" w:space="0" w:color="auto"/>
            <w:left w:val="none" w:sz="0" w:space="0" w:color="auto"/>
            <w:bottom w:val="none" w:sz="0" w:space="0" w:color="auto"/>
            <w:right w:val="none" w:sz="0" w:space="0" w:color="auto"/>
          </w:divBdr>
        </w:div>
        <w:div w:id="1467509017">
          <w:marLeft w:val="446"/>
          <w:marRight w:val="0"/>
          <w:marTop w:val="0"/>
          <w:marBottom w:val="0"/>
          <w:divBdr>
            <w:top w:val="none" w:sz="0" w:space="0" w:color="auto"/>
            <w:left w:val="none" w:sz="0" w:space="0" w:color="auto"/>
            <w:bottom w:val="none" w:sz="0" w:space="0" w:color="auto"/>
            <w:right w:val="none" w:sz="0" w:space="0" w:color="auto"/>
          </w:divBdr>
        </w:div>
        <w:div w:id="315962022">
          <w:marLeft w:val="1166"/>
          <w:marRight w:val="0"/>
          <w:marTop w:val="0"/>
          <w:marBottom w:val="0"/>
          <w:divBdr>
            <w:top w:val="none" w:sz="0" w:space="0" w:color="auto"/>
            <w:left w:val="none" w:sz="0" w:space="0" w:color="auto"/>
            <w:bottom w:val="none" w:sz="0" w:space="0" w:color="auto"/>
            <w:right w:val="none" w:sz="0" w:space="0" w:color="auto"/>
          </w:divBdr>
        </w:div>
        <w:div w:id="1641152770">
          <w:marLeft w:val="1166"/>
          <w:marRight w:val="0"/>
          <w:marTop w:val="0"/>
          <w:marBottom w:val="0"/>
          <w:divBdr>
            <w:top w:val="none" w:sz="0" w:space="0" w:color="auto"/>
            <w:left w:val="none" w:sz="0" w:space="0" w:color="auto"/>
            <w:bottom w:val="none" w:sz="0" w:space="0" w:color="auto"/>
            <w:right w:val="none" w:sz="0" w:space="0" w:color="auto"/>
          </w:divBdr>
        </w:div>
      </w:divsChild>
    </w:div>
    <w:div w:id="585504055">
      <w:bodyDiv w:val="1"/>
      <w:marLeft w:val="0"/>
      <w:marRight w:val="0"/>
      <w:marTop w:val="0"/>
      <w:marBottom w:val="0"/>
      <w:divBdr>
        <w:top w:val="none" w:sz="0" w:space="0" w:color="auto"/>
        <w:left w:val="none" w:sz="0" w:space="0" w:color="auto"/>
        <w:bottom w:val="none" w:sz="0" w:space="0" w:color="auto"/>
        <w:right w:val="none" w:sz="0" w:space="0" w:color="auto"/>
      </w:divBdr>
    </w:div>
    <w:div w:id="707335144">
      <w:bodyDiv w:val="1"/>
      <w:marLeft w:val="0"/>
      <w:marRight w:val="0"/>
      <w:marTop w:val="0"/>
      <w:marBottom w:val="0"/>
      <w:divBdr>
        <w:top w:val="none" w:sz="0" w:space="0" w:color="auto"/>
        <w:left w:val="none" w:sz="0" w:space="0" w:color="auto"/>
        <w:bottom w:val="none" w:sz="0" w:space="0" w:color="auto"/>
        <w:right w:val="none" w:sz="0" w:space="0" w:color="auto"/>
      </w:divBdr>
      <w:divsChild>
        <w:div w:id="387605757">
          <w:marLeft w:val="360"/>
          <w:marRight w:val="0"/>
          <w:marTop w:val="200"/>
          <w:marBottom w:val="0"/>
          <w:divBdr>
            <w:top w:val="none" w:sz="0" w:space="0" w:color="auto"/>
            <w:left w:val="none" w:sz="0" w:space="0" w:color="auto"/>
            <w:bottom w:val="none" w:sz="0" w:space="0" w:color="auto"/>
            <w:right w:val="none" w:sz="0" w:space="0" w:color="auto"/>
          </w:divBdr>
        </w:div>
        <w:div w:id="138302995">
          <w:marLeft w:val="360"/>
          <w:marRight w:val="0"/>
          <w:marTop w:val="200"/>
          <w:marBottom w:val="0"/>
          <w:divBdr>
            <w:top w:val="none" w:sz="0" w:space="0" w:color="auto"/>
            <w:left w:val="none" w:sz="0" w:space="0" w:color="auto"/>
            <w:bottom w:val="none" w:sz="0" w:space="0" w:color="auto"/>
            <w:right w:val="none" w:sz="0" w:space="0" w:color="auto"/>
          </w:divBdr>
        </w:div>
        <w:div w:id="1377966002">
          <w:marLeft w:val="360"/>
          <w:marRight w:val="0"/>
          <w:marTop w:val="200"/>
          <w:marBottom w:val="0"/>
          <w:divBdr>
            <w:top w:val="none" w:sz="0" w:space="0" w:color="auto"/>
            <w:left w:val="none" w:sz="0" w:space="0" w:color="auto"/>
            <w:bottom w:val="none" w:sz="0" w:space="0" w:color="auto"/>
            <w:right w:val="none" w:sz="0" w:space="0" w:color="auto"/>
          </w:divBdr>
        </w:div>
        <w:div w:id="335503828">
          <w:marLeft w:val="360"/>
          <w:marRight w:val="0"/>
          <w:marTop w:val="200"/>
          <w:marBottom w:val="0"/>
          <w:divBdr>
            <w:top w:val="none" w:sz="0" w:space="0" w:color="auto"/>
            <w:left w:val="none" w:sz="0" w:space="0" w:color="auto"/>
            <w:bottom w:val="none" w:sz="0" w:space="0" w:color="auto"/>
            <w:right w:val="none" w:sz="0" w:space="0" w:color="auto"/>
          </w:divBdr>
        </w:div>
        <w:div w:id="1108547580">
          <w:marLeft w:val="360"/>
          <w:marRight w:val="0"/>
          <w:marTop w:val="200"/>
          <w:marBottom w:val="0"/>
          <w:divBdr>
            <w:top w:val="none" w:sz="0" w:space="0" w:color="auto"/>
            <w:left w:val="none" w:sz="0" w:space="0" w:color="auto"/>
            <w:bottom w:val="none" w:sz="0" w:space="0" w:color="auto"/>
            <w:right w:val="none" w:sz="0" w:space="0" w:color="auto"/>
          </w:divBdr>
        </w:div>
        <w:div w:id="2108228694">
          <w:marLeft w:val="360"/>
          <w:marRight w:val="0"/>
          <w:marTop w:val="200"/>
          <w:marBottom w:val="0"/>
          <w:divBdr>
            <w:top w:val="none" w:sz="0" w:space="0" w:color="auto"/>
            <w:left w:val="none" w:sz="0" w:space="0" w:color="auto"/>
            <w:bottom w:val="none" w:sz="0" w:space="0" w:color="auto"/>
            <w:right w:val="none" w:sz="0" w:space="0" w:color="auto"/>
          </w:divBdr>
        </w:div>
        <w:div w:id="135728390">
          <w:marLeft w:val="360"/>
          <w:marRight w:val="0"/>
          <w:marTop w:val="200"/>
          <w:marBottom w:val="0"/>
          <w:divBdr>
            <w:top w:val="none" w:sz="0" w:space="0" w:color="auto"/>
            <w:left w:val="none" w:sz="0" w:space="0" w:color="auto"/>
            <w:bottom w:val="none" w:sz="0" w:space="0" w:color="auto"/>
            <w:right w:val="none" w:sz="0" w:space="0" w:color="auto"/>
          </w:divBdr>
        </w:div>
      </w:divsChild>
    </w:div>
    <w:div w:id="1268469169">
      <w:bodyDiv w:val="1"/>
      <w:marLeft w:val="0"/>
      <w:marRight w:val="0"/>
      <w:marTop w:val="0"/>
      <w:marBottom w:val="0"/>
      <w:divBdr>
        <w:top w:val="none" w:sz="0" w:space="0" w:color="auto"/>
        <w:left w:val="none" w:sz="0" w:space="0" w:color="auto"/>
        <w:bottom w:val="none" w:sz="0" w:space="0" w:color="auto"/>
        <w:right w:val="none" w:sz="0" w:space="0" w:color="auto"/>
      </w:divBdr>
      <w:divsChild>
        <w:div w:id="626933348">
          <w:marLeft w:val="360"/>
          <w:marRight w:val="0"/>
          <w:marTop w:val="200"/>
          <w:marBottom w:val="0"/>
          <w:divBdr>
            <w:top w:val="none" w:sz="0" w:space="0" w:color="auto"/>
            <w:left w:val="none" w:sz="0" w:space="0" w:color="auto"/>
            <w:bottom w:val="none" w:sz="0" w:space="0" w:color="auto"/>
            <w:right w:val="none" w:sz="0" w:space="0" w:color="auto"/>
          </w:divBdr>
        </w:div>
        <w:div w:id="730347035">
          <w:marLeft w:val="360"/>
          <w:marRight w:val="0"/>
          <w:marTop w:val="200"/>
          <w:marBottom w:val="0"/>
          <w:divBdr>
            <w:top w:val="none" w:sz="0" w:space="0" w:color="auto"/>
            <w:left w:val="none" w:sz="0" w:space="0" w:color="auto"/>
            <w:bottom w:val="none" w:sz="0" w:space="0" w:color="auto"/>
            <w:right w:val="none" w:sz="0" w:space="0" w:color="auto"/>
          </w:divBdr>
        </w:div>
        <w:div w:id="1748571050">
          <w:marLeft w:val="360"/>
          <w:marRight w:val="0"/>
          <w:marTop w:val="200"/>
          <w:marBottom w:val="0"/>
          <w:divBdr>
            <w:top w:val="none" w:sz="0" w:space="0" w:color="auto"/>
            <w:left w:val="none" w:sz="0" w:space="0" w:color="auto"/>
            <w:bottom w:val="none" w:sz="0" w:space="0" w:color="auto"/>
            <w:right w:val="none" w:sz="0" w:space="0" w:color="auto"/>
          </w:divBdr>
        </w:div>
        <w:div w:id="1893693484">
          <w:marLeft w:val="360"/>
          <w:marRight w:val="0"/>
          <w:marTop w:val="200"/>
          <w:marBottom w:val="0"/>
          <w:divBdr>
            <w:top w:val="none" w:sz="0" w:space="0" w:color="auto"/>
            <w:left w:val="none" w:sz="0" w:space="0" w:color="auto"/>
            <w:bottom w:val="none" w:sz="0" w:space="0" w:color="auto"/>
            <w:right w:val="none" w:sz="0" w:space="0" w:color="auto"/>
          </w:divBdr>
        </w:div>
        <w:div w:id="351536311">
          <w:marLeft w:val="360"/>
          <w:marRight w:val="0"/>
          <w:marTop w:val="200"/>
          <w:marBottom w:val="0"/>
          <w:divBdr>
            <w:top w:val="none" w:sz="0" w:space="0" w:color="auto"/>
            <w:left w:val="none" w:sz="0" w:space="0" w:color="auto"/>
            <w:bottom w:val="none" w:sz="0" w:space="0" w:color="auto"/>
            <w:right w:val="none" w:sz="0" w:space="0" w:color="auto"/>
          </w:divBdr>
        </w:div>
        <w:div w:id="1990861361">
          <w:marLeft w:val="360"/>
          <w:marRight w:val="0"/>
          <w:marTop w:val="200"/>
          <w:marBottom w:val="0"/>
          <w:divBdr>
            <w:top w:val="none" w:sz="0" w:space="0" w:color="auto"/>
            <w:left w:val="none" w:sz="0" w:space="0" w:color="auto"/>
            <w:bottom w:val="none" w:sz="0" w:space="0" w:color="auto"/>
            <w:right w:val="none" w:sz="0" w:space="0" w:color="auto"/>
          </w:divBdr>
        </w:div>
        <w:div w:id="1856530154">
          <w:marLeft w:val="360"/>
          <w:marRight w:val="0"/>
          <w:marTop w:val="200"/>
          <w:marBottom w:val="0"/>
          <w:divBdr>
            <w:top w:val="none" w:sz="0" w:space="0" w:color="auto"/>
            <w:left w:val="none" w:sz="0" w:space="0" w:color="auto"/>
            <w:bottom w:val="none" w:sz="0" w:space="0" w:color="auto"/>
            <w:right w:val="none" w:sz="0" w:space="0" w:color="auto"/>
          </w:divBdr>
        </w:div>
      </w:divsChild>
    </w:div>
    <w:div w:id="1499079132">
      <w:bodyDiv w:val="1"/>
      <w:marLeft w:val="0"/>
      <w:marRight w:val="0"/>
      <w:marTop w:val="0"/>
      <w:marBottom w:val="0"/>
      <w:divBdr>
        <w:top w:val="none" w:sz="0" w:space="0" w:color="auto"/>
        <w:left w:val="none" w:sz="0" w:space="0" w:color="auto"/>
        <w:bottom w:val="none" w:sz="0" w:space="0" w:color="auto"/>
        <w:right w:val="none" w:sz="0" w:space="0" w:color="auto"/>
      </w:divBdr>
    </w:div>
    <w:div w:id="1774476286">
      <w:bodyDiv w:val="1"/>
      <w:marLeft w:val="0"/>
      <w:marRight w:val="0"/>
      <w:marTop w:val="0"/>
      <w:marBottom w:val="0"/>
      <w:divBdr>
        <w:top w:val="none" w:sz="0" w:space="0" w:color="auto"/>
        <w:left w:val="none" w:sz="0" w:space="0" w:color="auto"/>
        <w:bottom w:val="none" w:sz="0" w:space="0" w:color="auto"/>
        <w:right w:val="none" w:sz="0" w:space="0" w:color="auto"/>
      </w:divBdr>
      <w:divsChild>
        <w:div w:id="851265116">
          <w:marLeft w:val="360"/>
          <w:marRight w:val="0"/>
          <w:marTop w:val="200"/>
          <w:marBottom w:val="0"/>
          <w:divBdr>
            <w:top w:val="none" w:sz="0" w:space="0" w:color="auto"/>
            <w:left w:val="none" w:sz="0" w:space="0" w:color="auto"/>
            <w:bottom w:val="none" w:sz="0" w:space="0" w:color="auto"/>
            <w:right w:val="none" w:sz="0" w:space="0" w:color="auto"/>
          </w:divBdr>
        </w:div>
        <w:div w:id="1993680174">
          <w:marLeft w:val="360"/>
          <w:marRight w:val="0"/>
          <w:marTop w:val="200"/>
          <w:marBottom w:val="0"/>
          <w:divBdr>
            <w:top w:val="none" w:sz="0" w:space="0" w:color="auto"/>
            <w:left w:val="none" w:sz="0" w:space="0" w:color="auto"/>
            <w:bottom w:val="none" w:sz="0" w:space="0" w:color="auto"/>
            <w:right w:val="none" w:sz="0" w:space="0" w:color="auto"/>
          </w:divBdr>
        </w:div>
        <w:div w:id="1783378354">
          <w:marLeft w:val="360"/>
          <w:marRight w:val="0"/>
          <w:marTop w:val="200"/>
          <w:marBottom w:val="0"/>
          <w:divBdr>
            <w:top w:val="none" w:sz="0" w:space="0" w:color="auto"/>
            <w:left w:val="none" w:sz="0" w:space="0" w:color="auto"/>
            <w:bottom w:val="none" w:sz="0" w:space="0" w:color="auto"/>
            <w:right w:val="none" w:sz="0" w:space="0" w:color="auto"/>
          </w:divBdr>
        </w:div>
        <w:div w:id="1430390382">
          <w:marLeft w:val="360"/>
          <w:marRight w:val="0"/>
          <w:marTop w:val="200"/>
          <w:marBottom w:val="0"/>
          <w:divBdr>
            <w:top w:val="none" w:sz="0" w:space="0" w:color="auto"/>
            <w:left w:val="none" w:sz="0" w:space="0" w:color="auto"/>
            <w:bottom w:val="none" w:sz="0" w:space="0" w:color="auto"/>
            <w:right w:val="none" w:sz="0" w:space="0" w:color="auto"/>
          </w:divBdr>
        </w:div>
        <w:div w:id="414134805">
          <w:marLeft w:val="1080"/>
          <w:marRight w:val="0"/>
          <w:marTop w:val="100"/>
          <w:marBottom w:val="0"/>
          <w:divBdr>
            <w:top w:val="none" w:sz="0" w:space="0" w:color="auto"/>
            <w:left w:val="none" w:sz="0" w:space="0" w:color="auto"/>
            <w:bottom w:val="none" w:sz="0" w:space="0" w:color="auto"/>
            <w:right w:val="none" w:sz="0" w:space="0" w:color="auto"/>
          </w:divBdr>
        </w:div>
        <w:div w:id="1370447851">
          <w:marLeft w:val="1080"/>
          <w:marRight w:val="0"/>
          <w:marTop w:val="100"/>
          <w:marBottom w:val="0"/>
          <w:divBdr>
            <w:top w:val="none" w:sz="0" w:space="0" w:color="auto"/>
            <w:left w:val="none" w:sz="0" w:space="0" w:color="auto"/>
            <w:bottom w:val="none" w:sz="0" w:space="0" w:color="auto"/>
            <w:right w:val="none" w:sz="0" w:space="0" w:color="auto"/>
          </w:divBdr>
        </w:div>
        <w:div w:id="166673329">
          <w:marLeft w:val="1080"/>
          <w:marRight w:val="0"/>
          <w:marTop w:val="100"/>
          <w:marBottom w:val="0"/>
          <w:divBdr>
            <w:top w:val="none" w:sz="0" w:space="0" w:color="auto"/>
            <w:left w:val="none" w:sz="0" w:space="0" w:color="auto"/>
            <w:bottom w:val="none" w:sz="0" w:space="0" w:color="auto"/>
            <w:right w:val="none" w:sz="0" w:space="0" w:color="auto"/>
          </w:divBdr>
        </w:div>
        <w:div w:id="1936863133">
          <w:marLeft w:val="1080"/>
          <w:marRight w:val="0"/>
          <w:marTop w:val="100"/>
          <w:marBottom w:val="0"/>
          <w:divBdr>
            <w:top w:val="none" w:sz="0" w:space="0" w:color="auto"/>
            <w:left w:val="none" w:sz="0" w:space="0" w:color="auto"/>
            <w:bottom w:val="none" w:sz="0" w:space="0" w:color="auto"/>
            <w:right w:val="none" w:sz="0" w:space="0" w:color="auto"/>
          </w:divBdr>
        </w:div>
        <w:div w:id="2104108504">
          <w:marLeft w:val="360"/>
          <w:marRight w:val="0"/>
          <w:marTop w:val="200"/>
          <w:marBottom w:val="0"/>
          <w:divBdr>
            <w:top w:val="none" w:sz="0" w:space="0" w:color="auto"/>
            <w:left w:val="none" w:sz="0" w:space="0" w:color="auto"/>
            <w:bottom w:val="none" w:sz="0" w:space="0" w:color="auto"/>
            <w:right w:val="none" w:sz="0" w:space="0" w:color="auto"/>
          </w:divBdr>
        </w:div>
        <w:div w:id="1029336344">
          <w:marLeft w:val="360"/>
          <w:marRight w:val="0"/>
          <w:marTop w:val="200"/>
          <w:marBottom w:val="0"/>
          <w:divBdr>
            <w:top w:val="none" w:sz="0" w:space="0" w:color="auto"/>
            <w:left w:val="none" w:sz="0" w:space="0" w:color="auto"/>
            <w:bottom w:val="none" w:sz="0" w:space="0" w:color="auto"/>
            <w:right w:val="none" w:sz="0" w:space="0" w:color="auto"/>
          </w:divBdr>
        </w:div>
      </w:divsChild>
    </w:div>
    <w:div w:id="1860199950">
      <w:bodyDiv w:val="1"/>
      <w:marLeft w:val="0"/>
      <w:marRight w:val="0"/>
      <w:marTop w:val="0"/>
      <w:marBottom w:val="0"/>
      <w:divBdr>
        <w:top w:val="none" w:sz="0" w:space="0" w:color="auto"/>
        <w:left w:val="none" w:sz="0" w:space="0" w:color="auto"/>
        <w:bottom w:val="none" w:sz="0" w:space="0" w:color="auto"/>
        <w:right w:val="none" w:sz="0" w:space="0" w:color="auto"/>
      </w:divBdr>
      <w:divsChild>
        <w:div w:id="1457259093">
          <w:marLeft w:val="0"/>
          <w:marRight w:val="0"/>
          <w:marTop w:val="0"/>
          <w:marBottom w:val="0"/>
          <w:divBdr>
            <w:top w:val="none" w:sz="0" w:space="0" w:color="auto"/>
            <w:left w:val="none" w:sz="0" w:space="0" w:color="auto"/>
            <w:bottom w:val="none" w:sz="0" w:space="0" w:color="auto"/>
            <w:right w:val="none" w:sz="0" w:space="0" w:color="auto"/>
          </w:divBdr>
          <w:divsChild>
            <w:div w:id="1235553500">
              <w:marLeft w:val="0"/>
              <w:marRight w:val="0"/>
              <w:marTop w:val="0"/>
              <w:marBottom w:val="0"/>
              <w:divBdr>
                <w:top w:val="none" w:sz="0" w:space="0" w:color="auto"/>
                <w:left w:val="none" w:sz="0" w:space="0" w:color="auto"/>
                <w:bottom w:val="none" w:sz="0" w:space="0" w:color="auto"/>
                <w:right w:val="none" w:sz="0" w:space="0" w:color="auto"/>
              </w:divBdr>
              <w:divsChild>
                <w:div w:id="937786762">
                  <w:marLeft w:val="0"/>
                  <w:marRight w:val="0"/>
                  <w:marTop w:val="0"/>
                  <w:marBottom w:val="0"/>
                  <w:divBdr>
                    <w:top w:val="none" w:sz="0" w:space="0" w:color="auto"/>
                    <w:left w:val="none" w:sz="0" w:space="0" w:color="auto"/>
                    <w:bottom w:val="none" w:sz="0" w:space="0" w:color="auto"/>
                    <w:right w:val="none" w:sz="0" w:space="0" w:color="auto"/>
                  </w:divBdr>
                  <w:divsChild>
                    <w:div w:id="930552208">
                      <w:marLeft w:val="0"/>
                      <w:marRight w:val="0"/>
                      <w:marTop w:val="0"/>
                      <w:marBottom w:val="0"/>
                      <w:divBdr>
                        <w:top w:val="none" w:sz="0" w:space="0" w:color="auto"/>
                        <w:left w:val="none" w:sz="0" w:space="0" w:color="auto"/>
                        <w:bottom w:val="none" w:sz="0" w:space="0" w:color="auto"/>
                        <w:right w:val="none" w:sz="0" w:space="0" w:color="auto"/>
                      </w:divBdr>
                      <w:divsChild>
                        <w:div w:id="1577206850">
                          <w:marLeft w:val="0"/>
                          <w:marRight w:val="0"/>
                          <w:marTop w:val="0"/>
                          <w:marBottom w:val="0"/>
                          <w:divBdr>
                            <w:top w:val="none" w:sz="0" w:space="0" w:color="auto"/>
                            <w:left w:val="none" w:sz="0" w:space="0" w:color="auto"/>
                            <w:bottom w:val="none" w:sz="0" w:space="0" w:color="auto"/>
                            <w:right w:val="none" w:sz="0" w:space="0" w:color="auto"/>
                          </w:divBdr>
                          <w:divsChild>
                            <w:div w:id="129960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448314">
      <w:bodyDiv w:val="1"/>
      <w:marLeft w:val="0"/>
      <w:marRight w:val="0"/>
      <w:marTop w:val="0"/>
      <w:marBottom w:val="0"/>
      <w:divBdr>
        <w:top w:val="none" w:sz="0" w:space="0" w:color="auto"/>
        <w:left w:val="none" w:sz="0" w:space="0" w:color="auto"/>
        <w:bottom w:val="none" w:sz="0" w:space="0" w:color="auto"/>
        <w:right w:val="none" w:sz="0" w:space="0" w:color="auto"/>
      </w:divBdr>
    </w:div>
    <w:div w:id="2055956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TermInfo xmlns="http://schemas.microsoft.com/office/infopath/2007/PartnerControls">
          <TermName xmlns="http://schemas.microsoft.com/office/infopath/2007/PartnerControls">NOT PROTECTIVELY MARKED</TermName>
          <TermId xmlns="http://schemas.microsoft.com/office/infopath/2007/PartnerControls">59351c5f-b7fd-4a97-8559-c38b9b573e6f</TermId>
        </TermInfo>
      </Term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TermInfo xmlns="http://schemas.microsoft.com/office/infopath/2007/PartnerControls">
          <TermName xmlns="http://schemas.microsoft.com/office/infopath/2007/PartnerControls">Please select...</TermName>
          <TermId xmlns="http://schemas.microsoft.com/office/infopath/2007/PartnerControls">d4c3a339-8617-448c-96a4-aa4fe7bbd822</TermId>
        </TermInfo>
      </Terms>
    </a729509b32a34273afbf773e0c72336c>
    <Document_x0020_Description xmlns="1eee4ddb-a1f9-40b8-9282-d53ea582adeb" xsi:nil="true"/>
    <_dlc_DocId xmlns="1eee4ddb-a1f9-40b8-9282-d53ea582adeb">AAFXSQ5MW4ZD-189-46560</_dlc_DocId>
    <_dlc_DocIdUrl xmlns="1eee4ddb-a1f9-40b8-9282-d53ea582adeb">
      <Url>http://iws.ims.gov.uk/twa/goa/br/_layouts/DocIdRedir.aspx?ID=AAFXSQ5MW4ZD-189-46560</Url>
      <Description>AAFXSQ5MW4ZD-189-46560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H Document" ma:contentTypeID="0x010100B9957A1BF2FBE8478EF96F1BD89AD4CA0073C06C4B959B9447AF0C10F0C105981E" ma:contentTypeVersion="1" ma:contentTypeDescription="DH specific document content type for use in File Plan" ma:contentTypeScope="" ma:versionID="8a802362682827089d2c4492f9b2cc7d">
  <xsd:schema xmlns:xsd="http://www.w3.org/2001/XMLSchema" xmlns:xs="http://www.w3.org/2001/XMLSchema" xmlns:p="http://schemas.microsoft.com/office/2006/metadata/properties" xmlns:ns1="http://schemas.microsoft.com/sharepoint/v3" xmlns:ns2="1eee4ddb-a1f9-40b8-9282-d53ea582adeb" targetNamespace="http://schemas.microsoft.com/office/2006/metadata/properties" ma:root="true" ma:fieldsID="138103b65a94ecd8dea395caa8e11ab6" ns1:_="" ns2:_="">
    <xsd:import namespace="http://schemas.microsoft.com/sharepoint/v3"/>
    <xsd:import namespace="1eee4ddb-a1f9-40b8-9282-d53ea582adeb"/>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ma:taxonomy="true" ma:internalName="e993c7ebdb0844bda77b49081e8191e4" ma:taxonomyFieldName="_cx_SecurityMarkings" ma:displayName="Protective Marking" ma:readOnly="false" ma:default="1;#NOT PROTECTIVELY MARKED|59351c5f-b7fd-4a97-8559-c38b9b573e6f"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readOnly="false" ma:default="89;#Please select...|d4c3a339-8617-448c-96a4-aa4fe7bbd822"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6EED7-10EE-48FF-A6E9-45621AEA3EEB}">
  <ds:schemaRefs>
    <ds:schemaRef ds:uri="http://schemas.microsoft.com/sharepoint/v3/contenttype/forms"/>
  </ds:schemaRefs>
</ds:datastoreItem>
</file>

<file path=customXml/itemProps2.xml><?xml version="1.0" encoding="utf-8"?>
<ds:datastoreItem xmlns:ds="http://schemas.openxmlformats.org/officeDocument/2006/customXml" ds:itemID="{82762F4C-EEEF-461E-85A4-954ED3F54E9A}">
  <ds:schemaRefs>
    <ds:schemaRef ds:uri="http://schemas.microsoft.com/office/2006/metadata/customXsn"/>
  </ds:schemaRefs>
</ds:datastoreItem>
</file>

<file path=customXml/itemProps3.xml><?xml version="1.0" encoding="utf-8"?>
<ds:datastoreItem xmlns:ds="http://schemas.openxmlformats.org/officeDocument/2006/customXml" ds:itemID="{1D7EDD0E-A0C6-4EC0-9CC8-293C79FB4401}">
  <ds:schemaRefs>
    <ds:schemaRef ds:uri="http://schemas.microsoft.com/office/2006/metadata/properties"/>
    <ds:schemaRef ds:uri="http://schemas.microsoft.com/office/infopath/2007/PartnerControls"/>
    <ds:schemaRef ds:uri="1eee4ddb-a1f9-40b8-9282-d53ea582adeb"/>
  </ds:schemaRefs>
</ds:datastoreItem>
</file>

<file path=customXml/itemProps4.xml><?xml version="1.0" encoding="utf-8"?>
<ds:datastoreItem xmlns:ds="http://schemas.openxmlformats.org/officeDocument/2006/customXml" ds:itemID="{8B03C24C-199A-4626-A021-A10C03E30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4ddb-a1f9-40b8-9282-d53ea582a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DDCEA0-F13E-4B15-8796-D7279C54F3F8}">
  <ds:schemaRefs>
    <ds:schemaRef ds:uri="http://schemas.microsoft.com/sharepoint/events"/>
  </ds:schemaRefs>
</ds:datastoreItem>
</file>

<file path=customXml/itemProps6.xml><?xml version="1.0" encoding="utf-8"?>
<ds:datastoreItem xmlns:ds="http://schemas.openxmlformats.org/officeDocument/2006/customXml" ds:itemID="{CCBB491F-D7DD-4045-8E1C-3440F23EF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2058</Words>
  <Characters>11736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TGDH</Company>
  <LinksUpToDate>false</LinksUpToDate>
  <CharactersWithSpaces>13767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Carling</dc:creator>
  <cp:lastModifiedBy>Bisi Aiyeleso (Merton and Wandsworth CCGs)</cp:lastModifiedBy>
  <cp:revision>8</cp:revision>
  <cp:lastPrinted>2019-12-17T14:32:00Z</cp:lastPrinted>
  <dcterms:created xsi:type="dcterms:W3CDTF">2020-01-02T14:17:00Z</dcterms:created>
  <dcterms:modified xsi:type="dcterms:W3CDTF">2020-01-02T14:52:00Z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0x010100B9957A1BF2FBE8478EF96F1BD89AD4CA0073C06C4B959B9447AF0C10F0C105981E</vt:lpwstr>
  </property>
  <property fmtid="{D5CDD505-2E9C-101B-9397-08002B2CF9AE}" pid="3" name="_dlc_DocIdItemGuid">
    <vt:lpwstr>e5be24e6-4f14-4aec-ac6f-aeec6849b972</vt:lpwstr>
  </property>
</Properties>
</file>