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BEC1" w14:textId="43ABEAD9" w:rsidR="007A2913" w:rsidRDefault="44292A0B" w:rsidP="5D9526F8">
      <w:pPr>
        <w:keepNext/>
        <w:spacing w:after="200" w:line="259" w:lineRule="auto"/>
        <w:jc w:val="right"/>
        <w:rPr>
          <w:rFonts w:ascii="Calibri" w:eastAsia="Calibri" w:hAnsi="Calibri" w:cs="Calibri"/>
          <w:color w:val="000000" w:themeColor="text1"/>
        </w:rPr>
      </w:pPr>
      <w:r>
        <w:rPr>
          <w:noProof/>
        </w:rPr>
        <w:drawing>
          <wp:inline distT="0" distB="0" distL="0" distR="0" wp14:anchorId="19723717" wp14:editId="44292A0B">
            <wp:extent cx="1971675" cy="847725"/>
            <wp:effectExtent l="0" t="0" r="0" b="0"/>
            <wp:docPr id="778866271" name="Picture 778866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971675" cy="847725"/>
                    </a:xfrm>
                    <a:prstGeom prst="rect">
                      <a:avLst/>
                    </a:prstGeom>
                  </pic:spPr>
                </pic:pic>
              </a:graphicData>
            </a:graphic>
          </wp:inline>
        </w:drawing>
      </w:r>
    </w:p>
    <w:p w14:paraId="7B3F881E" w14:textId="0C19E734" w:rsidR="007A2913" w:rsidRDefault="44292A0B" w:rsidP="5D9526F8">
      <w:pPr>
        <w:keepNext/>
        <w:spacing w:after="200" w:line="259" w:lineRule="auto"/>
        <w:ind w:left="0"/>
        <w:rPr>
          <w:rFonts w:eastAsia="Arial"/>
          <w:color w:val="000000" w:themeColor="text1"/>
          <w:sz w:val="31"/>
          <w:szCs w:val="31"/>
        </w:rPr>
      </w:pPr>
      <w:r w:rsidRPr="5D9526F8">
        <w:rPr>
          <w:rFonts w:eastAsia="Arial"/>
          <w:b/>
          <w:bCs/>
          <w:color w:val="000000" w:themeColor="text1"/>
          <w:sz w:val="31"/>
          <w:szCs w:val="31"/>
        </w:rPr>
        <w:t xml:space="preserve">ESN Royal London Hospital Proof of Concept  </w:t>
      </w:r>
    </w:p>
    <w:p w14:paraId="4C485F79" w14:textId="21A83236" w:rsidR="007A2913" w:rsidRDefault="44292A0B" w:rsidP="5D9526F8">
      <w:pPr>
        <w:keepNext/>
        <w:ind w:left="0"/>
        <w:rPr>
          <w:rFonts w:eastAsia="Arial"/>
          <w:color w:val="000000" w:themeColor="text1"/>
          <w:sz w:val="31"/>
          <w:szCs w:val="31"/>
        </w:rPr>
      </w:pPr>
      <w:r w:rsidRPr="5D9526F8">
        <w:rPr>
          <w:rFonts w:eastAsia="Arial"/>
          <w:b/>
          <w:bCs/>
          <w:color w:val="000000" w:themeColor="text1"/>
          <w:sz w:val="31"/>
          <w:szCs w:val="31"/>
        </w:rPr>
        <w:t>Contract Ref: C25949</w:t>
      </w:r>
    </w:p>
    <w:p w14:paraId="3B1DE44D" w14:textId="3AAB1B2A" w:rsidR="007A2913" w:rsidRDefault="00E93746" w:rsidP="5D9526F8">
      <w:pPr>
        <w:keepNext/>
        <w:ind w:left="0"/>
        <w:rPr>
          <w:rFonts w:eastAsia="Arial"/>
          <w:color w:val="000000" w:themeColor="text1"/>
          <w:sz w:val="31"/>
          <w:szCs w:val="31"/>
        </w:rPr>
      </w:pPr>
      <w:r>
        <w:rPr>
          <w:rFonts w:eastAsia="Arial"/>
          <w:b/>
          <w:bCs/>
          <w:color w:val="000000" w:themeColor="text1"/>
          <w:sz w:val="31"/>
          <w:szCs w:val="31"/>
        </w:rPr>
        <w:t xml:space="preserve">March </w:t>
      </w:r>
      <w:r w:rsidRPr="5D9526F8">
        <w:rPr>
          <w:rFonts w:eastAsia="Arial"/>
          <w:b/>
          <w:bCs/>
          <w:color w:val="000000" w:themeColor="text1"/>
          <w:sz w:val="31"/>
          <w:szCs w:val="31"/>
        </w:rPr>
        <w:t>2024</w:t>
      </w:r>
    </w:p>
    <w:p w14:paraId="672A6659" w14:textId="723F62F2" w:rsidR="007A2913" w:rsidRDefault="007A2913" w:rsidP="5D9526F8">
      <w:pPr>
        <w:keepNext/>
        <w:pBdr>
          <w:top w:val="nil"/>
          <w:left w:val="nil"/>
          <w:bottom w:val="nil"/>
          <w:right w:val="nil"/>
          <w:between w:val="nil"/>
        </w:pBdr>
        <w:ind w:left="0"/>
        <w:jc w:val="left"/>
        <w:rPr>
          <w:b/>
          <w:bCs/>
          <w:color w:val="000000"/>
          <w:sz w:val="32"/>
          <w:szCs w:val="32"/>
        </w:rPr>
      </w:pPr>
    </w:p>
    <w:p w14:paraId="233156AB" w14:textId="77777777" w:rsidR="007A2913" w:rsidRDefault="00E570DE">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14:paraId="32E1BFAF" w14:textId="77777777" w:rsidR="007A2913" w:rsidRDefault="00E570DE">
      <w:pPr>
        <w:keepNext/>
        <w:numPr>
          <w:ilvl w:val="0"/>
          <w:numId w:val="5"/>
        </w:numPr>
        <w:pBdr>
          <w:top w:val="nil"/>
          <w:left w:val="nil"/>
          <w:bottom w:val="nil"/>
          <w:right w:val="nil"/>
          <w:between w:val="nil"/>
        </w:pBdr>
        <w:tabs>
          <w:tab w:val="left" w:pos="0"/>
        </w:tabs>
        <w:spacing w:before="240"/>
        <w:jc w:val="left"/>
        <w:rPr>
          <w:b/>
          <w:smallCaps/>
          <w:color w:val="000000"/>
          <w:sz w:val="24"/>
          <w:szCs w:val="24"/>
        </w:rPr>
      </w:pPr>
      <w:bookmarkStart w:id="0" w:name="_heading=h.gjdgxs" w:colFirst="0" w:colLast="0"/>
      <w:bookmarkEnd w:id="0"/>
      <w:r>
        <w:rPr>
          <w:b/>
          <w:smallCaps/>
          <w:color w:val="000000"/>
          <w:sz w:val="24"/>
          <w:szCs w:val="24"/>
        </w:rPr>
        <w:t>D</w:t>
      </w:r>
      <w:r>
        <w:rPr>
          <w:rFonts w:ascii="Arial Bold" w:eastAsia="Arial Bold" w:hAnsi="Arial Bold" w:cs="Arial Bold"/>
          <w:b/>
          <w:color w:val="000000"/>
          <w:sz w:val="24"/>
          <w:szCs w:val="24"/>
        </w:rPr>
        <w:t>efinitions</w:t>
      </w:r>
    </w:p>
    <w:p w14:paraId="652B27AB" w14:textId="77777777" w:rsidR="007A2913" w:rsidRDefault="00E570DE">
      <w:pPr>
        <w:keepNext/>
        <w:numPr>
          <w:ilvl w:val="1"/>
          <w:numId w:val="5"/>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W w:w="8172"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097"/>
        <w:gridCol w:w="5075"/>
      </w:tblGrid>
      <w:tr w:rsidR="007A2913" w14:paraId="4164975C" w14:textId="77777777">
        <w:tc>
          <w:tcPr>
            <w:tcW w:w="3097" w:type="dxa"/>
          </w:tcPr>
          <w:p w14:paraId="09FE95BC"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sz w:val="24"/>
                <w:szCs w:val="24"/>
              </w:rPr>
              <w:t>“Annual Revenue”</w:t>
            </w:r>
          </w:p>
        </w:tc>
        <w:tc>
          <w:tcPr>
            <w:tcW w:w="5075" w:type="dxa"/>
          </w:tcPr>
          <w:p w14:paraId="5333F480" w14:textId="77777777" w:rsidR="007A2913" w:rsidRDefault="00E570DE">
            <w:pPr>
              <w:pBdr>
                <w:top w:val="nil"/>
                <w:left w:val="nil"/>
                <w:bottom w:val="nil"/>
                <w:right w:val="nil"/>
                <w:between w:val="nil"/>
              </w:pBdr>
              <w:spacing w:before="100" w:after="200"/>
              <w:ind w:left="0"/>
              <w:jc w:val="left"/>
              <w:rPr>
                <w:rFonts w:eastAsia="Arial"/>
                <w:color w:val="000000"/>
                <w:sz w:val="24"/>
                <w:szCs w:val="24"/>
              </w:rPr>
            </w:pPr>
            <w:r>
              <w:rPr>
                <w:rFonts w:eastAsia="Arial"/>
                <w:color w:val="000000"/>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CE35F26" w14:textId="77777777" w:rsidR="007A2913" w:rsidRDefault="00E570DE">
            <w:pPr>
              <w:numPr>
                <w:ilvl w:val="0"/>
                <w:numId w:val="1"/>
              </w:numPr>
              <w:pBdr>
                <w:top w:val="nil"/>
                <w:left w:val="nil"/>
                <w:bottom w:val="nil"/>
                <w:right w:val="nil"/>
                <w:between w:val="nil"/>
              </w:pBdr>
              <w:rPr>
                <w:rFonts w:eastAsia="Arial"/>
                <w:color w:val="000000"/>
                <w:sz w:val="24"/>
                <w:szCs w:val="24"/>
              </w:rPr>
            </w:pPr>
            <w:r>
              <w:rPr>
                <w:rFonts w:eastAsia="Arial"/>
                <w:color w:val="000000"/>
                <w:sz w:val="24"/>
                <w:szCs w:val="24"/>
              </w:rPr>
              <w:t xml:space="preserve">figures for accounting periods of other than 12 months should be scaled pro rata to produce a proforma figure for a </w:t>
            </w:r>
            <w:proofErr w:type="gramStart"/>
            <w:r>
              <w:rPr>
                <w:rFonts w:eastAsia="Arial"/>
                <w:color w:val="000000"/>
                <w:sz w:val="24"/>
                <w:szCs w:val="24"/>
              </w:rPr>
              <w:t>12 month</w:t>
            </w:r>
            <w:proofErr w:type="gramEnd"/>
            <w:r>
              <w:rPr>
                <w:rFonts w:eastAsia="Arial"/>
                <w:color w:val="000000"/>
                <w:sz w:val="24"/>
                <w:szCs w:val="24"/>
              </w:rPr>
              <w:t xml:space="preserve"> period; and</w:t>
            </w:r>
          </w:p>
          <w:p w14:paraId="3EBBACFA" w14:textId="77777777" w:rsidR="007A2913" w:rsidRDefault="00E570DE">
            <w:pPr>
              <w:numPr>
                <w:ilvl w:val="0"/>
                <w:numId w:val="1"/>
              </w:numPr>
              <w:pBdr>
                <w:top w:val="nil"/>
                <w:left w:val="nil"/>
                <w:bottom w:val="nil"/>
                <w:right w:val="nil"/>
                <w:between w:val="nil"/>
              </w:pBdr>
              <w:rPr>
                <w:rFonts w:eastAsia="Arial"/>
                <w:color w:val="000000"/>
                <w:sz w:val="24"/>
                <w:szCs w:val="24"/>
              </w:rPr>
            </w:pPr>
            <w:r>
              <w:rPr>
                <w:rFonts w:eastAsia="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7A2913" w14:paraId="29D27E40" w14:textId="77777777">
        <w:tc>
          <w:tcPr>
            <w:tcW w:w="3097" w:type="dxa"/>
          </w:tcPr>
          <w:p w14:paraId="39DC6EE3" w14:textId="77777777" w:rsidR="007A2913" w:rsidRDefault="00E570DE">
            <w:pPr>
              <w:pBdr>
                <w:top w:val="nil"/>
                <w:left w:val="nil"/>
                <w:bottom w:val="nil"/>
                <w:right w:val="nil"/>
                <w:between w:val="nil"/>
              </w:pBdr>
              <w:spacing w:after="120"/>
              <w:ind w:left="-108"/>
              <w:jc w:val="left"/>
              <w:rPr>
                <w:b/>
                <w:sz w:val="24"/>
                <w:szCs w:val="24"/>
              </w:rPr>
            </w:pPr>
            <w:r>
              <w:rPr>
                <w:rFonts w:eastAsia="Arial"/>
                <w:b/>
                <w:sz w:val="24"/>
                <w:szCs w:val="24"/>
              </w:rPr>
              <w:t>“Appropriate Authority” or “Appropriate Authorities”</w:t>
            </w:r>
          </w:p>
        </w:tc>
        <w:tc>
          <w:tcPr>
            <w:tcW w:w="5075" w:type="dxa"/>
          </w:tcPr>
          <w:p w14:paraId="58AFC166" w14:textId="77777777" w:rsidR="007A2913" w:rsidRDefault="00E570DE">
            <w:pPr>
              <w:pBdr>
                <w:top w:val="nil"/>
                <w:left w:val="nil"/>
                <w:bottom w:val="nil"/>
                <w:right w:val="nil"/>
                <w:between w:val="nil"/>
              </w:pBdr>
              <w:spacing w:before="100" w:after="200"/>
              <w:ind w:left="0"/>
              <w:jc w:val="left"/>
              <w:rPr>
                <w:color w:val="000000"/>
                <w:sz w:val="24"/>
                <w:szCs w:val="24"/>
              </w:rPr>
            </w:pPr>
            <w:r>
              <w:rPr>
                <w:rFonts w:eastAsia="Arial"/>
                <w:sz w:val="24"/>
                <w:szCs w:val="24"/>
              </w:rPr>
              <w:t xml:space="preserve">means the Buyer and the Cabinet Office Markets and Suppliers Team or, where the </w:t>
            </w:r>
            <w:r>
              <w:rPr>
                <w:rFonts w:eastAsia="Arial"/>
                <w:sz w:val="24"/>
                <w:szCs w:val="24"/>
              </w:rPr>
              <w:lastRenderedPageBreak/>
              <w:t>Supplier is a Strategic Supplier, the Cabinet Office Markets and Suppliers Team;</w:t>
            </w:r>
          </w:p>
        </w:tc>
      </w:tr>
      <w:tr w:rsidR="007A2913" w14:paraId="5A445200" w14:textId="77777777">
        <w:tc>
          <w:tcPr>
            <w:tcW w:w="3097" w:type="dxa"/>
          </w:tcPr>
          <w:p w14:paraId="59E67986" w14:textId="77777777" w:rsidR="007A2913" w:rsidRDefault="00E570DE">
            <w:pPr>
              <w:pBdr>
                <w:top w:val="nil"/>
                <w:left w:val="nil"/>
                <w:bottom w:val="nil"/>
                <w:right w:val="nil"/>
                <w:between w:val="nil"/>
              </w:pBdr>
              <w:spacing w:after="120"/>
              <w:ind w:left="-108"/>
              <w:jc w:val="left"/>
              <w:rPr>
                <w:rFonts w:eastAsia="Arial"/>
                <w:b/>
                <w:sz w:val="24"/>
                <w:szCs w:val="24"/>
              </w:rPr>
            </w:pPr>
            <w:r>
              <w:rPr>
                <w:rFonts w:eastAsia="Arial"/>
                <w:b/>
                <w:sz w:val="24"/>
                <w:szCs w:val="24"/>
              </w:rPr>
              <w:lastRenderedPageBreak/>
              <w:t>“Associates”</w:t>
            </w:r>
          </w:p>
        </w:tc>
        <w:tc>
          <w:tcPr>
            <w:tcW w:w="5075" w:type="dxa"/>
          </w:tcPr>
          <w:p w14:paraId="297C251F" w14:textId="77777777" w:rsidR="007A2913" w:rsidRDefault="00E570DE">
            <w:pPr>
              <w:pBdr>
                <w:top w:val="nil"/>
                <w:left w:val="nil"/>
                <w:bottom w:val="nil"/>
                <w:right w:val="nil"/>
                <w:between w:val="nil"/>
              </w:pBdr>
              <w:spacing w:before="100" w:after="200"/>
              <w:ind w:left="0"/>
              <w:jc w:val="left"/>
              <w:rPr>
                <w:rFonts w:eastAsia="Arial"/>
                <w:color w:val="000000"/>
                <w:sz w:val="24"/>
                <w:szCs w:val="24"/>
              </w:rPr>
            </w:pPr>
            <w:r>
              <w:rPr>
                <w:rFonts w:eastAsia="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7A2913" w14:paraId="2FD18888" w14:textId="77777777">
        <w:tc>
          <w:tcPr>
            <w:tcW w:w="3097" w:type="dxa"/>
          </w:tcPr>
          <w:p w14:paraId="53A53C55" w14:textId="77777777" w:rsidR="007A2913" w:rsidRDefault="00E570DE">
            <w:pPr>
              <w:pBdr>
                <w:top w:val="nil"/>
                <w:left w:val="nil"/>
                <w:bottom w:val="nil"/>
                <w:right w:val="nil"/>
                <w:between w:val="nil"/>
              </w:pBdr>
              <w:spacing w:after="120"/>
              <w:ind w:left="-108"/>
              <w:jc w:val="left"/>
              <w:rPr>
                <w:rFonts w:eastAsia="Arial"/>
                <w:b/>
                <w:sz w:val="24"/>
                <w:szCs w:val="24"/>
              </w:rPr>
            </w:pPr>
            <w:r>
              <w:rPr>
                <w:rFonts w:eastAsia="Arial"/>
                <w:b/>
                <w:sz w:val="24"/>
                <w:szCs w:val="24"/>
              </w:rPr>
              <w:t>"BCDR Plan"</w:t>
            </w:r>
          </w:p>
        </w:tc>
        <w:tc>
          <w:tcPr>
            <w:tcW w:w="5075" w:type="dxa"/>
          </w:tcPr>
          <w:p w14:paraId="0A37501D" w14:textId="77777777" w:rsidR="007A2913" w:rsidRDefault="007A2913">
            <w:pPr>
              <w:pBdr>
                <w:top w:val="nil"/>
                <w:left w:val="nil"/>
                <w:bottom w:val="nil"/>
                <w:right w:val="nil"/>
                <w:between w:val="nil"/>
              </w:pBdr>
              <w:tabs>
                <w:tab w:val="left" w:pos="-9"/>
              </w:tabs>
              <w:spacing w:after="120"/>
              <w:ind w:left="0"/>
              <w:jc w:val="left"/>
              <w:rPr>
                <w:rFonts w:eastAsia="Arial"/>
                <w:sz w:val="24"/>
                <w:szCs w:val="24"/>
              </w:rPr>
            </w:pPr>
            <w:bookmarkStart w:id="1" w:name="_heading=h.ihv636" w:colFirst="0" w:colLast="0"/>
            <w:bookmarkEnd w:id="1"/>
          </w:p>
          <w:p w14:paraId="6201EA85" w14:textId="77777777" w:rsidR="007A2913" w:rsidRDefault="00E570DE">
            <w:pPr>
              <w:spacing w:before="120" w:after="120"/>
              <w:ind w:left="0"/>
              <w:jc w:val="left"/>
              <w:rPr>
                <w:rFonts w:eastAsia="Arial"/>
                <w:sz w:val="24"/>
                <w:szCs w:val="24"/>
              </w:rPr>
            </w:pPr>
            <w:r>
              <w:rPr>
                <w:rFonts w:eastAsia="Arial"/>
                <w:sz w:val="24"/>
                <w:szCs w:val="24"/>
              </w:rPr>
              <w:t>a plan which details the processes and arrangements that the Supplier shall follow to:</w:t>
            </w:r>
          </w:p>
          <w:p w14:paraId="3EDAD16D" w14:textId="77777777" w:rsidR="007A2913" w:rsidRDefault="00E570DE">
            <w:pPr>
              <w:numPr>
                <w:ilvl w:val="3"/>
                <w:numId w:val="6"/>
              </w:numPr>
              <w:tabs>
                <w:tab w:val="left" w:pos="1985"/>
                <w:tab w:val="left" w:pos="2127"/>
              </w:tabs>
              <w:spacing w:before="120" w:after="120"/>
              <w:rPr>
                <w:sz w:val="24"/>
                <w:szCs w:val="24"/>
              </w:rPr>
            </w:pPr>
            <w:r>
              <w:rPr>
                <w:rFonts w:eastAsia="Arial"/>
                <w:sz w:val="24"/>
                <w:szCs w:val="24"/>
              </w:rPr>
              <w:t>ensure continuity of the business processes and operations supported by the Services following any failure or disruption of any element of the Deliverables; and</w:t>
            </w:r>
          </w:p>
          <w:p w14:paraId="5FF71BB2" w14:textId="77777777" w:rsidR="007A2913" w:rsidRDefault="00E570DE">
            <w:pPr>
              <w:tabs>
                <w:tab w:val="left" w:pos="-9"/>
              </w:tabs>
              <w:spacing w:before="120" w:after="120"/>
              <w:ind w:left="1440" w:hanging="693"/>
              <w:jc w:val="left"/>
              <w:rPr>
                <w:rFonts w:eastAsia="Arial"/>
                <w:sz w:val="24"/>
                <w:szCs w:val="24"/>
              </w:rPr>
            </w:pPr>
            <w:r>
              <w:rPr>
                <w:rFonts w:eastAsia="Arial"/>
                <w:sz w:val="24"/>
                <w:szCs w:val="24"/>
              </w:rPr>
              <w:t>(b)      the recovery of the Deliverables in the event of a Disaster;</w:t>
            </w:r>
          </w:p>
        </w:tc>
      </w:tr>
      <w:tr w:rsidR="007A2913" w14:paraId="3893C663" w14:textId="77777777">
        <w:tc>
          <w:tcPr>
            <w:tcW w:w="3097" w:type="dxa"/>
          </w:tcPr>
          <w:p w14:paraId="53B7EBA6" w14:textId="77777777" w:rsidR="007A2913" w:rsidRDefault="00E570DE">
            <w:pPr>
              <w:pBdr>
                <w:top w:val="nil"/>
                <w:left w:val="nil"/>
                <w:bottom w:val="nil"/>
                <w:right w:val="nil"/>
                <w:between w:val="nil"/>
              </w:pBdr>
              <w:spacing w:after="120"/>
              <w:ind w:left="-108"/>
              <w:jc w:val="left"/>
              <w:rPr>
                <w:rFonts w:eastAsia="Arial"/>
                <w:b/>
                <w:sz w:val="24"/>
                <w:szCs w:val="24"/>
              </w:rPr>
            </w:pPr>
            <w:r>
              <w:rPr>
                <w:rFonts w:eastAsia="Arial"/>
                <w:b/>
                <w:sz w:val="24"/>
                <w:szCs w:val="24"/>
              </w:rPr>
              <w:t>"Business Continuity Plan"</w:t>
            </w:r>
          </w:p>
        </w:tc>
        <w:tc>
          <w:tcPr>
            <w:tcW w:w="5075" w:type="dxa"/>
          </w:tcPr>
          <w:p w14:paraId="1608F580" w14:textId="77777777" w:rsidR="007A2913" w:rsidRDefault="00E570DE">
            <w:pPr>
              <w:pBdr>
                <w:top w:val="nil"/>
                <w:left w:val="nil"/>
                <w:bottom w:val="nil"/>
                <w:right w:val="nil"/>
                <w:between w:val="nil"/>
              </w:pBdr>
              <w:tabs>
                <w:tab w:val="left" w:pos="-9"/>
              </w:tabs>
              <w:spacing w:after="120"/>
              <w:ind w:left="0"/>
              <w:jc w:val="left"/>
              <w:rPr>
                <w:rFonts w:eastAsia="Arial"/>
                <w:sz w:val="24"/>
                <w:szCs w:val="24"/>
              </w:rPr>
            </w:pPr>
            <w:r>
              <w:rPr>
                <w:rFonts w:eastAsia="Arial"/>
                <w:sz w:val="24"/>
                <w:szCs w:val="24"/>
              </w:rPr>
              <w:t>has the meaning given to it in Paragraph 1.3.2 of this Schedule;</w:t>
            </w:r>
          </w:p>
        </w:tc>
      </w:tr>
      <w:tr w:rsidR="007A2913" w14:paraId="39456544" w14:textId="77777777">
        <w:tc>
          <w:tcPr>
            <w:tcW w:w="3097" w:type="dxa"/>
          </w:tcPr>
          <w:p w14:paraId="4F027F2A"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sz w:val="24"/>
                <w:szCs w:val="24"/>
              </w:rPr>
              <w:t>“Class 1 Transaction”</w:t>
            </w:r>
          </w:p>
        </w:tc>
        <w:tc>
          <w:tcPr>
            <w:tcW w:w="5075" w:type="dxa"/>
          </w:tcPr>
          <w:p w14:paraId="41099534"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sz w:val="24"/>
                <w:szCs w:val="24"/>
              </w:rPr>
              <w:t>has the meaning set out in the listing rules issued by the UK Listing Authority;</w:t>
            </w:r>
          </w:p>
        </w:tc>
      </w:tr>
      <w:tr w:rsidR="007A2913" w14:paraId="4D8379CE" w14:textId="77777777">
        <w:tc>
          <w:tcPr>
            <w:tcW w:w="3097" w:type="dxa"/>
          </w:tcPr>
          <w:p w14:paraId="3B08C331"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sz w:val="24"/>
                <w:szCs w:val="24"/>
              </w:rPr>
              <w:t>“Control”</w:t>
            </w:r>
          </w:p>
        </w:tc>
        <w:tc>
          <w:tcPr>
            <w:tcW w:w="5075" w:type="dxa"/>
          </w:tcPr>
          <w:p w14:paraId="563AA6F2"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sz w:val="24"/>
                <w:szCs w:val="24"/>
              </w:rPr>
              <w:t>the possession by a person, directly or indirectly, of the power to direct or cause the direction of the management and policies of the other person (whether through the ownership of voting shares, by contract or otherwise) and “</w:t>
            </w:r>
            <w:r>
              <w:rPr>
                <w:rFonts w:eastAsia="Arial"/>
                <w:b/>
                <w:sz w:val="24"/>
                <w:szCs w:val="24"/>
              </w:rPr>
              <w:t>Controls</w:t>
            </w:r>
            <w:r>
              <w:rPr>
                <w:rFonts w:eastAsia="Arial"/>
                <w:sz w:val="24"/>
                <w:szCs w:val="24"/>
              </w:rPr>
              <w:t>” and “</w:t>
            </w:r>
            <w:r>
              <w:rPr>
                <w:rFonts w:eastAsia="Arial"/>
                <w:b/>
                <w:sz w:val="24"/>
                <w:szCs w:val="24"/>
              </w:rPr>
              <w:t>Controlled</w:t>
            </w:r>
            <w:r>
              <w:rPr>
                <w:rFonts w:eastAsia="Arial"/>
                <w:sz w:val="24"/>
                <w:szCs w:val="24"/>
              </w:rPr>
              <w:t>” shall be interpreted accordingly;</w:t>
            </w:r>
          </w:p>
        </w:tc>
      </w:tr>
      <w:tr w:rsidR="007A2913" w14:paraId="71D82C63" w14:textId="77777777">
        <w:tc>
          <w:tcPr>
            <w:tcW w:w="3097" w:type="dxa"/>
          </w:tcPr>
          <w:p w14:paraId="107029A0"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sz w:val="24"/>
                <w:szCs w:val="24"/>
              </w:rPr>
              <w:t>“Corporate Change Event”</w:t>
            </w:r>
          </w:p>
        </w:tc>
        <w:tc>
          <w:tcPr>
            <w:tcW w:w="5075" w:type="dxa"/>
          </w:tcPr>
          <w:p w14:paraId="3B6808A6" w14:textId="77777777" w:rsidR="007A2913" w:rsidRDefault="00E570DE">
            <w:pPr>
              <w:pBdr>
                <w:top w:val="nil"/>
                <w:left w:val="nil"/>
                <w:bottom w:val="nil"/>
                <w:right w:val="nil"/>
                <w:between w:val="nil"/>
              </w:pBdr>
              <w:spacing w:before="100"/>
              <w:ind w:left="0"/>
              <w:jc w:val="left"/>
              <w:rPr>
                <w:rFonts w:eastAsia="Arial"/>
                <w:color w:val="000000"/>
                <w:sz w:val="24"/>
                <w:szCs w:val="24"/>
              </w:rPr>
            </w:pPr>
            <w:r>
              <w:rPr>
                <w:rFonts w:eastAsia="Arial"/>
                <w:color w:val="000000"/>
                <w:sz w:val="24"/>
                <w:szCs w:val="24"/>
              </w:rPr>
              <w:t>means:</w:t>
            </w:r>
          </w:p>
          <w:p w14:paraId="7BD00FD1" w14:textId="77777777" w:rsidR="007A2913" w:rsidRDefault="00E570DE">
            <w:pPr>
              <w:numPr>
                <w:ilvl w:val="3"/>
                <w:numId w:val="5"/>
              </w:numPr>
              <w:pBdr>
                <w:top w:val="nil"/>
                <w:left w:val="nil"/>
                <w:bottom w:val="nil"/>
                <w:right w:val="nil"/>
                <w:between w:val="nil"/>
              </w:pBdr>
              <w:ind w:left="0" w:firstLine="0"/>
              <w:jc w:val="left"/>
              <w:rPr>
                <w:rFonts w:eastAsia="Arial"/>
                <w:color w:val="000000"/>
                <w:sz w:val="24"/>
                <w:szCs w:val="24"/>
              </w:rPr>
            </w:pPr>
            <w:r>
              <w:rPr>
                <w:rFonts w:eastAsia="Arial"/>
                <w:color w:val="000000"/>
                <w:sz w:val="24"/>
                <w:szCs w:val="24"/>
              </w:rPr>
              <w:t>any change of Control of the Supplier or a Parent Undertaking of the Supplier;</w:t>
            </w:r>
          </w:p>
          <w:p w14:paraId="7AAC312C" w14:textId="77777777" w:rsidR="007A2913" w:rsidRDefault="00E570DE">
            <w:pPr>
              <w:numPr>
                <w:ilvl w:val="3"/>
                <w:numId w:val="5"/>
              </w:numPr>
              <w:pBdr>
                <w:top w:val="nil"/>
                <w:left w:val="nil"/>
                <w:bottom w:val="nil"/>
                <w:right w:val="nil"/>
                <w:between w:val="nil"/>
              </w:pBdr>
              <w:ind w:left="0" w:firstLine="0"/>
              <w:jc w:val="left"/>
              <w:rPr>
                <w:rFonts w:eastAsia="Arial"/>
                <w:color w:val="000000"/>
                <w:sz w:val="24"/>
                <w:szCs w:val="24"/>
              </w:rPr>
            </w:pPr>
            <w:r>
              <w:rPr>
                <w:rFonts w:eastAsia="Arial"/>
                <w:color w:val="000000"/>
                <w:sz w:val="24"/>
                <w:szCs w:val="24"/>
              </w:rPr>
              <w:t xml:space="preserve">any change of Control of any member of the Supplier Group which, in the reasonable opinion of the Buyer, could have a material adverse effect on the Deliverables; </w:t>
            </w:r>
          </w:p>
          <w:p w14:paraId="664B2DA8" w14:textId="77777777" w:rsidR="007A2913" w:rsidRDefault="00E570DE">
            <w:pPr>
              <w:numPr>
                <w:ilvl w:val="3"/>
                <w:numId w:val="5"/>
              </w:numPr>
              <w:pBdr>
                <w:top w:val="nil"/>
                <w:left w:val="nil"/>
                <w:bottom w:val="nil"/>
                <w:right w:val="nil"/>
                <w:between w:val="nil"/>
              </w:pBdr>
              <w:ind w:left="0" w:firstLine="0"/>
              <w:jc w:val="left"/>
              <w:rPr>
                <w:rFonts w:eastAsia="Arial"/>
                <w:color w:val="000000"/>
                <w:sz w:val="24"/>
                <w:szCs w:val="24"/>
              </w:rPr>
            </w:pPr>
            <w:r>
              <w:rPr>
                <w:rFonts w:eastAsia="Arial"/>
                <w:color w:val="000000"/>
                <w:sz w:val="24"/>
                <w:szCs w:val="24"/>
              </w:rPr>
              <w:lastRenderedPageBreak/>
              <w:t>any change to the business of the Supplier or any member of the Supplier Group which, in the reasonable opinion of the Buyer, could have a material adverse effect on the Deliverables;</w:t>
            </w:r>
          </w:p>
          <w:p w14:paraId="0D1932B1" w14:textId="77777777" w:rsidR="007A2913" w:rsidRDefault="00E570DE">
            <w:pPr>
              <w:numPr>
                <w:ilvl w:val="3"/>
                <w:numId w:val="5"/>
              </w:numPr>
              <w:pBdr>
                <w:top w:val="nil"/>
                <w:left w:val="nil"/>
                <w:bottom w:val="nil"/>
                <w:right w:val="nil"/>
                <w:between w:val="nil"/>
              </w:pBdr>
              <w:ind w:left="0" w:firstLine="0"/>
              <w:jc w:val="left"/>
              <w:rPr>
                <w:rFonts w:eastAsia="Arial"/>
                <w:color w:val="000000"/>
                <w:sz w:val="24"/>
                <w:szCs w:val="24"/>
              </w:rPr>
            </w:pPr>
            <w:r>
              <w:rPr>
                <w:rFonts w:eastAsia="Arial"/>
                <w:color w:val="000000"/>
                <w:sz w:val="24"/>
                <w:szCs w:val="24"/>
              </w:rPr>
              <w:t>a Class 1 Transaction taking place in relation to the shares of the Supplier or any Parent Undertaking of the Supplier whose shares are listed on the main market of the London Stock Exchange plc;</w:t>
            </w:r>
          </w:p>
          <w:p w14:paraId="3A5BA281" w14:textId="77777777" w:rsidR="007A2913" w:rsidRDefault="00E570DE">
            <w:pPr>
              <w:numPr>
                <w:ilvl w:val="3"/>
                <w:numId w:val="5"/>
              </w:numPr>
              <w:pBdr>
                <w:top w:val="nil"/>
                <w:left w:val="nil"/>
                <w:bottom w:val="nil"/>
                <w:right w:val="nil"/>
                <w:between w:val="nil"/>
              </w:pBdr>
              <w:ind w:left="0" w:firstLine="0"/>
              <w:jc w:val="left"/>
              <w:rPr>
                <w:rFonts w:eastAsia="Arial"/>
                <w:color w:val="000000"/>
                <w:sz w:val="24"/>
                <w:szCs w:val="24"/>
              </w:rPr>
            </w:pPr>
            <w:r>
              <w:rPr>
                <w:rFonts w:eastAsia="Arial"/>
                <w:color w:val="000000"/>
                <w:sz w:val="24"/>
                <w:szCs w:val="24"/>
              </w:rPr>
              <w:t>an event that could reasonably be regarded as being equivalent to a Class 1 Transaction taking place in respect of the Supplier or any Parent Undertaking of the Supplier;</w:t>
            </w:r>
          </w:p>
          <w:p w14:paraId="7A25A064" w14:textId="77777777" w:rsidR="007A2913" w:rsidRDefault="00E570DE">
            <w:pPr>
              <w:numPr>
                <w:ilvl w:val="3"/>
                <w:numId w:val="5"/>
              </w:numPr>
              <w:pBdr>
                <w:top w:val="nil"/>
                <w:left w:val="nil"/>
                <w:bottom w:val="nil"/>
                <w:right w:val="nil"/>
                <w:between w:val="nil"/>
              </w:pBdr>
              <w:ind w:left="0" w:firstLine="0"/>
              <w:jc w:val="left"/>
              <w:rPr>
                <w:rFonts w:eastAsia="Arial"/>
                <w:color w:val="000000"/>
                <w:sz w:val="24"/>
                <w:szCs w:val="24"/>
              </w:rPr>
            </w:pPr>
            <w:r>
              <w:rPr>
                <w:rFonts w:eastAsia="Arial"/>
                <w:color w:val="000000"/>
                <w:sz w:val="24"/>
                <w:szCs w:val="24"/>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rFonts w:eastAsia="Arial"/>
                <w:color w:val="000000"/>
                <w:sz w:val="24"/>
                <w:szCs w:val="24"/>
              </w:rPr>
              <w:t>12 month</w:t>
            </w:r>
            <w:proofErr w:type="gramEnd"/>
            <w:r>
              <w:rPr>
                <w:rFonts w:eastAsia="Arial"/>
                <w:color w:val="000000"/>
                <w:sz w:val="24"/>
                <w:szCs w:val="24"/>
              </w:rPr>
              <w:t xml:space="preserve"> period;</w:t>
            </w:r>
          </w:p>
          <w:p w14:paraId="0FC9252E" w14:textId="77777777" w:rsidR="007A2913" w:rsidRDefault="00E570DE">
            <w:pPr>
              <w:numPr>
                <w:ilvl w:val="3"/>
                <w:numId w:val="5"/>
              </w:numPr>
              <w:pBdr>
                <w:top w:val="nil"/>
                <w:left w:val="nil"/>
                <w:bottom w:val="nil"/>
                <w:right w:val="nil"/>
                <w:between w:val="nil"/>
              </w:pBdr>
              <w:ind w:left="0" w:firstLine="0"/>
              <w:jc w:val="left"/>
              <w:rPr>
                <w:rFonts w:eastAsia="Arial"/>
                <w:color w:val="000000"/>
                <w:sz w:val="24"/>
                <w:szCs w:val="24"/>
              </w:rPr>
            </w:pPr>
            <w:r>
              <w:rPr>
                <w:rFonts w:eastAsia="Arial"/>
                <w:color w:val="000000"/>
                <w:sz w:val="24"/>
                <w:szCs w:val="24"/>
              </w:rPr>
              <w:t xml:space="preserve">an order is </w:t>
            </w:r>
            <w:proofErr w:type="gramStart"/>
            <w:r>
              <w:rPr>
                <w:rFonts w:eastAsia="Arial"/>
                <w:color w:val="000000"/>
                <w:sz w:val="24"/>
                <w:szCs w:val="24"/>
              </w:rPr>
              <w:t>made</w:t>
            </w:r>
            <w:proofErr w:type="gramEnd"/>
            <w:r>
              <w:rPr>
                <w:rFonts w:eastAsia="Arial"/>
                <w:color w:val="000000"/>
                <w:sz w:val="24"/>
                <w:szCs w:val="24"/>
              </w:rPr>
              <w:t xml:space="preserve"> or an effective resolution is passed for the winding up of any member of the Supplier Group; </w:t>
            </w:r>
          </w:p>
          <w:p w14:paraId="1755C37D" w14:textId="77777777" w:rsidR="007A2913" w:rsidRDefault="00E570DE">
            <w:pPr>
              <w:numPr>
                <w:ilvl w:val="3"/>
                <w:numId w:val="5"/>
              </w:numPr>
              <w:pBdr>
                <w:top w:val="nil"/>
                <w:left w:val="nil"/>
                <w:bottom w:val="nil"/>
                <w:right w:val="nil"/>
                <w:between w:val="nil"/>
              </w:pBdr>
              <w:ind w:left="0" w:firstLine="0"/>
              <w:jc w:val="left"/>
              <w:rPr>
                <w:rFonts w:eastAsia="Arial"/>
                <w:color w:val="000000"/>
                <w:sz w:val="24"/>
                <w:szCs w:val="24"/>
              </w:rPr>
            </w:pPr>
            <w:r>
              <w:rPr>
                <w:rFonts w:eastAsia="Arial"/>
                <w:color w:val="000000"/>
                <w:sz w:val="24"/>
                <w:szCs w:val="24"/>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w:t>
            </w:r>
            <w:proofErr w:type="gramStart"/>
            <w:r>
              <w:rPr>
                <w:rFonts w:eastAsia="Arial"/>
                <w:color w:val="000000"/>
                <w:sz w:val="24"/>
                <w:szCs w:val="24"/>
              </w:rPr>
              <w:t>Group;</w:t>
            </w:r>
            <w:proofErr w:type="gramEnd"/>
          </w:p>
          <w:p w14:paraId="1C3DFC0B" w14:textId="77777777" w:rsidR="007A2913" w:rsidRDefault="00E570DE">
            <w:pPr>
              <w:numPr>
                <w:ilvl w:val="3"/>
                <w:numId w:val="5"/>
              </w:numPr>
              <w:pBdr>
                <w:top w:val="nil"/>
                <w:left w:val="nil"/>
                <w:bottom w:val="nil"/>
                <w:right w:val="nil"/>
                <w:between w:val="nil"/>
              </w:pBdr>
              <w:ind w:left="0" w:firstLine="0"/>
              <w:jc w:val="left"/>
              <w:rPr>
                <w:rFonts w:eastAsia="Arial"/>
                <w:color w:val="000000"/>
                <w:sz w:val="24"/>
                <w:szCs w:val="24"/>
              </w:rPr>
            </w:pPr>
            <w:r>
              <w:rPr>
                <w:rFonts w:eastAsia="Arial"/>
                <w:color w:val="000000"/>
                <w:sz w:val="24"/>
                <w:szCs w:val="24"/>
              </w:rPr>
              <w:t xml:space="preserve">the appointment of a receiver, administrative </w:t>
            </w:r>
            <w:proofErr w:type="gramStart"/>
            <w:r>
              <w:rPr>
                <w:rFonts w:eastAsia="Arial"/>
                <w:color w:val="000000"/>
                <w:sz w:val="24"/>
                <w:szCs w:val="24"/>
              </w:rPr>
              <w:t>receiver</w:t>
            </w:r>
            <w:proofErr w:type="gramEnd"/>
            <w:r>
              <w:rPr>
                <w:rFonts w:eastAsia="Arial"/>
                <w:color w:val="000000"/>
                <w:sz w:val="24"/>
                <w:szCs w:val="24"/>
              </w:rPr>
              <w:t xml:space="preserve"> or administrator in respect of or over all or a material part of the undertaking or assets of any member of the Supplier Group; and/or</w:t>
            </w:r>
          </w:p>
          <w:p w14:paraId="31372EFE" w14:textId="77777777" w:rsidR="007A2913" w:rsidRDefault="00E570DE">
            <w:pPr>
              <w:numPr>
                <w:ilvl w:val="3"/>
                <w:numId w:val="5"/>
              </w:numPr>
              <w:pBdr>
                <w:top w:val="nil"/>
                <w:left w:val="nil"/>
                <w:bottom w:val="nil"/>
                <w:right w:val="nil"/>
                <w:between w:val="nil"/>
              </w:pBdr>
              <w:spacing w:after="200"/>
              <w:ind w:left="0" w:firstLine="0"/>
              <w:jc w:val="left"/>
              <w:rPr>
                <w:rFonts w:eastAsia="Arial"/>
                <w:color w:val="000000"/>
                <w:sz w:val="24"/>
                <w:szCs w:val="24"/>
              </w:rPr>
            </w:pPr>
            <w:r>
              <w:rPr>
                <w:rFonts w:eastAsia="Arial"/>
                <w:color w:val="000000"/>
                <w:sz w:val="24"/>
                <w:szCs w:val="24"/>
              </w:rPr>
              <w:t xml:space="preserve">any process or events with an effect analogous to those in paragraphs (e) to (g) inclusive above occurring to a member of the </w:t>
            </w:r>
            <w:r>
              <w:rPr>
                <w:rFonts w:eastAsia="Arial"/>
                <w:color w:val="000000"/>
                <w:sz w:val="24"/>
                <w:szCs w:val="24"/>
              </w:rPr>
              <w:lastRenderedPageBreak/>
              <w:t>Supplier Group in a jurisdiction outside England and Wales;</w:t>
            </w:r>
          </w:p>
        </w:tc>
      </w:tr>
      <w:tr w:rsidR="007A2913" w14:paraId="6603B5FF" w14:textId="77777777">
        <w:tc>
          <w:tcPr>
            <w:tcW w:w="3097" w:type="dxa"/>
          </w:tcPr>
          <w:p w14:paraId="7ADC398D"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sz w:val="24"/>
                <w:szCs w:val="24"/>
              </w:rPr>
              <w:lastRenderedPageBreak/>
              <w:t>“Critical National Infrastructure”</w:t>
            </w:r>
          </w:p>
        </w:tc>
        <w:tc>
          <w:tcPr>
            <w:tcW w:w="5075" w:type="dxa"/>
          </w:tcPr>
          <w:p w14:paraId="05B15DA1" w14:textId="77777777" w:rsidR="007A2913" w:rsidRDefault="00E570DE">
            <w:pPr>
              <w:pBdr>
                <w:top w:val="nil"/>
                <w:left w:val="nil"/>
                <w:bottom w:val="nil"/>
                <w:right w:val="nil"/>
                <w:between w:val="nil"/>
              </w:pBdr>
              <w:spacing w:before="100" w:after="200"/>
              <w:ind w:left="0"/>
              <w:jc w:val="left"/>
              <w:rPr>
                <w:rFonts w:eastAsia="Arial"/>
                <w:color w:val="000000"/>
                <w:sz w:val="24"/>
                <w:szCs w:val="24"/>
              </w:rPr>
            </w:pPr>
            <w:r>
              <w:rPr>
                <w:rFonts w:eastAsia="Arial"/>
                <w:color w:val="000000"/>
                <w:sz w:val="24"/>
                <w:szCs w:val="24"/>
              </w:rPr>
              <w:t>means those critical elements of UK national infrastructure (namely assets, facilities, systems, networks or processes and the essential workers that operate and facilitate them), the loss or compromise of which could result in:</w:t>
            </w:r>
          </w:p>
          <w:p w14:paraId="7673F58D" w14:textId="77777777" w:rsidR="007A2913" w:rsidRDefault="00E570DE">
            <w:pPr>
              <w:numPr>
                <w:ilvl w:val="0"/>
                <w:numId w:val="3"/>
              </w:numPr>
              <w:pBdr>
                <w:top w:val="nil"/>
                <w:left w:val="nil"/>
                <w:bottom w:val="nil"/>
                <w:right w:val="nil"/>
                <w:between w:val="nil"/>
              </w:pBdr>
              <w:rPr>
                <w:rFonts w:eastAsia="Arial"/>
                <w:color w:val="000000"/>
                <w:sz w:val="24"/>
                <w:szCs w:val="24"/>
              </w:rPr>
            </w:pPr>
            <w:r>
              <w:rPr>
                <w:rFonts w:eastAsia="Arial"/>
                <w:color w:val="000000"/>
                <w:sz w:val="24"/>
                <w:szCs w:val="24"/>
              </w:rPr>
              <w:t xml:space="preserve">major detrimental impact on the availability, </w:t>
            </w:r>
            <w:proofErr w:type="gramStart"/>
            <w:r>
              <w:rPr>
                <w:rFonts w:eastAsia="Arial"/>
                <w:color w:val="000000"/>
                <w:sz w:val="24"/>
                <w:szCs w:val="24"/>
              </w:rPr>
              <w:t>integrity</w:t>
            </w:r>
            <w:proofErr w:type="gramEnd"/>
            <w:r>
              <w:rPr>
                <w:rFonts w:eastAsia="Arial"/>
                <w:color w:val="000000"/>
                <w:sz w:val="24"/>
                <w:szCs w:val="24"/>
              </w:rPr>
              <w:t xml:space="preserve"> or delivery of essential services – including those services whose integrity, if compromised, could result in significant loss of life or casualties – taking into account significant economic or social impacts; and/or</w:t>
            </w:r>
          </w:p>
          <w:p w14:paraId="049AAA24" w14:textId="77777777" w:rsidR="007A2913" w:rsidRDefault="00E570DE">
            <w:pPr>
              <w:numPr>
                <w:ilvl w:val="0"/>
                <w:numId w:val="3"/>
              </w:numPr>
              <w:pBdr>
                <w:top w:val="nil"/>
                <w:left w:val="nil"/>
                <w:bottom w:val="nil"/>
                <w:right w:val="nil"/>
                <w:between w:val="nil"/>
              </w:pBdr>
              <w:tabs>
                <w:tab w:val="left" w:pos="-9"/>
              </w:tabs>
              <w:rPr>
                <w:rFonts w:eastAsia="Arial"/>
                <w:color w:val="000000"/>
                <w:sz w:val="24"/>
                <w:szCs w:val="24"/>
              </w:rPr>
            </w:pPr>
            <w:r>
              <w:rPr>
                <w:rFonts w:eastAsia="Arial"/>
                <w:sz w:val="24"/>
                <w:szCs w:val="24"/>
              </w:rPr>
              <w:t>significant impact on the national security, national defence, or the functioning of the UK;</w:t>
            </w:r>
          </w:p>
        </w:tc>
      </w:tr>
      <w:tr w:rsidR="007A2913" w14:paraId="1EB779F9" w14:textId="77777777">
        <w:tc>
          <w:tcPr>
            <w:tcW w:w="3097" w:type="dxa"/>
          </w:tcPr>
          <w:p w14:paraId="40348CDF"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sz w:val="24"/>
                <w:szCs w:val="24"/>
              </w:rPr>
              <w:t>“Critical Service Contract”</w:t>
            </w:r>
          </w:p>
        </w:tc>
        <w:tc>
          <w:tcPr>
            <w:tcW w:w="5075" w:type="dxa"/>
          </w:tcPr>
          <w:p w14:paraId="3A56592C"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sz w:val="24"/>
                <w:szCs w:val="24"/>
              </w:rPr>
              <w:t xml:space="preserve">a service contract which the Buyer has categorised as a Gold Contract </w:t>
            </w:r>
            <w:r>
              <w:rPr>
                <w:rFonts w:eastAsia="Arial"/>
                <w:color w:val="000000"/>
                <w:sz w:val="24"/>
                <w:szCs w:val="24"/>
              </w:rPr>
              <w:t>using the Cabinet Office Contract Tiering Tool</w:t>
            </w:r>
            <w:r>
              <w:rPr>
                <w:rFonts w:eastAsia="Arial"/>
                <w:sz w:val="24"/>
                <w:szCs w:val="24"/>
              </w:rPr>
              <w:t xml:space="preserve"> or which the Buyer otherwise considers should be classed as a Critical Service Contract;</w:t>
            </w:r>
          </w:p>
        </w:tc>
      </w:tr>
      <w:tr w:rsidR="007A2913" w14:paraId="0D5D1844" w14:textId="77777777">
        <w:tc>
          <w:tcPr>
            <w:tcW w:w="3097" w:type="dxa"/>
          </w:tcPr>
          <w:p w14:paraId="4DE33E6A"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sz w:val="24"/>
                <w:szCs w:val="24"/>
              </w:rPr>
              <w:t>“CRP Information”</w:t>
            </w:r>
          </w:p>
        </w:tc>
        <w:tc>
          <w:tcPr>
            <w:tcW w:w="5075" w:type="dxa"/>
          </w:tcPr>
          <w:p w14:paraId="2A12F592" w14:textId="77777777" w:rsidR="007A2913" w:rsidRDefault="00E570DE">
            <w:pPr>
              <w:pBdr>
                <w:top w:val="nil"/>
                <w:left w:val="nil"/>
                <w:bottom w:val="nil"/>
                <w:right w:val="nil"/>
                <w:between w:val="nil"/>
              </w:pBdr>
              <w:spacing w:before="100" w:after="200"/>
              <w:ind w:left="0"/>
              <w:jc w:val="left"/>
              <w:rPr>
                <w:rFonts w:eastAsia="Arial"/>
                <w:color w:val="000000"/>
                <w:sz w:val="24"/>
                <w:szCs w:val="24"/>
              </w:rPr>
            </w:pPr>
            <w:r>
              <w:rPr>
                <w:rFonts w:eastAsia="Arial"/>
                <w:color w:val="000000"/>
                <w:sz w:val="24"/>
                <w:szCs w:val="24"/>
              </w:rPr>
              <w:t>means, together, the:</w:t>
            </w:r>
          </w:p>
          <w:p w14:paraId="6AE5B41D" w14:textId="77777777" w:rsidR="007A2913" w:rsidRDefault="00E570DE">
            <w:pPr>
              <w:pBdr>
                <w:top w:val="nil"/>
                <w:left w:val="nil"/>
                <w:bottom w:val="nil"/>
                <w:right w:val="nil"/>
                <w:between w:val="nil"/>
              </w:pBdr>
              <w:spacing w:before="100" w:after="200"/>
              <w:ind w:left="0"/>
              <w:jc w:val="left"/>
              <w:rPr>
                <w:rFonts w:eastAsia="Arial"/>
                <w:color w:val="000000"/>
                <w:sz w:val="24"/>
                <w:szCs w:val="24"/>
              </w:rPr>
            </w:pPr>
            <w:r>
              <w:rPr>
                <w:rFonts w:eastAsia="Arial"/>
                <w:color w:val="000000"/>
                <w:sz w:val="24"/>
                <w:szCs w:val="24"/>
              </w:rPr>
              <w:t>Group Structure Information and Resolution Commentary; and</w:t>
            </w:r>
          </w:p>
          <w:p w14:paraId="6D806F49"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sz w:val="24"/>
                <w:szCs w:val="24"/>
              </w:rPr>
              <w:t>UK Public Sector and CNI Contract Information;</w:t>
            </w:r>
          </w:p>
        </w:tc>
      </w:tr>
      <w:tr w:rsidR="007A2913" w14:paraId="145FFBDD" w14:textId="77777777">
        <w:tc>
          <w:tcPr>
            <w:tcW w:w="3097" w:type="dxa"/>
          </w:tcPr>
          <w:p w14:paraId="53F5AB20" w14:textId="77777777" w:rsidR="007A2913" w:rsidRDefault="00E570DE">
            <w:pPr>
              <w:pBdr>
                <w:top w:val="nil"/>
                <w:left w:val="nil"/>
                <w:bottom w:val="nil"/>
                <w:right w:val="nil"/>
                <w:between w:val="nil"/>
              </w:pBdr>
              <w:spacing w:after="120"/>
              <w:ind w:left="-108"/>
              <w:jc w:val="left"/>
              <w:rPr>
                <w:rFonts w:eastAsia="Arial"/>
                <w:b/>
                <w:sz w:val="24"/>
                <w:szCs w:val="24"/>
              </w:rPr>
            </w:pPr>
            <w:r>
              <w:rPr>
                <w:rFonts w:eastAsia="Arial"/>
                <w:b/>
                <w:sz w:val="24"/>
                <w:szCs w:val="24"/>
              </w:rPr>
              <w:t>“Dependent Parent Undertaking”</w:t>
            </w:r>
          </w:p>
        </w:tc>
        <w:tc>
          <w:tcPr>
            <w:tcW w:w="5075" w:type="dxa"/>
          </w:tcPr>
          <w:p w14:paraId="0E42BBA9" w14:textId="77777777" w:rsidR="007A2913" w:rsidRDefault="00E570DE">
            <w:pPr>
              <w:pBdr>
                <w:top w:val="nil"/>
                <w:left w:val="nil"/>
                <w:bottom w:val="nil"/>
                <w:right w:val="nil"/>
                <w:between w:val="nil"/>
              </w:pBdr>
              <w:spacing w:before="100" w:after="200"/>
              <w:ind w:left="0"/>
              <w:jc w:val="left"/>
              <w:rPr>
                <w:rFonts w:eastAsia="Arial"/>
                <w:color w:val="000000"/>
                <w:sz w:val="24"/>
                <w:szCs w:val="24"/>
              </w:rPr>
            </w:pPr>
            <w:r>
              <w:rPr>
                <w:rFonts w:eastAsia="Arial"/>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7A2913" w14:paraId="41B98DF8" w14:textId="77777777">
        <w:tc>
          <w:tcPr>
            <w:tcW w:w="3097" w:type="dxa"/>
          </w:tcPr>
          <w:p w14:paraId="1EEDDBE5"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lastRenderedPageBreak/>
              <w:t>"Disaster"</w:t>
            </w:r>
          </w:p>
        </w:tc>
        <w:tc>
          <w:tcPr>
            <w:tcW w:w="5075" w:type="dxa"/>
          </w:tcPr>
          <w:p w14:paraId="64417EA6"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bookmarkStart w:id="2" w:name="_heading=h.30j0zll" w:colFirst="0" w:colLast="0"/>
            <w:bookmarkEnd w:id="2"/>
            <w:r>
              <w:rPr>
                <w:rFonts w:eastAsia="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7A2913" w14:paraId="2EDFB2DC" w14:textId="77777777">
        <w:tc>
          <w:tcPr>
            <w:tcW w:w="3097" w:type="dxa"/>
          </w:tcPr>
          <w:p w14:paraId="693149B5"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"Disaster Recovery Deliverables"</w:t>
            </w:r>
          </w:p>
        </w:tc>
        <w:tc>
          <w:tcPr>
            <w:tcW w:w="5075" w:type="dxa"/>
          </w:tcPr>
          <w:p w14:paraId="7E713DD9" w14:textId="77777777" w:rsidR="007A2913" w:rsidRDefault="00E570DE">
            <w:pPr>
              <w:pBdr>
                <w:top w:val="nil"/>
                <w:left w:val="nil"/>
                <w:bottom w:val="nil"/>
                <w:right w:val="nil"/>
                <w:between w:val="nil"/>
              </w:pBdr>
              <w:tabs>
                <w:tab w:val="left" w:pos="-9"/>
                <w:tab w:val="left" w:pos="-179"/>
              </w:tabs>
              <w:spacing w:after="120"/>
              <w:ind w:left="0"/>
              <w:jc w:val="left"/>
              <w:rPr>
                <w:rFonts w:eastAsia="Arial"/>
                <w:color w:val="000000"/>
                <w:sz w:val="24"/>
                <w:szCs w:val="24"/>
              </w:rPr>
            </w:pPr>
            <w:r>
              <w:rPr>
                <w:rFonts w:eastAsia="Arial"/>
                <w:color w:val="000000"/>
                <w:sz w:val="24"/>
                <w:szCs w:val="24"/>
              </w:rPr>
              <w:t>the Deliverables embodied in the processes and procedures for restoring the provision of Deliverables following the occurrence of a Disaster;</w:t>
            </w:r>
          </w:p>
        </w:tc>
      </w:tr>
      <w:tr w:rsidR="007A2913" w14:paraId="2E8A889F" w14:textId="77777777">
        <w:tc>
          <w:tcPr>
            <w:tcW w:w="3097" w:type="dxa"/>
          </w:tcPr>
          <w:p w14:paraId="1DB03FE2"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"Disaster Recovery Plan"</w:t>
            </w:r>
          </w:p>
        </w:tc>
        <w:tc>
          <w:tcPr>
            <w:tcW w:w="5075" w:type="dxa"/>
          </w:tcPr>
          <w:p w14:paraId="7464D1FD"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 xml:space="preserve">has the meaning given to it in Paragraph </w:t>
            </w:r>
            <w:r>
              <w:rPr>
                <w:rFonts w:eastAsia="Arial"/>
                <w:sz w:val="24"/>
                <w:szCs w:val="24"/>
              </w:rPr>
              <w:t>1</w:t>
            </w:r>
            <w:r>
              <w:rPr>
                <w:rFonts w:eastAsia="Arial"/>
                <w:color w:val="000000"/>
                <w:sz w:val="24"/>
                <w:szCs w:val="24"/>
              </w:rPr>
              <w:t>.3.3 of this Schedule;</w:t>
            </w:r>
          </w:p>
        </w:tc>
      </w:tr>
      <w:tr w:rsidR="007A2913" w14:paraId="1F984CC6" w14:textId="77777777">
        <w:tc>
          <w:tcPr>
            <w:tcW w:w="3097" w:type="dxa"/>
          </w:tcPr>
          <w:p w14:paraId="43EED747"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"Disaster Recovery System"</w:t>
            </w:r>
          </w:p>
        </w:tc>
        <w:tc>
          <w:tcPr>
            <w:tcW w:w="5075" w:type="dxa"/>
          </w:tcPr>
          <w:p w14:paraId="3FB40940"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the system embodied in the processes and procedures for restoring the provision of Deliverables following the occurrence of a Disaster;</w:t>
            </w:r>
          </w:p>
        </w:tc>
      </w:tr>
      <w:tr w:rsidR="007A2913" w14:paraId="2B50478C" w14:textId="77777777">
        <w:tc>
          <w:tcPr>
            <w:tcW w:w="3097" w:type="dxa"/>
          </w:tcPr>
          <w:p w14:paraId="5F158AE4"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sz w:val="24"/>
                <w:szCs w:val="24"/>
              </w:rPr>
              <w:t>“Group Structure Information and Resolution Commentary”</w:t>
            </w:r>
          </w:p>
        </w:tc>
        <w:tc>
          <w:tcPr>
            <w:tcW w:w="5075" w:type="dxa"/>
          </w:tcPr>
          <w:p w14:paraId="04AA22DD"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sz w:val="24"/>
                <w:szCs w:val="24"/>
              </w:rPr>
              <w:t>means the information relating to the Supplier Group to be provided by the Supplier in accordance with Paragraphs 2 to 4 and Appendix 1 to Part C;</w:t>
            </w:r>
          </w:p>
        </w:tc>
      </w:tr>
      <w:tr w:rsidR="007A2913" w14:paraId="160AD7F9" w14:textId="77777777">
        <w:tc>
          <w:tcPr>
            <w:tcW w:w="3097" w:type="dxa"/>
          </w:tcPr>
          <w:p w14:paraId="257AB4CE"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sz w:val="24"/>
                <w:szCs w:val="24"/>
              </w:rPr>
              <w:t>“Parent Undertaking”</w:t>
            </w:r>
          </w:p>
        </w:tc>
        <w:tc>
          <w:tcPr>
            <w:tcW w:w="5075" w:type="dxa"/>
          </w:tcPr>
          <w:p w14:paraId="50CF7763"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sz w:val="24"/>
                <w:szCs w:val="24"/>
              </w:rPr>
              <w:t>has the meaning set out in section 1162 of the Companies Act 2006;</w:t>
            </w:r>
          </w:p>
        </w:tc>
      </w:tr>
      <w:tr w:rsidR="007A2913" w14:paraId="540F29E9" w14:textId="77777777">
        <w:tc>
          <w:tcPr>
            <w:tcW w:w="3097" w:type="dxa"/>
          </w:tcPr>
          <w:p w14:paraId="739151EF"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sz w:val="24"/>
                <w:szCs w:val="24"/>
              </w:rPr>
              <w:t>“Public Sector Dependent Supplier”</w:t>
            </w:r>
          </w:p>
        </w:tc>
        <w:tc>
          <w:tcPr>
            <w:tcW w:w="5075" w:type="dxa"/>
          </w:tcPr>
          <w:p w14:paraId="6DA4902A"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sz w:val="24"/>
                <w:szCs w:val="24"/>
              </w:rPr>
              <w:t>means a supplier where that supplier, or that supplier’s group has Annual Revenue of £50 million or more of which over 50% is generated from UK Public Sector Business;</w:t>
            </w:r>
          </w:p>
        </w:tc>
      </w:tr>
      <w:tr w:rsidR="007A2913" w14:paraId="15D0F6F2" w14:textId="77777777">
        <w:trPr>
          <w:trHeight w:val="567"/>
        </w:trPr>
        <w:tc>
          <w:tcPr>
            <w:tcW w:w="3097" w:type="dxa"/>
          </w:tcPr>
          <w:p w14:paraId="08487C5C"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"Related Supplier"</w:t>
            </w:r>
          </w:p>
        </w:tc>
        <w:tc>
          <w:tcPr>
            <w:tcW w:w="5075" w:type="dxa"/>
          </w:tcPr>
          <w:p w14:paraId="4D99D8AD"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any person who provides Deliverables to the Buyer which are related to the Deliverables from time to time;</w:t>
            </w:r>
          </w:p>
        </w:tc>
      </w:tr>
      <w:tr w:rsidR="007A2913" w14:paraId="5FD10953" w14:textId="77777777">
        <w:trPr>
          <w:trHeight w:val="567"/>
        </w:trPr>
        <w:tc>
          <w:tcPr>
            <w:tcW w:w="3097" w:type="dxa"/>
          </w:tcPr>
          <w:p w14:paraId="1F8F6732"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"Review Report"</w:t>
            </w:r>
          </w:p>
        </w:tc>
        <w:tc>
          <w:tcPr>
            <w:tcW w:w="5075" w:type="dxa"/>
          </w:tcPr>
          <w:p w14:paraId="50EE42B4"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 6.3 of Part B of this Schedule;</w:t>
            </w:r>
          </w:p>
        </w:tc>
      </w:tr>
      <w:tr w:rsidR="007A2913" w14:paraId="286BAD41" w14:textId="77777777">
        <w:trPr>
          <w:trHeight w:val="567"/>
        </w:trPr>
        <w:tc>
          <w:tcPr>
            <w:tcW w:w="3097" w:type="dxa"/>
          </w:tcPr>
          <w:p w14:paraId="0BB04BA3"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t>“Strategic Supplier”</w:t>
            </w:r>
          </w:p>
        </w:tc>
        <w:tc>
          <w:tcPr>
            <w:tcW w:w="5075" w:type="dxa"/>
          </w:tcPr>
          <w:p w14:paraId="12B1F7B5" w14:textId="77777777" w:rsidR="007A2913" w:rsidRDefault="00E570DE">
            <w:pPr>
              <w:ind w:left="0"/>
              <w:jc w:val="left"/>
              <w:rPr>
                <w:rFonts w:eastAsia="Arial"/>
                <w:sz w:val="24"/>
                <w:szCs w:val="24"/>
              </w:rPr>
            </w:pPr>
            <w:r>
              <w:rPr>
                <w:rFonts w:eastAsia="Arial"/>
                <w:sz w:val="24"/>
                <w:szCs w:val="24"/>
              </w:rPr>
              <w:t>means those suppliers to government listed at</w:t>
            </w:r>
          </w:p>
          <w:p w14:paraId="1263B22A" w14:textId="77777777" w:rsidR="007A2913" w:rsidRDefault="00E570DE">
            <w:pPr>
              <w:ind w:left="0"/>
              <w:jc w:val="left"/>
              <w:rPr>
                <w:rFonts w:eastAsia="Arial"/>
                <w:color w:val="000000"/>
                <w:sz w:val="24"/>
                <w:szCs w:val="24"/>
              </w:rPr>
            </w:pPr>
            <w:r>
              <w:rPr>
                <w:rFonts w:eastAsia="Arial"/>
                <w:sz w:val="24"/>
                <w:szCs w:val="24"/>
              </w:rPr>
              <w:t>https://www.gov.uk/government/publications/strategic-suppliers;</w:t>
            </w:r>
          </w:p>
        </w:tc>
      </w:tr>
      <w:tr w:rsidR="007A2913" w14:paraId="3DAC96BE" w14:textId="77777777">
        <w:trPr>
          <w:trHeight w:val="567"/>
        </w:trPr>
        <w:tc>
          <w:tcPr>
            <w:tcW w:w="3097" w:type="dxa"/>
          </w:tcPr>
          <w:p w14:paraId="32C8E79D"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sz w:val="24"/>
                <w:szCs w:val="24"/>
              </w:rPr>
              <w:t>“Subsidiary Undertaking”</w:t>
            </w:r>
          </w:p>
        </w:tc>
        <w:tc>
          <w:tcPr>
            <w:tcW w:w="5075" w:type="dxa"/>
          </w:tcPr>
          <w:p w14:paraId="3CD95E26"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sz w:val="24"/>
                <w:szCs w:val="24"/>
              </w:rPr>
              <w:t>has the meaning set out in section 1162 of the Companies Act 2006;</w:t>
            </w:r>
          </w:p>
        </w:tc>
      </w:tr>
      <w:tr w:rsidR="007A2913" w14:paraId="4419C639" w14:textId="77777777">
        <w:trPr>
          <w:trHeight w:val="567"/>
        </w:trPr>
        <w:tc>
          <w:tcPr>
            <w:tcW w:w="3097" w:type="dxa"/>
          </w:tcPr>
          <w:p w14:paraId="4EF28D62"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sz w:val="24"/>
                <w:szCs w:val="24"/>
              </w:rPr>
              <w:t>“Supplier Group”</w:t>
            </w:r>
          </w:p>
        </w:tc>
        <w:tc>
          <w:tcPr>
            <w:tcW w:w="5075" w:type="dxa"/>
          </w:tcPr>
          <w:p w14:paraId="1510915F"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sz w:val="24"/>
                <w:szCs w:val="24"/>
              </w:rPr>
              <w:t>means the Supplier, its Dependent Parent Undertakings and all Subsidiary Undertakings and Associates of such Dependent Parent Undertakings;</w:t>
            </w:r>
          </w:p>
        </w:tc>
      </w:tr>
      <w:tr w:rsidR="007A2913" w14:paraId="26544247" w14:textId="77777777">
        <w:tc>
          <w:tcPr>
            <w:tcW w:w="3097" w:type="dxa"/>
          </w:tcPr>
          <w:p w14:paraId="2778E4F8"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color w:val="000000"/>
                <w:sz w:val="24"/>
                <w:szCs w:val="24"/>
              </w:rPr>
              <w:lastRenderedPageBreak/>
              <w:t>"Supplier's Proposals"</w:t>
            </w:r>
          </w:p>
        </w:tc>
        <w:tc>
          <w:tcPr>
            <w:tcW w:w="5075" w:type="dxa"/>
          </w:tcPr>
          <w:p w14:paraId="49E84C5E"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color w:val="000000"/>
                <w:sz w:val="24"/>
                <w:szCs w:val="24"/>
              </w:rPr>
              <w:t>has the meaning given to it in Paragraph 6.3 of Part B of this Schedule;</w:t>
            </w:r>
          </w:p>
        </w:tc>
      </w:tr>
      <w:tr w:rsidR="007A2913" w14:paraId="39784AC5" w14:textId="77777777">
        <w:tc>
          <w:tcPr>
            <w:tcW w:w="3097" w:type="dxa"/>
          </w:tcPr>
          <w:p w14:paraId="626AC9C9"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sz w:val="24"/>
                <w:szCs w:val="24"/>
              </w:rPr>
              <w:t>“UK Public Sector Business”</w:t>
            </w:r>
          </w:p>
        </w:tc>
        <w:tc>
          <w:tcPr>
            <w:tcW w:w="5075" w:type="dxa"/>
          </w:tcPr>
          <w:p w14:paraId="7E44ABF5"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7A2913" w14:paraId="26D5E52B" w14:textId="77777777">
        <w:tc>
          <w:tcPr>
            <w:tcW w:w="3097" w:type="dxa"/>
          </w:tcPr>
          <w:p w14:paraId="146E97C1" w14:textId="77777777" w:rsidR="007A2913" w:rsidRDefault="00E570DE">
            <w:pPr>
              <w:pBdr>
                <w:top w:val="nil"/>
                <w:left w:val="nil"/>
                <w:bottom w:val="nil"/>
                <w:right w:val="nil"/>
                <w:between w:val="nil"/>
              </w:pBdr>
              <w:spacing w:after="120"/>
              <w:ind w:left="-108"/>
              <w:jc w:val="left"/>
              <w:rPr>
                <w:rFonts w:eastAsia="Arial"/>
                <w:b/>
                <w:color w:val="000000"/>
                <w:sz w:val="24"/>
                <w:szCs w:val="24"/>
              </w:rPr>
            </w:pPr>
            <w:r>
              <w:rPr>
                <w:rFonts w:eastAsia="Arial"/>
                <w:b/>
                <w:sz w:val="24"/>
                <w:szCs w:val="24"/>
              </w:rPr>
              <w:t>“UK Public Sector / CNI Contract Information”</w:t>
            </w:r>
          </w:p>
        </w:tc>
        <w:tc>
          <w:tcPr>
            <w:tcW w:w="5075" w:type="dxa"/>
          </w:tcPr>
          <w:p w14:paraId="7E2424AB" w14:textId="77777777" w:rsidR="007A2913" w:rsidRDefault="00E570DE">
            <w:pPr>
              <w:pBdr>
                <w:top w:val="nil"/>
                <w:left w:val="nil"/>
                <w:bottom w:val="nil"/>
                <w:right w:val="nil"/>
                <w:between w:val="nil"/>
              </w:pBdr>
              <w:tabs>
                <w:tab w:val="left" w:pos="-9"/>
              </w:tabs>
              <w:spacing w:after="120"/>
              <w:ind w:left="0"/>
              <w:jc w:val="left"/>
              <w:rPr>
                <w:rFonts w:eastAsia="Arial"/>
                <w:color w:val="000000"/>
                <w:sz w:val="24"/>
                <w:szCs w:val="24"/>
              </w:rPr>
            </w:pPr>
            <w:r>
              <w:rPr>
                <w:rFonts w:eastAsia="Arial"/>
                <w:sz w:val="24"/>
                <w:szCs w:val="24"/>
              </w:rPr>
              <w:t>means the information relating to the Supplier Group to be provided by the Supplier in accordance with Paragraphs 2 to 4 of Part C and Appendix 2 of Part C;</w:t>
            </w:r>
          </w:p>
        </w:tc>
      </w:tr>
    </w:tbl>
    <w:p w14:paraId="5DAB6C7B" w14:textId="77777777" w:rsidR="007A2913" w:rsidRDefault="007A2913">
      <w:pPr>
        <w:keepNext/>
        <w:pBdr>
          <w:top w:val="nil"/>
          <w:left w:val="nil"/>
          <w:bottom w:val="nil"/>
          <w:right w:val="nil"/>
          <w:between w:val="nil"/>
        </w:pBdr>
        <w:tabs>
          <w:tab w:val="left" w:pos="0"/>
        </w:tabs>
        <w:spacing w:before="240"/>
        <w:ind w:left="720"/>
        <w:jc w:val="left"/>
        <w:rPr>
          <w:rFonts w:ascii="Arial Bold" w:eastAsia="Arial Bold" w:hAnsi="Arial Bold" w:cs="Arial Bold"/>
          <w:b/>
          <w:color w:val="000000"/>
          <w:sz w:val="24"/>
          <w:szCs w:val="24"/>
        </w:rPr>
      </w:pPr>
    </w:p>
    <w:p w14:paraId="257AF082" w14:textId="321DF26A" w:rsidR="00590F09" w:rsidRDefault="00E570DE" w:rsidP="0063214C">
      <w:pPr>
        <w:ind w:left="0"/>
        <w:rPr>
          <w:b/>
          <w:color w:val="000000"/>
          <w:sz w:val="32"/>
          <w:szCs w:val="32"/>
        </w:rPr>
      </w:pPr>
      <w:r>
        <w:br w:type="page"/>
      </w:r>
    </w:p>
    <w:p w14:paraId="2CA1A4D5" w14:textId="2B598CCA" w:rsidR="007A2913" w:rsidRDefault="00E570DE">
      <w:pPr>
        <w:pBdr>
          <w:top w:val="nil"/>
          <w:left w:val="nil"/>
          <w:bottom w:val="nil"/>
          <w:right w:val="nil"/>
          <w:between w:val="nil"/>
        </w:pBdr>
        <w:spacing w:before="120" w:after="120"/>
        <w:ind w:left="0"/>
        <w:jc w:val="left"/>
        <w:rPr>
          <w:b/>
          <w:color w:val="000000"/>
          <w:sz w:val="32"/>
          <w:szCs w:val="32"/>
        </w:rPr>
      </w:pPr>
      <w:r>
        <w:rPr>
          <w:b/>
          <w:color w:val="000000"/>
          <w:sz w:val="32"/>
          <w:szCs w:val="32"/>
        </w:rPr>
        <w:lastRenderedPageBreak/>
        <w:t>Part A: BCDR Plan</w:t>
      </w:r>
    </w:p>
    <w:p w14:paraId="1800E8DD" w14:textId="77777777" w:rsidR="007A2913" w:rsidRDefault="00E570DE">
      <w:pPr>
        <w:spacing w:before="120" w:after="120"/>
        <w:ind w:left="0"/>
        <w:jc w:val="left"/>
        <w:rPr>
          <w:b/>
          <w:sz w:val="28"/>
          <w:szCs w:val="28"/>
        </w:rPr>
      </w:pPr>
      <w:r>
        <w:rPr>
          <w:b/>
          <w:sz w:val="28"/>
          <w:szCs w:val="28"/>
        </w:rPr>
        <w:t>Unless otherwise specified in this Schedule, this Part A shall apply only to Call-Off Contracts which have been awarded via Direct Award in accordance with Framework Schedule 7 (Call-Off Contract Award Procedure).</w:t>
      </w:r>
    </w:p>
    <w:p w14:paraId="5A06C6FC" w14:textId="1E013842" w:rsidR="007A2913" w:rsidRDefault="007A2913">
      <w:pPr>
        <w:spacing w:before="120" w:after="120"/>
        <w:ind w:left="0"/>
        <w:jc w:val="left"/>
        <w:rPr>
          <w:b/>
          <w:sz w:val="32"/>
          <w:szCs w:val="32"/>
        </w:rPr>
      </w:pPr>
    </w:p>
    <w:p w14:paraId="63892EE4" w14:textId="77777777" w:rsidR="007A2913" w:rsidRDefault="00E570DE">
      <w:pPr>
        <w:keepNext/>
        <w:numPr>
          <w:ilvl w:val="0"/>
          <w:numId w:val="7"/>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BCDR Plan</w:t>
      </w:r>
    </w:p>
    <w:p w14:paraId="63441971" w14:textId="77777777" w:rsidR="007A2913" w:rsidRDefault="00E570DE">
      <w:pPr>
        <w:numPr>
          <w:ilvl w:val="1"/>
          <w:numId w:val="7"/>
        </w:numPr>
        <w:pBdr>
          <w:top w:val="nil"/>
          <w:left w:val="nil"/>
          <w:bottom w:val="nil"/>
          <w:right w:val="nil"/>
          <w:between w:val="nil"/>
        </w:pBdr>
        <w:spacing w:before="120" w:after="120"/>
        <w:jc w:val="left"/>
        <w:rPr>
          <w:color w:val="000000"/>
          <w:sz w:val="24"/>
          <w:szCs w:val="24"/>
        </w:rPr>
      </w:pPr>
      <w:bookmarkStart w:id="3" w:name="_heading=h.1fob9te" w:colFirst="0" w:colLast="0"/>
      <w:bookmarkEnd w:id="3"/>
      <w:r>
        <w:rPr>
          <w:color w:val="000000"/>
          <w:sz w:val="24"/>
          <w:szCs w:val="24"/>
        </w:rPr>
        <w:t>The Buyer and the Supplier recognise that, where specified in Framework Schedule 4 (Framework Management), CCS shall have the right to enforce the Buyer's rights under this Schedule.</w:t>
      </w:r>
    </w:p>
    <w:p w14:paraId="37CD760A" w14:textId="77777777" w:rsidR="007A2913" w:rsidRDefault="00E570DE">
      <w:pPr>
        <w:numPr>
          <w:ilvl w:val="1"/>
          <w:numId w:val="7"/>
        </w:numPr>
        <w:spacing w:before="120" w:after="120"/>
        <w:jc w:val="left"/>
        <w:rPr>
          <w:sz w:val="24"/>
          <w:szCs w:val="24"/>
        </w:rPr>
      </w:pPr>
      <w:r>
        <w:rPr>
          <w:sz w:val="24"/>
          <w:szCs w:val="24"/>
        </w:rPr>
        <w:t>Promptly (and in any event within 30 days) after the Start Date, the Supplier shall provide to the Buyer its BCDR Plan.</w:t>
      </w:r>
    </w:p>
    <w:p w14:paraId="7B27349B" w14:textId="77777777" w:rsidR="007A2913" w:rsidRDefault="00E570DE">
      <w:pPr>
        <w:keepNext/>
        <w:numPr>
          <w:ilvl w:val="1"/>
          <w:numId w:val="7"/>
        </w:numPr>
        <w:spacing w:before="120" w:after="120"/>
        <w:jc w:val="left"/>
        <w:rPr>
          <w:sz w:val="24"/>
          <w:szCs w:val="24"/>
        </w:rPr>
      </w:pPr>
      <w:r>
        <w:rPr>
          <w:sz w:val="24"/>
          <w:szCs w:val="24"/>
        </w:rPr>
        <w:t xml:space="preserve">The Supplier shall </w:t>
      </w:r>
      <w:proofErr w:type="gramStart"/>
      <w:r>
        <w:rPr>
          <w:sz w:val="24"/>
          <w:szCs w:val="24"/>
        </w:rPr>
        <w:t>ensure at all times</w:t>
      </w:r>
      <w:proofErr w:type="gramEnd"/>
      <w:r>
        <w:rPr>
          <w:sz w:val="24"/>
          <w:szCs w:val="24"/>
        </w:rPr>
        <w:t xml:space="preserve"> that its BCDR Plan conforms with Good Industry Practice.</w:t>
      </w:r>
    </w:p>
    <w:p w14:paraId="0FBA41C6" w14:textId="77777777" w:rsidR="007A2913" w:rsidRDefault="00E570DE">
      <w:pPr>
        <w:keepNext/>
        <w:numPr>
          <w:ilvl w:val="1"/>
          <w:numId w:val="7"/>
        </w:numPr>
        <w:spacing w:before="120" w:after="120"/>
        <w:jc w:val="left"/>
        <w:rPr>
          <w:sz w:val="24"/>
          <w:szCs w:val="24"/>
        </w:rPr>
      </w:pPr>
      <w:r>
        <w:rPr>
          <w:sz w:val="24"/>
          <w:szCs w:val="24"/>
        </w:rPr>
        <w:t xml:space="preserve">The Supplier may from time to time during the Contract Period review, update, and/or test its BCDR Plan. The Supplier shall ensure that any use by it or any Subcontractor of "live" buyer data in such testing is first approved with the Buyer. Copies of live test data used in any such testing shall be (if </w:t>
      </w:r>
      <w:proofErr w:type="gramStart"/>
      <w:r>
        <w:rPr>
          <w:sz w:val="24"/>
          <w:szCs w:val="24"/>
        </w:rPr>
        <w:t>so</w:t>
      </w:r>
      <w:proofErr w:type="gramEnd"/>
      <w:r>
        <w:rPr>
          <w:sz w:val="24"/>
          <w:szCs w:val="24"/>
        </w:rPr>
        <w:t xml:space="preserve"> required by the Buyer) destroyed or returned to the Buyer on completion of the test.</w:t>
      </w:r>
    </w:p>
    <w:p w14:paraId="428B537D" w14:textId="77777777" w:rsidR="007A2913" w:rsidRDefault="00E570DE">
      <w:pPr>
        <w:keepNext/>
        <w:numPr>
          <w:ilvl w:val="1"/>
          <w:numId w:val="7"/>
        </w:numPr>
        <w:spacing w:before="120" w:after="120"/>
        <w:jc w:val="left"/>
        <w:rPr>
          <w:sz w:val="24"/>
          <w:szCs w:val="24"/>
        </w:rPr>
      </w:pPr>
      <w:r>
        <w:rPr>
          <w:sz w:val="24"/>
          <w:szCs w:val="24"/>
        </w:rPr>
        <w:t>The Supplier shall, within twenty (20) Working Days of the conclusion of each test of its BCDR Plan, provide to the Buyer a report setting out:</w:t>
      </w:r>
    </w:p>
    <w:p w14:paraId="31FBFDE1" w14:textId="77777777" w:rsidR="007A2913" w:rsidRDefault="00E570DE">
      <w:pPr>
        <w:numPr>
          <w:ilvl w:val="2"/>
          <w:numId w:val="7"/>
        </w:numPr>
        <w:tabs>
          <w:tab w:val="left" w:pos="1985"/>
          <w:tab w:val="left" w:pos="2127"/>
        </w:tabs>
        <w:spacing w:before="120" w:after="120"/>
        <w:jc w:val="left"/>
        <w:rPr>
          <w:sz w:val="24"/>
          <w:szCs w:val="24"/>
        </w:rPr>
      </w:pPr>
      <w:r>
        <w:rPr>
          <w:sz w:val="24"/>
          <w:szCs w:val="24"/>
        </w:rPr>
        <w:t>the outcome of the test;</w:t>
      </w:r>
    </w:p>
    <w:p w14:paraId="08EA5F0D" w14:textId="77777777" w:rsidR="007A2913" w:rsidRDefault="00E570DE">
      <w:pPr>
        <w:numPr>
          <w:ilvl w:val="2"/>
          <w:numId w:val="7"/>
        </w:numPr>
        <w:tabs>
          <w:tab w:val="left" w:pos="1985"/>
          <w:tab w:val="left" w:pos="2127"/>
        </w:tabs>
        <w:spacing w:before="120" w:after="120"/>
        <w:jc w:val="left"/>
        <w:rPr>
          <w:sz w:val="24"/>
          <w:szCs w:val="24"/>
        </w:rPr>
      </w:pPr>
      <w:r>
        <w:rPr>
          <w:sz w:val="24"/>
          <w:szCs w:val="24"/>
        </w:rPr>
        <w:t>any failures in the BCDR Plan (including the BCDR Plan's procedures) revealed by the test; and</w:t>
      </w:r>
    </w:p>
    <w:p w14:paraId="1D3D4C96" w14:textId="77777777" w:rsidR="007A2913" w:rsidRDefault="00E570DE">
      <w:pPr>
        <w:numPr>
          <w:ilvl w:val="2"/>
          <w:numId w:val="7"/>
        </w:numPr>
        <w:tabs>
          <w:tab w:val="left" w:pos="1985"/>
          <w:tab w:val="left" w:pos="2127"/>
        </w:tabs>
        <w:spacing w:before="120" w:after="120"/>
        <w:jc w:val="left"/>
        <w:rPr>
          <w:sz w:val="24"/>
          <w:szCs w:val="24"/>
        </w:rPr>
      </w:pPr>
      <w:r>
        <w:rPr>
          <w:sz w:val="24"/>
          <w:szCs w:val="24"/>
        </w:rPr>
        <w:t>the Supplier's proposals for remedying any such failures.</w:t>
      </w:r>
    </w:p>
    <w:p w14:paraId="33DB47D9" w14:textId="77777777" w:rsidR="007A2913" w:rsidRDefault="00E570DE">
      <w:pPr>
        <w:numPr>
          <w:ilvl w:val="1"/>
          <w:numId w:val="7"/>
        </w:numPr>
        <w:spacing w:before="120" w:after="120"/>
        <w:jc w:val="left"/>
        <w:rPr>
          <w:sz w:val="24"/>
          <w:szCs w:val="24"/>
        </w:rPr>
      </w:pPr>
      <w:r>
        <w:rPr>
          <w:sz w:val="24"/>
          <w:szCs w:val="24"/>
        </w:rPr>
        <w:t>In the event of a complete loss of service or in the event of a Disaster, the Supplier shall immediately invoke its BCDR Plan (and shall inform the Buyer promptly of such invocation). In all other instances the Supplier shall invoke or test the BCDR Plan only with the prior consent of the Buyer.</w:t>
      </w:r>
    </w:p>
    <w:p w14:paraId="2F384CCE" w14:textId="77777777" w:rsidR="007A2913" w:rsidRDefault="00E570DE">
      <w:pPr>
        <w:numPr>
          <w:ilvl w:val="1"/>
          <w:numId w:val="7"/>
        </w:numPr>
        <w:spacing w:before="120" w:after="120"/>
        <w:jc w:val="left"/>
        <w:rPr>
          <w:sz w:val="24"/>
          <w:szCs w:val="24"/>
        </w:rPr>
      </w:pPr>
      <w:r>
        <w:rPr>
          <w:sz w:val="24"/>
          <w:szCs w:val="24"/>
        </w:rPr>
        <w:t>To the extent the BCDR Plan contains processes, procedures, and/or other content which is designed to permit the continuity of the business operations of the Buyer supported by the Deliverables through continued provision of the Deliverables following an Insolvency Event of the Supplier, any Key Sub-contractor and/or any supplier, the BCDR Plan shall be invoked by the Supplier:</w:t>
      </w:r>
    </w:p>
    <w:p w14:paraId="1D21642A" w14:textId="77777777" w:rsidR="007A2913" w:rsidRDefault="00E570DE">
      <w:pPr>
        <w:tabs>
          <w:tab w:val="left" w:pos="1985"/>
          <w:tab w:val="left" w:pos="2127"/>
        </w:tabs>
        <w:spacing w:before="120" w:after="120"/>
        <w:ind w:left="936"/>
        <w:rPr>
          <w:sz w:val="24"/>
          <w:szCs w:val="24"/>
        </w:rPr>
      </w:pPr>
      <w:bookmarkStart w:id="4" w:name="_heading=h.3whwml4" w:colFirst="0" w:colLast="0"/>
      <w:bookmarkEnd w:id="4"/>
      <w:r>
        <w:rPr>
          <w:sz w:val="24"/>
          <w:szCs w:val="24"/>
        </w:rPr>
        <w:t>where an Insolvency Event of a Key Sub-contractor and/or Supplier Group member (other than the Supplier) could reasonably be expected to adversely affect delivery of the Deliverables; and/or</w:t>
      </w:r>
    </w:p>
    <w:p w14:paraId="33EF5EEA" w14:textId="77777777" w:rsidR="007A2913" w:rsidRDefault="00E570DE">
      <w:pPr>
        <w:tabs>
          <w:tab w:val="left" w:pos="1985"/>
          <w:tab w:val="left" w:pos="2127"/>
        </w:tabs>
        <w:spacing w:before="120" w:after="120"/>
        <w:ind w:left="0"/>
        <w:rPr>
          <w:sz w:val="24"/>
          <w:szCs w:val="24"/>
        </w:rPr>
      </w:pPr>
      <w:r>
        <w:rPr>
          <w:sz w:val="24"/>
          <w:szCs w:val="24"/>
        </w:rPr>
        <w:t xml:space="preserve">              where there is an Insolvency Event of the Supplier and the insolvency   </w:t>
      </w:r>
    </w:p>
    <w:p w14:paraId="23811A17" w14:textId="77777777" w:rsidR="007A2913" w:rsidRDefault="00E570DE">
      <w:pPr>
        <w:tabs>
          <w:tab w:val="left" w:pos="1985"/>
          <w:tab w:val="left" w:pos="2127"/>
        </w:tabs>
        <w:spacing w:before="120" w:after="120"/>
        <w:ind w:left="0"/>
        <w:rPr>
          <w:sz w:val="24"/>
          <w:szCs w:val="24"/>
        </w:rPr>
      </w:pPr>
      <w:r>
        <w:rPr>
          <w:sz w:val="24"/>
          <w:szCs w:val="24"/>
        </w:rPr>
        <w:lastRenderedPageBreak/>
        <w:t xml:space="preserve">             arrangements enable the Supplier to invoke the plan.</w:t>
      </w:r>
    </w:p>
    <w:p w14:paraId="6A05A809" w14:textId="77777777" w:rsidR="007A2913" w:rsidRDefault="007A2913">
      <w:pPr>
        <w:tabs>
          <w:tab w:val="left" w:pos="1985"/>
          <w:tab w:val="left" w:pos="2127"/>
        </w:tabs>
        <w:spacing w:before="120" w:after="120"/>
        <w:ind w:left="1656"/>
        <w:rPr>
          <w:sz w:val="24"/>
          <w:szCs w:val="24"/>
        </w:rPr>
      </w:pPr>
    </w:p>
    <w:p w14:paraId="64A2F952" w14:textId="77777777" w:rsidR="007A2913" w:rsidRDefault="00E570DE">
      <w:pPr>
        <w:pBdr>
          <w:top w:val="nil"/>
          <w:left w:val="nil"/>
          <w:bottom w:val="nil"/>
          <w:right w:val="nil"/>
          <w:between w:val="nil"/>
        </w:pBdr>
        <w:spacing w:before="120" w:after="120"/>
        <w:ind w:left="720" w:hanging="720"/>
        <w:rPr>
          <w:b/>
          <w:color w:val="000000"/>
          <w:sz w:val="32"/>
          <w:szCs w:val="32"/>
        </w:rPr>
      </w:pPr>
      <w:bookmarkStart w:id="5" w:name="_heading=h.3znysh7" w:colFirst="0" w:colLast="0"/>
      <w:bookmarkStart w:id="6" w:name="_heading=h.3t0z7q997sqp" w:colFirst="0" w:colLast="0"/>
      <w:bookmarkStart w:id="7" w:name="_heading=h.7rkkdmja59z" w:colFirst="0" w:colLast="0"/>
      <w:bookmarkStart w:id="8" w:name="_heading=h.3dy6vkm" w:colFirst="0" w:colLast="0"/>
      <w:bookmarkStart w:id="9" w:name="_heading=h.qsh70q" w:colFirst="0" w:colLast="0"/>
      <w:bookmarkStart w:id="10" w:name="_heading=h.1t3h5sf" w:colFirst="0" w:colLast="0"/>
      <w:bookmarkStart w:id="11" w:name="_heading=h.32hioqz" w:colFirst="0" w:colLast="0"/>
      <w:bookmarkStart w:id="12" w:name="_heading=h.1ci93xb" w:colFirst="0" w:colLast="0"/>
      <w:bookmarkStart w:id="13" w:name="_heading=h.1hmsyys" w:colFirst="0" w:colLast="0"/>
      <w:bookmarkStart w:id="14" w:name="_heading=h.41mghml" w:colFirst="0" w:colLast="0"/>
      <w:bookmarkStart w:id="15" w:name="_heading=h.4d34og8" w:colFirst="0" w:colLast="0"/>
      <w:bookmarkStart w:id="16" w:name="_heading=h.2s8eyo1" w:colFirst="0" w:colLast="0"/>
      <w:bookmarkStart w:id="17" w:name="_heading=h.17dp8vu" w:colFirst="0" w:colLast="0"/>
      <w:bookmarkStart w:id="18" w:name="_heading=h.2grqrue" w:colFirst="0" w:colLast="0"/>
      <w:bookmarkStart w:id="19" w:name="_heading=h.3rdcrjn" w:colFirst="0" w:colLast="0"/>
      <w:bookmarkStart w:id="20" w:name="_heading=h.26in1rg" w:colFirst="0" w:colLast="0"/>
      <w:bookmarkStart w:id="21" w:name="_heading=h.lnxbz9" w:colFirst="0" w:colLast="0"/>
      <w:bookmarkStart w:id="22" w:name="_heading=h.35nkun2" w:colFirst="0" w:colLast="0"/>
      <w:bookmarkStart w:id="23" w:name="_heading=h.1ksv4uv" w:colFirst="0" w:colLast="0"/>
      <w:bookmarkStart w:id="24" w:name="_heading=h.44sinio" w:colFirst="0" w:colLast="0"/>
      <w:bookmarkStart w:id="25" w:name="_heading=h.2jxsxqh" w:colFirst="0" w:colLast="0"/>
      <w:bookmarkStart w:id="26" w:name="_heading=h.z337ya" w:colFirst="0" w:colLast="0"/>
      <w:bookmarkStart w:id="27" w:name="_heading=h.3j2qqm3" w:colFirst="0" w:colLast="0"/>
      <w:bookmarkStart w:id="28" w:name="_heading=h.1y810tw" w:colFirst="0" w:colLast="0"/>
      <w:bookmarkStart w:id="29" w:name="_heading=h.4i7ojhp" w:colFirst="0" w:colLast="0"/>
      <w:bookmarkStart w:id="30" w:name="_heading=h.2xcytpi" w:colFirst="0" w:colLast="0"/>
      <w:bookmarkStart w:id="31" w:name="_heading=h.vx1227" w:colFirst="0" w:colLast="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Pr>
          <w:b/>
          <w:color w:val="000000"/>
          <w:sz w:val="32"/>
          <w:szCs w:val="32"/>
        </w:rPr>
        <w:t xml:space="preserve">Part </w:t>
      </w:r>
      <w:r>
        <w:rPr>
          <w:b/>
          <w:sz w:val="32"/>
          <w:szCs w:val="32"/>
        </w:rPr>
        <w:t>C</w:t>
      </w:r>
      <w:r>
        <w:rPr>
          <w:b/>
          <w:color w:val="000000"/>
          <w:sz w:val="32"/>
          <w:szCs w:val="32"/>
        </w:rPr>
        <w:t>:  Corporate Resolution Planning</w:t>
      </w:r>
    </w:p>
    <w:p w14:paraId="2D2E78A9" w14:textId="77777777" w:rsidR="007A2913" w:rsidRDefault="00E570DE">
      <w:pPr>
        <w:keepNext/>
        <w:numPr>
          <w:ilvl w:val="0"/>
          <w:numId w:val="8"/>
        </w:numPr>
        <w:pBdr>
          <w:top w:val="nil"/>
          <w:left w:val="nil"/>
          <w:bottom w:val="nil"/>
          <w:right w:val="nil"/>
          <w:between w:val="nil"/>
        </w:pBdr>
        <w:tabs>
          <w:tab w:val="left" w:pos="0"/>
        </w:tabs>
        <w:spacing w:before="240"/>
        <w:jc w:val="left"/>
        <w:rPr>
          <w:b/>
          <w:color w:val="000000"/>
          <w:sz w:val="24"/>
          <w:szCs w:val="24"/>
        </w:rPr>
      </w:pPr>
      <w:r>
        <w:rPr>
          <w:b/>
          <w:color w:val="000000"/>
          <w:sz w:val="24"/>
          <w:szCs w:val="24"/>
        </w:rPr>
        <w:t>Service Status and Supplier Status</w:t>
      </w:r>
    </w:p>
    <w:p w14:paraId="40CC136D" w14:textId="31F99580"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This Contract </w:t>
      </w:r>
      <w:r w:rsidRPr="00E93746">
        <w:rPr>
          <w:color w:val="000000"/>
          <w:sz w:val="24"/>
          <w:szCs w:val="24"/>
        </w:rPr>
        <w:t>is not</w:t>
      </w:r>
      <w:r>
        <w:rPr>
          <w:color w:val="000000"/>
          <w:sz w:val="24"/>
          <w:szCs w:val="24"/>
        </w:rPr>
        <w:t xml:space="preserve"> a Critical Service Contract.</w:t>
      </w:r>
    </w:p>
    <w:p w14:paraId="7320A3FA"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The Supplier shall notify the Buyer in writing within 5 Working Days of the Effective Date and throughout the Call-Off Contract Period within 120 days after each Accounting Reference Date as to </w:t>
      </w:r>
      <w:proofErr w:type="gramStart"/>
      <w:r>
        <w:rPr>
          <w:color w:val="000000"/>
          <w:sz w:val="24"/>
          <w:szCs w:val="24"/>
        </w:rPr>
        <w:t>whether or not</w:t>
      </w:r>
      <w:proofErr w:type="gramEnd"/>
      <w:r>
        <w:rPr>
          <w:color w:val="000000"/>
          <w:sz w:val="24"/>
          <w:szCs w:val="24"/>
        </w:rPr>
        <w:t xml:space="preserve"> it is a Public Sector Dependent Supplier.</w:t>
      </w:r>
    </w:p>
    <w:p w14:paraId="76228457" w14:textId="77777777" w:rsidR="007A2913" w:rsidRDefault="00E570DE">
      <w:pPr>
        <w:keepNext/>
        <w:numPr>
          <w:ilvl w:val="0"/>
          <w:numId w:val="8"/>
        </w:numPr>
        <w:pBdr>
          <w:top w:val="nil"/>
          <w:left w:val="nil"/>
          <w:bottom w:val="nil"/>
          <w:right w:val="nil"/>
          <w:between w:val="nil"/>
        </w:pBdr>
        <w:tabs>
          <w:tab w:val="left" w:pos="0"/>
        </w:tabs>
        <w:spacing w:before="240"/>
        <w:jc w:val="left"/>
        <w:rPr>
          <w:b/>
          <w:color w:val="000000"/>
          <w:sz w:val="24"/>
          <w:szCs w:val="24"/>
        </w:rPr>
      </w:pPr>
      <w:r>
        <w:rPr>
          <w:b/>
          <w:color w:val="000000"/>
          <w:sz w:val="24"/>
          <w:szCs w:val="24"/>
        </w:rPr>
        <w:t>Provision of Corporate Resolution Planning Information</w:t>
      </w:r>
    </w:p>
    <w:p w14:paraId="2DAED62D"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Paragraphs 2 to 4 of this Part </w:t>
      </w:r>
      <w:r>
        <w:rPr>
          <w:sz w:val="24"/>
          <w:szCs w:val="24"/>
        </w:rPr>
        <w:t>C</w:t>
      </w:r>
      <w:r>
        <w:rPr>
          <w:color w:val="000000"/>
          <w:sz w:val="24"/>
          <w:szCs w:val="24"/>
        </w:rPr>
        <w:t xml:space="preserve"> shall apply if the Contract has been specified as a Critical Service Contract under Paragraph 1.1 of this Part </w:t>
      </w:r>
      <w:r>
        <w:rPr>
          <w:sz w:val="24"/>
          <w:szCs w:val="24"/>
        </w:rPr>
        <w:t>C</w:t>
      </w:r>
      <w:r>
        <w:rPr>
          <w:color w:val="000000"/>
          <w:sz w:val="24"/>
          <w:szCs w:val="24"/>
        </w:rPr>
        <w:t xml:space="preserve"> or the Supplier is or becomes a Public Sector Dependent Supplier.</w:t>
      </w:r>
    </w:p>
    <w:p w14:paraId="734DE7BB"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Subject to Paragraphs 2.6, 2.10 and 2.11 of this Part </w:t>
      </w:r>
      <w:r>
        <w:rPr>
          <w:sz w:val="24"/>
          <w:szCs w:val="24"/>
        </w:rPr>
        <w:t>C</w:t>
      </w:r>
      <w:r>
        <w:rPr>
          <w:color w:val="000000"/>
          <w:sz w:val="24"/>
          <w:szCs w:val="24"/>
        </w:rPr>
        <w:t>:</w:t>
      </w:r>
    </w:p>
    <w:p w14:paraId="36267E10"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where the Contract is a Critical Service Contract, the Supplier shall provide the Appropriate Authority or Appropriate Authorities</w:t>
      </w:r>
      <w:r>
        <w:rPr>
          <w:sz w:val="28"/>
          <w:szCs w:val="28"/>
        </w:rPr>
        <w:t xml:space="preserve"> </w:t>
      </w:r>
      <w:r>
        <w:rPr>
          <w:sz w:val="24"/>
          <w:szCs w:val="24"/>
        </w:rPr>
        <w:t>with the CRP Information within 60 days of the Effective Date; and</w:t>
      </w:r>
    </w:p>
    <w:p w14:paraId="56961226"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3515253E"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The Supplier shall ensure that the CRP Information provided pursuant to Paragraphs 2.2, 2.8 and 2.9 of this Part B:</w:t>
      </w:r>
    </w:p>
    <w:p w14:paraId="142E7255"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is full, comprehensive, accurate and up to date;</w:t>
      </w:r>
    </w:p>
    <w:p w14:paraId="337B3670"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is split into two parts:</w:t>
      </w:r>
    </w:p>
    <w:p w14:paraId="60280590" w14:textId="77777777" w:rsidR="007A2913" w:rsidRDefault="00E570DE">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Group Structure Information and Resolution Commentary;</w:t>
      </w:r>
    </w:p>
    <w:p w14:paraId="79CBDDB2" w14:textId="77777777" w:rsidR="007A2913" w:rsidRDefault="00E570DE">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
    <w:p w14:paraId="189711AF"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 xml:space="preserve">incorporates any additional commentary, supporting documents and evidence which would reasonably be required by the Appropriate </w:t>
      </w:r>
      <w:r>
        <w:rPr>
          <w:sz w:val="24"/>
          <w:szCs w:val="24"/>
        </w:rPr>
        <w:lastRenderedPageBreak/>
        <w:t>Authority or Appropriate Authorities to understand and consider the information for approval;</w:t>
      </w:r>
    </w:p>
    <w:p w14:paraId="101DA372"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34BF289E"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complies with the requirements set out at Appendix 1 (Group Structure Information and Resolution Commentary) and Appendix 2 (UK Public Sector / CNI Contract Information) respectively.</w:t>
      </w:r>
    </w:p>
    <w:p w14:paraId="0A874D40"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Following receipt by the Appropriate Authority or Appropriate Authorities of the CRP Information pursuant to Paragraphs 2.2, 2.8 and 2.9 of this Part </w:t>
      </w:r>
      <w:r>
        <w:rPr>
          <w:sz w:val="24"/>
          <w:szCs w:val="24"/>
        </w:rPr>
        <w:t>C</w:t>
      </w:r>
      <w:r>
        <w:rPr>
          <w:color w:val="000000"/>
          <w:sz w:val="24"/>
          <w:szCs w:val="24"/>
        </w:rPr>
        <w:t>,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14:paraId="5B4942DC"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If the Appropriate Authority or Appropriate Authorities rejects the CRP Information:</w:t>
      </w:r>
    </w:p>
    <w:p w14:paraId="09958B5C"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the Buyer shall (and shall procure that the Cabinet Office Markets and Suppliers Team shall) inform the Supplier in writing of its reasons for its rejection; and</w:t>
      </w:r>
    </w:p>
    <w:p w14:paraId="45379256"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C shall apply again to any resubmitted CRP Information provided that either Party may refer any disputed matters for resolution by the Dispute Resolution Procedure under Clause 34 of the Core Terms at any time.</w:t>
      </w:r>
    </w:p>
    <w:p w14:paraId="4F6A7200"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of this Part C if it provides a copy of the Valid Assurance to the Appropriate Authority or Appropriate Authorities on or before the date on which the CRP Information would otherwise have been required.</w:t>
      </w:r>
    </w:p>
    <w:p w14:paraId="694CF348"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lastRenderedPageBreak/>
        <w:t xml:space="preserve">An Assurance shall be deemed Valid for the purposes of Paragraph 2.6 of this Part </w:t>
      </w:r>
      <w:r>
        <w:rPr>
          <w:sz w:val="24"/>
          <w:szCs w:val="24"/>
        </w:rPr>
        <w:t>C</w:t>
      </w:r>
      <w:r>
        <w:rPr>
          <w:color w:val="000000"/>
          <w:sz w:val="24"/>
          <w:szCs w:val="24"/>
        </w:rPr>
        <w:t xml:space="preserve"> if:</w:t>
      </w:r>
    </w:p>
    <w:p w14:paraId="6580A854"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2B6A02E4"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5F005913"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If the Contract is a Critical Service Contract, the Supplier shall provide an updated version of the CRP Information (or, in the case of Paragraph 2.8.3 of this Part </w:t>
      </w:r>
      <w:r>
        <w:rPr>
          <w:sz w:val="24"/>
          <w:szCs w:val="24"/>
        </w:rPr>
        <w:t>C</w:t>
      </w:r>
      <w:r>
        <w:rPr>
          <w:color w:val="000000"/>
          <w:sz w:val="24"/>
          <w:szCs w:val="24"/>
        </w:rPr>
        <w:t xml:space="preserve"> its initial CRP Information) to the Appropriate Authority or Appropriate Authorities:</w:t>
      </w:r>
    </w:p>
    <w:p w14:paraId="7C12749E"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within 14 days of the occurrence of a Financial Distress Event (along with any additional highly confidential information no longer exempted from disclosure under Paragraph 2.11 of this Part C) unless the Supplier is relieved of the consequences of the Financial Distress Event under Paragraph 7.1 of Joint Schedule 7 (Financial Distress) (if applicable);</w:t>
      </w:r>
    </w:p>
    <w:p w14:paraId="31480DD2"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within 30 days of a Corporate Change Event unless not required pursuant to Paragraph 2.10 of this Part C;</w:t>
      </w:r>
    </w:p>
    <w:p w14:paraId="41D4E7D9"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within 30 days of the date that:</w:t>
      </w:r>
    </w:p>
    <w:p w14:paraId="34416FD1" w14:textId="77777777" w:rsidR="007A2913" w:rsidRDefault="00E570DE">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the credit rating(s) of each of the Supplier and its Parent Undertakings fail to meet any of the criteria specified in Paragraph 2.10 of this Part C; or</w:t>
      </w:r>
    </w:p>
    <w:p w14:paraId="62CBD9E1" w14:textId="77777777" w:rsidR="007A2913" w:rsidRDefault="00E570DE">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none of the credit rating agencies specified at Paragraph 2.10 of this Part C hold a public credit rating for the Supplier or any of its Parent Undertakings; and</w:t>
      </w:r>
    </w:p>
    <w:p w14:paraId="2FE89D62"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in any event, within 6 months after each Accounting Reference Date or within 15 months of the date of the previous Assurance received from the Appropriate Authority (whichever is the earlier), unless:</w:t>
      </w:r>
    </w:p>
    <w:p w14:paraId="75198E68" w14:textId="77777777" w:rsidR="007A2913" w:rsidRDefault="00E570DE">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updated CRP Information has been provided under any of Paragraphs 2.8.1 2.8.2 or 2.8.3 of this Part C since the most recent Accounting Reference Date (being no more than 12 months previously) within the timescales that would ordinarily be required for the provision of that information under this Paragraph 2.8.4; or</w:t>
      </w:r>
    </w:p>
    <w:p w14:paraId="6F4A6381" w14:textId="77777777" w:rsidR="007A2913" w:rsidRDefault="00E570DE">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unless not required pursuant to Paragraph 2.10 of th</w:t>
      </w:r>
      <w:r>
        <w:rPr>
          <w:sz w:val="24"/>
          <w:szCs w:val="24"/>
        </w:rPr>
        <w:t>is Part C</w:t>
      </w:r>
      <w:r>
        <w:rPr>
          <w:color w:val="000000"/>
          <w:sz w:val="24"/>
          <w:szCs w:val="24"/>
        </w:rPr>
        <w:t>.</w:t>
      </w:r>
    </w:p>
    <w:p w14:paraId="797E2226"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Where the Supplier is a Public Sector Dependent Supplier and the Contract is not a Critical Service Contract, then on the occurrence of any of the events   specified in Paragraphs 2.8.1 to 2.8.4 of this Part </w:t>
      </w:r>
      <w:r>
        <w:rPr>
          <w:sz w:val="24"/>
          <w:szCs w:val="24"/>
        </w:rPr>
        <w:t>C</w:t>
      </w:r>
      <w:r>
        <w:rPr>
          <w:color w:val="000000"/>
          <w:sz w:val="24"/>
          <w:szCs w:val="24"/>
        </w:rPr>
        <w:t xml:space="preserve">, the Supplier shall provide </w:t>
      </w:r>
      <w:r>
        <w:rPr>
          <w:color w:val="000000"/>
          <w:sz w:val="24"/>
          <w:szCs w:val="24"/>
        </w:rPr>
        <w:lastRenderedPageBreak/>
        <w:t>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14:paraId="7920F98B"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Where the Supplier or a Parent Undertaking of the Supplier has a credit rating of either:</w:t>
      </w:r>
    </w:p>
    <w:p w14:paraId="27FB71B0"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Aa3 or better from Moody’s;</w:t>
      </w:r>
    </w:p>
    <w:p w14:paraId="28B890AD"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 xml:space="preserve">AA- or better from Standard and </w:t>
      </w:r>
      <w:proofErr w:type="spellStart"/>
      <w:r>
        <w:rPr>
          <w:sz w:val="24"/>
          <w:szCs w:val="24"/>
        </w:rPr>
        <w:t>Poors</w:t>
      </w:r>
      <w:proofErr w:type="spellEnd"/>
      <w:r>
        <w:rPr>
          <w:sz w:val="24"/>
          <w:szCs w:val="24"/>
        </w:rPr>
        <w:t>;</w:t>
      </w:r>
    </w:p>
    <w:p w14:paraId="7039DAF9"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AA- or better from Fitch;</w:t>
      </w:r>
    </w:p>
    <w:p w14:paraId="2C12C872" w14:textId="77777777" w:rsidR="007A2913" w:rsidRDefault="00E570DE">
      <w:pPr>
        <w:keepNext/>
        <w:pBdr>
          <w:top w:val="nil"/>
          <w:left w:val="nil"/>
          <w:bottom w:val="nil"/>
          <w:right w:val="nil"/>
          <w:between w:val="nil"/>
        </w:pBdr>
        <w:spacing w:before="120" w:after="120"/>
        <w:ind w:left="720"/>
        <w:jc w:val="left"/>
        <w:rPr>
          <w:sz w:val="24"/>
          <w:szCs w:val="24"/>
        </w:rPr>
      </w:pPr>
      <w:r>
        <w:rPr>
          <w:sz w:val="24"/>
          <w:szCs w:val="24"/>
        </w:rPr>
        <w:t>the Supplier will not be required to provide any CRP Information unless or until either (</w:t>
      </w:r>
      <w:proofErr w:type="spellStart"/>
      <w:r>
        <w:rPr>
          <w:sz w:val="24"/>
          <w:szCs w:val="24"/>
        </w:rPr>
        <w:t>i</w:t>
      </w:r>
      <w:proofErr w:type="spellEnd"/>
      <w:r>
        <w:rPr>
          <w:sz w:val="24"/>
          <w:szCs w:val="24"/>
        </w:rPr>
        <w:t>)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of this Part C, in which cases the Supplier shall provide the updated version of the CRP Information in accordance with paragraph 2.8 of this Part C.</w:t>
      </w:r>
    </w:p>
    <w:p w14:paraId="198705E2"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 of this Part C.</w:t>
      </w:r>
    </w:p>
    <w:p w14:paraId="6A85C357" w14:textId="77777777" w:rsidR="007A2913" w:rsidRDefault="00E570DE">
      <w:pPr>
        <w:keepNext/>
        <w:numPr>
          <w:ilvl w:val="0"/>
          <w:numId w:val="8"/>
        </w:numPr>
        <w:pBdr>
          <w:top w:val="nil"/>
          <w:left w:val="nil"/>
          <w:bottom w:val="nil"/>
          <w:right w:val="nil"/>
          <w:between w:val="nil"/>
        </w:pBdr>
        <w:tabs>
          <w:tab w:val="left" w:pos="0"/>
        </w:tabs>
        <w:spacing w:before="240"/>
        <w:jc w:val="left"/>
        <w:rPr>
          <w:b/>
          <w:color w:val="000000"/>
          <w:sz w:val="24"/>
          <w:szCs w:val="24"/>
        </w:rPr>
      </w:pPr>
      <w:r>
        <w:rPr>
          <w:b/>
          <w:color w:val="000000"/>
          <w:sz w:val="24"/>
          <w:szCs w:val="24"/>
        </w:rPr>
        <w:t>Termination Rights</w:t>
      </w:r>
    </w:p>
    <w:p w14:paraId="21E8070F"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The Buyer shall be entitled to terminate the Contract if the Supplier is required to provide CRP Information under Paragraph 2 of this Part </w:t>
      </w:r>
      <w:r>
        <w:rPr>
          <w:sz w:val="24"/>
          <w:szCs w:val="24"/>
        </w:rPr>
        <w:t>C</w:t>
      </w:r>
      <w:r>
        <w:rPr>
          <w:color w:val="000000"/>
          <w:sz w:val="24"/>
          <w:szCs w:val="24"/>
        </w:rPr>
        <w:t xml:space="preserve"> and either:</w:t>
      </w:r>
    </w:p>
    <w:p w14:paraId="4D87C570"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the Supplier fails to provide the CRP Information within 4 months of the Effective Date if this is a Critical Service Contract or otherwise within 4 months of the Appropriate Authority’s or Appropriate Authorities’ request; or</w:t>
      </w:r>
    </w:p>
    <w:p w14:paraId="3D6C525C"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the Supplier fails to obtain an Assurance from the Appropriate Authority or Appropriate Authorities within 4 months of the date that it was first required to provide the CRP Information under the Contract,</w:t>
      </w:r>
    </w:p>
    <w:p w14:paraId="3B174A63" w14:textId="77777777" w:rsidR="007A2913" w:rsidRDefault="00E570DE">
      <w:pPr>
        <w:pBdr>
          <w:top w:val="nil"/>
          <w:left w:val="nil"/>
          <w:bottom w:val="nil"/>
          <w:right w:val="nil"/>
          <w:between w:val="nil"/>
        </w:pBdr>
        <w:spacing w:before="120" w:after="120"/>
        <w:ind w:left="720" w:hanging="720"/>
        <w:rPr>
          <w:color w:val="000000"/>
          <w:sz w:val="24"/>
          <w:szCs w:val="24"/>
        </w:rPr>
      </w:pPr>
      <w:r>
        <w:rPr>
          <w:color w:val="000000"/>
          <w:sz w:val="24"/>
          <w:szCs w:val="24"/>
        </w:rPr>
        <w:t>which shall be deemed to be an event to which Clause 10.4.1 of the Core Terms applies and Clauses 10.6.1 and 10.6.2 of the Core Terms shall apply accordingly.</w:t>
      </w:r>
    </w:p>
    <w:p w14:paraId="1158FCB8" w14:textId="77777777" w:rsidR="007A2913" w:rsidRDefault="00E570DE">
      <w:pPr>
        <w:keepNext/>
        <w:numPr>
          <w:ilvl w:val="0"/>
          <w:numId w:val="8"/>
        </w:numPr>
        <w:pBdr>
          <w:top w:val="nil"/>
          <w:left w:val="nil"/>
          <w:bottom w:val="nil"/>
          <w:right w:val="nil"/>
          <w:between w:val="nil"/>
        </w:pBdr>
        <w:tabs>
          <w:tab w:val="left" w:pos="0"/>
        </w:tabs>
        <w:spacing w:before="240"/>
        <w:jc w:val="left"/>
        <w:rPr>
          <w:b/>
          <w:color w:val="000000"/>
          <w:sz w:val="24"/>
          <w:szCs w:val="24"/>
        </w:rPr>
      </w:pPr>
      <w:r>
        <w:rPr>
          <w:b/>
          <w:color w:val="000000"/>
          <w:sz w:val="24"/>
          <w:szCs w:val="24"/>
        </w:rPr>
        <w:lastRenderedPageBreak/>
        <w:t>Confidentiality and usage of CRP Information</w:t>
      </w:r>
    </w:p>
    <w:p w14:paraId="0BD8A761"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74809466" w14:textId="77777777" w:rsidR="007A2913" w:rsidRDefault="00E570DE">
      <w:pPr>
        <w:numPr>
          <w:ilvl w:val="1"/>
          <w:numId w:val="8"/>
        </w:numPr>
        <w:pBdr>
          <w:top w:val="nil"/>
          <w:left w:val="nil"/>
          <w:bottom w:val="nil"/>
          <w:right w:val="nil"/>
          <w:between w:val="nil"/>
        </w:pBdr>
        <w:spacing w:before="120" w:after="120"/>
        <w:rPr>
          <w:color w:val="000000"/>
          <w:sz w:val="24"/>
          <w:szCs w:val="24"/>
        </w:rPr>
      </w:pPr>
      <w:bookmarkStart w:id="32" w:name="_heading=h.23ckvvd" w:colFirst="0" w:colLast="0"/>
      <w:bookmarkEnd w:id="32"/>
      <w:r>
        <w:rPr>
          <w:color w:val="000000"/>
          <w:sz w:val="24"/>
          <w:szCs w:val="24"/>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w:t>
      </w:r>
      <w:r>
        <w:rPr>
          <w:sz w:val="24"/>
          <w:szCs w:val="24"/>
        </w:rPr>
        <w:t>C</w:t>
      </w:r>
      <w:r>
        <w:rPr>
          <w:color w:val="000000"/>
          <w:sz w:val="24"/>
          <w:szCs w:val="24"/>
        </w:rPr>
        <w:t xml:space="preserve"> and Clause 15 of the Core Terms.</w:t>
      </w:r>
    </w:p>
    <w:p w14:paraId="78E77B48"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The Supplier shall use reasonable endeavours to obtain consent from any third party which has restricted the disclosure of the CRP Information to enable disclosure of that information to the Appropriate Authority or Appropriate Authorities pursuant to Paragraph 2 of this Part </w:t>
      </w:r>
      <w:r>
        <w:rPr>
          <w:sz w:val="24"/>
          <w:szCs w:val="24"/>
        </w:rPr>
        <w:t>C</w:t>
      </w:r>
      <w:r>
        <w:rPr>
          <w:color w:val="000000"/>
          <w:sz w:val="24"/>
          <w:szCs w:val="24"/>
        </w:rPr>
        <w:t xml:space="preserve"> subject, where necessary, to the Appropriate Authority or Appropriate Authorities entering into an appropriate confidentiality agreement in the form required by the third party.</w:t>
      </w:r>
    </w:p>
    <w:p w14:paraId="6E0C9277"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 xml:space="preserve">Where the Supplier is unable to procure consent pursuant to Paragraph 4.3 of this Part </w:t>
      </w:r>
      <w:r>
        <w:rPr>
          <w:sz w:val="24"/>
          <w:szCs w:val="24"/>
        </w:rPr>
        <w:t>C</w:t>
      </w:r>
      <w:r>
        <w:rPr>
          <w:color w:val="000000"/>
          <w:sz w:val="24"/>
          <w:szCs w:val="24"/>
        </w:rPr>
        <w:t xml:space="preserve">, the Supplier shall use all reasonable endeavours to </w:t>
      </w:r>
      <w:proofErr w:type="gramStart"/>
      <w:r>
        <w:rPr>
          <w:color w:val="000000"/>
          <w:sz w:val="24"/>
          <w:szCs w:val="24"/>
        </w:rPr>
        <w:t>disclose the CRP Information to the fullest extent</w:t>
      </w:r>
      <w:proofErr w:type="gramEnd"/>
      <w:r>
        <w:rPr>
          <w:color w:val="000000"/>
          <w:sz w:val="24"/>
          <w:szCs w:val="24"/>
        </w:rPr>
        <w:t xml:space="preserve"> possible by limiting the amount of information it withholds including by:</w:t>
      </w:r>
    </w:p>
    <w:p w14:paraId="2E1A10EC"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redacting only those parts of the information which are subject to such obligations of confidentiality;</w:t>
      </w:r>
    </w:p>
    <w:p w14:paraId="3B718E7E" w14:textId="77777777" w:rsidR="007A2913" w:rsidRDefault="00E570DE">
      <w:pPr>
        <w:keepNext/>
        <w:numPr>
          <w:ilvl w:val="2"/>
          <w:numId w:val="8"/>
        </w:numPr>
        <w:pBdr>
          <w:top w:val="nil"/>
          <w:left w:val="nil"/>
          <w:bottom w:val="nil"/>
          <w:right w:val="nil"/>
          <w:between w:val="nil"/>
        </w:pBdr>
        <w:spacing w:before="120" w:after="120"/>
        <w:jc w:val="left"/>
        <w:rPr>
          <w:sz w:val="24"/>
          <w:szCs w:val="24"/>
        </w:rPr>
      </w:pPr>
      <w:r>
        <w:rPr>
          <w:sz w:val="24"/>
          <w:szCs w:val="24"/>
        </w:rPr>
        <w:t>providing the information in a form that does not breach its obligations of confidentiality including (where possible) by:</w:t>
      </w:r>
    </w:p>
    <w:p w14:paraId="690C4062" w14:textId="77777777" w:rsidR="007A2913" w:rsidRDefault="00E570DE">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summarising the information;</w:t>
      </w:r>
    </w:p>
    <w:p w14:paraId="04E29DA0" w14:textId="77777777" w:rsidR="007A2913" w:rsidRDefault="00E570DE">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grouping the information;</w:t>
      </w:r>
    </w:p>
    <w:p w14:paraId="5DD84A79" w14:textId="77777777" w:rsidR="007A2913" w:rsidRDefault="00E570DE">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anonymising the information; and</w:t>
      </w:r>
    </w:p>
    <w:p w14:paraId="15DB8000" w14:textId="77777777" w:rsidR="007A2913" w:rsidRDefault="00E570DE">
      <w:pPr>
        <w:numPr>
          <w:ilvl w:val="3"/>
          <w:numId w:val="8"/>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presenting the information in general terms</w:t>
      </w:r>
    </w:p>
    <w:p w14:paraId="3F50E3C8" w14:textId="77777777" w:rsidR="007A2913" w:rsidRDefault="00E570DE">
      <w:pPr>
        <w:numPr>
          <w:ilvl w:val="1"/>
          <w:numId w:val="8"/>
        </w:numPr>
        <w:pBdr>
          <w:top w:val="nil"/>
          <w:left w:val="nil"/>
          <w:bottom w:val="nil"/>
          <w:right w:val="nil"/>
          <w:between w:val="nil"/>
        </w:pBdr>
        <w:spacing w:before="120" w:after="120"/>
        <w:rPr>
          <w:color w:val="000000"/>
          <w:sz w:val="24"/>
          <w:szCs w:val="24"/>
        </w:rPr>
      </w:pPr>
      <w:r>
        <w:rPr>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72A3D3EC" w14:textId="77777777" w:rsidR="007A2913" w:rsidRDefault="007A2913">
      <w:pPr>
        <w:pBdr>
          <w:top w:val="nil"/>
          <w:left w:val="nil"/>
          <w:bottom w:val="nil"/>
          <w:right w:val="nil"/>
          <w:between w:val="nil"/>
        </w:pBdr>
        <w:spacing w:before="120" w:after="120"/>
        <w:ind w:left="720" w:hanging="720"/>
        <w:rPr>
          <w:rFonts w:ascii="Calibri" w:eastAsia="Calibri" w:hAnsi="Calibri" w:cs="Calibri"/>
          <w:color w:val="000000"/>
        </w:rPr>
      </w:pPr>
    </w:p>
    <w:p w14:paraId="0D0B940D" w14:textId="77777777" w:rsidR="007A2913" w:rsidRDefault="00E570DE">
      <w:pPr>
        <w:ind w:firstLine="1418"/>
      </w:pPr>
      <w:r>
        <w:br w:type="page"/>
      </w:r>
    </w:p>
    <w:p w14:paraId="4CEF071E" w14:textId="77777777" w:rsidR="007A2913" w:rsidRDefault="00E570DE">
      <w:pPr>
        <w:ind w:left="0"/>
        <w:rPr>
          <w:b/>
          <w:sz w:val="32"/>
          <w:szCs w:val="32"/>
        </w:rPr>
      </w:pPr>
      <w:r>
        <w:rPr>
          <w:b/>
          <w:sz w:val="32"/>
          <w:szCs w:val="32"/>
        </w:rPr>
        <w:lastRenderedPageBreak/>
        <w:t>Appendix 1: Group structure information and resolution commentary</w:t>
      </w:r>
    </w:p>
    <w:p w14:paraId="1DB63E19" w14:textId="77777777" w:rsidR="007A2913" w:rsidRDefault="00E570DE">
      <w:pPr>
        <w:numPr>
          <w:ilvl w:val="0"/>
          <w:numId w:val="2"/>
        </w:numPr>
        <w:pBdr>
          <w:top w:val="nil"/>
          <w:left w:val="nil"/>
          <w:bottom w:val="nil"/>
          <w:right w:val="nil"/>
          <w:between w:val="nil"/>
        </w:pBdr>
        <w:rPr>
          <w:color w:val="000000"/>
          <w:sz w:val="24"/>
          <w:szCs w:val="24"/>
        </w:rPr>
      </w:pPr>
      <w:r>
        <w:rPr>
          <w:color w:val="000000"/>
          <w:sz w:val="24"/>
          <w:szCs w:val="24"/>
        </w:rPr>
        <w:t>The Supplier shall:</w:t>
      </w:r>
    </w:p>
    <w:p w14:paraId="03E25641" w14:textId="77777777" w:rsidR="007A2913" w:rsidRDefault="00E570DE">
      <w:pPr>
        <w:numPr>
          <w:ilvl w:val="1"/>
          <w:numId w:val="2"/>
        </w:numPr>
        <w:pBdr>
          <w:top w:val="nil"/>
          <w:left w:val="nil"/>
          <w:bottom w:val="nil"/>
          <w:right w:val="nil"/>
          <w:between w:val="nil"/>
        </w:pBdr>
        <w:ind w:left="1134"/>
        <w:rPr>
          <w:color w:val="000000"/>
          <w:sz w:val="24"/>
          <w:szCs w:val="24"/>
        </w:rPr>
      </w:pPr>
      <w:r>
        <w:rPr>
          <w:color w:val="000000"/>
          <w:sz w:val="24"/>
          <w:szCs w:val="24"/>
        </w:rPr>
        <w:t>provide sufficient information to allow the Appropriate Authority to understand the implications on the Supplier Group’s UK Public Sector Business and CNI contracts listed pursuant to Appendix 2 if the Supplier or another member of the Supplier Group is subject to an Insolvency Event;</w:t>
      </w:r>
    </w:p>
    <w:p w14:paraId="1FA69C35" w14:textId="77777777" w:rsidR="007A2913" w:rsidRDefault="00E570DE">
      <w:pPr>
        <w:numPr>
          <w:ilvl w:val="1"/>
          <w:numId w:val="2"/>
        </w:numPr>
        <w:pBdr>
          <w:top w:val="nil"/>
          <w:left w:val="nil"/>
          <w:bottom w:val="nil"/>
          <w:right w:val="nil"/>
          <w:between w:val="nil"/>
        </w:pBdr>
        <w:ind w:left="1134"/>
        <w:rPr>
          <w:color w:val="000000"/>
          <w:sz w:val="24"/>
          <w:szCs w:val="24"/>
        </w:rPr>
      </w:pPr>
      <w:r>
        <w:rPr>
          <w:color w:val="000000"/>
          <w:sz w:val="24"/>
          <w:szCs w:val="24"/>
        </w:rPr>
        <w:t xml:space="preserve">ensure that the information is presented </w:t>
      </w:r>
      <w:proofErr w:type="gramStart"/>
      <w:r>
        <w:rPr>
          <w:color w:val="000000"/>
          <w:sz w:val="24"/>
          <w:szCs w:val="24"/>
        </w:rPr>
        <w:t>so as to</w:t>
      </w:r>
      <w:proofErr w:type="gramEnd"/>
      <w:r>
        <w:rPr>
          <w:color w:val="000000"/>
          <w:sz w:val="24"/>
          <w:szCs w:val="24"/>
        </w:rPr>
        <w:t xml:space="preserve"> provide a simple, effective and easily understood overview of the Supplier Group; and</w:t>
      </w:r>
    </w:p>
    <w:p w14:paraId="58FF2CCE" w14:textId="77777777" w:rsidR="007A2913" w:rsidRDefault="00E570DE">
      <w:pPr>
        <w:numPr>
          <w:ilvl w:val="1"/>
          <w:numId w:val="2"/>
        </w:numPr>
        <w:pBdr>
          <w:top w:val="nil"/>
          <w:left w:val="nil"/>
          <w:bottom w:val="nil"/>
          <w:right w:val="nil"/>
          <w:between w:val="nil"/>
        </w:pBdr>
        <w:ind w:left="1134"/>
        <w:rPr>
          <w:color w:val="000000"/>
          <w:sz w:val="24"/>
          <w:szCs w:val="24"/>
        </w:rPr>
      </w:pPr>
      <w:r>
        <w:rPr>
          <w:color w:val="000000"/>
          <w:sz w:val="24"/>
          <w:szCs w:val="24"/>
        </w:rPr>
        <w:t>provide full details of the importance of each member of the Supplier Group to the Supplier Group’s UK Public Sector Business and CNI contracts listed pursuant to Appendix 2 and the dependencies between each.</w:t>
      </w:r>
    </w:p>
    <w:p w14:paraId="0E27B00A" w14:textId="77777777" w:rsidR="007A2913" w:rsidRDefault="00E570DE">
      <w:pPr>
        <w:ind w:firstLine="1418"/>
      </w:pPr>
      <w:r>
        <w:br w:type="page"/>
      </w:r>
    </w:p>
    <w:p w14:paraId="00349990" w14:textId="77777777" w:rsidR="007A2913" w:rsidRDefault="00E570DE">
      <w:pPr>
        <w:ind w:left="0"/>
        <w:rPr>
          <w:b/>
          <w:sz w:val="32"/>
          <w:szCs w:val="32"/>
        </w:rPr>
      </w:pPr>
      <w:r>
        <w:rPr>
          <w:b/>
          <w:sz w:val="32"/>
          <w:szCs w:val="32"/>
        </w:rPr>
        <w:lastRenderedPageBreak/>
        <w:t>Appendix 2: UK Public Sector / CNI Contract Information</w:t>
      </w:r>
    </w:p>
    <w:p w14:paraId="15176F9E" w14:textId="77777777" w:rsidR="007A2913" w:rsidRDefault="00E570DE">
      <w:pPr>
        <w:numPr>
          <w:ilvl w:val="0"/>
          <w:numId w:val="4"/>
        </w:numPr>
        <w:pBdr>
          <w:top w:val="nil"/>
          <w:left w:val="nil"/>
          <w:bottom w:val="nil"/>
          <w:right w:val="nil"/>
          <w:between w:val="nil"/>
        </w:pBdr>
        <w:rPr>
          <w:color w:val="000000"/>
          <w:sz w:val="24"/>
          <w:szCs w:val="24"/>
        </w:rPr>
      </w:pPr>
      <w:r>
        <w:rPr>
          <w:color w:val="000000"/>
          <w:sz w:val="24"/>
          <w:szCs w:val="24"/>
        </w:rPr>
        <w:t>The Supplier shall:</w:t>
      </w:r>
    </w:p>
    <w:p w14:paraId="3800E6DD" w14:textId="77777777" w:rsidR="007A2913" w:rsidRDefault="00E570DE">
      <w:pPr>
        <w:numPr>
          <w:ilvl w:val="1"/>
          <w:numId w:val="4"/>
        </w:numPr>
        <w:pBdr>
          <w:top w:val="nil"/>
          <w:left w:val="nil"/>
          <w:bottom w:val="nil"/>
          <w:right w:val="nil"/>
          <w:between w:val="nil"/>
        </w:pBdr>
        <w:rPr>
          <w:color w:val="000000"/>
          <w:sz w:val="24"/>
          <w:szCs w:val="24"/>
        </w:rPr>
      </w:pPr>
      <w:r>
        <w:rPr>
          <w:color w:val="000000"/>
          <w:sz w:val="24"/>
          <w:szCs w:val="24"/>
        </w:rPr>
        <w:t>provide details of all agreements held by members of the Supplier Group where those agreements are for goods, services or works provision and:</w:t>
      </w:r>
    </w:p>
    <w:p w14:paraId="0220D35A" w14:textId="77777777" w:rsidR="007A2913" w:rsidRDefault="00E570DE">
      <w:pPr>
        <w:numPr>
          <w:ilvl w:val="2"/>
          <w:numId w:val="4"/>
        </w:numPr>
        <w:pBdr>
          <w:top w:val="nil"/>
          <w:left w:val="nil"/>
          <w:bottom w:val="nil"/>
          <w:right w:val="nil"/>
          <w:between w:val="nil"/>
        </w:pBdr>
        <w:rPr>
          <w:color w:val="000000"/>
          <w:sz w:val="24"/>
          <w:szCs w:val="24"/>
        </w:rPr>
      </w:pPr>
      <w:r>
        <w:rPr>
          <w:color w:val="000000"/>
          <w:sz w:val="24"/>
          <w:szCs w:val="24"/>
        </w:rPr>
        <w:t xml:space="preserve">are with any UK public sector bodies </w:t>
      </w:r>
      <w:proofErr w:type="gramStart"/>
      <w:r>
        <w:rPr>
          <w:color w:val="000000"/>
          <w:sz w:val="24"/>
          <w:szCs w:val="24"/>
        </w:rPr>
        <w:t>including:</w:t>
      </w:r>
      <w:proofErr w:type="gramEnd"/>
      <w:r>
        <w:rPr>
          <w:color w:val="000000"/>
          <w:sz w:val="24"/>
          <w:szCs w:val="24"/>
        </w:rPr>
        <w:t xml:space="preserve"> central Government departments and their arms-length bodies and agencies, non-departmental public bodies, NHS bodies, local authorities, health bodies, police fire and rescue, education bodies and the devolved administrations;</w:t>
      </w:r>
    </w:p>
    <w:p w14:paraId="23B4FF07" w14:textId="77777777" w:rsidR="007A2913" w:rsidRDefault="00E570DE">
      <w:pPr>
        <w:numPr>
          <w:ilvl w:val="2"/>
          <w:numId w:val="4"/>
        </w:numPr>
        <w:pBdr>
          <w:top w:val="nil"/>
          <w:left w:val="nil"/>
          <w:bottom w:val="nil"/>
          <w:right w:val="nil"/>
          <w:between w:val="nil"/>
        </w:pBdr>
        <w:rPr>
          <w:color w:val="000000"/>
          <w:sz w:val="24"/>
          <w:szCs w:val="24"/>
        </w:rPr>
      </w:pPr>
      <w:r>
        <w:rPr>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0EC90BB5" w14:textId="77777777" w:rsidR="007A2913" w:rsidRDefault="00E570DE">
      <w:pPr>
        <w:numPr>
          <w:ilvl w:val="2"/>
          <w:numId w:val="4"/>
        </w:numPr>
        <w:pBdr>
          <w:top w:val="nil"/>
          <w:left w:val="nil"/>
          <w:bottom w:val="nil"/>
          <w:right w:val="nil"/>
          <w:between w:val="nil"/>
        </w:pBdr>
        <w:rPr>
          <w:color w:val="000000"/>
          <w:sz w:val="24"/>
          <w:szCs w:val="24"/>
        </w:rPr>
      </w:pPr>
      <w:r>
        <w:rPr>
          <w:color w:val="000000"/>
          <w:sz w:val="24"/>
          <w:szCs w:val="24"/>
        </w:rPr>
        <w:t>involve or could reasonably be considered to involve CNI;</w:t>
      </w:r>
    </w:p>
    <w:p w14:paraId="1056C0BB" w14:textId="77777777" w:rsidR="007A2913" w:rsidRDefault="00E570DE">
      <w:pPr>
        <w:numPr>
          <w:ilvl w:val="1"/>
          <w:numId w:val="4"/>
        </w:numPr>
        <w:pBdr>
          <w:top w:val="nil"/>
          <w:left w:val="nil"/>
          <w:bottom w:val="nil"/>
          <w:right w:val="nil"/>
          <w:between w:val="nil"/>
        </w:pBdr>
        <w:rPr>
          <w:color w:val="000000"/>
          <w:sz w:val="24"/>
          <w:szCs w:val="24"/>
        </w:rPr>
      </w:pPr>
      <w:r>
        <w:rPr>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60061E4C" w14:textId="77777777" w:rsidR="007A2913" w:rsidRDefault="007A2913">
      <w:pPr>
        <w:pBdr>
          <w:top w:val="nil"/>
          <w:left w:val="nil"/>
          <w:bottom w:val="nil"/>
          <w:right w:val="nil"/>
          <w:between w:val="nil"/>
        </w:pBdr>
        <w:spacing w:before="120" w:after="120"/>
        <w:ind w:left="0"/>
        <w:jc w:val="left"/>
        <w:rPr>
          <w:color w:val="000000"/>
          <w:sz w:val="24"/>
          <w:szCs w:val="24"/>
        </w:rPr>
      </w:pPr>
    </w:p>
    <w:p w14:paraId="207CCF61" w14:textId="77777777" w:rsidR="007A2913" w:rsidRDefault="00E570DE">
      <w:pPr>
        <w:pBdr>
          <w:top w:val="nil"/>
          <w:left w:val="nil"/>
          <w:bottom w:val="nil"/>
          <w:right w:val="nil"/>
          <w:between w:val="nil"/>
        </w:pBdr>
        <w:spacing w:before="120" w:after="120"/>
        <w:ind w:left="0"/>
        <w:jc w:val="left"/>
        <w:rPr>
          <w:color w:val="000000"/>
          <w:sz w:val="24"/>
          <w:szCs w:val="24"/>
        </w:rPr>
      </w:pPr>
      <w:r>
        <w:t xml:space="preserve">     </w:t>
      </w:r>
    </w:p>
    <w:sectPr w:rsidR="007A2913">
      <w:headerReference w:type="default" r:id="rId12"/>
      <w:footerReference w:type="defaul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2410" w14:textId="77777777" w:rsidR="00DE5E1D" w:rsidRDefault="00DE5E1D">
      <w:pPr>
        <w:spacing w:after="0"/>
      </w:pPr>
      <w:r>
        <w:separator/>
      </w:r>
    </w:p>
  </w:endnote>
  <w:endnote w:type="continuationSeparator" w:id="0">
    <w:p w14:paraId="24A77BC7" w14:textId="77777777" w:rsidR="00DE5E1D" w:rsidRDefault="00DE5E1D">
      <w:pPr>
        <w:spacing w:after="0"/>
      </w:pPr>
      <w:r>
        <w:continuationSeparator/>
      </w:r>
    </w:p>
  </w:endnote>
  <w:endnote w:type="continuationNotice" w:id="1">
    <w:p w14:paraId="7E3E5D7D" w14:textId="77777777" w:rsidR="00DE5E1D" w:rsidRDefault="00DE5E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7A2913" w:rsidRDefault="007A2913">
    <w:pPr>
      <w:tabs>
        <w:tab w:val="center" w:pos="4513"/>
        <w:tab w:val="right" w:pos="9026"/>
      </w:tabs>
      <w:spacing w:after="0"/>
      <w:ind w:left="0"/>
      <w:rPr>
        <w:rFonts w:ascii="Calibri" w:eastAsia="Calibri" w:hAnsi="Calibri" w:cs="Calibri"/>
        <w:color w:val="A6A6A6"/>
      </w:rPr>
    </w:pPr>
  </w:p>
  <w:p w14:paraId="15C6D03E" w14:textId="77777777" w:rsidR="007A2913" w:rsidRDefault="00E570DE">
    <w:pPr>
      <w:pBdr>
        <w:top w:val="nil"/>
        <w:left w:val="nil"/>
        <w:bottom w:val="nil"/>
        <w:right w:val="nil"/>
        <w:between w:val="nil"/>
      </w:pBdr>
      <w:tabs>
        <w:tab w:val="center" w:pos="4513"/>
        <w:tab w:val="right" w:pos="9026"/>
      </w:tabs>
      <w:spacing w:after="0"/>
      <w:ind w:left="0"/>
      <w:rPr>
        <w:sz w:val="20"/>
        <w:szCs w:val="20"/>
      </w:rPr>
    </w:pPr>
    <w:r>
      <w:rPr>
        <w:color w:val="000000"/>
        <w:sz w:val="20"/>
        <w:szCs w:val="20"/>
      </w:rPr>
      <w:t>Framework Ref: RM6116</w:t>
    </w:r>
  </w:p>
  <w:p w14:paraId="07A89910" w14:textId="12BDE91E" w:rsidR="007A2913" w:rsidRDefault="00E570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w:t>
    </w:r>
    <w:r>
      <w:rPr>
        <w:sz w:val="20"/>
        <w:szCs w:val="20"/>
      </w:rPr>
      <w:t>1</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9304E2">
      <w:rPr>
        <w:noProof/>
        <w:color w:val="000000"/>
        <w:sz w:val="20"/>
        <w:szCs w:val="20"/>
      </w:rPr>
      <w:t>1</w:t>
    </w:r>
    <w:r>
      <w:rPr>
        <w:color w:val="000000"/>
        <w:sz w:val="20"/>
        <w:szCs w:val="20"/>
      </w:rPr>
      <w:fldChar w:fldCharType="end"/>
    </w:r>
  </w:p>
  <w:p w14:paraId="2FC47CEF" w14:textId="77777777" w:rsidR="007A2913" w:rsidRDefault="00E570DE">
    <w:pPr>
      <w:pBdr>
        <w:top w:val="nil"/>
        <w:left w:val="nil"/>
        <w:bottom w:val="nil"/>
        <w:right w:val="nil"/>
        <w:between w:val="nil"/>
      </w:pBdr>
      <w:tabs>
        <w:tab w:val="left" w:pos="3488"/>
      </w:tabs>
      <w:spacing w:after="0"/>
      <w:ind w:left="0"/>
      <w:rPr>
        <w:color w:val="A6A6A6"/>
        <w:sz w:val="20"/>
        <w:szCs w:val="20"/>
      </w:rPr>
    </w:pPr>
    <w:r>
      <w:rPr>
        <w:color w:val="000000"/>
        <w:sz w:val="20"/>
        <w:szCs w:val="20"/>
      </w:rPr>
      <w:t>Model Version: v3.</w:t>
    </w:r>
    <w:r>
      <w:rPr>
        <w:sz w:val="20"/>
        <w:szCs w:val="20"/>
      </w:rPr>
      <w:t>3</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1F13" w14:textId="77777777" w:rsidR="007A2913" w:rsidRDefault="00E570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21EF67EF" w14:textId="77777777" w:rsidR="007A2913" w:rsidRDefault="00E570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sidR="00255044">
      <w:rPr>
        <w:color w:val="000000"/>
        <w:sz w:val="20"/>
        <w:szCs w:val="20"/>
      </w:rPr>
      <w:fldChar w:fldCharType="separate"/>
    </w:r>
    <w:r>
      <w:rPr>
        <w:color w:val="000000"/>
        <w:sz w:val="20"/>
        <w:szCs w:val="20"/>
      </w:rPr>
      <w:fldChar w:fldCharType="end"/>
    </w:r>
    <w:r>
      <w:rPr>
        <w:color w:val="000000"/>
        <w:sz w:val="20"/>
        <w:szCs w:val="20"/>
      </w:rPr>
      <w:t>-</w:t>
    </w:r>
  </w:p>
  <w:p w14:paraId="4E3D11E4" w14:textId="77777777" w:rsidR="007A2913" w:rsidRDefault="00E570DE">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5E30" w14:textId="77777777" w:rsidR="00DE5E1D" w:rsidRDefault="00DE5E1D">
      <w:pPr>
        <w:spacing w:after="0"/>
      </w:pPr>
      <w:r>
        <w:separator/>
      </w:r>
    </w:p>
  </w:footnote>
  <w:footnote w:type="continuationSeparator" w:id="0">
    <w:p w14:paraId="4BF8FCFA" w14:textId="77777777" w:rsidR="00DE5E1D" w:rsidRDefault="00DE5E1D">
      <w:pPr>
        <w:spacing w:after="0"/>
      </w:pPr>
      <w:r>
        <w:continuationSeparator/>
      </w:r>
    </w:p>
  </w:footnote>
  <w:footnote w:type="continuationNotice" w:id="1">
    <w:p w14:paraId="70E5706B" w14:textId="77777777" w:rsidR="00DE5E1D" w:rsidRDefault="00DE5E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666B" w14:textId="77777777" w:rsidR="007A2913" w:rsidRDefault="00E570DE">
    <w:pPr>
      <w:tabs>
        <w:tab w:val="center" w:pos="4513"/>
        <w:tab w:val="right" w:pos="9026"/>
      </w:tabs>
      <w:spacing w:after="0"/>
      <w:ind w:left="0"/>
      <w:jc w:val="left"/>
      <w:rPr>
        <w:sz w:val="20"/>
        <w:szCs w:val="20"/>
      </w:rPr>
    </w:pPr>
    <w:r>
      <w:rPr>
        <w:b/>
        <w:sz w:val="20"/>
        <w:szCs w:val="20"/>
      </w:rPr>
      <w:t>Call-Off Schedule 8 (Business Continuity and Disaster Recovery)</w:t>
    </w:r>
  </w:p>
  <w:p w14:paraId="5AF7578D" w14:textId="7DA7B829" w:rsidR="007A2913" w:rsidRDefault="00E570DE">
    <w:pPr>
      <w:tabs>
        <w:tab w:val="center" w:pos="4513"/>
        <w:tab w:val="right" w:pos="9026"/>
      </w:tabs>
      <w:spacing w:after="0"/>
      <w:ind w:left="0"/>
      <w:jc w:val="left"/>
      <w:rPr>
        <w:sz w:val="20"/>
        <w:szCs w:val="20"/>
      </w:rPr>
    </w:pPr>
    <w:r>
      <w:rPr>
        <w:sz w:val="20"/>
        <w:szCs w:val="20"/>
      </w:rPr>
      <w:t>Call-Off Ref:</w:t>
    </w:r>
    <w:r w:rsidR="009304E2" w:rsidRPr="009304E2">
      <w:t xml:space="preserve"> </w:t>
    </w:r>
    <w:r w:rsidR="009304E2" w:rsidRPr="009304E2">
      <w:rPr>
        <w:sz w:val="20"/>
        <w:szCs w:val="20"/>
      </w:rPr>
      <w:t>C25949</w:t>
    </w:r>
  </w:p>
  <w:p w14:paraId="6E19CF16" w14:textId="395C7155" w:rsidR="007A2913" w:rsidRDefault="00E570DE">
    <w:pPr>
      <w:tabs>
        <w:tab w:val="center" w:pos="4513"/>
        <w:tab w:val="right" w:pos="9026"/>
      </w:tabs>
      <w:spacing w:after="0"/>
      <w:ind w:left="0"/>
      <w:jc w:val="left"/>
      <w:rPr>
        <w:sz w:val="20"/>
        <w:szCs w:val="20"/>
      </w:rPr>
    </w:pPr>
    <w:r>
      <w:rPr>
        <w:sz w:val="20"/>
        <w:szCs w:val="20"/>
      </w:rPr>
      <w:t>Crown Copyright 202</w:t>
    </w:r>
    <w:r w:rsidR="009304E2">
      <w:rPr>
        <w:sz w:val="20"/>
        <w:szCs w:val="20"/>
      </w:rPr>
      <w:t>4</w:t>
    </w:r>
  </w:p>
  <w:p w14:paraId="4B94D5A5" w14:textId="77777777" w:rsidR="007A2913" w:rsidRDefault="007A2913">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E4253"/>
    <w:multiLevelType w:val="multilevel"/>
    <w:tmpl w:val="FFFFFFFF"/>
    <w:lvl w:ilvl="0">
      <w:start w:val="1"/>
      <w:numFmt w:val="decimal"/>
      <w:pStyle w:val="ScheduleText1"/>
      <w:lvlText w:val="%1."/>
      <w:lvlJc w:val="left"/>
      <w:pPr>
        <w:ind w:left="720" w:hanging="720"/>
      </w:pPr>
      <w:rPr>
        <w:smallCaps w:val="0"/>
        <w:strike w:val="0"/>
        <w:color w:val="000000"/>
        <w:u w:val="none"/>
        <w:vertAlign w:val="baseline"/>
      </w:rPr>
    </w:lvl>
    <w:lvl w:ilvl="1">
      <w:start w:val="1"/>
      <w:numFmt w:val="decimal"/>
      <w:pStyle w:val="ScheduleText2"/>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ScheduleText3"/>
      <w:lvlText w:val="%1.%2.%3"/>
      <w:lvlJc w:val="left"/>
      <w:pPr>
        <w:ind w:left="1440" w:hanging="720"/>
      </w:pPr>
      <w:rPr>
        <w:i w:val="0"/>
        <w:smallCaps w:val="0"/>
        <w:strike w:val="0"/>
        <w:color w:val="000000"/>
        <w:u w:val="none"/>
        <w:vertAlign w:val="baseline"/>
      </w:rPr>
    </w:lvl>
    <w:lvl w:ilvl="3">
      <w:start w:val="1"/>
      <w:numFmt w:val="lowerLetter"/>
      <w:pStyle w:val="ScheduleText4"/>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pStyle w:val="ScheduleText5"/>
      <w:lvlText w:val="(%5)"/>
      <w:lvlJc w:val="left"/>
      <w:pPr>
        <w:ind w:left="3207" w:hanging="1080"/>
      </w:pPr>
      <w:rPr>
        <w:b w:val="0"/>
        <w:i w:val="0"/>
        <w:smallCaps w:val="0"/>
        <w:strike w:val="0"/>
        <w:color w:val="000000"/>
        <w:u w:val="none"/>
        <w:vertAlign w:val="baseline"/>
      </w:rPr>
    </w:lvl>
    <w:lvl w:ilvl="5">
      <w:start w:val="1"/>
      <w:numFmt w:val="upperLetter"/>
      <w:pStyle w:val="ScheduleText6"/>
      <w:lvlText w:val="(%6)"/>
      <w:lvlJc w:val="left"/>
      <w:pPr>
        <w:ind w:left="1298" w:hanging="1080"/>
      </w:pPr>
      <w:rPr>
        <w:b w:val="0"/>
        <w:i w:val="0"/>
        <w:smallCaps w:val="0"/>
        <w:strike w:val="0"/>
        <w:color w:val="000000"/>
        <w:u w:val="none"/>
        <w:vertAlign w:val="baseline"/>
      </w:rPr>
    </w:lvl>
    <w:lvl w:ilvl="6">
      <w:start w:val="1"/>
      <w:numFmt w:val="decimal"/>
      <w:pStyle w:val="ScheduleText7"/>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1C034F5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70E6FEF"/>
    <w:multiLevelType w:val="multilevel"/>
    <w:tmpl w:val="FFFFFFFF"/>
    <w:lvl w:ilvl="0">
      <w:start w:val="1"/>
      <w:numFmt w:val="decimal"/>
      <w:pStyle w:val="GPsDefinition"/>
      <w:lvlText w:val="%1."/>
      <w:lvlJc w:val="left"/>
      <w:pPr>
        <w:ind w:left="720" w:hanging="720"/>
      </w:pPr>
    </w:lvl>
    <w:lvl w:ilvl="1">
      <w:start w:val="1"/>
      <w:numFmt w:val="decimal"/>
      <w:pStyle w:val="GPSDefinitionL2"/>
      <w:lvlText w:val="%1.%2"/>
      <w:lvlJc w:val="left"/>
      <w:pPr>
        <w:ind w:left="720" w:hanging="720"/>
      </w:pPr>
    </w:lvl>
    <w:lvl w:ilvl="2">
      <w:start w:val="1"/>
      <w:numFmt w:val="decimal"/>
      <w:pStyle w:val="GPSDefinitionL3"/>
      <w:lvlText w:val="%1.%2.%3"/>
      <w:lvlJc w:val="left"/>
      <w:pPr>
        <w:ind w:left="1803" w:hanging="1083"/>
      </w:pPr>
    </w:lvl>
    <w:lvl w:ilvl="3">
      <w:start w:val="1"/>
      <w:numFmt w:val="lowerLetter"/>
      <w:pStyle w:val="GPSDefinitionL4"/>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3" w15:restartNumberingAfterBreak="0">
    <w:nsid w:val="3C676A72"/>
    <w:multiLevelType w:val="multilevel"/>
    <w:tmpl w:val="FFFFFFFF"/>
    <w:lvl w:ilvl="0">
      <w:start w:val="1"/>
      <w:numFmt w:val="decimal"/>
      <w:pStyle w:val="GPSL1CLAUSEHEADING"/>
      <w:lvlText w:val="%1."/>
      <w:lvlJc w:val="left"/>
      <w:pPr>
        <w:ind w:left="720" w:hanging="720"/>
      </w:pPr>
    </w:lvl>
    <w:lvl w:ilvl="1">
      <w:start w:val="1"/>
      <w:numFmt w:val="decimal"/>
      <w:pStyle w:val="GPSL2numberedclause"/>
      <w:lvlText w:val="%1.%2"/>
      <w:lvlJc w:val="left"/>
      <w:pPr>
        <w:ind w:left="720" w:hanging="720"/>
      </w:pPr>
    </w:lvl>
    <w:lvl w:ilvl="2">
      <w:start w:val="1"/>
      <w:numFmt w:val="decimal"/>
      <w:pStyle w:val="GPSL3numberedclause"/>
      <w:lvlText w:val="%1.%2.%3"/>
      <w:lvlJc w:val="left"/>
      <w:pPr>
        <w:ind w:left="1803" w:hanging="1083"/>
      </w:pPr>
    </w:lvl>
    <w:lvl w:ilvl="3">
      <w:start w:val="1"/>
      <w:numFmt w:val="lowerLetter"/>
      <w:pStyle w:val="GPSL4numberedclause"/>
      <w:lvlText w:val="(%4)"/>
      <w:lvlJc w:val="left"/>
      <w:pPr>
        <w:ind w:left="1803" w:hanging="1083"/>
      </w:pPr>
    </w:lvl>
    <w:lvl w:ilvl="4">
      <w:start w:val="1"/>
      <w:numFmt w:val="lowerRoman"/>
      <w:pStyle w:val="GPSL5numberedclause"/>
      <w:lvlText w:val="(%5)"/>
      <w:lvlJc w:val="left"/>
      <w:pPr>
        <w:ind w:left="2523" w:hanging="720"/>
      </w:pPr>
    </w:lvl>
    <w:lvl w:ilvl="5">
      <w:start w:val="1"/>
      <w:numFmt w:val="decimal"/>
      <w:pStyle w:val="GPSL6numbered"/>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 w15:restartNumberingAfterBreak="0">
    <w:nsid w:val="3EBB4B51"/>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E4D231A"/>
    <w:multiLevelType w:val="multilevel"/>
    <w:tmpl w:val="FFFFFFFF"/>
    <w:lvl w:ilvl="0">
      <w:start w:val="1"/>
      <w:numFmt w:val="decimal"/>
      <w:pStyle w:val="BulletsBody"/>
      <w:lvlText w:val="%1."/>
      <w:lvlJc w:val="left"/>
      <w:pPr>
        <w:ind w:left="720" w:hanging="720"/>
      </w:pPr>
      <w:rPr>
        <w:smallCaps w:val="0"/>
        <w:strike w:val="0"/>
        <w:color w:val="000000"/>
        <w:u w:val="none"/>
        <w:vertAlign w:val="baseline"/>
      </w:rPr>
    </w:lvl>
    <w:lvl w:ilvl="1">
      <w:start w:val="1"/>
      <w:numFmt w:val="decimal"/>
      <w:pStyle w:val="BulletsLevel1"/>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BulletsLevel2"/>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564D173C"/>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FAC1E14"/>
    <w:multiLevelType w:val="multilevel"/>
    <w:tmpl w:val="FFFFFFFF"/>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 w15:restartNumberingAfterBreak="0">
    <w:nsid w:val="7D5049BD"/>
    <w:multiLevelType w:val="multilevel"/>
    <w:tmpl w:val="FFFFFFFF"/>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16cid:durableId="202182854">
    <w:abstractNumId w:val="1"/>
  </w:num>
  <w:num w:numId="2" w16cid:durableId="1785078865">
    <w:abstractNumId w:val="2"/>
  </w:num>
  <w:num w:numId="3" w16cid:durableId="533084423">
    <w:abstractNumId w:val="6"/>
  </w:num>
  <w:num w:numId="4" w16cid:durableId="296449995">
    <w:abstractNumId w:val="3"/>
  </w:num>
  <w:num w:numId="5" w16cid:durableId="1795362682">
    <w:abstractNumId w:val="7"/>
  </w:num>
  <w:num w:numId="6" w16cid:durableId="1096360921">
    <w:abstractNumId w:val="8"/>
  </w:num>
  <w:num w:numId="7" w16cid:durableId="946354739">
    <w:abstractNumId w:val="0"/>
  </w:num>
  <w:num w:numId="8" w16cid:durableId="700203194">
    <w:abstractNumId w:val="5"/>
  </w:num>
  <w:num w:numId="9" w16cid:durableId="581527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913"/>
    <w:rsid w:val="0005283B"/>
    <w:rsid w:val="00255044"/>
    <w:rsid w:val="003E46D9"/>
    <w:rsid w:val="00590F09"/>
    <w:rsid w:val="005B78CC"/>
    <w:rsid w:val="0063214C"/>
    <w:rsid w:val="007738A5"/>
    <w:rsid w:val="007A2913"/>
    <w:rsid w:val="009304E2"/>
    <w:rsid w:val="00964F32"/>
    <w:rsid w:val="00986985"/>
    <w:rsid w:val="009A3EF8"/>
    <w:rsid w:val="00B44A92"/>
    <w:rsid w:val="00C342DE"/>
    <w:rsid w:val="00D504F3"/>
    <w:rsid w:val="00DE5E1D"/>
    <w:rsid w:val="00E570DE"/>
    <w:rsid w:val="00E93746"/>
    <w:rsid w:val="00F33E38"/>
    <w:rsid w:val="44292A0B"/>
    <w:rsid w:val="5D9526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4613"/>
  <w15:docId w15:val="{C2877246-6ED0-4E8E-B5BD-BE9609BC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ja-JP"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rsid w:val="0052154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2154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2154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2154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2154C"/>
    <w:pPr>
      <w:keepNext/>
      <w:keepLines/>
      <w:spacing w:before="220" w:after="40"/>
      <w:outlineLvl w:val="4"/>
    </w:pPr>
    <w:rPr>
      <w:b/>
    </w:rPr>
  </w:style>
  <w:style w:type="paragraph" w:styleId="Heading6">
    <w:name w:val="heading 6"/>
    <w:basedOn w:val="Normal"/>
    <w:next w:val="Normal"/>
    <w:uiPriority w:val="9"/>
    <w:semiHidden/>
    <w:unhideWhenUsed/>
    <w:qFormat/>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7"/>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7"/>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7"/>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numPr>
        <w:numId w:val="8"/>
      </w:numPr>
      <w:overflowPunct/>
      <w:autoSpaceDE/>
      <w:autoSpaceDN/>
      <w:adjustRightInd/>
      <w:spacing w:before="100" w:after="200"/>
      <w:jc w:val="left"/>
      <w:textAlignment w:val="auto"/>
    </w:pPr>
    <w:rPr>
      <w:rFonts w:cs="Times New Roman"/>
      <w:sz w:val="24"/>
      <w:szCs w:val="24"/>
    </w:rPr>
  </w:style>
  <w:style w:type="paragraph" w:customStyle="1" w:styleId="BulletsLevel1">
    <w:name w:val="Bullets Level 1"/>
    <w:basedOn w:val="Normal"/>
    <w:rsid w:val="009009FB"/>
    <w:pPr>
      <w:numPr>
        <w:ilvl w:val="1"/>
        <w:numId w:val="8"/>
      </w:numPr>
      <w:tabs>
        <w:tab w:val="left" w:pos="1797"/>
      </w:tabs>
      <w:overflowPunct/>
      <w:autoSpaceDE/>
      <w:autoSpaceDN/>
      <w:adjustRightInd/>
      <w:spacing w:before="100" w:after="20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s>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numPr>
        <w:ilvl w:val="3"/>
        <w:numId w:val="9"/>
      </w:numPr>
    </w:pPr>
  </w:style>
  <w:style w:type="paragraph" w:customStyle="1" w:styleId="AppendixText5">
    <w:name w:val="Appendix Text 5"/>
    <w:basedOn w:val="Normal"/>
    <w:rsid w:val="00666034"/>
    <w:pPr>
      <w:numPr>
        <w:ilvl w:val="4"/>
        <w:numId w:val="9"/>
      </w:numPr>
    </w:p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table" w:customStyle="1" w:styleId="a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b31855b2-917f-46e5-9a6a-97599d1f3fda">Approved</Document_x0020_Status>
    <f7ae70bf4073494a94ffd404ddc9b62f xmlns="b31855b2-917f-46e5-9a6a-97599d1f3fda">
      <Terms xmlns="http://schemas.microsoft.com/office/infopath/2007/PartnerControls"/>
    </f7ae70bf4073494a94ffd404ddc9b62f>
    <HuddleDocumentID xmlns="b31855b2-917f-46e5-9a6a-97599d1f3fda" xsi:nil="true"/>
    <d45c405e037542a5bcd985517e544b7b xmlns="b31855b2-917f-46e5-9a6a-97599d1f3fda">
      <Terms xmlns="http://schemas.microsoft.com/office/infopath/2007/PartnerControls"/>
    </d45c405e037542a5bcd985517e544b7b>
    <TaxCatchAll xmlns="4e9417ab-6472-4075-af16-7dc6074df91e" xsi:nil="true"/>
    <o0537b7f1f58435e88f90f951a97d1b8 xmlns="b31855b2-917f-46e5-9a6a-97599d1f3fda">
      <Terms xmlns="http://schemas.microsoft.com/office/infopath/2007/PartnerControls"/>
    </o0537b7f1f58435e88f90f951a97d1b8>
    <HuddleWorkspaceID xmlns="b31855b2-917f-46e5-9a6a-97599d1f3fda" xsi:nil="true"/>
    <f6c88bf342d641e29c0b1ce7a94c06a8 xmlns="b31855b2-917f-46e5-9a6a-97599d1f3fda">
      <Terms xmlns="http://schemas.microsoft.com/office/infopath/2007/PartnerControls"/>
    </f6c88bf342d641e29c0b1ce7a94c06a8>
    <a78884001e7c4588ad97c580d9e1809e xmlns="b31855b2-917f-46e5-9a6a-97599d1f3fda">
      <Terms xmlns="http://schemas.microsoft.com/office/infopath/2007/PartnerControls"/>
    </a78884001e7c4588ad97c580d9e1809e>
    <Lot xmlns="2b782a92-51b1-46ca-ae16-ab708e174fe1" xsi:nil="true"/>
    <g8bb844415a540bdb190b0c100b6b7bd xmlns="b31855b2-917f-46e5-9a6a-97599d1f3fda">
      <Terms xmlns="http://schemas.microsoft.com/office/infopath/2007/PartnerControls"/>
    </g8bb844415a540bdb190b0c100b6b7bd>
    <HuddleFolderID xmlns="b31855b2-917f-46e5-9a6a-97599d1f3fda" xsi:nil="true"/>
    <HuddleFileVersion xmlns="b31855b2-917f-46e5-9a6a-97599d1f3fda" xsi:nil="true"/>
    <lcf76f155ced4ddcb4097134ff3c332f xmlns="2b782a92-51b1-46ca-ae16-ab708e174fe1">
      <Terms xmlns="http://schemas.microsoft.com/office/infopath/2007/PartnerControls"/>
    </lcf76f155ced4ddcb4097134ff3c332f>
    <Document_x0020_Version xmlns="b31855b2-917f-46e5-9a6a-97599d1f3fda" xsi:nil="true"/>
    <Workstream xmlns="2b782a92-51b1-46ca-ae16-ab708e174fe1" xsi:nil="true"/>
    <Notes1 xmlns="b31855b2-917f-46e5-9a6a-97599d1f3fda" xsi:nil="true"/>
    <e7814511d0b746fbb8e514e2cb80e0e6 xmlns="b31855b2-917f-46e5-9a6a-97599d1f3fda">
      <Terms xmlns="http://schemas.microsoft.com/office/infopath/2007/PartnerControls"/>
    </e7814511d0b746fbb8e514e2cb80e0e6>
    <Document_x0020_Date xmlns="b31855b2-917f-46e5-9a6a-97599d1f3f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33C3A37009F49A382D7DE93466A58" ma:contentTypeVersion="42" ma:contentTypeDescription="Create a new document." ma:contentTypeScope="" ma:versionID="b02e925790dbf659172b8edb7052449c">
  <xsd:schema xmlns:xsd="http://www.w3.org/2001/XMLSchema" xmlns:xs="http://www.w3.org/2001/XMLSchema" xmlns:p="http://schemas.microsoft.com/office/2006/metadata/properties" xmlns:ns2="2b782a92-51b1-46ca-ae16-ab708e174fe1" xmlns:ns3="b31855b2-917f-46e5-9a6a-97599d1f3fda" xmlns:ns4="4e9417ab-6472-4075-af16-7dc6074df91e" targetNamespace="http://schemas.microsoft.com/office/2006/metadata/properties" ma:root="true" ma:fieldsID="a40fbd3a603f697881bd019cbddf1e9c" ns2:_="" ns3:_="" ns4:_="">
    <xsd:import namespace="2b782a92-51b1-46ca-ae16-ab708e174fe1"/>
    <xsd:import namespace="b31855b2-917f-46e5-9a6a-97599d1f3fda"/>
    <xsd:import namespace="4e9417ab-6472-4075-af16-7dc6074df91e"/>
    <xsd:element name="properties">
      <xsd:complexType>
        <xsd:sequence>
          <xsd:element name="documentManagement">
            <xsd:complexType>
              <xsd:all>
                <xsd:element ref="ns2:Workstream" minOccurs="0"/>
                <xsd:element ref="ns2:Lot" minOccurs="0"/>
                <xsd:element ref="ns3:g8bb844415a540bdb190b0c100b6b7bd" minOccurs="0"/>
                <xsd:element ref="ns4:TaxCatchAll" minOccurs="0"/>
                <xsd:element ref="ns3:o0537b7f1f58435e88f90f951a97d1b8" minOccurs="0"/>
                <xsd:element ref="ns3:Document_x0020_Status" minOccurs="0"/>
                <xsd:element ref="ns3:Notes1" minOccurs="0"/>
                <xsd:element ref="ns3:Document_x0020_Date" minOccurs="0"/>
                <xsd:element ref="ns3:Document_x0020_Version" minOccurs="0"/>
                <xsd:element ref="ns3:f7ae70bf4073494a94ffd404ddc9b62f" minOccurs="0"/>
                <xsd:element ref="ns3:d45c405e037542a5bcd985517e544b7b" minOccurs="0"/>
                <xsd:element ref="ns3:e7814511d0b746fbb8e514e2cb80e0e6" minOccurs="0"/>
                <xsd:element ref="ns3:a78884001e7c4588ad97c580d9e1809e" minOccurs="0"/>
                <xsd:element ref="ns3:f6c88bf342d641e29c0b1ce7a94c06a8" minOccurs="0"/>
                <xsd:element ref="ns3:HuddleDocumentID" minOccurs="0"/>
                <xsd:element ref="ns3:HuddleFileVersion" minOccurs="0"/>
                <xsd:element ref="ns3:HuddleFolderID" minOccurs="0"/>
                <xsd:element ref="ns3:HuddleWorkspaceI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82a92-51b1-46ca-ae16-ab708e174fe1" elementFormDefault="qualified">
    <xsd:import namespace="http://schemas.microsoft.com/office/2006/documentManagement/types"/>
    <xsd:import namespace="http://schemas.microsoft.com/office/infopath/2007/PartnerControls"/>
    <xsd:element name="Workstream" ma:index="8" nillable="true" ma:displayName="Workstream" ma:format="Dropdown" ma:internalName="Workstream">
      <xsd:simpleType>
        <xsd:restriction base="dms:Choice">
          <xsd:enumeration value="Commercial Finance"/>
          <xsd:enumeration value="Commercial Procurement"/>
          <xsd:enumeration value="Commercial Operations"/>
          <xsd:enumeration value="Contract Management"/>
          <xsd:enumeration value="Airwave"/>
          <xsd:enumeration value="Finance"/>
          <xsd:enumeration value="Procurement"/>
        </xsd:restriction>
      </xsd:simpleType>
    </xsd:element>
    <xsd:element name="Lot" ma:index="9" nillable="true" ma:displayName="Lot" ma:format="Dropdown" ma:internalName="Lot">
      <xsd:simpleType>
        <xsd:restriction base="dms:Choice">
          <xsd:enumeration value="Lot 1"/>
          <xsd:enumeration value="Lot 2"/>
          <xsd:enumeration value="Lot 3"/>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Tags" ma:index="38" nillable="true" ma:displayName="Tags" ma:internalName="MediaServiceAutoTag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Location" ma:index="43" nillable="true" ma:displayName="Location" ma:internalName="MediaServiceLocatio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855b2-917f-46e5-9a6a-97599d1f3fda" elementFormDefault="qualified">
    <xsd:import namespace="http://schemas.microsoft.com/office/2006/documentManagement/types"/>
    <xsd:import namespace="http://schemas.microsoft.com/office/infopath/2007/PartnerControls"/>
    <xsd:element name="g8bb844415a540bdb190b0c100b6b7bd" ma:index="11" nillable="true" ma:taxonomy="true" ma:internalName="g8bb844415a540bdb190b0c100b6b7bd" ma:taxonomyFieldName="Document_x0020_Originator" ma:displayName="Document Originator" ma:default="" ma:fieldId="{08bb8444-15a5-40bd-b190-b0c100b6b7bd}" ma:sspId="93e580ec-c125-41f3-a307-e1c841722a86" ma:termSetId="60c78236-bb5e-48ae-a6f1-cc191b04601e" ma:anchorId="0465afd2-343d-4869-bb93-590c0f9c7f53" ma:open="false" ma:isKeyword="false">
      <xsd:complexType>
        <xsd:sequence>
          <xsd:element ref="pc:Terms" minOccurs="0" maxOccurs="1"/>
        </xsd:sequence>
      </xsd:complexType>
    </xsd:element>
    <xsd:element name="o0537b7f1f58435e88f90f951a97d1b8" ma:index="14" nillable="true" ma:taxonomy="true" ma:internalName="o0537b7f1f58435e88f90f951a97d1b8" ma:taxonomyFieldName="Document_x0020_Type" ma:displayName="Document Type" ma:default="" ma:fieldId="{80537b7f-1f58-435e-88f9-0f951a97d1b8}" ma:sspId="93e580ec-c125-41f3-a307-e1c841722a86" ma:termSetId="60c78236-bb5e-48ae-a6f1-cc191b04601e" ma:anchorId="95b11134-0fce-4342-912c-c92d477ebd1b" ma:open="false" ma:isKeyword="false">
      <xsd:complexType>
        <xsd:sequence>
          <xsd:element ref="pc:Terms" minOccurs="0" maxOccurs="1"/>
        </xsd:sequence>
      </xsd:complexType>
    </xsd:element>
    <xsd:element name="Document_x0020_Status" ma:index="15" nillable="true" ma:displayName="Document Status" ma:default="Approved" ma:format="Dropdown" ma:internalName="Document_x0020_Status">
      <xsd:simpleType>
        <xsd:restriction base="dms:Choice">
          <xsd:enumeration value="Approved"/>
          <xsd:enumeration value="Approved with Notations"/>
          <xsd:enumeration value="Draft"/>
          <xsd:enumeration value="Information Only"/>
        </xsd:restriction>
      </xsd:simpleType>
    </xsd:element>
    <xsd:element name="Notes1" ma:index="16" nillable="true" ma:displayName="Notes" ma:internalName="Notes1">
      <xsd:simpleType>
        <xsd:restriction base="dms:Note">
          <xsd:maxLength value="255"/>
        </xsd:restriction>
      </xsd:simpleType>
    </xsd:element>
    <xsd:element name="Document_x0020_Date" ma:index="17" nillable="true" ma:displayName="Document Date" ma:format="DateOnly" ma:internalName="Document_x0020_Date">
      <xsd:simpleType>
        <xsd:restriction base="dms:DateTime"/>
      </xsd:simpleType>
    </xsd:element>
    <xsd:element name="Document_x0020_Version" ma:index="18" nillable="true" ma:displayName="Document Version" ma:internalName="Document_x0020_Version">
      <xsd:simpleType>
        <xsd:restriction base="dms:Text">
          <xsd:maxLength value="255"/>
        </xsd:restriction>
      </xsd:simpleType>
    </xsd:element>
    <xsd:element name="f7ae70bf4073494a94ffd404ddc9b62f" ma:index="20" nillable="true" ma:taxonomy="true" ma:internalName="f7ae70bf4073494a94ffd404ddc9b62f" ma:taxonomyFieldName="Group_x0020_Category" ma:displayName="Group Category" ma:default="" ma:fieldId="{f7ae70bf-4073-494a-94ff-d404ddc9b62f}" ma:sspId="93e580ec-c125-41f3-a307-e1c841722a86" ma:termSetId="60c78236-bb5e-48ae-a6f1-cc191b04601e" ma:anchorId="b38eec9b-305c-413f-8d33-642549745fda" ma:open="false" ma:isKeyword="false">
      <xsd:complexType>
        <xsd:sequence>
          <xsd:element ref="pc:Terms" minOccurs="0" maxOccurs="1"/>
        </xsd:sequence>
      </xsd:complexType>
    </xsd:element>
    <xsd:element name="d45c405e037542a5bcd985517e544b7b" ma:index="22" nillable="true" ma:taxonomy="true" ma:internalName="d45c405e037542a5bcd985517e544b7b" ma:taxonomyFieldName="Group_x0020_Category_x0020_Component" ma:displayName="Group Category Component" ma:default="" ma:fieldId="{d45c405e-0375-42a5-bcd9-85517e544b7b}" ma:sspId="93e580ec-c125-41f3-a307-e1c841722a86" ma:termSetId="60c78236-bb5e-48ae-a6f1-cc191b04601e" ma:anchorId="a00fe2e9-e2c8-40f9-80d2-7688e564867b" ma:open="false" ma:isKeyword="false">
      <xsd:complexType>
        <xsd:sequence>
          <xsd:element ref="pc:Terms" minOccurs="0" maxOccurs="1"/>
        </xsd:sequence>
      </xsd:complexType>
    </xsd:element>
    <xsd:element name="e7814511d0b746fbb8e514e2cb80e0e6" ma:index="24" nillable="true" ma:taxonomy="true" ma:internalName="e7814511d0b746fbb8e514e2cb80e0e6" ma:taxonomyFieldName="Product" ma:displayName="Product" ma:default="" ma:fieldId="{e7814511-d0b7-46fb-b8e5-14e2cb80e0e6}" ma:sspId="93e580ec-c125-41f3-a307-e1c841722a86" ma:termSetId="60c78236-bb5e-48ae-a6f1-cc191b04601e" ma:anchorId="eaa9029a-abce-40cb-a982-c8ac8d715cf8" ma:open="false" ma:isKeyword="false">
      <xsd:complexType>
        <xsd:sequence>
          <xsd:element ref="pc:Terms" minOccurs="0" maxOccurs="1"/>
        </xsd:sequence>
      </xsd:complexType>
    </xsd:element>
    <xsd:element name="a78884001e7c4588ad97c580d9e1809e" ma:index="26" nillable="true" ma:taxonomy="true" ma:internalName="a78884001e7c4588ad97c580d9e1809e" ma:taxonomyFieldName="Product_x0020_Component" ma:displayName="Product Component" ma:default="" ma:fieldId="{a7888400-1e7c-4588-ad97-c580d9e1809e}" ma:sspId="93e580ec-c125-41f3-a307-e1c841722a86" ma:termSetId="60c78236-bb5e-48ae-a6f1-cc191b04601e" ma:anchorId="0f02b6dd-cf8f-4eb3-98ab-770933688db1" ma:open="false" ma:isKeyword="false">
      <xsd:complexType>
        <xsd:sequence>
          <xsd:element ref="pc:Terms" minOccurs="0" maxOccurs="1"/>
        </xsd:sequence>
      </xsd:complexType>
    </xsd:element>
    <xsd:element name="f6c88bf342d641e29c0b1ce7a94c06a8" ma:index="28" nillable="true" ma:taxonomy="true" ma:internalName="f6c88bf342d641e29c0b1ce7a94c06a8" ma:taxonomyFieldName="Product_x0020_Component_x0020_Element" ma:displayName="Product Component Element" ma:default="" ma:fieldId="{f6c88bf3-42d6-41e2-9c0b-1ce7a94c06a8}" ma:sspId="93e580ec-c125-41f3-a307-e1c841722a86" ma:termSetId="60c78236-bb5e-48ae-a6f1-cc191b04601e" ma:anchorId="264a719e-29e0-4306-b996-50fd9dd78705" ma:open="false" ma:isKeyword="false">
      <xsd:complexType>
        <xsd:sequence>
          <xsd:element ref="pc:Terms" minOccurs="0" maxOccurs="1"/>
        </xsd:sequence>
      </xsd:complexType>
    </xsd:element>
    <xsd:element name="HuddleDocumentID" ma:index="29" nillable="true" ma:displayName="HuddleDocumentID" ma:description="Column created to store Huddle File ID as part of the migration of content from Huddle to M365. Users can search the information in this column." ma:internalName="HuddleDocumentID">
      <xsd:simpleType>
        <xsd:restriction base="dms:Text">
          <xsd:maxLength value="255"/>
        </xsd:restriction>
      </xsd:simpleType>
    </xsd:element>
    <xsd:element name="HuddleFileVersion" ma:index="30" nillable="true" ma:displayName="HuddleFileVersion" ma:description="Used to store the Huddle File Version for the files migrated from Huddle" ma:internalName="HuddleFileVersion">
      <xsd:simpleType>
        <xsd:restriction base="dms:Text">
          <xsd:maxLength value="255"/>
        </xsd:restriction>
      </xsd:simpleType>
    </xsd:element>
    <xsd:element name="HuddleFolderID" ma:index="31" nillable="true" ma:displayName="HuddleFolderID" ma:description="Column created to store Huddle Folder ID as part of the migration of content from Huddle to M365. Users can search the information in this column." ma:internalName="HuddleFolderID">
      <xsd:simpleType>
        <xsd:restriction base="dms:Text">
          <xsd:maxLength value="255"/>
        </xsd:restriction>
      </xsd:simpleType>
    </xsd:element>
    <xsd:element name="HuddleWorkspaceID" ma:index="32" nillable="true" ma:displayName="HuddleWorkspaceID" ma:description="Column created to store Huddle Workspace ID as part of the migration of content from Huddle to M365. Users can search the information in this column." ma:internalName="HuddleWorkspaceID">
      <xsd:simpleType>
        <xsd:restriction base="dms:Text">
          <xsd:maxLength value="255"/>
        </xsd:restriction>
      </xsd:simpleType>
    </xsd:element>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d37a18-f546-4228-94bc-4c298be97783}" ma:internalName="TaxCatchAll" ma:showField="CatchAllData" ma:web="b31855b2-917f-46e5-9a6a-97599d1f3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2wpZC65Hy0Op5t6Psg2KVko+ilA==">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</go:docsCustomData>
</go:gDocsCustomXmlDataStorage>
</file>

<file path=customXml/itemProps1.xml><?xml version="1.0" encoding="utf-8"?>
<ds:datastoreItem xmlns:ds="http://schemas.openxmlformats.org/officeDocument/2006/customXml" ds:itemID="{CB6F324C-1B71-4BC2-849D-812693D3A5A3}">
  <ds:schemaRefs>
    <ds:schemaRef ds:uri="http://schemas.microsoft.com/office/2006/metadata/properties"/>
    <ds:schemaRef ds:uri="http://schemas.microsoft.com/office/infopath/2007/PartnerControls"/>
    <ds:schemaRef ds:uri="b31855b2-917f-46e5-9a6a-97599d1f3fda"/>
    <ds:schemaRef ds:uri="4e9417ab-6472-4075-af16-7dc6074df91e"/>
    <ds:schemaRef ds:uri="2b782a92-51b1-46ca-ae16-ab708e174fe1"/>
  </ds:schemaRefs>
</ds:datastoreItem>
</file>

<file path=customXml/itemProps2.xml><?xml version="1.0" encoding="utf-8"?>
<ds:datastoreItem xmlns:ds="http://schemas.openxmlformats.org/officeDocument/2006/customXml" ds:itemID="{BF518E58-35B8-4F6B-A5F9-5D65B6D4BCFD}">
  <ds:schemaRefs>
    <ds:schemaRef ds:uri="http://schemas.microsoft.com/sharepoint/v3/contenttype/forms"/>
  </ds:schemaRefs>
</ds:datastoreItem>
</file>

<file path=customXml/itemProps3.xml><?xml version="1.0" encoding="utf-8"?>
<ds:datastoreItem xmlns:ds="http://schemas.openxmlformats.org/officeDocument/2006/customXml" ds:itemID="{1A137F2E-35F8-4680-A93E-41BDBAA4EFFC}"/>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3672</Words>
  <Characters>20931</Characters>
  <Application>Microsoft Office Word</Application>
  <DocSecurity>0</DocSecurity>
  <Lines>174</Lines>
  <Paragraphs>49</Paragraphs>
  <ScaleCrop>false</ScaleCrop>
  <Company/>
  <LinksUpToDate>false</LinksUpToDate>
  <CharactersWithSpaces>24554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Katie Webb</cp:lastModifiedBy>
  <cp:revision>2</cp:revision>
  <dcterms:created xsi:type="dcterms:W3CDTF">2024-07-29T13:20:00Z</dcterms:created>
  <dcterms:modified xsi:type="dcterms:W3CDTF">2024-07-29T13:20:00Z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0x01010027733C3A37009F49A382D7DE93466A58</vt:lpwstr>
  </property>
  <property fmtid="{D5CDD505-2E9C-101B-9397-08002B2CF9AE}" pid="4" name="Document Originator">
    <vt:lpwstr/>
  </property>
  <property fmtid="{D5CDD505-2E9C-101B-9397-08002B2CF9AE}" pid="5" name="MediaServiceImageTags">
    <vt:lpwstr/>
  </property>
  <property fmtid="{D5CDD505-2E9C-101B-9397-08002B2CF9AE}" pid="6" name="Group Category Component">
    <vt:lpwstr/>
  </property>
  <property fmtid="{D5CDD505-2E9C-101B-9397-08002B2CF9AE}" pid="7" name="Group Category">
    <vt:lpwstr/>
  </property>
  <property fmtid="{D5CDD505-2E9C-101B-9397-08002B2CF9AE}" pid="8" name="Document Type">
    <vt:lpwstr/>
  </property>
  <property fmtid="{D5CDD505-2E9C-101B-9397-08002B2CF9AE}" pid="9" name="Product Component Element">
    <vt:lpwstr/>
  </property>
  <property fmtid="{D5CDD505-2E9C-101B-9397-08002B2CF9AE}" pid="10" name="Product">
    <vt:lpwstr/>
  </property>
  <property fmtid="{D5CDD505-2E9C-101B-9397-08002B2CF9AE}" pid="11" name="Product Component">
    <vt:lpwstr/>
  </property>
</Properties>
</file>