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6304" w14:textId="77777777" w:rsidR="00FB51F8" w:rsidRDefault="0062713E">
      <w:pPr>
        <w:spacing w:before="69"/>
        <w:ind w:left="100" w:right="5059"/>
        <w:rPr>
          <w:sz w:val="20"/>
        </w:rPr>
      </w:pPr>
      <w:r>
        <w:rPr>
          <w:sz w:val="20"/>
        </w:rPr>
        <w:t>Order</w:t>
      </w:r>
      <w:r>
        <w:rPr>
          <w:spacing w:val="-9"/>
          <w:sz w:val="20"/>
        </w:rPr>
        <w:t xml:space="preserve"> </w:t>
      </w:r>
      <w:r>
        <w:rPr>
          <w:sz w:val="20"/>
        </w:rPr>
        <w:t>Schedule</w:t>
      </w:r>
      <w:r>
        <w:rPr>
          <w:spacing w:val="-10"/>
          <w:sz w:val="20"/>
        </w:rPr>
        <w:t xml:space="preserve"> </w:t>
      </w:r>
      <w:r>
        <w:rPr>
          <w:sz w:val="20"/>
        </w:rPr>
        <w:t>20</w:t>
      </w:r>
      <w:r>
        <w:rPr>
          <w:spacing w:val="-10"/>
          <w:sz w:val="20"/>
        </w:rPr>
        <w:t xml:space="preserve"> </w:t>
      </w:r>
      <w:r>
        <w:rPr>
          <w:sz w:val="20"/>
        </w:rPr>
        <w:t>(Order</w:t>
      </w:r>
      <w:r>
        <w:rPr>
          <w:spacing w:val="-7"/>
          <w:sz w:val="20"/>
        </w:rPr>
        <w:t xml:space="preserve"> </w:t>
      </w:r>
      <w:r>
        <w:rPr>
          <w:sz w:val="20"/>
        </w:rPr>
        <w:t>Specification) Crown Copyright 2020</w:t>
      </w:r>
    </w:p>
    <w:p w14:paraId="112A626E" w14:textId="77777777" w:rsidR="00FB51F8" w:rsidRDefault="00FB51F8">
      <w:pPr>
        <w:pStyle w:val="BodyText"/>
        <w:rPr>
          <w:sz w:val="20"/>
        </w:rPr>
      </w:pPr>
    </w:p>
    <w:p w14:paraId="220EBE80" w14:textId="77777777" w:rsidR="00FB51F8" w:rsidRDefault="00FB51F8">
      <w:pPr>
        <w:pStyle w:val="BodyText"/>
        <w:rPr>
          <w:sz w:val="20"/>
        </w:rPr>
      </w:pPr>
    </w:p>
    <w:p w14:paraId="2AAEF23E" w14:textId="77777777" w:rsidR="00FB51F8" w:rsidRDefault="00FB51F8">
      <w:pPr>
        <w:pStyle w:val="BodyText"/>
        <w:rPr>
          <w:sz w:val="20"/>
        </w:rPr>
      </w:pPr>
    </w:p>
    <w:p w14:paraId="149001C7" w14:textId="77777777" w:rsidR="00FB51F8" w:rsidRDefault="0062713E">
      <w:pPr>
        <w:pStyle w:val="Title"/>
      </w:pPr>
      <w:r>
        <w:t>Order</w:t>
      </w:r>
      <w:r>
        <w:rPr>
          <w:spacing w:val="-5"/>
        </w:rPr>
        <w:t xml:space="preserve"> </w:t>
      </w:r>
      <w:r>
        <w:t>Schedule</w:t>
      </w:r>
      <w:r>
        <w:rPr>
          <w:spacing w:val="-1"/>
        </w:rPr>
        <w:t xml:space="preserve"> </w:t>
      </w:r>
      <w:r>
        <w:t>20</w:t>
      </w:r>
      <w:r>
        <w:rPr>
          <w:spacing w:val="-1"/>
        </w:rPr>
        <w:t xml:space="preserve"> </w:t>
      </w:r>
      <w:r>
        <w:t>(Order</w:t>
      </w:r>
      <w:r>
        <w:rPr>
          <w:spacing w:val="-2"/>
        </w:rPr>
        <w:t xml:space="preserve"> Specification)</w:t>
      </w:r>
    </w:p>
    <w:p w14:paraId="4E1B4991" w14:textId="77777777" w:rsidR="00D75382" w:rsidRDefault="00D75382" w:rsidP="00D75382">
      <w:pPr>
        <w:tabs>
          <w:tab w:val="left" w:pos="1921"/>
        </w:tabs>
        <w:spacing w:before="1"/>
        <w:rPr>
          <w:b/>
          <w:bCs/>
          <w:spacing w:val="-2"/>
          <w:sz w:val="36"/>
          <w:szCs w:val="36"/>
        </w:rPr>
      </w:pPr>
    </w:p>
    <w:p w14:paraId="07E22B47"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0" w:name="_Toc213149233"/>
      <w:r w:rsidRPr="007F5605">
        <w:rPr>
          <w:b/>
          <w:bCs/>
          <w:sz w:val="28"/>
          <w:szCs w:val="28"/>
        </w:rPr>
        <w:t>PURPOSE AND OVERVIEW OF THE REQUIREMENT</w:t>
      </w:r>
      <w:bookmarkEnd w:id="0"/>
    </w:p>
    <w:p w14:paraId="0AA2EFFA" w14:textId="77777777" w:rsidR="00D75382" w:rsidRDefault="00D75382" w:rsidP="00D75382"/>
    <w:p w14:paraId="27DD119A" w14:textId="77777777" w:rsidR="00D75382" w:rsidRPr="005279F8" w:rsidRDefault="00D75382" w:rsidP="00D75382">
      <w:pPr>
        <w:pStyle w:val="ScheduleL2"/>
        <w:numPr>
          <w:ilvl w:val="1"/>
          <w:numId w:val="2"/>
        </w:numPr>
      </w:pPr>
      <w:bookmarkStart w:id="1" w:name="_heading=h.tyjcwt" w:colFirst="0" w:colLast="0"/>
      <w:bookmarkEnd w:id="1"/>
      <w:r w:rsidRPr="00DF24E3">
        <w:t xml:space="preserve">This contract is required </w:t>
      </w:r>
      <w:r>
        <w:t>to enable</w:t>
      </w:r>
      <w:r w:rsidRPr="00DF24E3">
        <w:t xml:space="preserve"> the continuation of a Vulnerability Reporting Service </w:t>
      </w:r>
      <w:r>
        <w:t>Triage Contract</w:t>
      </w:r>
      <w:r w:rsidRPr="00DF24E3">
        <w:t xml:space="preserve"> for the Government Cyber Coordination Centre’s (GC3) Vulnerability Reporting Service (VRS).</w:t>
      </w:r>
    </w:p>
    <w:p w14:paraId="66F91B3B" w14:textId="77777777" w:rsidR="00D75382" w:rsidRDefault="00D75382" w:rsidP="00D75382"/>
    <w:p w14:paraId="7D96A1E9"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2" w:name="_Toc213149234"/>
      <w:r w:rsidRPr="007F5605">
        <w:rPr>
          <w:b/>
          <w:bCs/>
          <w:sz w:val="28"/>
          <w:szCs w:val="28"/>
        </w:rPr>
        <w:t>BACKGROUND TO THE BUYER</w:t>
      </w:r>
      <w:bookmarkEnd w:id="2"/>
    </w:p>
    <w:p w14:paraId="16CE7509" w14:textId="77777777" w:rsidR="00D75382" w:rsidRDefault="00D75382" w:rsidP="00D75382">
      <w:pPr>
        <w:pStyle w:val="Heading1"/>
        <w:ind w:left="709"/>
        <w:rPr>
          <w:sz w:val="28"/>
          <w:szCs w:val="28"/>
        </w:rPr>
      </w:pPr>
    </w:p>
    <w:p w14:paraId="096CAAD2" w14:textId="77777777" w:rsidR="00D75382" w:rsidRPr="00646149" w:rsidRDefault="00D75382" w:rsidP="00D75382">
      <w:pPr>
        <w:pStyle w:val="ScheduleL2"/>
        <w:rPr>
          <w:sz w:val="28"/>
          <w:szCs w:val="28"/>
        </w:rPr>
      </w:pPr>
      <w:r w:rsidRPr="00CC571C">
        <w:t>GC3 is a transformational initiative from the 2022 Government Cyber Security Strategy (GCSS), designed to improve HM Government's collective ability to counter the increasing threat of cyber-attacks. GC3 is also an integral part of the Government’s planned interventionist and centralised approach to cyber security, being implemented through a new Cyber and Digital Resilience Target Operating Model (CTOM).</w:t>
      </w:r>
    </w:p>
    <w:p w14:paraId="28E1F7E2" w14:textId="77777777" w:rsidR="00D75382" w:rsidRPr="00CC571C" w:rsidRDefault="00D75382" w:rsidP="00D75382">
      <w:pPr>
        <w:pStyle w:val="ScheduleL2"/>
      </w:pPr>
      <w:r w:rsidRPr="00CC571C">
        <w:t>GC3 is a collaborative initiative between the Government Digital Service (GDS) and the National Cyber Security Centre (NCSC), currently still administratively part of the Cabinet Office pending the move of the Government Security Group Cyber Directorate to GDS.</w:t>
      </w:r>
    </w:p>
    <w:p w14:paraId="7FEF586A" w14:textId="77777777" w:rsidR="00D75382" w:rsidRPr="00CC571C" w:rsidRDefault="00D75382" w:rsidP="00D75382">
      <w:pPr>
        <w:pStyle w:val="ScheduleL2"/>
      </w:pPr>
      <w:r w:rsidRPr="00CC571C">
        <w:t xml:space="preserve">GC3’s long-term goal is to better coordinate operational cyber security efforts across government organisations, and to dramatically improve government’s ability to ‘defend as one’ when managing incidents, vulnerabilities and threats at scale.  </w:t>
      </w:r>
    </w:p>
    <w:p w14:paraId="1C1FC702" w14:textId="77777777" w:rsidR="00D75382" w:rsidRDefault="00D75382" w:rsidP="00D75382"/>
    <w:p w14:paraId="0A224BCE"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3" w:name="_Toc213149235"/>
      <w:r w:rsidRPr="007F5605">
        <w:rPr>
          <w:b/>
          <w:bCs/>
          <w:sz w:val="28"/>
          <w:szCs w:val="28"/>
        </w:rPr>
        <w:t>BACKGROUND TO THE REQUIREMENT</w:t>
      </w:r>
      <w:bookmarkStart w:id="4" w:name="_heading=h.4d34og8" w:colFirst="0" w:colLast="0"/>
      <w:bookmarkEnd w:id="3"/>
      <w:bookmarkEnd w:id="4"/>
    </w:p>
    <w:p w14:paraId="60C2DA87" w14:textId="77777777" w:rsidR="00D75382" w:rsidRDefault="00D75382" w:rsidP="00D75382">
      <w:pPr>
        <w:pBdr>
          <w:top w:val="nil"/>
          <w:left w:val="nil"/>
          <w:bottom w:val="nil"/>
          <w:right w:val="nil"/>
          <w:between w:val="nil"/>
        </w:pBdr>
        <w:ind w:left="709" w:hanging="709"/>
        <w:rPr>
          <w:color w:val="000000"/>
          <w:sz w:val="20"/>
          <w:szCs w:val="20"/>
        </w:rPr>
      </w:pPr>
    </w:p>
    <w:p w14:paraId="2E464BD4" w14:textId="77777777" w:rsidR="00D75382" w:rsidRPr="00EC19DC" w:rsidRDefault="00D75382" w:rsidP="00D75382">
      <w:pPr>
        <w:pStyle w:val="ScheduleL2"/>
      </w:pPr>
      <w:r w:rsidRPr="00EC19DC">
        <w:t>The GCSS sets out the need for VRS as part of improving government resilience. It is critical that the Buyer is able to consume, triage and fix vulnerabilities across government in a coherent and timely manner. GC3 is being developed to focus upon cross government data sharing and analysis of data to inform decision making. The VRS is a key component of providing GC3 with the data and processes to improve resilience to public facing services and systems across government, and establishment of the VRS was included as a key deliverable within the strategy.</w:t>
      </w:r>
    </w:p>
    <w:p w14:paraId="59D7D53D" w14:textId="77777777" w:rsidR="00D75382" w:rsidRPr="00EC19DC" w:rsidRDefault="00D75382" w:rsidP="00D75382">
      <w:pPr>
        <w:pStyle w:val="ScheduleL2"/>
      </w:pPr>
      <w:r w:rsidRPr="00EC19DC">
        <w:t>Failure to maintain a VRS for government organisations presents an unacceptable level of operational and reputational risk. If we do not offer the ability for external researchers to report vulnerabilities once identified, we risk these being exploited by malicious attackers (80% of vulnerabilities reported in 2022 were rated ‘critical’ or ‘high’ severity, meaning that the likelihood of exploitation and the impact once exploited would have been very significant). We also risk significant reputational damage if researchers choose to release their findings into the public domain.</w:t>
      </w:r>
    </w:p>
    <w:p w14:paraId="481C5B1A" w14:textId="77777777" w:rsidR="00D75382" w:rsidRDefault="00D75382" w:rsidP="00D75382">
      <w:pPr>
        <w:pStyle w:val="ListParagraph"/>
      </w:pPr>
    </w:p>
    <w:p w14:paraId="02DFDB67" w14:textId="77777777" w:rsidR="00D75382" w:rsidRPr="005B6FB6" w:rsidRDefault="00D75382" w:rsidP="00D75382">
      <w:pPr>
        <w:pStyle w:val="ScheduleL2"/>
      </w:pPr>
      <w:r w:rsidRPr="005B6FB6">
        <w:t xml:space="preserve">Cabinet Office </w:t>
      </w:r>
      <w:r>
        <w:t>has established</w:t>
      </w:r>
      <w:r w:rsidRPr="005B6FB6">
        <w:t xml:space="preserve"> the VRS as an integrated component of the GC3, in line with ministerial commitments to deliver the Government Cyber Security Strategy.</w:t>
      </w:r>
    </w:p>
    <w:p w14:paraId="60F0A18F" w14:textId="77777777" w:rsidR="00D75382" w:rsidRDefault="00D75382" w:rsidP="00D75382">
      <w:pPr>
        <w:pStyle w:val="ScheduleL2"/>
      </w:pPr>
      <w:r>
        <w:t>The reasons for establishing this service within the Cabinet Office GC3 model are:</w:t>
      </w:r>
    </w:p>
    <w:p w14:paraId="0A72CC10" w14:textId="77777777" w:rsidR="00D75382" w:rsidRDefault="00D75382" w:rsidP="00D75382">
      <w:pPr>
        <w:pStyle w:val="ScheduleL3"/>
        <w:ind w:left="1797" w:hanging="1077"/>
        <w:jc w:val="left"/>
      </w:pPr>
      <w:r>
        <w:t>Enable UK Government to adopt a single cross-government vulnerability reporting route, hosted centrally on GOV.UK, to deliver ministerial commitments agreed in the Government Cyber Security Strategy.</w:t>
      </w:r>
    </w:p>
    <w:p w14:paraId="710B3583" w14:textId="77777777" w:rsidR="00D75382" w:rsidRDefault="00D75382" w:rsidP="00D75382">
      <w:pPr>
        <w:pStyle w:val="ScheduleL3"/>
        <w:ind w:left="1797" w:hanging="1077"/>
        <w:jc w:val="left"/>
      </w:pPr>
      <w:r>
        <w:lastRenderedPageBreak/>
        <w:t>Align with the GCSO ownership of security standards for government and mandate to reduce cyber risk across government.</w:t>
      </w:r>
    </w:p>
    <w:p w14:paraId="5610C92A" w14:textId="77777777" w:rsidR="00D75382" w:rsidRDefault="00D75382" w:rsidP="00D75382">
      <w:pPr>
        <w:pStyle w:val="ScheduleL3"/>
        <w:ind w:left="1797" w:hanging="1077"/>
        <w:jc w:val="left"/>
      </w:pPr>
      <w:r>
        <w:t>Enable use of Cabinet Office’s mandate, under the authority of the GCSO and COO for the Civil Service, to require departments to fix vulnerabilities and triage these appropriately</w:t>
      </w:r>
    </w:p>
    <w:p w14:paraId="5D0243B9" w14:textId="77777777" w:rsidR="00D75382" w:rsidRDefault="00D75382" w:rsidP="00D75382">
      <w:pPr>
        <w:pStyle w:val="ScheduleL3"/>
        <w:ind w:left="1797" w:hanging="1077"/>
        <w:jc w:val="left"/>
      </w:pPr>
      <w:r>
        <w:t xml:space="preserve">Enable use of our </w:t>
      </w:r>
      <w:proofErr w:type="spellStart"/>
      <w:r>
        <w:t>GovAssure</w:t>
      </w:r>
      <w:proofErr w:type="spellEnd"/>
      <w:r>
        <w:t xml:space="preserve"> process to provide objective assurance that improvements have been delivered.</w:t>
      </w:r>
    </w:p>
    <w:p w14:paraId="3AECE686" w14:textId="77777777" w:rsidR="00D75382" w:rsidRDefault="00D75382" w:rsidP="00D75382">
      <w:pPr>
        <w:pStyle w:val="ScheduleL3"/>
        <w:ind w:left="1797" w:hanging="1077"/>
        <w:jc w:val="left"/>
      </w:pPr>
      <w:r>
        <w:t>Enable data collected to be efficiently shared and aligned to other data points to support wider vulnerability management, enabling assessment of cyber security maturity across government and directly supporting our assurance processes.</w:t>
      </w:r>
    </w:p>
    <w:p w14:paraId="2D54861C" w14:textId="77777777" w:rsidR="00D75382" w:rsidRDefault="00D75382" w:rsidP="00D75382">
      <w:pPr>
        <w:pStyle w:val="ScheduleL3"/>
        <w:ind w:left="1797" w:hanging="1077"/>
        <w:jc w:val="left"/>
      </w:pPr>
      <w:r>
        <w:t>Provide external researchers and experts with a clear reporting point for all cross-government responsibilities, increasing the likelihood of effective reporting and an efficient response.</w:t>
      </w:r>
    </w:p>
    <w:p w14:paraId="1EA9BB70" w14:textId="77777777" w:rsidR="00D75382" w:rsidRDefault="00D75382" w:rsidP="00D75382">
      <w:pPr>
        <w:pStyle w:val="ScheduleL3"/>
        <w:ind w:left="1797" w:hanging="1077"/>
        <w:jc w:val="left"/>
      </w:pPr>
      <w:r>
        <w:t>Provide a single coherent service across government, delivering financial efficiencies, value for money and enabling the sharing of expertise across government.</w:t>
      </w:r>
    </w:p>
    <w:p w14:paraId="7088744D" w14:textId="77777777" w:rsidR="00D75382" w:rsidRDefault="00D75382" w:rsidP="00D75382">
      <w:pPr>
        <w:pStyle w:val="ScheduleL3"/>
        <w:ind w:left="1797" w:hanging="1077"/>
        <w:jc w:val="left"/>
      </w:pPr>
      <w:r w:rsidRPr="005B6FB6">
        <w:t>The service will be managed within the GC3 programme management structure which reports into the GCSS programme management office.</w:t>
      </w:r>
    </w:p>
    <w:p w14:paraId="3DE2AC27" w14:textId="77777777" w:rsidR="00D75382" w:rsidRDefault="00D75382" w:rsidP="00D75382"/>
    <w:p w14:paraId="3BF32983"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5" w:name="_Toc213149236"/>
      <w:r w:rsidRPr="007F5605">
        <w:rPr>
          <w:b/>
          <w:bCs/>
          <w:sz w:val="28"/>
          <w:szCs w:val="28"/>
        </w:rPr>
        <w:t xml:space="preserve">DEFINITIONS </w:t>
      </w:r>
      <w:bookmarkEnd w:id="5"/>
    </w:p>
    <w:p w14:paraId="7A8C5C28" w14:textId="77777777" w:rsidR="00D75382" w:rsidRDefault="00D75382" w:rsidP="00D75382"/>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D75382" w14:paraId="4CF01223" w14:textId="77777777" w:rsidTr="008B5699">
        <w:trPr>
          <w:trHeight w:val="364"/>
        </w:trPr>
        <w:tc>
          <w:tcPr>
            <w:tcW w:w="2773" w:type="dxa"/>
            <w:shd w:val="clear" w:color="auto" w:fill="B8CCE4"/>
          </w:tcPr>
          <w:p w14:paraId="75B85500" w14:textId="77777777" w:rsidR="00D75382" w:rsidRPr="00EC19DC" w:rsidRDefault="00D75382" w:rsidP="008B5699">
            <w:pPr>
              <w:pBdr>
                <w:top w:val="nil"/>
                <w:left w:val="nil"/>
                <w:bottom w:val="nil"/>
                <w:right w:val="nil"/>
                <w:between w:val="nil"/>
              </w:pBdr>
              <w:ind w:left="709" w:hanging="709"/>
              <w:rPr>
                <w:color w:val="000000"/>
                <w:highlight w:val="yellow"/>
              </w:rPr>
            </w:pPr>
            <w:r w:rsidRPr="00EC19DC">
              <w:rPr>
                <w:color w:val="000000"/>
              </w:rPr>
              <w:t>Expression or Acronym</w:t>
            </w:r>
          </w:p>
        </w:tc>
        <w:tc>
          <w:tcPr>
            <w:tcW w:w="6251" w:type="dxa"/>
            <w:shd w:val="clear" w:color="auto" w:fill="B8CCE4"/>
          </w:tcPr>
          <w:p w14:paraId="3BA1E58C" w14:textId="77777777" w:rsidR="00D75382" w:rsidRPr="00EC19DC" w:rsidRDefault="00D75382" w:rsidP="008B5699">
            <w:pPr>
              <w:pBdr>
                <w:top w:val="nil"/>
                <w:left w:val="nil"/>
                <w:bottom w:val="nil"/>
                <w:right w:val="nil"/>
                <w:between w:val="nil"/>
              </w:pBdr>
              <w:ind w:left="709" w:hanging="709"/>
              <w:rPr>
                <w:color w:val="000000"/>
                <w:highlight w:val="yellow"/>
              </w:rPr>
            </w:pPr>
            <w:r w:rsidRPr="00EC19DC">
              <w:rPr>
                <w:color w:val="000000"/>
              </w:rPr>
              <w:t>Definition</w:t>
            </w:r>
          </w:p>
        </w:tc>
      </w:tr>
      <w:tr w:rsidR="00D75382" w14:paraId="155631C2" w14:textId="77777777" w:rsidTr="008B5699">
        <w:tc>
          <w:tcPr>
            <w:tcW w:w="2773" w:type="dxa"/>
          </w:tcPr>
          <w:p w14:paraId="30F4A03B" w14:textId="77777777" w:rsidR="00D75382" w:rsidRPr="00EC19DC" w:rsidRDefault="00D75382" w:rsidP="008B5699">
            <w:pPr>
              <w:pBdr>
                <w:top w:val="nil"/>
                <w:left w:val="nil"/>
                <w:bottom w:val="nil"/>
                <w:right w:val="nil"/>
                <w:between w:val="nil"/>
              </w:pBdr>
              <w:ind w:left="709" w:hanging="709"/>
              <w:rPr>
                <w:b/>
                <w:bCs/>
                <w:color w:val="000000"/>
                <w:highlight w:val="yellow"/>
              </w:rPr>
            </w:pPr>
            <w:r w:rsidRPr="00EC19DC">
              <w:rPr>
                <w:bCs/>
                <w:color w:val="000000"/>
              </w:rPr>
              <w:t>Cabinet Office</w:t>
            </w:r>
          </w:p>
        </w:tc>
        <w:tc>
          <w:tcPr>
            <w:tcW w:w="6251" w:type="dxa"/>
          </w:tcPr>
          <w:p w14:paraId="33B3D745" w14:textId="77777777" w:rsidR="00D75382" w:rsidRPr="00EC19DC" w:rsidRDefault="00D75382" w:rsidP="008B5699">
            <w:pPr>
              <w:pBdr>
                <w:top w:val="nil"/>
                <w:left w:val="nil"/>
                <w:bottom w:val="nil"/>
                <w:right w:val="nil"/>
                <w:between w:val="nil"/>
              </w:pBdr>
              <w:rPr>
                <w:b/>
                <w:bCs/>
                <w:color w:val="000000"/>
                <w:highlight w:val="yellow"/>
              </w:rPr>
            </w:pPr>
            <w:r w:rsidRPr="00EC19DC">
              <w:rPr>
                <w:bCs/>
                <w:color w:val="000000"/>
              </w:rPr>
              <w:t>The Buyer</w:t>
            </w:r>
          </w:p>
        </w:tc>
      </w:tr>
      <w:tr w:rsidR="00D75382" w14:paraId="1D58A05E" w14:textId="77777777" w:rsidTr="008B5699">
        <w:tc>
          <w:tcPr>
            <w:tcW w:w="2773" w:type="dxa"/>
          </w:tcPr>
          <w:p w14:paraId="26BFA217" w14:textId="77777777" w:rsidR="00D75382" w:rsidRPr="00EC19DC" w:rsidRDefault="00D75382" w:rsidP="008B5699">
            <w:pPr>
              <w:pBdr>
                <w:top w:val="nil"/>
                <w:left w:val="nil"/>
                <w:bottom w:val="nil"/>
                <w:right w:val="nil"/>
                <w:between w:val="nil"/>
              </w:pBdr>
              <w:ind w:left="709" w:hanging="709"/>
              <w:rPr>
                <w:b/>
                <w:bCs/>
                <w:color w:val="000000"/>
                <w:shd w:val="clear" w:color="auto" w:fill="FFFF99"/>
              </w:rPr>
            </w:pPr>
            <w:r w:rsidRPr="00EC19DC">
              <w:rPr>
                <w:bCs/>
                <w:color w:val="000000"/>
              </w:rPr>
              <w:t>Platform</w:t>
            </w:r>
          </w:p>
        </w:tc>
        <w:tc>
          <w:tcPr>
            <w:tcW w:w="6251" w:type="dxa"/>
          </w:tcPr>
          <w:p w14:paraId="20BA1231" w14:textId="77777777" w:rsidR="00D75382" w:rsidRPr="00CF464E" w:rsidRDefault="00D75382" w:rsidP="008B5699">
            <w:pPr>
              <w:pBdr>
                <w:top w:val="nil"/>
                <w:left w:val="nil"/>
                <w:bottom w:val="nil"/>
                <w:right w:val="nil"/>
                <w:between w:val="nil"/>
              </w:pBdr>
              <w:rPr>
                <w:b/>
                <w:bCs/>
                <w:color w:val="000000"/>
              </w:rPr>
            </w:pPr>
            <w:r>
              <w:rPr>
                <w:bCs/>
                <w:color w:val="000000"/>
              </w:rPr>
              <w:t>T</w:t>
            </w:r>
            <w:r w:rsidRPr="00CF464E">
              <w:rPr>
                <w:bCs/>
                <w:color w:val="000000"/>
              </w:rPr>
              <w:t>his is the vulnerability reporting solution provided by the Platform Supplier</w:t>
            </w:r>
          </w:p>
        </w:tc>
      </w:tr>
      <w:tr w:rsidR="00D75382" w14:paraId="632AFC12" w14:textId="77777777" w:rsidTr="008B5699">
        <w:tc>
          <w:tcPr>
            <w:tcW w:w="2773" w:type="dxa"/>
          </w:tcPr>
          <w:p w14:paraId="6C0D0352" w14:textId="77777777" w:rsidR="00D75382" w:rsidRPr="00EC19DC" w:rsidRDefault="00D75382" w:rsidP="008B5699">
            <w:pPr>
              <w:pBdr>
                <w:top w:val="nil"/>
                <w:left w:val="nil"/>
                <w:bottom w:val="nil"/>
                <w:right w:val="nil"/>
                <w:between w:val="nil"/>
              </w:pBdr>
              <w:ind w:left="709" w:hanging="709"/>
              <w:rPr>
                <w:b/>
                <w:bCs/>
                <w:color w:val="000000"/>
                <w:highlight w:val="yellow"/>
              </w:rPr>
            </w:pPr>
            <w:r w:rsidRPr="00EC19DC">
              <w:rPr>
                <w:bCs/>
                <w:color w:val="000000"/>
              </w:rPr>
              <w:t xml:space="preserve">Researcher </w:t>
            </w:r>
          </w:p>
        </w:tc>
        <w:tc>
          <w:tcPr>
            <w:tcW w:w="6251" w:type="dxa"/>
          </w:tcPr>
          <w:p w14:paraId="4A456470" w14:textId="77777777" w:rsidR="00D75382" w:rsidRPr="00EC19DC" w:rsidRDefault="00D75382" w:rsidP="008B5699">
            <w:pPr>
              <w:pBdr>
                <w:top w:val="nil"/>
                <w:left w:val="nil"/>
                <w:bottom w:val="nil"/>
                <w:right w:val="nil"/>
                <w:between w:val="nil"/>
              </w:pBdr>
              <w:rPr>
                <w:b/>
                <w:bCs/>
                <w:color w:val="000000"/>
                <w:highlight w:val="yellow"/>
              </w:rPr>
            </w:pPr>
            <w:r>
              <w:rPr>
                <w:bCs/>
                <w:color w:val="000000"/>
              </w:rPr>
              <w:t>T</w:t>
            </w:r>
            <w:r w:rsidRPr="00EC19DC">
              <w:rPr>
                <w:bCs/>
                <w:color w:val="000000"/>
              </w:rPr>
              <w:t>his is the individual submitting a vulnerability to the service</w:t>
            </w:r>
          </w:p>
        </w:tc>
      </w:tr>
      <w:tr w:rsidR="00D75382" w14:paraId="4FF1B33E" w14:textId="77777777" w:rsidTr="008B5699">
        <w:tc>
          <w:tcPr>
            <w:tcW w:w="2773" w:type="dxa"/>
          </w:tcPr>
          <w:p w14:paraId="03152126" w14:textId="77777777" w:rsidR="00D75382" w:rsidRPr="00EC19DC" w:rsidRDefault="00D75382" w:rsidP="008B5699">
            <w:pPr>
              <w:pBdr>
                <w:top w:val="nil"/>
                <w:left w:val="nil"/>
                <w:bottom w:val="nil"/>
                <w:right w:val="nil"/>
                <w:between w:val="nil"/>
              </w:pBdr>
              <w:ind w:left="709" w:hanging="709"/>
              <w:rPr>
                <w:b/>
                <w:bCs/>
                <w:color w:val="000000"/>
              </w:rPr>
            </w:pPr>
            <w:r w:rsidRPr="00EC19DC">
              <w:rPr>
                <w:bCs/>
                <w:color w:val="000000"/>
              </w:rPr>
              <w:t>System Owner</w:t>
            </w:r>
          </w:p>
        </w:tc>
        <w:tc>
          <w:tcPr>
            <w:tcW w:w="6251" w:type="dxa"/>
          </w:tcPr>
          <w:p w14:paraId="5CA563C7" w14:textId="77777777" w:rsidR="00D75382" w:rsidRPr="00EC19DC" w:rsidRDefault="00D75382" w:rsidP="008B5699">
            <w:pPr>
              <w:pBdr>
                <w:top w:val="nil"/>
                <w:left w:val="nil"/>
                <w:bottom w:val="nil"/>
                <w:right w:val="nil"/>
                <w:between w:val="nil"/>
              </w:pBdr>
              <w:tabs>
                <w:tab w:val="left" w:pos="2004"/>
              </w:tabs>
              <w:rPr>
                <w:b/>
                <w:bCs/>
                <w:color w:val="000000"/>
              </w:rPr>
            </w:pPr>
            <w:r>
              <w:rPr>
                <w:bCs/>
                <w:color w:val="000000"/>
              </w:rPr>
              <w:t>T</w:t>
            </w:r>
            <w:r w:rsidRPr="00EC19DC">
              <w:rPr>
                <w:bCs/>
                <w:color w:val="000000"/>
              </w:rPr>
              <w:t xml:space="preserve">his is the HMG entity with managerial, operational, technical and budgetary responsibility for all aspects of the system that is the subject of the </w:t>
            </w:r>
            <w:proofErr w:type="spellStart"/>
            <w:r w:rsidRPr="00EC19DC">
              <w:rPr>
                <w:bCs/>
                <w:color w:val="000000"/>
              </w:rPr>
              <w:t>Programme</w:t>
            </w:r>
            <w:proofErr w:type="spellEnd"/>
            <w:r w:rsidRPr="00EC19DC">
              <w:rPr>
                <w:bCs/>
                <w:color w:val="000000"/>
              </w:rPr>
              <w:t xml:space="preserve">. They are responsible for the remediation of the vulnerabilities reported by the Researchers on the Platform in relation to a specific </w:t>
            </w:r>
            <w:proofErr w:type="spellStart"/>
            <w:r w:rsidRPr="00EC19DC">
              <w:rPr>
                <w:bCs/>
                <w:color w:val="000000"/>
              </w:rPr>
              <w:t>Programme</w:t>
            </w:r>
            <w:proofErr w:type="spellEnd"/>
          </w:p>
        </w:tc>
      </w:tr>
      <w:tr w:rsidR="00D75382" w14:paraId="48163A0A" w14:textId="77777777" w:rsidTr="008B5699">
        <w:tc>
          <w:tcPr>
            <w:tcW w:w="2773" w:type="dxa"/>
          </w:tcPr>
          <w:p w14:paraId="06763C3A" w14:textId="77777777" w:rsidR="00D75382" w:rsidRPr="00EC19DC" w:rsidRDefault="00D75382" w:rsidP="008B5699">
            <w:pPr>
              <w:pBdr>
                <w:top w:val="nil"/>
                <w:left w:val="nil"/>
                <w:bottom w:val="nil"/>
                <w:right w:val="nil"/>
                <w:between w:val="nil"/>
              </w:pBdr>
              <w:ind w:left="709" w:hanging="709"/>
              <w:rPr>
                <w:b/>
                <w:bCs/>
                <w:color w:val="000000"/>
              </w:rPr>
            </w:pPr>
            <w:r w:rsidRPr="00EC19DC">
              <w:rPr>
                <w:bCs/>
                <w:color w:val="000000"/>
              </w:rPr>
              <w:t>Triage Supplier</w:t>
            </w:r>
          </w:p>
        </w:tc>
        <w:tc>
          <w:tcPr>
            <w:tcW w:w="6251" w:type="dxa"/>
          </w:tcPr>
          <w:p w14:paraId="00F1235D" w14:textId="77777777" w:rsidR="00D75382" w:rsidRPr="00EC19DC" w:rsidRDefault="00D75382" w:rsidP="008B5699">
            <w:pPr>
              <w:rPr>
                <w:rFonts w:eastAsia="Times New Roman"/>
                <w:b/>
                <w:bCs/>
                <w:color w:val="000000"/>
                <w:lang w:eastAsia="en-GB"/>
              </w:rPr>
            </w:pPr>
            <w:r>
              <w:rPr>
                <w:rFonts w:eastAsia="Times New Roman"/>
                <w:bCs/>
                <w:color w:val="000000"/>
                <w:lang w:eastAsia="en-GB"/>
              </w:rPr>
              <w:t>T</w:t>
            </w:r>
            <w:r w:rsidRPr="00EC19DC">
              <w:rPr>
                <w:rFonts w:eastAsia="Times New Roman"/>
                <w:bCs/>
                <w:color w:val="000000"/>
                <w:lang w:eastAsia="en-GB"/>
              </w:rPr>
              <w:t>his is the supplier responsible for triaging the vulnerabilities reported by the Researcher on the Platform</w:t>
            </w:r>
          </w:p>
          <w:p w14:paraId="3DE6534B" w14:textId="77777777" w:rsidR="00D75382" w:rsidRPr="00EC19DC" w:rsidRDefault="00D75382" w:rsidP="008B5699">
            <w:pPr>
              <w:pBdr>
                <w:top w:val="nil"/>
                <w:left w:val="nil"/>
                <w:bottom w:val="nil"/>
                <w:right w:val="nil"/>
                <w:between w:val="nil"/>
              </w:pBdr>
              <w:tabs>
                <w:tab w:val="left" w:pos="2004"/>
              </w:tabs>
              <w:rPr>
                <w:b/>
                <w:bCs/>
                <w:color w:val="000000"/>
              </w:rPr>
            </w:pPr>
          </w:p>
        </w:tc>
      </w:tr>
    </w:tbl>
    <w:p w14:paraId="17BD761D" w14:textId="77777777" w:rsidR="00D75382" w:rsidRDefault="00D75382" w:rsidP="00D75382"/>
    <w:p w14:paraId="5A690043" w14:textId="77777777" w:rsidR="00D75382" w:rsidRDefault="00D75382" w:rsidP="00D75382"/>
    <w:p w14:paraId="093C005B" w14:textId="77777777" w:rsidR="00D75382" w:rsidRDefault="00D75382" w:rsidP="00D75382"/>
    <w:p w14:paraId="5DE659C1" w14:textId="77777777" w:rsidR="00D75382" w:rsidRDefault="00D75382" w:rsidP="00D75382"/>
    <w:p w14:paraId="690E31E1"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6" w:name="_Toc213149237"/>
      <w:r w:rsidRPr="007F5605">
        <w:rPr>
          <w:b/>
          <w:bCs/>
          <w:sz w:val="28"/>
          <w:szCs w:val="28"/>
        </w:rPr>
        <w:t>SCOPE OF THE REQUIREMENT</w:t>
      </w:r>
      <w:bookmarkEnd w:id="6"/>
    </w:p>
    <w:p w14:paraId="609C6CBD" w14:textId="77777777" w:rsidR="00D75382" w:rsidRDefault="00D75382" w:rsidP="00D75382"/>
    <w:p w14:paraId="6C046CFE" w14:textId="77777777" w:rsidR="00D75382" w:rsidRPr="005B6FB6" w:rsidRDefault="00D75382" w:rsidP="00D75382">
      <w:pPr>
        <w:pStyle w:val="ScheduleL2"/>
        <w:jc w:val="left"/>
      </w:pPr>
      <w:r w:rsidRPr="005B6FB6">
        <w:t xml:space="preserve">Detailed requirements for the VRS - for the triage service are provided in the separate document titled </w:t>
      </w:r>
      <w:r>
        <w:t xml:space="preserve">Attachment 3a - Annex A - </w:t>
      </w:r>
      <w:r w:rsidRPr="005B6FB6">
        <w:t>VRS - Triage Deliverables</w:t>
      </w:r>
      <w:r>
        <w:t>.</w:t>
      </w:r>
    </w:p>
    <w:p w14:paraId="00D6406B"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7" w:name="_Toc213149238"/>
      <w:r w:rsidRPr="007F5605">
        <w:rPr>
          <w:b/>
          <w:bCs/>
          <w:sz w:val="28"/>
          <w:szCs w:val="28"/>
        </w:rPr>
        <w:t>MANDATORY DELIVERABLES (SUPPLIER RESPONSIBILITIES)</w:t>
      </w:r>
      <w:bookmarkEnd w:id="7"/>
    </w:p>
    <w:p w14:paraId="3671EAF7" w14:textId="77777777" w:rsidR="00D75382" w:rsidRDefault="00D75382" w:rsidP="00D75382"/>
    <w:p w14:paraId="4B4FD202" w14:textId="77777777" w:rsidR="00D75382" w:rsidRPr="005B6FB6" w:rsidRDefault="00D75382" w:rsidP="00D75382">
      <w:pPr>
        <w:pStyle w:val="ScheduleL2"/>
        <w:jc w:val="left"/>
      </w:pPr>
      <w:r w:rsidRPr="005B6FB6">
        <w:t>Detailed requirements for the VRS - for the triage service are provided in the separate document titled</w:t>
      </w:r>
      <w:r>
        <w:t xml:space="preserve"> Attachment 3a -</w:t>
      </w:r>
      <w:r w:rsidRPr="005B6FB6">
        <w:t xml:space="preserve"> </w:t>
      </w:r>
      <w:r>
        <w:t xml:space="preserve">Annex A - </w:t>
      </w:r>
      <w:r w:rsidRPr="005B6FB6">
        <w:t xml:space="preserve">VRS - Triage Deliverables. </w:t>
      </w:r>
    </w:p>
    <w:p w14:paraId="50387895"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8" w:name="_Toc213149239"/>
      <w:r w:rsidRPr="007F5605">
        <w:rPr>
          <w:b/>
          <w:bCs/>
          <w:sz w:val="28"/>
          <w:szCs w:val="28"/>
        </w:rPr>
        <w:t>NON-MANDATORY AND OPTIONAL DELIVERABLES (SUPPLIER RESPONSIBILITIES)</w:t>
      </w:r>
      <w:bookmarkEnd w:id="8"/>
    </w:p>
    <w:p w14:paraId="2176CE83" w14:textId="77777777" w:rsidR="00D75382" w:rsidRDefault="00D75382" w:rsidP="00D75382"/>
    <w:p w14:paraId="65DD3E05" w14:textId="77777777" w:rsidR="00D75382" w:rsidRDefault="00D75382" w:rsidP="00D75382">
      <w:pPr>
        <w:pStyle w:val="ScheduleL2"/>
        <w:jc w:val="left"/>
      </w:pPr>
      <w:r w:rsidRPr="005B6FB6">
        <w:t xml:space="preserve">Detailed requirements for the VRS - for the triage service are provided in the separate document titled </w:t>
      </w:r>
      <w:r>
        <w:t xml:space="preserve">Attachment 3a - Annex A - </w:t>
      </w:r>
      <w:r w:rsidRPr="005B6FB6">
        <w:t>VRS - Triage Deliverables.</w:t>
      </w:r>
    </w:p>
    <w:p w14:paraId="73A13C20" w14:textId="77777777" w:rsidR="00D75382" w:rsidRDefault="00D75382" w:rsidP="00D75382">
      <w:pPr>
        <w:pBdr>
          <w:top w:val="nil"/>
          <w:left w:val="nil"/>
          <w:bottom w:val="nil"/>
          <w:right w:val="nil"/>
          <w:between w:val="nil"/>
        </w:pBdr>
        <w:ind w:left="709" w:hanging="709"/>
        <w:rPr>
          <w:color w:val="000000"/>
          <w:sz w:val="20"/>
          <w:szCs w:val="20"/>
        </w:rPr>
      </w:pPr>
    </w:p>
    <w:p w14:paraId="0B8C9090"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9" w:name="_Toc213149240"/>
      <w:r w:rsidRPr="007F5605">
        <w:rPr>
          <w:b/>
          <w:bCs/>
          <w:sz w:val="28"/>
          <w:szCs w:val="28"/>
        </w:rPr>
        <w:t>POTENTIAL, ACTUAL OR EXPECTED DELIVERY VOLUMES (IF APPLICABLE)</w:t>
      </w:r>
      <w:bookmarkEnd w:id="9"/>
    </w:p>
    <w:p w14:paraId="2A929E62" w14:textId="77777777" w:rsidR="00D75382" w:rsidRDefault="00D75382" w:rsidP="00D75382">
      <w:pPr>
        <w:pStyle w:val="ScheduleL2"/>
        <w:jc w:val="left"/>
      </w:pPr>
      <w:r w:rsidRPr="005B6FB6">
        <w:t>Based on past activity the VRS averages 1000 circa reports per year.</w:t>
      </w:r>
    </w:p>
    <w:p w14:paraId="55D2E6AC" w14:textId="77777777" w:rsidR="00D75382" w:rsidRPr="00A130A5" w:rsidRDefault="00D75382" w:rsidP="00D75382">
      <w:pPr>
        <w:pStyle w:val="ScheduleL2"/>
        <w:jc w:val="left"/>
      </w:pPr>
      <w:r w:rsidRPr="00A130A5">
        <w:t>Reported annual growth is expected at 150–200 reports per month.</w:t>
      </w:r>
    </w:p>
    <w:p w14:paraId="16E842DB" w14:textId="77777777" w:rsidR="00D75382" w:rsidRDefault="00D75382" w:rsidP="00D75382">
      <w:pPr>
        <w:pStyle w:val="Heading2"/>
        <w:spacing w:after="0"/>
        <w:ind w:left="2880"/>
        <w:rPr>
          <w:sz w:val="20"/>
          <w:szCs w:val="20"/>
          <w:shd w:val="clear" w:color="auto" w:fill="FFFF99"/>
        </w:rPr>
      </w:pPr>
    </w:p>
    <w:p w14:paraId="67599463"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10" w:name="_Toc213149241"/>
      <w:r w:rsidRPr="007F5605">
        <w:rPr>
          <w:b/>
          <w:bCs/>
          <w:sz w:val="28"/>
          <w:szCs w:val="28"/>
        </w:rPr>
        <w:t>LOCATION</w:t>
      </w:r>
      <w:bookmarkEnd w:id="10"/>
      <w:r w:rsidRPr="007F5605">
        <w:rPr>
          <w:b/>
          <w:bCs/>
          <w:sz w:val="28"/>
          <w:szCs w:val="28"/>
        </w:rPr>
        <w:t xml:space="preserve"> </w:t>
      </w:r>
    </w:p>
    <w:p w14:paraId="729E8915" w14:textId="77777777" w:rsidR="00D75382" w:rsidRDefault="00D75382" w:rsidP="00D75382"/>
    <w:p w14:paraId="46FDD2C7" w14:textId="77777777" w:rsidR="00D75382" w:rsidRPr="00A130A5" w:rsidRDefault="00D75382" w:rsidP="00D75382">
      <w:pPr>
        <w:pStyle w:val="ScheduleL2"/>
        <w:jc w:val="left"/>
      </w:pPr>
      <w:r w:rsidRPr="00A130A5">
        <w:t>The location of the Services is not applicable</w:t>
      </w:r>
      <w:r>
        <w:t xml:space="preserve">.  </w:t>
      </w:r>
      <w:r w:rsidRPr="00A130A5">
        <w:t>Will be provided virtual</w:t>
      </w:r>
      <w:r>
        <w:t>ly.</w:t>
      </w:r>
    </w:p>
    <w:p w14:paraId="128C08B8" w14:textId="77777777" w:rsidR="00D75382" w:rsidRDefault="00D75382" w:rsidP="00D75382"/>
    <w:p w14:paraId="213727F4"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11" w:name="_Toc213149242"/>
      <w:r w:rsidRPr="007F5605">
        <w:rPr>
          <w:b/>
          <w:bCs/>
          <w:sz w:val="28"/>
          <w:szCs w:val="28"/>
        </w:rPr>
        <w:t>BUYER RESPONSIBILITIES</w:t>
      </w:r>
      <w:bookmarkEnd w:id="11"/>
    </w:p>
    <w:p w14:paraId="5C047C74" w14:textId="77777777" w:rsidR="00D75382" w:rsidRDefault="00D75382" w:rsidP="00D75382"/>
    <w:p w14:paraId="33274C8D" w14:textId="77777777" w:rsidR="00D75382" w:rsidRPr="007F5605" w:rsidRDefault="00D75382" w:rsidP="00D75382">
      <w:pPr>
        <w:pStyle w:val="ScheduleL2"/>
        <w:jc w:val="left"/>
      </w:pPr>
      <w:r w:rsidRPr="004A30BC">
        <w:t xml:space="preserve">Buyer responsibilities are detailed in </w:t>
      </w:r>
      <w:r w:rsidRPr="005B6FB6">
        <w:t xml:space="preserve">separate document titled </w:t>
      </w:r>
      <w:r>
        <w:t xml:space="preserve">Attachment 3a - Annex A - </w:t>
      </w:r>
      <w:r w:rsidRPr="005B6FB6">
        <w:t>VRS - Triage Deliverables.</w:t>
      </w:r>
    </w:p>
    <w:p w14:paraId="05B091F8" w14:textId="77777777" w:rsidR="00D75382" w:rsidRDefault="00D75382" w:rsidP="00D75382"/>
    <w:p w14:paraId="61DC9B47"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12" w:name="_Toc213149243"/>
      <w:r w:rsidRPr="007F5605">
        <w:rPr>
          <w:b/>
          <w:bCs/>
          <w:sz w:val="28"/>
          <w:szCs w:val="28"/>
        </w:rPr>
        <w:t>KEY MILESTONES AND DELIVERABLES</w:t>
      </w:r>
      <w:bookmarkEnd w:id="12"/>
    </w:p>
    <w:p w14:paraId="673DD7DF" w14:textId="77777777" w:rsidR="00D75382" w:rsidRDefault="00D75382" w:rsidP="00D75382"/>
    <w:p w14:paraId="4A8F6120" w14:textId="77777777" w:rsidR="00D75382" w:rsidRDefault="00D75382" w:rsidP="00D75382">
      <w:pPr>
        <w:pStyle w:val="ScheduleL2"/>
        <w:jc w:val="left"/>
      </w:pPr>
      <w:r w:rsidRPr="00EC19DC">
        <w:t>The following Contract milestones/deliverables shall apply:</w:t>
      </w:r>
    </w:p>
    <w:p w14:paraId="798DDDAA" w14:textId="77777777" w:rsidR="00D75382" w:rsidRDefault="00D75382" w:rsidP="00D75382"/>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961"/>
        <w:gridCol w:w="2503"/>
      </w:tblGrid>
      <w:tr w:rsidR="00D75382" w14:paraId="28EFE7A5" w14:textId="77777777" w:rsidTr="008B5699">
        <w:trPr>
          <w:trHeight w:val="828"/>
        </w:trPr>
        <w:tc>
          <w:tcPr>
            <w:tcW w:w="1555" w:type="dxa"/>
            <w:shd w:val="clear" w:color="auto" w:fill="B8CCE4"/>
            <w:vAlign w:val="center"/>
          </w:tcPr>
          <w:p w14:paraId="527DC92E" w14:textId="77777777" w:rsidR="00D75382" w:rsidRPr="00C219A5" w:rsidRDefault="00D75382" w:rsidP="008B5699">
            <w:pPr>
              <w:pBdr>
                <w:top w:val="nil"/>
                <w:left w:val="nil"/>
                <w:bottom w:val="nil"/>
                <w:right w:val="nil"/>
                <w:between w:val="nil"/>
              </w:pBdr>
              <w:ind w:left="709" w:hanging="709"/>
              <w:rPr>
                <w:b/>
                <w:color w:val="000000"/>
              </w:rPr>
            </w:pPr>
            <w:r w:rsidRPr="00C219A5">
              <w:rPr>
                <w:color w:val="000000"/>
              </w:rPr>
              <w:t>Milestone /</w:t>
            </w:r>
          </w:p>
          <w:p w14:paraId="3E9BBE75" w14:textId="77777777" w:rsidR="00D75382" w:rsidRPr="00C219A5" w:rsidRDefault="00D75382" w:rsidP="008B5699">
            <w:pPr>
              <w:pBdr>
                <w:top w:val="nil"/>
                <w:left w:val="nil"/>
                <w:bottom w:val="nil"/>
                <w:right w:val="nil"/>
                <w:between w:val="nil"/>
              </w:pBdr>
              <w:ind w:left="709" w:hanging="709"/>
              <w:rPr>
                <w:b/>
                <w:color w:val="000000"/>
              </w:rPr>
            </w:pPr>
            <w:r w:rsidRPr="00C219A5">
              <w:rPr>
                <w:color w:val="000000"/>
              </w:rPr>
              <w:t>Deliverable</w:t>
            </w:r>
          </w:p>
        </w:tc>
        <w:tc>
          <w:tcPr>
            <w:tcW w:w="4961" w:type="dxa"/>
            <w:shd w:val="clear" w:color="auto" w:fill="B8CCE4"/>
            <w:vAlign w:val="center"/>
          </w:tcPr>
          <w:p w14:paraId="77E652B0" w14:textId="77777777" w:rsidR="00D75382" w:rsidRPr="00C219A5" w:rsidRDefault="00D75382" w:rsidP="008B5699">
            <w:pPr>
              <w:pBdr>
                <w:top w:val="nil"/>
                <w:left w:val="nil"/>
                <w:bottom w:val="nil"/>
                <w:right w:val="nil"/>
                <w:between w:val="nil"/>
              </w:pBdr>
              <w:ind w:left="709" w:hanging="709"/>
              <w:rPr>
                <w:b/>
                <w:color w:val="000000"/>
              </w:rPr>
            </w:pPr>
            <w:r w:rsidRPr="00C219A5">
              <w:rPr>
                <w:color w:val="000000"/>
              </w:rPr>
              <w:t>Description</w:t>
            </w:r>
          </w:p>
        </w:tc>
        <w:tc>
          <w:tcPr>
            <w:tcW w:w="2503" w:type="dxa"/>
            <w:shd w:val="clear" w:color="auto" w:fill="B8CCE4"/>
            <w:vAlign w:val="center"/>
          </w:tcPr>
          <w:p w14:paraId="59FF0F04" w14:textId="77777777" w:rsidR="00D75382" w:rsidRPr="00C219A5" w:rsidRDefault="00D75382" w:rsidP="008B5699">
            <w:pPr>
              <w:pBdr>
                <w:top w:val="nil"/>
                <w:left w:val="nil"/>
                <w:bottom w:val="nil"/>
                <w:right w:val="nil"/>
                <w:between w:val="nil"/>
              </w:pBdr>
              <w:ind w:left="709" w:hanging="709"/>
              <w:rPr>
                <w:b/>
                <w:color w:val="000000"/>
              </w:rPr>
            </w:pPr>
            <w:r w:rsidRPr="00C219A5">
              <w:rPr>
                <w:color w:val="000000"/>
              </w:rPr>
              <w:t>Timeframe or Delivery Date</w:t>
            </w:r>
          </w:p>
        </w:tc>
      </w:tr>
      <w:tr w:rsidR="00D75382" w14:paraId="26C9F85A" w14:textId="77777777" w:rsidTr="008B5699">
        <w:tc>
          <w:tcPr>
            <w:tcW w:w="1555" w:type="dxa"/>
            <w:vAlign w:val="center"/>
          </w:tcPr>
          <w:p w14:paraId="16965A98" w14:textId="77777777" w:rsidR="00D75382" w:rsidRPr="004D1F5D" w:rsidRDefault="00D75382" w:rsidP="008B5699">
            <w:pPr>
              <w:pBdr>
                <w:top w:val="nil"/>
                <w:left w:val="nil"/>
                <w:bottom w:val="nil"/>
                <w:right w:val="nil"/>
                <w:between w:val="nil"/>
              </w:pBdr>
              <w:ind w:left="709" w:hanging="709"/>
              <w:rPr>
                <w:b/>
                <w:bCs/>
              </w:rPr>
            </w:pPr>
            <w:r w:rsidRPr="004D1F5D">
              <w:rPr>
                <w:bCs/>
              </w:rPr>
              <w:t>1</w:t>
            </w:r>
          </w:p>
        </w:tc>
        <w:tc>
          <w:tcPr>
            <w:tcW w:w="4961" w:type="dxa"/>
            <w:vAlign w:val="center"/>
          </w:tcPr>
          <w:p w14:paraId="211E2ECB" w14:textId="77777777" w:rsidR="00D75382" w:rsidRDefault="00D75382" w:rsidP="008B5699">
            <w:pPr>
              <w:pBdr>
                <w:top w:val="nil"/>
                <w:left w:val="nil"/>
                <w:bottom w:val="nil"/>
                <w:right w:val="nil"/>
                <w:between w:val="nil"/>
              </w:pBdr>
              <w:ind w:left="709" w:hanging="709"/>
              <w:rPr>
                <w:b/>
                <w:bCs/>
                <w:color w:val="000000"/>
              </w:rPr>
            </w:pPr>
            <w:r w:rsidRPr="004D1F5D">
              <w:rPr>
                <w:bCs/>
                <w:color w:val="000000"/>
              </w:rPr>
              <w:t>The Triage Supplier perform</w:t>
            </w:r>
            <w:r>
              <w:rPr>
                <w:bCs/>
                <w:color w:val="000000"/>
              </w:rPr>
              <w:t xml:space="preserve"> </w:t>
            </w:r>
            <w:r w:rsidRPr="004D1F5D">
              <w:rPr>
                <w:bCs/>
                <w:color w:val="000000"/>
              </w:rPr>
              <w:t>vulnerability triage,</w:t>
            </w:r>
          </w:p>
          <w:p w14:paraId="1DF5F6B8" w14:textId="77777777" w:rsidR="00D75382" w:rsidRDefault="00D75382" w:rsidP="008B5699">
            <w:pPr>
              <w:pBdr>
                <w:top w:val="nil"/>
                <w:left w:val="nil"/>
                <w:bottom w:val="nil"/>
                <w:right w:val="nil"/>
                <w:between w:val="nil"/>
              </w:pBdr>
              <w:ind w:left="709" w:hanging="709"/>
              <w:rPr>
                <w:b/>
                <w:bCs/>
                <w:color w:val="000000"/>
              </w:rPr>
            </w:pPr>
            <w:proofErr w:type="spellStart"/>
            <w:r w:rsidRPr="004D1F5D">
              <w:rPr>
                <w:bCs/>
                <w:color w:val="000000"/>
              </w:rPr>
              <w:t>prioritisation</w:t>
            </w:r>
            <w:proofErr w:type="spellEnd"/>
            <w:r w:rsidRPr="004D1F5D">
              <w:rPr>
                <w:bCs/>
                <w:color w:val="000000"/>
              </w:rPr>
              <w:t xml:space="preserve"> and disclosure to the System </w:t>
            </w:r>
          </w:p>
          <w:p w14:paraId="0006A393" w14:textId="77777777" w:rsidR="00D75382" w:rsidRPr="004D1F5D" w:rsidRDefault="00D75382" w:rsidP="008B5699">
            <w:pPr>
              <w:pBdr>
                <w:top w:val="nil"/>
                <w:left w:val="nil"/>
                <w:bottom w:val="nil"/>
                <w:right w:val="nil"/>
                <w:between w:val="nil"/>
              </w:pBdr>
              <w:ind w:left="709" w:hanging="709"/>
              <w:rPr>
                <w:sz w:val="24"/>
              </w:rPr>
            </w:pPr>
            <w:r w:rsidRPr="004D1F5D">
              <w:rPr>
                <w:bCs/>
                <w:color w:val="000000"/>
              </w:rPr>
              <w:t>Owner(s) for all</w:t>
            </w:r>
          </w:p>
        </w:tc>
        <w:tc>
          <w:tcPr>
            <w:tcW w:w="2503" w:type="dxa"/>
            <w:vAlign w:val="center"/>
          </w:tcPr>
          <w:p w14:paraId="19BDF0C2" w14:textId="77777777" w:rsidR="00D75382" w:rsidRPr="00C219A5" w:rsidRDefault="00D75382" w:rsidP="008B5699">
            <w:pPr>
              <w:pBdr>
                <w:top w:val="nil"/>
                <w:left w:val="nil"/>
                <w:bottom w:val="nil"/>
                <w:right w:val="nil"/>
                <w:between w:val="nil"/>
              </w:pBdr>
              <w:rPr>
                <w:b/>
                <w:color w:val="000000"/>
                <w:highlight w:val="yellow"/>
              </w:rPr>
            </w:pPr>
            <w:r w:rsidRPr="00C219A5">
              <w:rPr>
                <w:bCs/>
              </w:rPr>
              <w:t>On day 1 of commencement of service</w:t>
            </w:r>
          </w:p>
        </w:tc>
      </w:tr>
      <w:tr w:rsidR="00D75382" w14:paraId="1F2C87A3" w14:textId="77777777" w:rsidTr="008B5699">
        <w:tc>
          <w:tcPr>
            <w:tcW w:w="1555" w:type="dxa"/>
            <w:vAlign w:val="center"/>
          </w:tcPr>
          <w:p w14:paraId="2D496CD5" w14:textId="77777777" w:rsidR="00D75382" w:rsidRPr="004D1F5D" w:rsidRDefault="00D75382" w:rsidP="008B5699">
            <w:pPr>
              <w:pBdr>
                <w:top w:val="nil"/>
                <w:left w:val="nil"/>
                <w:bottom w:val="nil"/>
                <w:right w:val="nil"/>
                <w:between w:val="nil"/>
              </w:pBdr>
              <w:ind w:left="709" w:hanging="709"/>
              <w:rPr>
                <w:b/>
                <w:bCs/>
              </w:rPr>
            </w:pPr>
            <w:r w:rsidRPr="004D1F5D">
              <w:rPr>
                <w:bCs/>
              </w:rPr>
              <w:t>2</w:t>
            </w:r>
          </w:p>
        </w:tc>
        <w:tc>
          <w:tcPr>
            <w:tcW w:w="4961" w:type="dxa"/>
            <w:vAlign w:val="center"/>
          </w:tcPr>
          <w:p w14:paraId="74E0EA5D" w14:textId="77777777" w:rsidR="00D75382" w:rsidRDefault="00D75382" w:rsidP="008B5699">
            <w:pPr>
              <w:pBdr>
                <w:top w:val="nil"/>
                <w:left w:val="nil"/>
                <w:bottom w:val="nil"/>
                <w:right w:val="nil"/>
                <w:between w:val="nil"/>
              </w:pBdr>
              <w:ind w:left="709" w:hanging="709"/>
              <w:rPr>
                <w:b/>
              </w:rPr>
            </w:pPr>
            <w:r w:rsidRPr="004D1F5D">
              <w:t>The Triage Supplier will manage their own</w:t>
            </w:r>
          </w:p>
          <w:p w14:paraId="738BDA75" w14:textId="77777777" w:rsidR="00D75382" w:rsidRDefault="00D75382" w:rsidP="008B5699">
            <w:pPr>
              <w:pBdr>
                <w:top w:val="nil"/>
                <w:left w:val="nil"/>
                <w:bottom w:val="nil"/>
                <w:right w:val="nil"/>
                <w:between w:val="nil"/>
              </w:pBdr>
              <w:ind w:left="709" w:hanging="709"/>
              <w:rPr>
                <w:b/>
              </w:rPr>
            </w:pPr>
            <w:r w:rsidRPr="004D1F5D">
              <w:t>team’s access to the platform in agreement with</w:t>
            </w:r>
          </w:p>
          <w:p w14:paraId="5748B144" w14:textId="77777777" w:rsidR="00D75382" w:rsidRPr="004D1F5D" w:rsidRDefault="00D75382" w:rsidP="008B5699">
            <w:pPr>
              <w:pBdr>
                <w:top w:val="nil"/>
                <w:left w:val="nil"/>
                <w:bottom w:val="nil"/>
                <w:right w:val="nil"/>
                <w:between w:val="nil"/>
              </w:pBdr>
              <w:ind w:left="709" w:hanging="709"/>
              <w:rPr>
                <w:b/>
                <w:highlight w:val="yellow"/>
              </w:rPr>
            </w:pPr>
            <w:r w:rsidRPr="004D1F5D">
              <w:t>GC3</w:t>
            </w:r>
          </w:p>
        </w:tc>
        <w:tc>
          <w:tcPr>
            <w:tcW w:w="2503" w:type="dxa"/>
            <w:vAlign w:val="center"/>
          </w:tcPr>
          <w:p w14:paraId="1AC553CC" w14:textId="77777777" w:rsidR="00D75382" w:rsidRPr="00C219A5" w:rsidRDefault="00D75382" w:rsidP="008B5699">
            <w:pPr>
              <w:pBdr>
                <w:top w:val="nil"/>
                <w:left w:val="nil"/>
                <w:bottom w:val="nil"/>
                <w:right w:val="nil"/>
                <w:between w:val="nil"/>
              </w:pBdr>
              <w:rPr>
                <w:b/>
                <w:color w:val="000000"/>
                <w:highlight w:val="yellow"/>
              </w:rPr>
            </w:pPr>
            <w:r w:rsidRPr="00C219A5">
              <w:rPr>
                <w:bCs/>
              </w:rPr>
              <w:t>On day 1 of commencement of service</w:t>
            </w:r>
          </w:p>
        </w:tc>
      </w:tr>
      <w:tr w:rsidR="00D75382" w14:paraId="483238F3" w14:textId="77777777" w:rsidTr="008B5699">
        <w:tc>
          <w:tcPr>
            <w:tcW w:w="1555" w:type="dxa"/>
            <w:vAlign w:val="center"/>
          </w:tcPr>
          <w:p w14:paraId="0A5C397B" w14:textId="77777777" w:rsidR="00D75382" w:rsidRPr="004D1F5D" w:rsidRDefault="00D75382" w:rsidP="008B5699">
            <w:pPr>
              <w:pBdr>
                <w:top w:val="nil"/>
                <w:left w:val="nil"/>
                <w:bottom w:val="nil"/>
                <w:right w:val="nil"/>
                <w:between w:val="nil"/>
              </w:pBdr>
              <w:ind w:left="709" w:hanging="709"/>
              <w:rPr>
                <w:b/>
                <w:bCs/>
              </w:rPr>
            </w:pPr>
            <w:r w:rsidRPr="004D1F5D">
              <w:rPr>
                <w:bCs/>
              </w:rPr>
              <w:t>3</w:t>
            </w:r>
          </w:p>
        </w:tc>
        <w:tc>
          <w:tcPr>
            <w:tcW w:w="4961" w:type="dxa"/>
            <w:vAlign w:val="center"/>
          </w:tcPr>
          <w:p w14:paraId="0F15DF2E" w14:textId="77777777" w:rsidR="00D75382" w:rsidRDefault="00D75382" w:rsidP="008B5699">
            <w:pPr>
              <w:pBdr>
                <w:top w:val="nil"/>
                <w:left w:val="nil"/>
                <w:bottom w:val="nil"/>
                <w:right w:val="nil"/>
                <w:between w:val="nil"/>
              </w:pBdr>
              <w:ind w:left="709" w:hanging="709"/>
              <w:rPr>
                <w:b/>
              </w:rPr>
            </w:pPr>
            <w:r w:rsidRPr="004D1F5D">
              <w:t>The Triage Supplier will provide metrics</w:t>
            </w:r>
            <w:r>
              <w:t xml:space="preserve"> </w:t>
            </w:r>
            <w:r w:rsidRPr="004D1F5D">
              <w:t>and</w:t>
            </w:r>
          </w:p>
          <w:p w14:paraId="551FA3BA" w14:textId="77777777" w:rsidR="00D75382" w:rsidRDefault="00D75382" w:rsidP="008B5699">
            <w:pPr>
              <w:pBdr>
                <w:top w:val="nil"/>
                <w:left w:val="nil"/>
                <w:bottom w:val="nil"/>
                <w:right w:val="nil"/>
                <w:between w:val="nil"/>
              </w:pBdr>
              <w:ind w:left="709" w:hanging="709"/>
              <w:rPr>
                <w:b/>
              </w:rPr>
            </w:pPr>
            <w:r w:rsidRPr="004D1F5D">
              <w:t>report performance indicators for their delivery</w:t>
            </w:r>
          </w:p>
          <w:p w14:paraId="39D9035E" w14:textId="77777777" w:rsidR="00D75382" w:rsidRDefault="00D75382" w:rsidP="008B5699">
            <w:pPr>
              <w:pBdr>
                <w:top w:val="nil"/>
                <w:left w:val="nil"/>
                <w:bottom w:val="nil"/>
                <w:right w:val="nil"/>
                <w:between w:val="nil"/>
              </w:pBdr>
              <w:ind w:left="709" w:hanging="709"/>
              <w:rPr>
                <w:b/>
              </w:rPr>
            </w:pPr>
            <w:r w:rsidRPr="004D1F5D">
              <w:t xml:space="preserve">and overall health of HMG </w:t>
            </w:r>
            <w:proofErr w:type="spellStart"/>
            <w:r w:rsidRPr="004D1F5D">
              <w:t>Programmes</w:t>
            </w:r>
            <w:proofErr w:type="spellEnd"/>
            <w:r w:rsidRPr="004D1F5D">
              <w:t xml:space="preserve"> on a</w:t>
            </w:r>
          </w:p>
          <w:p w14:paraId="5562FD19" w14:textId="77777777" w:rsidR="00D75382" w:rsidRPr="004D1F5D" w:rsidRDefault="00D75382" w:rsidP="008B5699">
            <w:pPr>
              <w:pBdr>
                <w:top w:val="nil"/>
                <w:left w:val="nil"/>
                <w:bottom w:val="nil"/>
                <w:right w:val="nil"/>
                <w:between w:val="nil"/>
              </w:pBdr>
              <w:ind w:left="709" w:hanging="709"/>
              <w:rPr>
                <w:b/>
              </w:rPr>
            </w:pPr>
            <w:r w:rsidRPr="004D1F5D">
              <w:t>monthly basis</w:t>
            </w:r>
          </w:p>
        </w:tc>
        <w:tc>
          <w:tcPr>
            <w:tcW w:w="2503" w:type="dxa"/>
            <w:vAlign w:val="center"/>
          </w:tcPr>
          <w:p w14:paraId="51947AA7" w14:textId="77777777" w:rsidR="00D75382" w:rsidRPr="00C219A5" w:rsidRDefault="00D75382" w:rsidP="008B5699">
            <w:pPr>
              <w:pBdr>
                <w:top w:val="nil"/>
                <w:left w:val="nil"/>
                <w:bottom w:val="nil"/>
                <w:right w:val="nil"/>
                <w:between w:val="nil"/>
              </w:pBdr>
              <w:rPr>
                <w:b/>
                <w:color w:val="000000"/>
                <w:highlight w:val="yellow"/>
              </w:rPr>
            </w:pPr>
            <w:r w:rsidRPr="00C219A5">
              <w:rPr>
                <w:bCs/>
              </w:rPr>
              <w:t>Within month 1 of Contract Award</w:t>
            </w:r>
          </w:p>
        </w:tc>
      </w:tr>
      <w:tr w:rsidR="00D75382" w14:paraId="3046243A" w14:textId="77777777" w:rsidTr="008B5699">
        <w:tc>
          <w:tcPr>
            <w:tcW w:w="1555" w:type="dxa"/>
            <w:vAlign w:val="center"/>
          </w:tcPr>
          <w:p w14:paraId="49BFABC7" w14:textId="77777777" w:rsidR="00D75382" w:rsidRPr="004D1F5D" w:rsidRDefault="00D75382" w:rsidP="008B5699">
            <w:pPr>
              <w:pBdr>
                <w:top w:val="nil"/>
                <w:left w:val="nil"/>
                <w:bottom w:val="nil"/>
                <w:right w:val="nil"/>
                <w:between w:val="nil"/>
              </w:pBdr>
              <w:ind w:left="709" w:hanging="709"/>
              <w:rPr>
                <w:b/>
                <w:bCs/>
              </w:rPr>
            </w:pPr>
            <w:r w:rsidRPr="004D1F5D">
              <w:rPr>
                <w:bCs/>
              </w:rPr>
              <w:t>4</w:t>
            </w:r>
          </w:p>
        </w:tc>
        <w:tc>
          <w:tcPr>
            <w:tcW w:w="4961" w:type="dxa"/>
            <w:vAlign w:val="center"/>
          </w:tcPr>
          <w:p w14:paraId="592DC18A" w14:textId="77777777" w:rsidR="00D75382" w:rsidRDefault="00D75382" w:rsidP="008B5699">
            <w:pPr>
              <w:pBdr>
                <w:top w:val="nil"/>
                <w:left w:val="nil"/>
                <w:bottom w:val="nil"/>
                <w:right w:val="nil"/>
                <w:between w:val="nil"/>
              </w:pBdr>
              <w:ind w:left="709" w:hanging="709"/>
              <w:rPr>
                <w:b/>
                <w:bCs/>
              </w:rPr>
            </w:pPr>
            <w:r w:rsidRPr="004D1F5D">
              <w:rPr>
                <w:bCs/>
              </w:rPr>
              <w:t xml:space="preserve">The Triage Supplier will work to create and </w:t>
            </w:r>
          </w:p>
          <w:p w14:paraId="4B66B994" w14:textId="77777777" w:rsidR="00D75382" w:rsidRDefault="00D75382" w:rsidP="008B5699">
            <w:pPr>
              <w:pBdr>
                <w:top w:val="nil"/>
                <w:left w:val="nil"/>
                <w:bottom w:val="nil"/>
                <w:right w:val="nil"/>
                <w:between w:val="nil"/>
              </w:pBdr>
              <w:ind w:left="709" w:hanging="709"/>
              <w:rPr>
                <w:b/>
                <w:bCs/>
              </w:rPr>
            </w:pPr>
            <w:r w:rsidRPr="004D1F5D">
              <w:rPr>
                <w:bCs/>
              </w:rPr>
              <w:t xml:space="preserve">maintain a good working relationship with the </w:t>
            </w:r>
          </w:p>
          <w:p w14:paraId="3EEA3291" w14:textId="77777777" w:rsidR="00D75382" w:rsidRPr="004D1F5D" w:rsidRDefault="00D75382" w:rsidP="008B5699">
            <w:pPr>
              <w:pBdr>
                <w:top w:val="nil"/>
                <w:left w:val="nil"/>
                <w:bottom w:val="nil"/>
                <w:right w:val="nil"/>
                <w:between w:val="nil"/>
              </w:pBdr>
              <w:ind w:left="709" w:hanging="709"/>
              <w:rPr>
                <w:b/>
                <w:bCs/>
                <w:highlight w:val="yellow"/>
              </w:rPr>
            </w:pPr>
            <w:r w:rsidRPr="004D1F5D">
              <w:rPr>
                <w:bCs/>
              </w:rPr>
              <w:t>Platform Supplier</w:t>
            </w:r>
          </w:p>
        </w:tc>
        <w:tc>
          <w:tcPr>
            <w:tcW w:w="2503" w:type="dxa"/>
            <w:vAlign w:val="center"/>
          </w:tcPr>
          <w:p w14:paraId="39A2A950" w14:textId="77777777" w:rsidR="00D75382" w:rsidRPr="00C219A5" w:rsidRDefault="00D75382" w:rsidP="008B5699">
            <w:pPr>
              <w:pBdr>
                <w:top w:val="nil"/>
                <w:left w:val="nil"/>
                <w:bottom w:val="nil"/>
                <w:right w:val="nil"/>
                <w:between w:val="nil"/>
              </w:pBdr>
              <w:rPr>
                <w:b/>
                <w:color w:val="000000"/>
              </w:rPr>
            </w:pPr>
            <w:r w:rsidRPr="00C219A5">
              <w:rPr>
                <w:bCs/>
              </w:rPr>
              <w:t>Within month 1 of Contract Award</w:t>
            </w:r>
          </w:p>
        </w:tc>
      </w:tr>
      <w:tr w:rsidR="00D75382" w14:paraId="2226776D" w14:textId="77777777" w:rsidTr="008B5699">
        <w:tc>
          <w:tcPr>
            <w:tcW w:w="1555" w:type="dxa"/>
            <w:vAlign w:val="center"/>
          </w:tcPr>
          <w:p w14:paraId="0DE88776" w14:textId="77777777" w:rsidR="00D75382" w:rsidRPr="004D1F5D" w:rsidRDefault="00D75382" w:rsidP="008B5699">
            <w:pPr>
              <w:pBdr>
                <w:top w:val="nil"/>
                <w:left w:val="nil"/>
                <w:bottom w:val="nil"/>
                <w:right w:val="nil"/>
                <w:between w:val="nil"/>
              </w:pBdr>
              <w:ind w:left="709" w:hanging="709"/>
              <w:rPr>
                <w:b/>
                <w:bCs/>
              </w:rPr>
            </w:pPr>
            <w:r w:rsidRPr="004D1F5D">
              <w:rPr>
                <w:bCs/>
              </w:rPr>
              <w:t>5</w:t>
            </w:r>
          </w:p>
        </w:tc>
        <w:tc>
          <w:tcPr>
            <w:tcW w:w="4961" w:type="dxa"/>
            <w:vAlign w:val="center"/>
          </w:tcPr>
          <w:p w14:paraId="2CA16ACC" w14:textId="77777777" w:rsidR="00D75382" w:rsidRDefault="00D75382" w:rsidP="008B5699">
            <w:pPr>
              <w:pBdr>
                <w:top w:val="nil"/>
                <w:left w:val="nil"/>
                <w:bottom w:val="nil"/>
                <w:right w:val="nil"/>
                <w:between w:val="nil"/>
              </w:pBdr>
              <w:ind w:left="709" w:hanging="709"/>
              <w:rPr>
                <w:b/>
                <w:bCs/>
              </w:rPr>
            </w:pPr>
            <w:r w:rsidRPr="004D1F5D">
              <w:rPr>
                <w:bCs/>
              </w:rPr>
              <w:t xml:space="preserve">The Triage Supplier will have strong experience </w:t>
            </w:r>
          </w:p>
          <w:p w14:paraId="478ADF0A" w14:textId="77777777" w:rsidR="00D75382" w:rsidRPr="004D1F5D" w:rsidRDefault="00D75382" w:rsidP="008B5699">
            <w:pPr>
              <w:pBdr>
                <w:top w:val="nil"/>
                <w:left w:val="nil"/>
                <w:bottom w:val="nil"/>
                <w:right w:val="nil"/>
                <w:between w:val="nil"/>
              </w:pBdr>
              <w:ind w:left="709" w:hanging="709"/>
              <w:rPr>
                <w:b/>
                <w:bCs/>
              </w:rPr>
            </w:pPr>
            <w:r w:rsidRPr="004D1F5D">
              <w:rPr>
                <w:bCs/>
              </w:rPr>
              <w:t>in vulnerability disclosure management</w:t>
            </w:r>
          </w:p>
        </w:tc>
        <w:tc>
          <w:tcPr>
            <w:tcW w:w="2503" w:type="dxa"/>
            <w:vAlign w:val="center"/>
          </w:tcPr>
          <w:p w14:paraId="359B4EB0" w14:textId="77777777" w:rsidR="00D75382" w:rsidRPr="00C219A5" w:rsidRDefault="00D75382" w:rsidP="008B5699">
            <w:pPr>
              <w:pBdr>
                <w:top w:val="nil"/>
                <w:left w:val="nil"/>
                <w:bottom w:val="nil"/>
                <w:right w:val="nil"/>
                <w:between w:val="nil"/>
              </w:pBdr>
              <w:rPr>
                <w:b/>
                <w:bCs/>
              </w:rPr>
            </w:pPr>
            <w:r w:rsidRPr="00C219A5">
              <w:rPr>
                <w:bCs/>
              </w:rPr>
              <w:t>On day 1 of commencement of service</w:t>
            </w:r>
          </w:p>
        </w:tc>
      </w:tr>
      <w:tr w:rsidR="00D75382" w14:paraId="5B73D07B" w14:textId="77777777" w:rsidTr="008B5699">
        <w:tc>
          <w:tcPr>
            <w:tcW w:w="1555" w:type="dxa"/>
            <w:vAlign w:val="center"/>
          </w:tcPr>
          <w:p w14:paraId="38C060FF" w14:textId="77777777" w:rsidR="00D75382" w:rsidRPr="00C219A5" w:rsidRDefault="00D75382" w:rsidP="008B5699">
            <w:pPr>
              <w:pBdr>
                <w:top w:val="nil"/>
                <w:left w:val="nil"/>
                <w:bottom w:val="nil"/>
                <w:right w:val="nil"/>
                <w:between w:val="nil"/>
              </w:pBdr>
              <w:ind w:left="709" w:hanging="709"/>
              <w:rPr>
                <w:b/>
                <w:bCs/>
              </w:rPr>
            </w:pPr>
            <w:r w:rsidRPr="00C219A5">
              <w:rPr>
                <w:bCs/>
              </w:rPr>
              <w:t>6</w:t>
            </w:r>
          </w:p>
        </w:tc>
        <w:tc>
          <w:tcPr>
            <w:tcW w:w="4961" w:type="dxa"/>
            <w:vAlign w:val="center"/>
          </w:tcPr>
          <w:p w14:paraId="4755ECA7" w14:textId="77777777" w:rsidR="00D75382" w:rsidRDefault="00D75382" w:rsidP="008B5699">
            <w:pPr>
              <w:pBdr>
                <w:top w:val="nil"/>
                <w:left w:val="nil"/>
                <w:bottom w:val="nil"/>
                <w:right w:val="nil"/>
                <w:between w:val="nil"/>
              </w:pBdr>
              <w:ind w:left="709" w:hanging="709"/>
              <w:rPr>
                <w:b/>
                <w:bCs/>
              </w:rPr>
            </w:pPr>
            <w:r w:rsidRPr="00C219A5">
              <w:rPr>
                <w:bCs/>
              </w:rPr>
              <w:t xml:space="preserve">Continue to manage the x-gov VRS (Metric: </w:t>
            </w:r>
          </w:p>
          <w:p w14:paraId="4664B096" w14:textId="77777777" w:rsidR="00D75382" w:rsidRDefault="00D75382" w:rsidP="008B5699">
            <w:pPr>
              <w:pBdr>
                <w:top w:val="nil"/>
                <w:left w:val="nil"/>
                <w:bottom w:val="nil"/>
                <w:right w:val="nil"/>
                <w:between w:val="nil"/>
              </w:pBdr>
              <w:ind w:left="709" w:hanging="709"/>
              <w:rPr>
                <w:b/>
                <w:bCs/>
              </w:rPr>
            </w:pPr>
            <w:r w:rsidRPr="00C219A5">
              <w:rPr>
                <w:bCs/>
              </w:rPr>
              <w:t xml:space="preserve">Number of vulnerability reports received per </w:t>
            </w:r>
          </w:p>
          <w:p w14:paraId="1FD7563E" w14:textId="77777777" w:rsidR="00D75382" w:rsidRPr="00C219A5" w:rsidRDefault="00D75382" w:rsidP="008B5699">
            <w:pPr>
              <w:pBdr>
                <w:top w:val="nil"/>
                <w:left w:val="nil"/>
                <w:bottom w:val="nil"/>
                <w:right w:val="nil"/>
                <w:between w:val="nil"/>
              </w:pBdr>
              <w:ind w:left="709" w:hanging="709"/>
              <w:rPr>
                <w:b/>
                <w:bCs/>
              </w:rPr>
            </w:pPr>
            <w:r w:rsidRPr="00C219A5">
              <w:rPr>
                <w:bCs/>
              </w:rPr>
              <w:t>month</w:t>
            </w:r>
          </w:p>
        </w:tc>
        <w:tc>
          <w:tcPr>
            <w:tcW w:w="2503" w:type="dxa"/>
            <w:vAlign w:val="center"/>
          </w:tcPr>
          <w:p w14:paraId="231443A5" w14:textId="77777777" w:rsidR="00D75382" w:rsidRPr="00C219A5" w:rsidRDefault="00D75382" w:rsidP="008B5699">
            <w:pPr>
              <w:pBdr>
                <w:top w:val="nil"/>
                <w:left w:val="nil"/>
                <w:bottom w:val="nil"/>
                <w:right w:val="nil"/>
                <w:between w:val="nil"/>
              </w:pBdr>
              <w:rPr>
                <w:b/>
                <w:bCs/>
              </w:rPr>
            </w:pPr>
            <w:r w:rsidRPr="00C219A5">
              <w:rPr>
                <w:bCs/>
              </w:rPr>
              <w:t>Within month 1 of Contract Award</w:t>
            </w:r>
          </w:p>
        </w:tc>
      </w:tr>
      <w:tr w:rsidR="00D75382" w14:paraId="615BFF90" w14:textId="77777777" w:rsidTr="008B5699">
        <w:tc>
          <w:tcPr>
            <w:tcW w:w="1555" w:type="dxa"/>
            <w:vAlign w:val="center"/>
          </w:tcPr>
          <w:p w14:paraId="0511D9BA" w14:textId="77777777" w:rsidR="00D75382" w:rsidRPr="00C219A5" w:rsidRDefault="00D75382" w:rsidP="008B5699">
            <w:pPr>
              <w:pBdr>
                <w:top w:val="nil"/>
                <w:left w:val="nil"/>
                <w:bottom w:val="nil"/>
                <w:right w:val="nil"/>
                <w:between w:val="nil"/>
              </w:pBdr>
              <w:ind w:left="709" w:hanging="709"/>
              <w:rPr>
                <w:b/>
                <w:bCs/>
              </w:rPr>
            </w:pPr>
            <w:r w:rsidRPr="00C219A5">
              <w:rPr>
                <w:bCs/>
              </w:rPr>
              <w:t>7</w:t>
            </w:r>
          </w:p>
        </w:tc>
        <w:tc>
          <w:tcPr>
            <w:tcW w:w="4961" w:type="dxa"/>
            <w:vAlign w:val="center"/>
          </w:tcPr>
          <w:p w14:paraId="18DA5C49" w14:textId="77777777" w:rsidR="00D75382" w:rsidRDefault="00D75382" w:rsidP="008B5699">
            <w:pPr>
              <w:pBdr>
                <w:top w:val="nil"/>
                <w:left w:val="nil"/>
                <w:bottom w:val="nil"/>
                <w:right w:val="nil"/>
                <w:between w:val="nil"/>
              </w:pBdr>
              <w:ind w:left="709" w:hanging="709"/>
              <w:rPr>
                <w:b/>
                <w:bCs/>
              </w:rPr>
            </w:pPr>
            <w:r w:rsidRPr="00C219A5">
              <w:rPr>
                <w:bCs/>
              </w:rPr>
              <w:t xml:space="preserve">Manage down cross-government vulnerabilities. </w:t>
            </w:r>
          </w:p>
          <w:p w14:paraId="0C131A57" w14:textId="77777777" w:rsidR="00D75382" w:rsidRDefault="00D75382" w:rsidP="008B5699">
            <w:pPr>
              <w:pBdr>
                <w:top w:val="nil"/>
                <w:left w:val="nil"/>
                <w:bottom w:val="nil"/>
                <w:right w:val="nil"/>
                <w:between w:val="nil"/>
              </w:pBdr>
              <w:ind w:left="709" w:hanging="709"/>
              <w:rPr>
                <w:b/>
                <w:bCs/>
              </w:rPr>
            </w:pPr>
            <w:r w:rsidRPr="00C219A5">
              <w:rPr>
                <w:bCs/>
              </w:rPr>
              <w:t xml:space="preserve">(Metric: Maintain at least 90% remediation rate of </w:t>
            </w:r>
          </w:p>
          <w:p w14:paraId="53E62976" w14:textId="77777777" w:rsidR="00D75382" w:rsidRPr="00C219A5" w:rsidRDefault="00D75382" w:rsidP="008B5699">
            <w:pPr>
              <w:pBdr>
                <w:top w:val="nil"/>
                <w:left w:val="nil"/>
                <w:bottom w:val="nil"/>
                <w:right w:val="nil"/>
                <w:between w:val="nil"/>
              </w:pBdr>
              <w:ind w:left="709" w:hanging="709"/>
              <w:rPr>
                <w:b/>
                <w:bCs/>
              </w:rPr>
            </w:pPr>
            <w:r w:rsidRPr="00C219A5">
              <w:rPr>
                <w:bCs/>
              </w:rPr>
              <w:t>valid vulnerabilities</w:t>
            </w:r>
          </w:p>
        </w:tc>
        <w:tc>
          <w:tcPr>
            <w:tcW w:w="2503" w:type="dxa"/>
            <w:vAlign w:val="center"/>
          </w:tcPr>
          <w:p w14:paraId="3FD17400" w14:textId="77777777" w:rsidR="00D75382" w:rsidRPr="00C219A5" w:rsidRDefault="00D75382" w:rsidP="008B5699">
            <w:pPr>
              <w:pBdr>
                <w:top w:val="nil"/>
                <w:left w:val="nil"/>
                <w:bottom w:val="nil"/>
                <w:right w:val="nil"/>
                <w:between w:val="nil"/>
              </w:pBdr>
              <w:rPr>
                <w:b/>
                <w:bCs/>
              </w:rPr>
            </w:pPr>
            <w:r w:rsidRPr="00C219A5">
              <w:rPr>
                <w:bCs/>
              </w:rPr>
              <w:t>Within month 1 of Contract Award</w:t>
            </w:r>
          </w:p>
        </w:tc>
      </w:tr>
      <w:tr w:rsidR="00D75382" w14:paraId="52B9E246" w14:textId="77777777" w:rsidTr="008B5699">
        <w:tc>
          <w:tcPr>
            <w:tcW w:w="1555" w:type="dxa"/>
            <w:vAlign w:val="center"/>
          </w:tcPr>
          <w:p w14:paraId="21680FCE" w14:textId="77777777" w:rsidR="00D75382" w:rsidRPr="00C219A5" w:rsidRDefault="00D75382" w:rsidP="008B5699">
            <w:pPr>
              <w:pBdr>
                <w:top w:val="nil"/>
                <w:left w:val="nil"/>
                <w:bottom w:val="nil"/>
                <w:right w:val="nil"/>
                <w:between w:val="nil"/>
              </w:pBdr>
              <w:ind w:left="709" w:hanging="709"/>
              <w:rPr>
                <w:b/>
                <w:bCs/>
              </w:rPr>
            </w:pPr>
            <w:r w:rsidRPr="00C219A5">
              <w:rPr>
                <w:bCs/>
              </w:rPr>
              <w:t>8</w:t>
            </w:r>
          </w:p>
        </w:tc>
        <w:tc>
          <w:tcPr>
            <w:tcW w:w="4961" w:type="dxa"/>
            <w:vAlign w:val="center"/>
          </w:tcPr>
          <w:p w14:paraId="3033192B" w14:textId="77777777" w:rsidR="00D75382" w:rsidRDefault="00D75382" w:rsidP="008B5699">
            <w:pPr>
              <w:pBdr>
                <w:top w:val="nil"/>
                <w:left w:val="nil"/>
                <w:bottom w:val="nil"/>
                <w:right w:val="nil"/>
                <w:between w:val="nil"/>
              </w:pBdr>
              <w:ind w:left="709" w:hanging="709"/>
              <w:rPr>
                <w:b/>
                <w:bCs/>
              </w:rPr>
            </w:pPr>
            <w:r w:rsidRPr="00C219A5">
              <w:rPr>
                <w:bCs/>
              </w:rPr>
              <w:t xml:space="preserve">Maintain a high level of finder and department </w:t>
            </w:r>
          </w:p>
          <w:p w14:paraId="33595D77" w14:textId="77777777" w:rsidR="00D75382" w:rsidRDefault="00D75382" w:rsidP="008B5699">
            <w:pPr>
              <w:pBdr>
                <w:top w:val="nil"/>
                <w:left w:val="nil"/>
                <w:bottom w:val="nil"/>
                <w:right w:val="nil"/>
                <w:between w:val="nil"/>
              </w:pBdr>
              <w:ind w:left="709" w:hanging="709"/>
              <w:rPr>
                <w:b/>
                <w:bCs/>
              </w:rPr>
            </w:pPr>
            <w:r w:rsidRPr="00C219A5">
              <w:rPr>
                <w:bCs/>
              </w:rPr>
              <w:t xml:space="preserve">interaction and satisfaction. (Metric: Maintain at </w:t>
            </w:r>
          </w:p>
          <w:p w14:paraId="066365B7" w14:textId="77777777" w:rsidR="00D75382" w:rsidRDefault="00D75382" w:rsidP="008B5699">
            <w:pPr>
              <w:pBdr>
                <w:top w:val="nil"/>
                <w:left w:val="nil"/>
                <w:bottom w:val="nil"/>
                <w:right w:val="nil"/>
                <w:between w:val="nil"/>
              </w:pBdr>
              <w:ind w:left="709" w:hanging="709"/>
              <w:rPr>
                <w:b/>
                <w:bCs/>
              </w:rPr>
            </w:pPr>
            <w:r w:rsidRPr="00C219A5">
              <w:rPr>
                <w:bCs/>
              </w:rPr>
              <w:t xml:space="preserve">least 70% of reports resolved within 30 days of </w:t>
            </w:r>
          </w:p>
          <w:p w14:paraId="2E41DBE6" w14:textId="77777777" w:rsidR="00D75382" w:rsidRPr="00C219A5" w:rsidRDefault="00D75382" w:rsidP="008B5699">
            <w:pPr>
              <w:pBdr>
                <w:top w:val="nil"/>
                <w:left w:val="nil"/>
                <w:bottom w:val="nil"/>
                <w:right w:val="nil"/>
                <w:between w:val="nil"/>
              </w:pBdr>
              <w:ind w:left="709" w:hanging="709"/>
              <w:rPr>
                <w:b/>
                <w:bCs/>
              </w:rPr>
            </w:pPr>
            <w:r w:rsidRPr="00C219A5">
              <w:rPr>
                <w:bCs/>
              </w:rPr>
              <w:t>reporting</w:t>
            </w:r>
          </w:p>
        </w:tc>
        <w:tc>
          <w:tcPr>
            <w:tcW w:w="2503" w:type="dxa"/>
            <w:vAlign w:val="center"/>
          </w:tcPr>
          <w:p w14:paraId="2F9DC5CC" w14:textId="77777777" w:rsidR="00D75382" w:rsidRPr="00C219A5" w:rsidRDefault="00D75382" w:rsidP="008B5699">
            <w:pPr>
              <w:pBdr>
                <w:top w:val="nil"/>
                <w:left w:val="nil"/>
                <w:bottom w:val="nil"/>
                <w:right w:val="nil"/>
                <w:between w:val="nil"/>
              </w:pBdr>
              <w:rPr>
                <w:b/>
                <w:bCs/>
              </w:rPr>
            </w:pPr>
            <w:r w:rsidRPr="00C219A5">
              <w:rPr>
                <w:bCs/>
              </w:rPr>
              <w:t>Within month 1 of Contract Award</w:t>
            </w:r>
          </w:p>
        </w:tc>
      </w:tr>
    </w:tbl>
    <w:p w14:paraId="402A75FD" w14:textId="77777777" w:rsidR="00D75382" w:rsidRDefault="00D75382" w:rsidP="00D75382">
      <w:bookmarkStart w:id="13" w:name="_heading=h.lnxbz9" w:colFirst="0" w:colLast="0"/>
      <w:bookmarkEnd w:id="13"/>
    </w:p>
    <w:p w14:paraId="37FD4D97"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14" w:name="_Toc213149244"/>
      <w:r w:rsidRPr="007F5605">
        <w:rPr>
          <w:b/>
          <w:bCs/>
          <w:sz w:val="28"/>
          <w:szCs w:val="28"/>
        </w:rPr>
        <w:t>SUSTAINABILITY AND CARBON NET ZERO</w:t>
      </w:r>
      <w:bookmarkEnd w:id="14"/>
    </w:p>
    <w:p w14:paraId="0B967C2A" w14:textId="77777777" w:rsidR="00D75382" w:rsidRDefault="00D75382" w:rsidP="00D75382"/>
    <w:p w14:paraId="272616B9" w14:textId="77777777" w:rsidR="00D75382" w:rsidRPr="00C7209B" w:rsidRDefault="00D75382" w:rsidP="00D75382">
      <w:pPr>
        <w:pStyle w:val="ScheduleL2"/>
        <w:jc w:val="left"/>
      </w:pPr>
      <w:r w:rsidRPr="00211453">
        <w:t xml:space="preserve">The Supplier shall, throughout the performance of this contract, endeavour to minimise waste, reduce carbon emissions and limit the use of non-renewable resources and prevent pollution.  The Supplier should seek to use sustainable materials, promote </w:t>
      </w:r>
      <w:r w:rsidRPr="00211453">
        <w:lastRenderedPageBreak/>
        <w:t>recycling and re-use where practicable and adopt working practices that minimise their environmental footprint.</w:t>
      </w:r>
    </w:p>
    <w:p w14:paraId="7B428B46" w14:textId="77777777" w:rsidR="00D75382" w:rsidRPr="00C7209B" w:rsidRDefault="00D75382" w:rsidP="00D75382">
      <w:pPr>
        <w:pStyle w:val="ScheduleL2"/>
        <w:jc w:val="left"/>
      </w:pPr>
      <w:r w:rsidRPr="00211453">
        <w:t>The Supplier is encouraged to maintain and apply an environmental management policy or equivalent procedures consistent with recognised standards (such as ISO 14001 or equivalent), and shall comply with all applicable environmental legislation and regulations.</w:t>
      </w:r>
    </w:p>
    <w:p w14:paraId="42E5F4FD" w14:textId="77777777" w:rsidR="00D75382" w:rsidRDefault="00D75382" w:rsidP="00D75382">
      <w:pPr>
        <w:pStyle w:val="ScheduleL2"/>
        <w:jc w:val="left"/>
      </w:pPr>
      <w:r w:rsidRPr="00211453">
        <w:t>Where possible, the Supplier shall propose innovative or alternative approaches that Support the Buyer’s sustainability objectives and contribute to broader environmental and social value outcomes.</w:t>
      </w:r>
    </w:p>
    <w:p w14:paraId="0AF471CB" w14:textId="77777777" w:rsidR="00D75382" w:rsidRPr="007F5605" w:rsidRDefault="00D75382" w:rsidP="00D75382">
      <w:pPr>
        <w:rPr>
          <w:b/>
          <w:bCs/>
        </w:rPr>
      </w:pPr>
    </w:p>
    <w:p w14:paraId="5EBE3117"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15" w:name="_Toc213149245"/>
      <w:r w:rsidRPr="007F5605">
        <w:rPr>
          <w:b/>
          <w:bCs/>
          <w:sz w:val="28"/>
          <w:szCs w:val="28"/>
        </w:rPr>
        <w:t>SOCIAL VALUE</w:t>
      </w:r>
      <w:bookmarkEnd w:id="15"/>
    </w:p>
    <w:p w14:paraId="416E2FF9" w14:textId="77777777" w:rsidR="00D75382" w:rsidRDefault="00D75382" w:rsidP="00D75382">
      <w:pPr>
        <w:pBdr>
          <w:top w:val="nil"/>
          <w:left w:val="nil"/>
          <w:bottom w:val="nil"/>
          <w:right w:val="nil"/>
          <w:between w:val="nil"/>
        </w:pBdr>
        <w:ind w:left="709" w:hanging="709"/>
        <w:rPr>
          <w:color w:val="000000"/>
          <w:sz w:val="20"/>
          <w:szCs w:val="20"/>
        </w:rPr>
      </w:pPr>
    </w:p>
    <w:p w14:paraId="3B333D85" w14:textId="77777777" w:rsidR="00D75382" w:rsidRPr="00706ADE" w:rsidRDefault="00D75382" w:rsidP="00D75382">
      <w:pPr>
        <w:widowControl/>
        <w:numPr>
          <w:ilvl w:val="1"/>
          <w:numId w:val="1"/>
        </w:numPr>
        <w:pBdr>
          <w:top w:val="nil"/>
          <w:left w:val="nil"/>
          <w:bottom w:val="nil"/>
          <w:right w:val="nil"/>
          <w:between w:val="nil"/>
        </w:pBdr>
        <w:autoSpaceDE/>
        <w:autoSpaceDN/>
        <w:ind w:left="709" w:hanging="709"/>
        <w:rPr>
          <w:color w:val="000000"/>
          <w:shd w:val="clear" w:color="auto" w:fill="FFFF99"/>
        </w:rPr>
      </w:pPr>
      <w:r w:rsidRPr="00706ADE">
        <w:rPr>
          <w:rFonts w:eastAsia="Times New Roman"/>
          <w:color w:val="000000"/>
          <w:lang w:eastAsia="en-GB"/>
        </w:rPr>
        <w:t>The social value themes to be evaluated will include:</w:t>
      </w:r>
    </w:p>
    <w:p w14:paraId="37CBFDE5" w14:textId="77777777" w:rsidR="00D75382" w:rsidRDefault="00D75382" w:rsidP="00D75382">
      <w:pPr>
        <w:pBdr>
          <w:top w:val="nil"/>
          <w:left w:val="nil"/>
          <w:bottom w:val="nil"/>
          <w:right w:val="nil"/>
          <w:between w:val="nil"/>
        </w:pBdr>
        <w:ind w:left="709" w:hanging="709"/>
        <w:rPr>
          <w:color w:val="000000"/>
          <w:sz w:val="20"/>
          <w:szCs w:val="20"/>
          <w:shd w:val="clear" w:color="auto" w:fill="FFFF99"/>
        </w:rPr>
      </w:pPr>
    </w:p>
    <w:p w14:paraId="27D80738" w14:textId="77777777" w:rsidR="00D75382" w:rsidRPr="00C219A5" w:rsidRDefault="00D75382" w:rsidP="00D75382">
      <w:pPr>
        <w:pStyle w:val="ScheduleL3"/>
        <w:rPr>
          <w:color w:val="000000"/>
        </w:rPr>
      </w:pPr>
      <w:r>
        <w:t>Create new businesses, new jobs and new skills</w:t>
      </w:r>
    </w:p>
    <w:p w14:paraId="2599BEB2" w14:textId="77777777" w:rsidR="00D75382" w:rsidRDefault="00D75382" w:rsidP="00D75382">
      <w:pPr>
        <w:pStyle w:val="ScheduleL4"/>
        <w:ind w:left="2874" w:hanging="1077"/>
        <w:jc w:val="left"/>
      </w:pPr>
      <w:r>
        <w:t>MAC2.2: Create employment and training opportunities particularly for those who face barriers to employment and/or who are located in deprived areas, and for people in industries with known skills shortages or in high growth sectors.</w:t>
      </w:r>
    </w:p>
    <w:p w14:paraId="163573DB" w14:textId="77777777" w:rsidR="00D75382" w:rsidRDefault="00D75382" w:rsidP="00D75382">
      <w:pPr>
        <w:pStyle w:val="ScheduleL4"/>
        <w:ind w:left="2874" w:hanging="1077"/>
        <w:jc w:val="left"/>
      </w:pPr>
      <w:r>
        <w:t>MAC2.3: Support educational attainment relevant to the contract, including training schemes that address skills gaps and result in recognised qualifications.</w:t>
      </w:r>
    </w:p>
    <w:p w14:paraId="1BAA4D16" w14:textId="77777777" w:rsidR="00D75382" w:rsidRDefault="00D75382" w:rsidP="00D75382"/>
    <w:p w14:paraId="6F5C0521" w14:textId="77777777" w:rsidR="00D75382" w:rsidRDefault="00D75382" w:rsidP="00D75382">
      <w:pPr>
        <w:widowControl/>
        <w:numPr>
          <w:ilvl w:val="1"/>
          <w:numId w:val="1"/>
        </w:numPr>
        <w:autoSpaceDE/>
        <w:autoSpaceDN/>
        <w:ind w:left="709" w:hanging="709"/>
      </w:pPr>
      <w:r>
        <w:t>Tackle workforce inequality</w:t>
      </w:r>
      <w:r>
        <w:rPr>
          <w:sz w:val="20"/>
          <w:szCs w:val="20"/>
        </w:rPr>
        <w:t>:</w:t>
      </w:r>
    </w:p>
    <w:p w14:paraId="383DAF69" w14:textId="77777777" w:rsidR="00D75382" w:rsidRDefault="00D75382" w:rsidP="00D75382">
      <w:pPr>
        <w:pBdr>
          <w:top w:val="nil"/>
          <w:left w:val="nil"/>
          <w:bottom w:val="nil"/>
          <w:right w:val="nil"/>
          <w:between w:val="nil"/>
        </w:pBdr>
        <w:ind w:left="709" w:hanging="709"/>
        <w:rPr>
          <w:color w:val="000000"/>
          <w:sz w:val="20"/>
          <w:szCs w:val="20"/>
        </w:rPr>
      </w:pPr>
    </w:p>
    <w:p w14:paraId="317F22B1" w14:textId="77777777" w:rsidR="00D75382" w:rsidRPr="00C219A5" w:rsidRDefault="00D75382" w:rsidP="00D75382">
      <w:pPr>
        <w:widowControl/>
        <w:numPr>
          <w:ilvl w:val="2"/>
          <w:numId w:val="1"/>
        </w:numPr>
        <w:autoSpaceDE/>
        <w:autoSpaceDN/>
        <w:ind w:left="1418" w:hanging="709"/>
      </w:pPr>
      <w:r w:rsidRPr="00C219A5">
        <w:t>MAC 6.1: Demonstrate action to identify and tackle inequality in employment, skills and pay in the contract workforce.</w:t>
      </w:r>
    </w:p>
    <w:p w14:paraId="7562A814" w14:textId="77777777" w:rsidR="00D75382" w:rsidRPr="00C219A5" w:rsidRDefault="00D75382" w:rsidP="00D75382">
      <w:pPr>
        <w:ind w:left="1418" w:hanging="709"/>
      </w:pPr>
    </w:p>
    <w:p w14:paraId="64D707EA" w14:textId="77777777" w:rsidR="00D75382" w:rsidRPr="00C219A5" w:rsidRDefault="00D75382" w:rsidP="00D75382">
      <w:pPr>
        <w:ind w:left="1418" w:hanging="709"/>
      </w:pPr>
    </w:p>
    <w:p w14:paraId="28579791" w14:textId="77777777" w:rsidR="00D75382" w:rsidRDefault="00D75382" w:rsidP="00D75382">
      <w:pPr>
        <w:widowControl/>
        <w:numPr>
          <w:ilvl w:val="2"/>
          <w:numId w:val="1"/>
        </w:numPr>
        <w:autoSpaceDE/>
        <w:autoSpaceDN/>
        <w:ind w:left="1418" w:hanging="709"/>
      </w:pPr>
      <w:r w:rsidRPr="00C219A5">
        <w:t>MAC 6.2: Support in-work progression to help people, including those from disadvantaged or minority groups, to move into higher paid work by developing new skills relevant to the contract.</w:t>
      </w:r>
    </w:p>
    <w:p w14:paraId="435E5D4F" w14:textId="77777777" w:rsidR="00D75382" w:rsidRDefault="00D75382" w:rsidP="00D75382"/>
    <w:p w14:paraId="162E6C0E"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16" w:name="_Toc213149246"/>
      <w:r w:rsidRPr="007F5605">
        <w:rPr>
          <w:b/>
          <w:bCs/>
          <w:sz w:val="28"/>
          <w:szCs w:val="28"/>
        </w:rPr>
        <w:t>STAFF AND CUSTOMER SERVICE</w:t>
      </w:r>
      <w:bookmarkEnd w:id="16"/>
    </w:p>
    <w:p w14:paraId="0DF40C16" w14:textId="77777777" w:rsidR="00D75382" w:rsidRDefault="00D75382" w:rsidP="00D75382"/>
    <w:p w14:paraId="668067E7" w14:textId="77777777" w:rsidR="00D75382" w:rsidRPr="00706ADE" w:rsidRDefault="00D75382" w:rsidP="00D75382">
      <w:pPr>
        <w:pStyle w:val="ScheduleL2"/>
        <w:jc w:val="left"/>
      </w:pPr>
      <w:r w:rsidRPr="00706ADE">
        <w:t>The Supplier shall provide a sufficient level of resource throughout the duration of the Contract in order to consistently deliver a quality service.</w:t>
      </w:r>
    </w:p>
    <w:p w14:paraId="671F06CC" w14:textId="77777777" w:rsidR="00D75382" w:rsidRPr="00706ADE" w:rsidRDefault="00D75382" w:rsidP="00D75382">
      <w:pPr>
        <w:pStyle w:val="ScheduleL2"/>
        <w:jc w:val="left"/>
      </w:pPr>
      <w:r w:rsidRPr="00706ADE">
        <w:t xml:space="preserve">The Supplier’s staff assigned to the Contract shall have the relevant qualifications and experience (as detailed in the Mandatory Requirements Section) to deliver the Contract to the required standard. </w:t>
      </w:r>
    </w:p>
    <w:p w14:paraId="2C549FF2" w14:textId="77777777" w:rsidR="00D75382" w:rsidRPr="00706ADE" w:rsidRDefault="00D75382" w:rsidP="00D75382">
      <w:pPr>
        <w:pStyle w:val="ScheduleL2"/>
        <w:jc w:val="left"/>
      </w:pPr>
      <w:r w:rsidRPr="00706ADE">
        <w:t xml:space="preserve">The Supplier shall ensure that staff understand the Buyer’s vision and objectives and will provide excellent customer service to the Buyer throughout the duration of the Contract.  </w:t>
      </w:r>
    </w:p>
    <w:p w14:paraId="4588C69A" w14:textId="77777777" w:rsidR="00D75382" w:rsidRPr="007F5605" w:rsidRDefault="00D75382" w:rsidP="00D75382">
      <w:pPr>
        <w:rPr>
          <w:b/>
          <w:bCs/>
        </w:rPr>
      </w:pPr>
    </w:p>
    <w:p w14:paraId="2B37EAEC"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17" w:name="_Toc213149247"/>
      <w:r w:rsidRPr="007F5605">
        <w:rPr>
          <w:b/>
          <w:bCs/>
          <w:sz w:val="28"/>
          <w:szCs w:val="28"/>
        </w:rPr>
        <w:t>CONTINUOUS IMPROVEMENT</w:t>
      </w:r>
      <w:bookmarkEnd w:id="17"/>
    </w:p>
    <w:p w14:paraId="1B3C2592" w14:textId="77777777" w:rsidR="00D75382" w:rsidRDefault="00D75382" w:rsidP="00D75382"/>
    <w:p w14:paraId="6D7A109A" w14:textId="77777777" w:rsidR="00D75382" w:rsidRPr="00706ADE" w:rsidRDefault="00D75382" w:rsidP="00D75382">
      <w:pPr>
        <w:pStyle w:val="ScheduleL2"/>
        <w:jc w:val="left"/>
      </w:pPr>
      <w:r w:rsidRPr="00706ADE">
        <w:t>The Supplier will be expected to continually improve the way in which the required services are to be delivered throughout the Contract duration.</w:t>
      </w:r>
    </w:p>
    <w:p w14:paraId="7EDBD77B" w14:textId="77777777" w:rsidR="00D75382" w:rsidRPr="00706ADE" w:rsidRDefault="00D75382" w:rsidP="00D75382">
      <w:pPr>
        <w:pStyle w:val="ScheduleL2"/>
        <w:jc w:val="left"/>
      </w:pPr>
      <w:r w:rsidRPr="00706ADE">
        <w:t xml:space="preserve">The Supplier should present new ways of working to the Buyer during monthly Contract review meetings. </w:t>
      </w:r>
    </w:p>
    <w:p w14:paraId="52E68D7B" w14:textId="77777777" w:rsidR="00D75382" w:rsidRPr="00706ADE" w:rsidRDefault="00D75382" w:rsidP="00D75382">
      <w:pPr>
        <w:pStyle w:val="ScheduleL2"/>
        <w:jc w:val="left"/>
      </w:pPr>
      <w:r w:rsidRPr="00706ADE">
        <w:t>Changes to the way in which the Services are to be delivered must be brought to the Buyer’s attention and agreed prior to any changes being implemented.</w:t>
      </w:r>
    </w:p>
    <w:p w14:paraId="71CE9500" w14:textId="77777777" w:rsidR="00D75382" w:rsidRDefault="00D75382" w:rsidP="00D75382"/>
    <w:p w14:paraId="1D3721BB"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18" w:name="_Toc213149248"/>
      <w:r w:rsidRPr="007F5605">
        <w:rPr>
          <w:b/>
          <w:bCs/>
          <w:sz w:val="28"/>
          <w:szCs w:val="28"/>
        </w:rPr>
        <w:t>SECURITY AND CONFIDENTIALITY REQUIREMENTS</w:t>
      </w:r>
      <w:bookmarkEnd w:id="18"/>
    </w:p>
    <w:p w14:paraId="6715B8CE" w14:textId="77777777" w:rsidR="00D75382" w:rsidRDefault="00D75382" w:rsidP="00D75382"/>
    <w:p w14:paraId="475FA7AE" w14:textId="77777777" w:rsidR="00D75382" w:rsidRPr="00706ADE" w:rsidRDefault="00D75382" w:rsidP="00D75382">
      <w:pPr>
        <w:pStyle w:val="ScheduleL2"/>
        <w:jc w:val="left"/>
      </w:pPr>
      <w:r w:rsidRPr="00706ADE">
        <w:t xml:space="preserve">Security and confidentiality requirements can be found in the document titled </w:t>
      </w:r>
      <w:r>
        <w:t xml:space="preserve">Attachment 3a – Annex A - </w:t>
      </w:r>
      <w:r w:rsidRPr="00706ADE">
        <w:t>VRS - Triage Deliverables.</w:t>
      </w:r>
    </w:p>
    <w:p w14:paraId="3BB086D1" w14:textId="77777777" w:rsidR="00D75382" w:rsidRPr="007F5605" w:rsidRDefault="00D75382" w:rsidP="00D75382">
      <w:pPr>
        <w:rPr>
          <w:b/>
          <w:bCs/>
        </w:rPr>
      </w:pPr>
    </w:p>
    <w:p w14:paraId="7E30DA23"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19" w:name="_Toc213149249"/>
      <w:r w:rsidRPr="007F5605">
        <w:rPr>
          <w:b/>
          <w:bCs/>
          <w:sz w:val="28"/>
          <w:szCs w:val="28"/>
        </w:rPr>
        <w:t>PRICING MECHANISM</w:t>
      </w:r>
      <w:bookmarkEnd w:id="19"/>
    </w:p>
    <w:p w14:paraId="332D653B" w14:textId="77777777" w:rsidR="00D75382" w:rsidRDefault="00D75382" w:rsidP="00D75382"/>
    <w:p w14:paraId="6F914D4A" w14:textId="77777777" w:rsidR="00D75382" w:rsidRDefault="00D75382" w:rsidP="00D75382">
      <w:pPr>
        <w:pStyle w:val="ScheduleL2"/>
        <w:jc w:val="left"/>
      </w:pPr>
      <w:r w:rsidRPr="00C7209B">
        <w:t>The pricing mechanism is given within Call-off Schedule 5 (Pricing).</w:t>
      </w:r>
    </w:p>
    <w:p w14:paraId="344F0D50" w14:textId="77777777" w:rsidR="00D75382" w:rsidRPr="00C7209B" w:rsidRDefault="00D75382" w:rsidP="00D75382">
      <w:pPr>
        <w:pStyle w:val="ScheduleL2"/>
        <w:jc w:val="left"/>
      </w:pPr>
      <w:r w:rsidRPr="00C7209B">
        <w:t>All prices are excluding VAT</w:t>
      </w:r>
    </w:p>
    <w:p w14:paraId="57BE9299" w14:textId="77777777" w:rsidR="00D75382" w:rsidRPr="00C7209B" w:rsidRDefault="00D75382" w:rsidP="00D75382">
      <w:pPr>
        <w:pStyle w:val="ScheduleL2"/>
        <w:jc w:val="left"/>
      </w:pPr>
      <w:r w:rsidRPr="00C7209B">
        <w:t>All prices are inclusive of expenses, such as travel and subsistence.</w:t>
      </w:r>
    </w:p>
    <w:p w14:paraId="450ADDEF" w14:textId="77777777" w:rsidR="00D75382" w:rsidRPr="004D1F5D" w:rsidRDefault="00D75382" w:rsidP="00D75382">
      <w:pPr>
        <w:rPr>
          <w:sz w:val="32"/>
          <w:szCs w:val="36"/>
        </w:rPr>
      </w:pPr>
      <w:r>
        <w:t xml:space="preserve"> </w:t>
      </w:r>
    </w:p>
    <w:p w14:paraId="4CF0F84F"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20" w:name="_Toc213149250"/>
      <w:r w:rsidRPr="007F5605">
        <w:rPr>
          <w:b/>
          <w:bCs/>
          <w:sz w:val="28"/>
          <w:szCs w:val="28"/>
        </w:rPr>
        <w:t>PAYMENT AND INVOICING</w:t>
      </w:r>
      <w:bookmarkEnd w:id="20"/>
      <w:r w:rsidRPr="007F5605">
        <w:rPr>
          <w:b/>
          <w:bCs/>
          <w:sz w:val="28"/>
          <w:szCs w:val="28"/>
        </w:rPr>
        <w:t xml:space="preserve"> </w:t>
      </w:r>
    </w:p>
    <w:p w14:paraId="5372CA69" w14:textId="77777777" w:rsidR="00D75382" w:rsidRDefault="00D75382" w:rsidP="00D75382"/>
    <w:p w14:paraId="75CC0492" w14:textId="77777777" w:rsidR="00D75382" w:rsidRPr="009974ED" w:rsidRDefault="00D75382" w:rsidP="00D75382">
      <w:pPr>
        <w:pStyle w:val="ScheduleL2"/>
        <w:jc w:val="left"/>
      </w:pPr>
      <w:r w:rsidRPr="007F5605">
        <w:t xml:space="preserve">Payment can only be made following satisfactory delivery of pre-agreed certified products and deliverables. </w:t>
      </w:r>
    </w:p>
    <w:p w14:paraId="2ED83A7E" w14:textId="77777777" w:rsidR="00D75382" w:rsidRPr="009974ED" w:rsidRDefault="00D75382" w:rsidP="00D75382"/>
    <w:p w14:paraId="3848CB84" w14:textId="77777777" w:rsidR="00D75382" w:rsidRDefault="00D75382" w:rsidP="00D75382">
      <w:pPr>
        <w:pStyle w:val="ScheduleL2"/>
        <w:jc w:val="left"/>
      </w:pPr>
      <w:r w:rsidRPr="007F5605">
        <w:t xml:space="preserve">Before payment can be considered, each invoice must include a detailed elemental breakdown of work completed and the associated costs. </w:t>
      </w:r>
    </w:p>
    <w:p w14:paraId="5BB45554" w14:textId="0CD71B53" w:rsidR="00D75382" w:rsidRPr="009974ED" w:rsidRDefault="00D75382" w:rsidP="00D75382">
      <w:pPr>
        <w:pStyle w:val="ScheduleL2"/>
        <w:jc w:val="left"/>
      </w:pPr>
      <w:r w:rsidRPr="007F5605">
        <w:t xml:space="preserve">Invoices should be submitted to: </w:t>
      </w:r>
      <w:r w:rsidR="003F3EC1" w:rsidRPr="00563CFA">
        <w:rPr>
          <w:b/>
          <w:sz w:val="24"/>
          <w:szCs w:val="24"/>
        </w:rPr>
        <w:t>Redacted under FOIA section 40, Personal Information</w:t>
      </w:r>
    </w:p>
    <w:p w14:paraId="303A5135" w14:textId="77777777" w:rsidR="00D75382" w:rsidRPr="009974ED" w:rsidRDefault="00D75382" w:rsidP="00D75382">
      <w:pPr>
        <w:pStyle w:val="ScheduleL2"/>
        <w:jc w:val="left"/>
      </w:pPr>
      <w:r w:rsidRPr="007F5605">
        <w:t>The Supplier is to ensure that all submitted invoices include the Purchase Order number which will be provided to the Supplier by the Buyer at contract commencement.</w:t>
      </w:r>
    </w:p>
    <w:p w14:paraId="484A21FD" w14:textId="77777777" w:rsidR="00D75382" w:rsidRPr="007F5605" w:rsidRDefault="00D75382" w:rsidP="00D75382">
      <w:pPr>
        <w:rPr>
          <w:b/>
          <w:bCs/>
        </w:rPr>
      </w:pPr>
    </w:p>
    <w:p w14:paraId="5F06C88A" w14:textId="77777777" w:rsidR="00D75382" w:rsidRPr="007F5605" w:rsidRDefault="00D75382" w:rsidP="00D75382">
      <w:pPr>
        <w:pStyle w:val="Heading1"/>
        <w:keepNext/>
        <w:widowControl/>
        <w:numPr>
          <w:ilvl w:val="0"/>
          <w:numId w:val="1"/>
        </w:numPr>
        <w:tabs>
          <w:tab w:val="num" w:pos="360"/>
        </w:tabs>
        <w:autoSpaceDE/>
        <w:autoSpaceDN/>
        <w:adjustRightInd w:val="0"/>
        <w:ind w:left="709" w:hanging="709"/>
        <w:rPr>
          <w:b/>
          <w:bCs/>
          <w:sz w:val="28"/>
          <w:szCs w:val="28"/>
        </w:rPr>
      </w:pPr>
      <w:bookmarkStart w:id="21" w:name="_Toc213149251"/>
      <w:r w:rsidRPr="007F5605">
        <w:rPr>
          <w:b/>
          <w:bCs/>
          <w:sz w:val="28"/>
          <w:szCs w:val="28"/>
        </w:rPr>
        <w:t>CONTRACT MANAGEMENT AND KEY PERFORMANCE INDICATORS</w:t>
      </w:r>
      <w:bookmarkEnd w:id="21"/>
    </w:p>
    <w:p w14:paraId="224849F9" w14:textId="77777777" w:rsidR="00D75382" w:rsidRDefault="00D75382" w:rsidP="00D75382"/>
    <w:p w14:paraId="4A4AA841" w14:textId="77777777" w:rsidR="00D75382" w:rsidRPr="009974ED" w:rsidRDefault="00D75382" w:rsidP="00D75382">
      <w:pPr>
        <w:pStyle w:val="ScheduleL2"/>
        <w:jc w:val="left"/>
      </w:pPr>
      <w:r w:rsidRPr="009974ED">
        <w:t>The Buyer will measure the quality of the Supplier’s delivery by:</w:t>
      </w:r>
    </w:p>
    <w:p w14:paraId="2D259470" w14:textId="77777777" w:rsidR="00D75382" w:rsidRDefault="00D75382" w:rsidP="00D75382"/>
    <w:tbl>
      <w:tblPr>
        <w:tblW w:w="100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418"/>
        <w:gridCol w:w="2551"/>
        <w:gridCol w:w="2552"/>
        <w:gridCol w:w="3005"/>
      </w:tblGrid>
      <w:tr w:rsidR="00D75382" w14:paraId="2EADEDC3" w14:textId="77777777" w:rsidTr="008B5699">
        <w:trPr>
          <w:trHeight w:val="686"/>
        </w:trPr>
        <w:tc>
          <w:tcPr>
            <w:tcW w:w="567" w:type="dxa"/>
            <w:shd w:val="clear" w:color="auto" w:fill="B8CCE4"/>
          </w:tcPr>
          <w:p w14:paraId="15BC69D4" w14:textId="77777777" w:rsidR="00D75382" w:rsidRDefault="00D75382" w:rsidP="008B5699">
            <w:pPr>
              <w:pBdr>
                <w:top w:val="nil"/>
                <w:left w:val="nil"/>
                <w:bottom w:val="nil"/>
                <w:right w:val="nil"/>
                <w:between w:val="nil"/>
              </w:pBdr>
              <w:ind w:left="709" w:hanging="709"/>
              <w:rPr>
                <w:b/>
                <w:color w:val="000000"/>
                <w:sz w:val="20"/>
                <w:szCs w:val="20"/>
              </w:rPr>
            </w:pPr>
            <w:r>
              <w:rPr>
                <w:color w:val="000000"/>
                <w:sz w:val="20"/>
                <w:szCs w:val="20"/>
              </w:rPr>
              <w:t>KPI</w:t>
            </w:r>
          </w:p>
        </w:tc>
        <w:tc>
          <w:tcPr>
            <w:tcW w:w="1418" w:type="dxa"/>
            <w:shd w:val="clear" w:color="auto" w:fill="B8CCE4"/>
          </w:tcPr>
          <w:p w14:paraId="78349505" w14:textId="77777777" w:rsidR="00D75382" w:rsidRDefault="00D75382" w:rsidP="008B5699">
            <w:pPr>
              <w:pBdr>
                <w:top w:val="nil"/>
                <w:left w:val="nil"/>
                <w:bottom w:val="nil"/>
                <w:right w:val="nil"/>
                <w:between w:val="nil"/>
              </w:pBdr>
              <w:ind w:left="709" w:hanging="709"/>
              <w:rPr>
                <w:b/>
                <w:color w:val="000000"/>
                <w:sz w:val="20"/>
                <w:szCs w:val="20"/>
              </w:rPr>
            </w:pPr>
            <w:r>
              <w:rPr>
                <w:color w:val="000000"/>
                <w:sz w:val="20"/>
                <w:szCs w:val="20"/>
              </w:rPr>
              <w:t>Service Area</w:t>
            </w:r>
          </w:p>
        </w:tc>
        <w:tc>
          <w:tcPr>
            <w:tcW w:w="2551" w:type="dxa"/>
            <w:shd w:val="clear" w:color="auto" w:fill="B8CCE4"/>
          </w:tcPr>
          <w:p w14:paraId="1445EB10" w14:textId="77777777" w:rsidR="00D75382" w:rsidRDefault="00D75382" w:rsidP="008B5699">
            <w:pPr>
              <w:pBdr>
                <w:top w:val="nil"/>
                <w:left w:val="nil"/>
                <w:bottom w:val="nil"/>
                <w:right w:val="nil"/>
                <w:between w:val="nil"/>
              </w:pBdr>
              <w:ind w:left="709" w:hanging="709"/>
              <w:rPr>
                <w:b/>
                <w:color w:val="000000"/>
                <w:sz w:val="20"/>
                <w:szCs w:val="20"/>
              </w:rPr>
            </w:pPr>
            <w:r>
              <w:rPr>
                <w:color w:val="000000"/>
                <w:sz w:val="20"/>
                <w:szCs w:val="20"/>
              </w:rPr>
              <w:t>KPI/SLA description</w:t>
            </w:r>
          </w:p>
        </w:tc>
        <w:tc>
          <w:tcPr>
            <w:tcW w:w="2552" w:type="dxa"/>
            <w:shd w:val="clear" w:color="auto" w:fill="B8CCE4"/>
          </w:tcPr>
          <w:p w14:paraId="59577D3B" w14:textId="77777777" w:rsidR="00D75382" w:rsidRPr="00C800B7" w:rsidRDefault="00D75382" w:rsidP="008B5699">
            <w:pPr>
              <w:pBdr>
                <w:top w:val="nil"/>
                <w:left w:val="nil"/>
                <w:bottom w:val="nil"/>
                <w:right w:val="nil"/>
                <w:between w:val="nil"/>
              </w:pBdr>
              <w:ind w:left="709" w:hanging="709"/>
              <w:rPr>
                <w:b/>
                <w:bCs/>
                <w:color w:val="000000"/>
                <w:sz w:val="20"/>
                <w:szCs w:val="20"/>
              </w:rPr>
            </w:pPr>
            <w:r w:rsidRPr="00C800B7">
              <w:rPr>
                <w:bCs/>
                <w:color w:val="000000"/>
                <w:sz w:val="20"/>
                <w:szCs w:val="20"/>
              </w:rPr>
              <w:t>Measure</w:t>
            </w:r>
          </w:p>
        </w:tc>
        <w:tc>
          <w:tcPr>
            <w:tcW w:w="3005" w:type="dxa"/>
            <w:shd w:val="clear" w:color="auto" w:fill="B8CCE4"/>
          </w:tcPr>
          <w:p w14:paraId="0C6C3806" w14:textId="77777777" w:rsidR="00D75382" w:rsidRDefault="00D75382" w:rsidP="008B5699">
            <w:pPr>
              <w:pBdr>
                <w:top w:val="nil"/>
                <w:left w:val="nil"/>
                <w:bottom w:val="nil"/>
                <w:right w:val="nil"/>
                <w:between w:val="nil"/>
              </w:pBdr>
              <w:ind w:left="709" w:hanging="709"/>
              <w:rPr>
                <w:b/>
                <w:color w:val="000000"/>
                <w:sz w:val="20"/>
                <w:szCs w:val="20"/>
              </w:rPr>
            </w:pPr>
            <w:r>
              <w:rPr>
                <w:color w:val="000000"/>
                <w:sz w:val="20"/>
                <w:szCs w:val="20"/>
              </w:rPr>
              <w:t>Target</w:t>
            </w:r>
          </w:p>
        </w:tc>
      </w:tr>
      <w:tr w:rsidR="00D75382" w14:paraId="7B39199E" w14:textId="77777777" w:rsidTr="008B5699">
        <w:tc>
          <w:tcPr>
            <w:tcW w:w="567" w:type="dxa"/>
          </w:tcPr>
          <w:p w14:paraId="6187126D" w14:textId="77777777" w:rsidR="00D75382" w:rsidRDefault="00D75382" w:rsidP="008B5699">
            <w:pPr>
              <w:pBdr>
                <w:top w:val="nil"/>
                <w:left w:val="nil"/>
                <w:bottom w:val="nil"/>
                <w:right w:val="nil"/>
                <w:between w:val="nil"/>
              </w:pBdr>
              <w:ind w:left="709" w:hanging="709"/>
              <w:rPr>
                <w:b/>
                <w:color w:val="000000"/>
                <w:sz w:val="20"/>
                <w:szCs w:val="20"/>
              </w:rPr>
            </w:pPr>
            <w:r>
              <w:rPr>
                <w:color w:val="000000"/>
                <w:sz w:val="20"/>
                <w:szCs w:val="20"/>
              </w:rPr>
              <w:t>1</w:t>
            </w:r>
          </w:p>
        </w:tc>
        <w:tc>
          <w:tcPr>
            <w:tcW w:w="1418" w:type="dxa"/>
            <w:vAlign w:val="center"/>
          </w:tcPr>
          <w:p w14:paraId="15DACF78" w14:textId="77777777" w:rsidR="00D75382" w:rsidRPr="00C800B7" w:rsidRDefault="00D75382" w:rsidP="008B5699">
            <w:pPr>
              <w:pBdr>
                <w:top w:val="nil"/>
                <w:left w:val="nil"/>
                <w:bottom w:val="nil"/>
                <w:right w:val="nil"/>
                <w:between w:val="nil"/>
              </w:pBdr>
              <w:rPr>
                <w:b/>
                <w:bCs/>
                <w:sz w:val="20"/>
                <w:szCs w:val="20"/>
              </w:rPr>
            </w:pPr>
            <w:r w:rsidRPr="00C800B7">
              <w:rPr>
                <w:bCs/>
              </w:rPr>
              <w:t>Triage SLA</w:t>
            </w:r>
          </w:p>
        </w:tc>
        <w:tc>
          <w:tcPr>
            <w:tcW w:w="2551" w:type="dxa"/>
            <w:vAlign w:val="center"/>
          </w:tcPr>
          <w:p w14:paraId="0655E957" w14:textId="77777777" w:rsidR="00D75382" w:rsidRPr="00C800B7" w:rsidRDefault="00D75382" w:rsidP="008B5699">
            <w:pPr>
              <w:pBdr>
                <w:top w:val="nil"/>
                <w:left w:val="nil"/>
                <w:bottom w:val="nil"/>
                <w:right w:val="nil"/>
                <w:between w:val="nil"/>
              </w:pBdr>
              <w:rPr>
                <w:b/>
                <w:bCs/>
                <w:sz w:val="20"/>
                <w:szCs w:val="20"/>
              </w:rPr>
            </w:pPr>
            <w:r w:rsidRPr="00C800B7">
              <w:rPr>
                <w:bCs/>
              </w:rPr>
              <w:t>Supplier must triage the report within 2 working days of it being submitted.</w:t>
            </w:r>
          </w:p>
        </w:tc>
        <w:tc>
          <w:tcPr>
            <w:tcW w:w="2552" w:type="dxa"/>
            <w:vAlign w:val="center"/>
          </w:tcPr>
          <w:p w14:paraId="28E571AB" w14:textId="77777777" w:rsidR="00D75382" w:rsidRPr="00C800B7" w:rsidRDefault="00D75382" w:rsidP="008B5699">
            <w:pPr>
              <w:pBdr>
                <w:top w:val="nil"/>
                <w:left w:val="nil"/>
                <w:bottom w:val="nil"/>
                <w:right w:val="nil"/>
                <w:between w:val="nil"/>
              </w:pBdr>
              <w:rPr>
                <w:b/>
                <w:bCs/>
                <w:sz w:val="20"/>
                <w:szCs w:val="20"/>
              </w:rPr>
            </w:pPr>
            <w:r w:rsidRPr="00C800B7">
              <w:rPr>
                <w:bCs/>
              </w:rPr>
              <w:t>Time from report being submitted to the time Triage has completed</w:t>
            </w:r>
            <w:r w:rsidRPr="00C800B7">
              <w:rPr>
                <w:bCs/>
              </w:rPr>
              <w:br/>
            </w:r>
            <w:r w:rsidRPr="00C800B7">
              <w:rPr>
                <w:bCs/>
              </w:rPr>
              <w:br/>
              <w:t>This should be reported on a regular basis agreed throughout the contract.</w:t>
            </w:r>
          </w:p>
        </w:tc>
        <w:tc>
          <w:tcPr>
            <w:tcW w:w="3005" w:type="dxa"/>
            <w:vAlign w:val="center"/>
          </w:tcPr>
          <w:p w14:paraId="05467668" w14:textId="77777777" w:rsidR="00D75382" w:rsidRPr="00C800B7" w:rsidRDefault="00D75382" w:rsidP="008B5699">
            <w:pPr>
              <w:pBdr>
                <w:top w:val="nil"/>
                <w:left w:val="nil"/>
                <w:bottom w:val="nil"/>
                <w:right w:val="nil"/>
                <w:between w:val="nil"/>
              </w:pBdr>
              <w:rPr>
                <w:b/>
                <w:bCs/>
                <w:sz w:val="20"/>
                <w:szCs w:val="20"/>
              </w:rPr>
            </w:pPr>
            <w:bookmarkStart w:id="22" w:name="_heading=h.3znysh7" w:colFirst="0" w:colLast="0"/>
            <w:bookmarkEnd w:id="22"/>
            <w:r w:rsidRPr="00C800B7">
              <w:rPr>
                <w:bCs/>
              </w:rPr>
              <w:t>100 % within 2 Working Days</w:t>
            </w:r>
            <w:r w:rsidRPr="00C800B7">
              <w:rPr>
                <w:bCs/>
              </w:rPr>
              <w:br/>
            </w:r>
            <w:r w:rsidRPr="00C800B7">
              <w:rPr>
                <w:bCs/>
              </w:rPr>
              <w:br/>
              <w:t>&gt;=75% within 1 Working Day</w:t>
            </w:r>
          </w:p>
        </w:tc>
      </w:tr>
      <w:tr w:rsidR="00D75382" w14:paraId="7D63C3BE" w14:textId="77777777" w:rsidTr="008B5699">
        <w:tc>
          <w:tcPr>
            <w:tcW w:w="567" w:type="dxa"/>
          </w:tcPr>
          <w:p w14:paraId="5898B82F" w14:textId="77777777" w:rsidR="00D75382" w:rsidRDefault="00D75382" w:rsidP="008B5699">
            <w:pPr>
              <w:pBdr>
                <w:top w:val="nil"/>
                <w:left w:val="nil"/>
                <w:bottom w:val="nil"/>
                <w:right w:val="nil"/>
                <w:between w:val="nil"/>
              </w:pBdr>
              <w:ind w:left="709" w:hanging="709"/>
              <w:rPr>
                <w:b/>
                <w:color w:val="000000"/>
                <w:sz w:val="20"/>
                <w:szCs w:val="20"/>
              </w:rPr>
            </w:pPr>
            <w:r>
              <w:rPr>
                <w:color w:val="000000"/>
                <w:sz w:val="20"/>
                <w:szCs w:val="20"/>
              </w:rPr>
              <w:t>2</w:t>
            </w:r>
          </w:p>
        </w:tc>
        <w:tc>
          <w:tcPr>
            <w:tcW w:w="1418" w:type="dxa"/>
            <w:vAlign w:val="center"/>
          </w:tcPr>
          <w:p w14:paraId="75DED197" w14:textId="77777777" w:rsidR="00D75382" w:rsidRPr="00C800B7" w:rsidRDefault="00D75382" w:rsidP="008B5699">
            <w:pPr>
              <w:pBdr>
                <w:top w:val="nil"/>
                <w:left w:val="nil"/>
                <w:bottom w:val="nil"/>
                <w:right w:val="nil"/>
                <w:between w:val="nil"/>
              </w:pBdr>
              <w:rPr>
                <w:b/>
                <w:bCs/>
                <w:sz w:val="20"/>
                <w:szCs w:val="20"/>
              </w:rPr>
            </w:pPr>
            <w:r w:rsidRPr="00C800B7">
              <w:rPr>
                <w:bCs/>
              </w:rPr>
              <w:t>Triage Summary Quality</w:t>
            </w:r>
          </w:p>
        </w:tc>
        <w:tc>
          <w:tcPr>
            <w:tcW w:w="2551" w:type="dxa"/>
            <w:vAlign w:val="center"/>
          </w:tcPr>
          <w:p w14:paraId="001B8AFD" w14:textId="77777777" w:rsidR="00D75382" w:rsidRPr="00C800B7" w:rsidRDefault="00D75382" w:rsidP="008B5699">
            <w:pPr>
              <w:pBdr>
                <w:top w:val="nil"/>
                <w:left w:val="nil"/>
                <w:bottom w:val="nil"/>
                <w:right w:val="nil"/>
                <w:between w:val="nil"/>
              </w:pBdr>
              <w:rPr>
                <w:b/>
                <w:bCs/>
                <w:sz w:val="20"/>
                <w:szCs w:val="20"/>
              </w:rPr>
            </w:pPr>
            <w:r w:rsidRPr="00C800B7">
              <w:rPr>
                <w:bCs/>
              </w:rPr>
              <w:t>Supplier must validate and submit a summary report that includes:</w:t>
            </w:r>
            <w:r w:rsidRPr="00C800B7">
              <w:rPr>
                <w:bCs/>
              </w:rPr>
              <w:br/>
              <w:t>- Title</w:t>
            </w:r>
            <w:r w:rsidRPr="00C800B7">
              <w:rPr>
                <w:bCs/>
              </w:rPr>
              <w:br/>
              <w:t>- Impact</w:t>
            </w:r>
            <w:r w:rsidRPr="00C800B7">
              <w:rPr>
                <w:bCs/>
              </w:rPr>
              <w:br/>
              <w:t>- Exploitability</w:t>
            </w:r>
            <w:r w:rsidRPr="00C800B7">
              <w:rPr>
                <w:bCs/>
              </w:rPr>
              <w:br/>
              <w:t>- CVSS</w:t>
            </w:r>
            <w:r w:rsidRPr="00C800B7">
              <w:rPr>
                <w:bCs/>
              </w:rPr>
              <w:br/>
              <w:t>- CWE</w:t>
            </w:r>
            <w:r w:rsidRPr="00C800B7">
              <w:rPr>
                <w:bCs/>
              </w:rPr>
              <w:br/>
              <w:t>- Target</w:t>
            </w:r>
            <w:r w:rsidRPr="00C800B7">
              <w:rPr>
                <w:bCs/>
              </w:rPr>
              <w:br/>
              <w:t>- Impact assessment</w:t>
            </w:r>
            <w:r w:rsidRPr="00C800B7">
              <w:rPr>
                <w:bCs/>
              </w:rPr>
              <w:br/>
              <w:t>- Description</w:t>
            </w:r>
            <w:r w:rsidRPr="00C800B7">
              <w:rPr>
                <w:bCs/>
              </w:rPr>
              <w:br/>
              <w:t>- Steps to reproduce</w:t>
            </w:r>
            <w:r w:rsidRPr="00C800B7">
              <w:rPr>
                <w:bCs/>
              </w:rPr>
              <w:br/>
            </w:r>
            <w:r w:rsidRPr="00C800B7">
              <w:rPr>
                <w:bCs/>
              </w:rPr>
              <w:lastRenderedPageBreak/>
              <w:t>- Recommendation/mitigation advice.</w:t>
            </w:r>
            <w:r w:rsidRPr="00C800B7">
              <w:rPr>
                <w:bCs/>
              </w:rPr>
              <w:br/>
              <w:t>This should be in line with the existing standards and quality agreed in the GC3 Workflows documentation.</w:t>
            </w:r>
            <w:r w:rsidRPr="00C800B7">
              <w:rPr>
                <w:bCs/>
              </w:rPr>
              <w:br/>
              <w:t>Where errors are found the Supplier is responsible for performing root cause analysis leading to process and procedural changes to reduce likelihood of future occurrences.</w:t>
            </w:r>
          </w:p>
        </w:tc>
        <w:tc>
          <w:tcPr>
            <w:tcW w:w="2552" w:type="dxa"/>
            <w:vAlign w:val="center"/>
          </w:tcPr>
          <w:p w14:paraId="3BAFCC93" w14:textId="77777777" w:rsidR="00D75382" w:rsidRPr="00C800B7" w:rsidRDefault="00D75382" w:rsidP="008B5699">
            <w:pPr>
              <w:pBdr>
                <w:top w:val="nil"/>
                <w:left w:val="nil"/>
                <w:bottom w:val="nil"/>
                <w:right w:val="nil"/>
                <w:between w:val="nil"/>
              </w:pBdr>
              <w:rPr>
                <w:b/>
                <w:bCs/>
                <w:sz w:val="20"/>
                <w:szCs w:val="20"/>
              </w:rPr>
            </w:pPr>
            <w:r w:rsidRPr="00C800B7">
              <w:rPr>
                <w:bCs/>
              </w:rPr>
              <w:lastRenderedPageBreak/>
              <w:t>A report will be successfully triaged within 2 Working Days and be free from:</w:t>
            </w:r>
            <w:r w:rsidRPr="00C800B7">
              <w:rPr>
                <w:bCs/>
              </w:rPr>
              <w:br/>
              <w:t>- Spelling and grammatical errors</w:t>
            </w:r>
            <w:r w:rsidRPr="00C800B7">
              <w:rPr>
                <w:bCs/>
              </w:rPr>
              <w:br/>
              <w:t>- Templating errors</w:t>
            </w:r>
            <w:r w:rsidRPr="00C800B7">
              <w:rPr>
                <w:bCs/>
              </w:rPr>
              <w:br/>
              <w:t>- Incorrect vulnerability information</w:t>
            </w:r>
            <w:r w:rsidRPr="00C800B7">
              <w:rPr>
                <w:bCs/>
              </w:rPr>
              <w:br/>
              <w:t>- Incorrect System Owner information</w:t>
            </w:r>
            <w:r w:rsidRPr="00C800B7">
              <w:rPr>
                <w:bCs/>
              </w:rPr>
              <w:br/>
              <w:t xml:space="preserve">- Missing proof of </w:t>
            </w:r>
            <w:r w:rsidRPr="00C800B7">
              <w:rPr>
                <w:bCs/>
              </w:rPr>
              <w:lastRenderedPageBreak/>
              <w:t>concepts</w:t>
            </w:r>
            <w:r w:rsidRPr="00C800B7">
              <w:rPr>
                <w:bCs/>
              </w:rPr>
              <w:br/>
              <w:t>- Incorrect proof of concepts.</w:t>
            </w:r>
            <w:r w:rsidRPr="00C800B7">
              <w:rPr>
                <w:bCs/>
              </w:rPr>
              <w:br/>
            </w:r>
            <w:r w:rsidRPr="00C800B7">
              <w:rPr>
                <w:bCs/>
              </w:rPr>
              <w:br/>
              <w:t>Reports will also adhere to the tone of voice and</w:t>
            </w:r>
            <w:r>
              <w:rPr>
                <w:bCs/>
              </w:rPr>
              <w:t xml:space="preserve"> </w:t>
            </w:r>
            <w:r w:rsidRPr="00C800B7">
              <w:rPr>
                <w:bCs/>
              </w:rPr>
              <w:t>professionalism standards expected from HMG.</w:t>
            </w:r>
            <w:r w:rsidRPr="00C800B7">
              <w:rPr>
                <w:bCs/>
              </w:rPr>
              <w:br/>
            </w:r>
            <w:r w:rsidRPr="00C800B7">
              <w:rPr>
                <w:bCs/>
              </w:rPr>
              <w:br/>
              <w:t>Any reports that do not meet the quality requirements should be logged in a shared system for monitoring purposes. The Supplier will be expected to self-report where they are not immediately rectifiable in addition to flags from System Owners or GC3.</w:t>
            </w:r>
            <w:r w:rsidRPr="00C800B7">
              <w:rPr>
                <w:bCs/>
              </w:rPr>
              <w:br/>
            </w:r>
            <w:r w:rsidRPr="00C800B7">
              <w:rPr>
                <w:bCs/>
              </w:rPr>
              <w:br/>
              <w:t>This should be reported on a regular basis agreed throughout the contract.</w:t>
            </w:r>
          </w:p>
        </w:tc>
        <w:tc>
          <w:tcPr>
            <w:tcW w:w="3005" w:type="dxa"/>
            <w:vAlign w:val="center"/>
          </w:tcPr>
          <w:p w14:paraId="6247F3E0" w14:textId="77777777" w:rsidR="00D75382" w:rsidRPr="00C800B7" w:rsidRDefault="00D75382" w:rsidP="008B5699">
            <w:pPr>
              <w:pBdr>
                <w:top w:val="nil"/>
                <w:left w:val="nil"/>
                <w:bottom w:val="nil"/>
                <w:right w:val="nil"/>
                <w:between w:val="nil"/>
              </w:pBdr>
              <w:ind w:left="709" w:hanging="709"/>
              <w:rPr>
                <w:b/>
                <w:bCs/>
                <w:sz w:val="20"/>
                <w:szCs w:val="20"/>
              </w:rPr>
            </w:pPr>
            <w:r w:rsidRPr="00C800B7">
              <w:rPr>
                <w:bCs/>
              </w:rPr>
              <w:lastRenderedPageBreak/>
              <w:t>Less than 5 issues reported a month</w:t>
            </w:r>
          </w:p>
        </w:tc>
      </w:tr>
      <w:tr w:rsidR="00D75382" w14:paraId="5A3313F6" w14:textId="77777777" w:rsidTr="008B5699">
        <w:tc>
          <w:tcPr>
            <w:tcW w:w="567" w:type="dxa"/>
          </w:tcPr>
          <w:p w14:paraId="77595B63" w14:textId="77777777" w:rsidR="00D75382" w:rsidRDefault="00D75382" w:rsidP="008B5699">
            <w:pPr>
              <w:pBdr>
                <w:top w:val="nil"/>
                <w:left w:val="nil"/>
                <w:bottom w:val="nil"/>
                <w:right w:val="nil"/>
                <w:between w:val="nil"/>
              </w:pBdr>
              <w:ind w:left="709" w:hanging="709"/>
              <w:rPr>
                <w:b/>
                <w:color w:val="000000"/>
                <w:sz w:val="20"/>
                <w:szCs w:val="20"/>
              </w:rPr>
            </w:pPr>
            <w:r>
              <w:rPr>
                <w:color w:val="000000"/>
                <w:sz w:val="20"/>
                <w:szCs w:val="20"/>
              </w:rPr>
              <w:t>3</w:t>
            </w:r>
          </w:p>
        </w:tc>
        <w:tc>
          <w:tcPr>
            <w:tcW w:w="1418" w:type="dxa"/>
            <w:vAlign w:val="center"/>
          </w:tcPr>
          <w:p w14:paraId="3A13DF79" w14:textId="77777777" w:rsidR="00D75382" w:rsidRPr="00C800B7" w:rsidRDefault="00D75382" w:rsidP="008B5699">
            <w:pPr>
              <w:pBdr>
                <w:top w:val="nil"/>
                <w:left w:val="nil"/>
                <w:bottom w:val="nil"/>
                <w:right w:val="nil"/>
                <w:between w:val="nil"/>
              </w:pBdr>
              <w:rPr>
                <w:b/>
                <w:bCs/>
                <w:sz w:val="20"/>
                <w:szCs w:val="20"/>
              </w:rPr>
            </w:pPr>
            <w:r w:rsidRPr="00C800B7">
              <w:rPr>
                <w:bCs/>
              </w:rPr>
              <w:t>Triage Team Communication Response</w:t>
            </w:r>
          </w:p>
        </w:tc>
        <w:tc>
          <w:tcPr>
            <w:tcW w:w="2551" w:type="dxa"/>
            <w:vAlign w:val="center"/>
          </w:tcPr>
          <w:p w14:paraId="2770FE33" w14:textId="77777777" w:rsidR="00D75382" w:rsidRPr="00C800B7" w:rsidRDefault="00D75382" w:rsidP="008B5699">
            <w:pPr>
              <w:pBdr>
                <w:top w:val="nil"/>
                <w:left w:val="nil"/>
                <w:bottom w:val="nil"/>
                <w:right w:val="nil"/>
                <w:between w:val="nil"/>
              </w:pBdr>
              <w:rPr>
                <w:b/>
                <w:bCs/>
                <w:sz w:val="20"/>
                <w:szCs w:val="20"/>
              </w:rPr>
            </w:pPr>
            <w:r w:rsidRPr="00C800B7">
              <w:rPr>
                <w:bCs/>
              </w:rPr>
              <w:t>The Supplier must ensure timely communication with GC3, System Owners, and Researchers.</w:t>
            </w:r>
            <w:r w:rsidRPr="00C800B7">
              <w:rPr>
                <w:bCs/>
              </w:rPr>
              <w:br/>
            </w:r>
            <w:r w:rsidRPr="00C800B7">
              <w:rPr>
                <w:bCs/>
              </w:rPr>
              <w:br/>
              <w:t>This includes the quality of the communication in line with HMG tone of voice and professionalism requirements.</w:t>
            </w:r>
          </w:p>
        </w:tc>
        <w:tc>
          <w:tcPr>
            <w:tcW w:w="2552" w:type="dxa"/>
            <w:vAlign w:val="center"/>
          </w:tcPr>
          <w:p w14:paraId="34D4AAD1" w14:textId="77777777" w:rsidR="00D75382" w:rsidRPr="00C800B7" w:rsidRDefault="00D75382" w:rsidP="008B5699">
            <w:pPr>
              <w:pBdr>
                <w:top w:val="nil"/>
                <w:left w:val="nil"/>
                <w:bottom w:val="nil"/>
                <w:right w:val="nil"/>
                <w:between w:val="nil"/>
              </w:pBdr>
              <w:rPr>
                <w:b/>
                <w:bCs/>
                <w:sz w:val="20"/>
                <w:szCs w:val="20"/>
              </w:rPr>
            </w:pPr>
            <w:r w:rsidRPr="00C800B7">
              <w:rPr>
                <w:bCs/>
              </w:rPr>
              <w:t>The Supplier will need to track communications across communication methods. If there is a secure automated method this could be considered.</w:t>
            </w:r>
            <w:r w:rsidRPr="00C800B7">
              <w:rPr>
                <w:bCs/>
              </w:rPr>
              <w:br/>
            </w:r>
            <w:r w:rsidRPr="00C800B7">
              <w:rPr>
                <w:bCs/>
              </w:rPr>
              <w:br/>
              <w:t>This should be reported on a regular basis agreed throughout the contract.</w:t>
            </w:r>
          </w:p>
        </w:tc>
        <w:tc>
          <w:tcPr>
            <w:tcW w:w="3005" w:type="dxa"/>
            <w:vAlign w:val="center"/>
          </w:tcPr>
          <w:p w14:paraId="5DA9E7EB" w14:textId="77777777" w:rsidR="00D75382" w:rsidRPr="00C800B7" w:rsidRDefault="00D75382" w:rsidP="008B5699">
            <w:pPr>
              <w:pBdr>
                <w:top w:val="nil"/>
                <w:left w:val="nil"/>
                <w:bottom w:val="nil"/>
                <w:right w:val="nil"/>
                <w:between w:val="nil"/>
              </w:pBdr>
              <w:rPr>
                <w:b/>
                <w:bCs/>
                <w:sz w:val="20"/>
                <w:szCs w:val="20"/>
              </w:rPr>
            </w:pPr>
            <w:r w:rsidRPr="00C800B7">
              <w:rPr>
                <w:bCs/>
              </w:rPr>
              <w:t>Within 1 working day or same day for critical issues</w:t>
            </w:r>
            <w:r w:rsidRPr="00C800B7">
              <w:rPr>
                <w:bCs/>
              </w:rPr>
              <w:br/>
            </w:r>
            <w:r w:rsidRPr="00C800B7">
              <w:rPr>
                <w:bCs/>
              </w:rPr>
              <w:br/>
              <w:t>Less than 5 communication quality issues a month.</w:t>
            </w:r>
          </w:p>
        </w:tc>
      </w:tr>
      <w:tr w:rsidR="00D75382" w14:paraId="6717DAA0" w14:textId="77777777" w:rsidTr="008B5699">
        <w:tc>
          <w:tcPr>
            <w:tcW w:w="567" w:type="dxa"/>
          </w:tcPr>
          <w:p w14:paraId="7491AC4A" w14:textId="77777777" w:rsidR="00D75382" w:rsidRPr="00C800B7" w:rsidRDefault="00D75382" w:rsidP="008B5699">
            <w:pPr>
              <w:pBdr>
                <w:top w:val="nil"/>
                <w:left w:val="nil"/>
                <w:bottom w:val="nil"/>
                <w:right w:val="nil"/>
                <w:between w:val="nil"/>
              </w:pBdr>
              <w:ind w:left="709" w:hanging="709"/>
              <w:rPr>
                <w:b/>
                <w:color w:val="000000"/>
                <w:sz w:val="20"/>
                <w:szCs w:val="20"/>
              </w:rPr>
            </w:pPr>
            <w:r w:rsidRPr="00C800B7">
              <w:rPr>
                <w:color w:val="000000"/>
                <w:sz w:val="20"/>
                <w:szCs w:val="20"/>
              </w:rPr>
              <w:t>4</w:t>
            </w:r>
          </w:p>
        </w:tc>
        <w:tc>
          <w:tcPr>
            <w:tcW w:w="1418" w:type="dxa"/>
            <w:vAlign w:val="center"/>
          </w:tcPr>
          <w:p w14:paraId="138B909E" w14:textId="77777777" w:rsidR="00D75382" w:rsidRPr="00C800B7" w:rsidRDefault="00D75382" w:rsidP="008B5699">
            <w:pPr>
              <w:pBdr>
                <w:top w:val="nil"/>
                <w:left w:val="nil"/>
                <w:bottom w:val="nil"/>
                <w:right w:val="nil"/>
                <w:between w:val="nil"/>
              </w:pBdr>
              <w:rPr>
                <w:b/>
                <w:bCs/>
                <w:sz w:val="20"/>
                <w:szCs w:val="20"/>
              </w:rPr>
            </w:pPr>
            <w:r w:rsidRPr="00C800B7">
              <w:rPr>
                <w:bCs/>
              </w:rPr>
              <w:t>Knowledge Sharing</w:t>
            </w:r>
          </w:p>
        </w:tc>
        <w:tc>
          <w:tcPr>
            <w:tcW w:w="2551" w:type="dxa"/>
            <w:vAlign w:val="center"/>
          </w:tcPr>
          <w:p w14:paraId="6C37A914" w14:textId="77777777" w:rsidR="00D75382" w:rsidRPr="00C800B7" w:rsidRDefault="00D75382" w:rsidP="008B5699">
            <w:pPr>
              <w:pBdr>
                <w:top w:val="nil"/>
                <w:left w:val="nil"/>
                <w:bottom w:val="nil"/>
                <w:right w:val="nil"/>
                <w:between w:val="nil"/>
              </w:pBdr>
              <w:rPr>
                <w:b/>
                <w:bCs/>
                <w:sz w:val="20"/>
                <w:szCs w:val="20"/>
              </w:rPr>
            </w:pPr>
            <w:r w:rsidRPr="00C800B7">
              <w:rPr>
                <w:bCs/>
              </w:rPr>
              <w:t>Platform and Triage teams jointly present case studies, trends, and improvement initiatives to GC3.</w:t>
            </w:r>
          </w:p>
        </w:tc>
        <w:tc>
          <w:tcPr>
            <w:tcW w:w="2552" w:type="dxa"/>
            <w:vAlign w:val="center"/>
          </w:tcPr>
          <w:p w14:paraId="2E5E6080" w14:textId="77777777" w:rsidR="00D75382" w:rsidRPr="00C800B7" w:rsidRDefault="00D75382" w:rsidP="008B5699">
            <w:pPr>
              <w:pBdr>
                <w:top w:val="nil"/>
                <w:left w:val="nil"/>
                <w:bottom w:val="nil"/>
                <w:right w:val="nil"/>
                <w:between w:val="nil"/>
              </w:pBdr>
              <w:rPr>
                <w:b/>
                <w:bCs/>
                <w:sz w:val="20"/>
                <w:szCs w:val="20"/>
              </w:rPr>
            </w:pPr>
            <w:r w:rsidRPr="00C800B7">
              <w:rPr>
                <w:bCs/>
              </w:rPr>
              <w:t>The number of joint sessions held during the contact year will be monitored and reported at the end of the contract year.</w:t>
            </w:r>
          </w:p>
        </w:tc>
        <w:tc>
          <w:tcPr>
            <w:tcW w:w="3005" w:type="dxa"/>
            <w:vAlign w:val="center"/>
          </w:tcPr>
          <w:p w14:paraId="75A8C844" w14:textId="77777777" w:rsidR="00D75382" w:rsidRPr="00C800B7" w:rsidRDefault="00D75382" w:rsidP="008B5699">
            <w:pPr>
              <w:pBdr>
                <w:top w:val="nil"/>
                <w:left w:val="nil"/>
                <w:bottom w:val="nil"/>
                <w:right w:val="nil"/>
                <w:between w:val="nil"/>
              </w:pBdr>
              <w:ind w:left="709" w:hanging="709"/>
              <w:rPr>
                <w:b/>
                <w:bCs/>
                <w:sz w:val="20"/>
                <w:szCs w:val="20"/>
              </w:rPr>
            </w:pPr>
            <w:r w:rsidRPr="00C800B7">
              <w:rPr>
                <w:bCs/>
              </w:rPr>
              <w:t>&gt;= 2 sessions per year.</w:t>
            </w:r>
          </w:p>
        </w:tc>
      </w:tr>
      <w:tr w:rsidR="00D75382" w14:paraId="4D958044" w14:textId="77777777" w:rsidTr="008B5699">
        <w:tc>
          <w:tcPr>
            <w:tcW w:w="567" w:type="dxa"/>
          </w:tcPr>
          <w:p w14:paraId="192B2B22" w14:textId="77777777" w:rsidR="00D75382" w:rsidRPr="00C800B7" w:rsidRDefault="00D75382" w:rsidP="008B5699">
            <w:pPr>
              <w:pBdr>
                <w:top w:val="nil"/>
                <w:left w:val="nil"/>
                <w:bottom w:val="nil"/>
                <w:right w:val="nil"/>
                <w:between w:val="nil"/>
              </w:pBdr>
              <w:ind w:left="709" w:hanging="709"/>
              <w:rPr>
                <w:b/>
                <w:color w:val="000000"/>
                <w:sz w:val="20"/>
                <w:szCs w:val="20"/>
              </w:rPr>
            </w:pPr>
            <w:r w:rsidRPr="00C800B7">
              <w:rPr>
                <w:color w:val="000000"/>
                <w:sz w:val="20"/>
                <w:szCs w:val="20"/>
              </w:rPr>
              <w:t>5</w:t>
            </w:r>
          </w:p>
        </w:tc>
        <w:tc>
          <w:tcPr>
            <w:tcW w:w="1418" w:type="dxa"/>
            <w:vAlign w:val="center"/>
          </w:tcPr>
          <w:p w14:paraId="28226642" w14:textId="77777777" w:rsidR="00D75382" w:rsidRPr="00C800B7" w:rsidRDefault="00D75382" w:rsidP="008B5699">
            <w:pPr>
              <w:pBdr>
                <w:top w:val="nil"/>
                <w:left w:val="nil"/>
                <w:bottom w:val="nil"/>
                <w:right w:val="nil"/>
                <w:between w:val="nil"/>
              </w:pBdr>
              <w:rPr>
                <w:b/>
                <w:bCs/>
                <w:sz w:val="20"/>
                <w:szCs w:val="20"/>
              </w:rPr>
            </w:pPr>
            <w:r w:rsidRPr="00C800B7">
              <w:rPr>
                <w:bCs/>
              </w:rPr>
              <w:t>Service Maturity</w:t>
            </w:r>
          </w:p>
        </w:tc>
        <w:tc>
          <w:tcPr>
            <w:tcW w:w="2551" w:type="dxa"/>
            <w:vAlign w:val="center"/>
          </w:tcPr>
          <w:p w14:paraId="4AB9C093" w14:textId="77777777" w:rsidR="00D75382" w:rsidRPr="00C800B7" w:rsidRDefault="00D75382" w:rsidP="008B5699">
            <w:pPr>
              <w:pBdr>
                <w:top w:val="nil"/>
                <w:left w:val="nil"/>
                <w:bottom w:val="nil"/>
                <w:right w:val="nil"/>
                <w:between w:val="nil"/>
              </w:pBdr>
              <w:rPr>
                <w:b/>
                <w:bCs/>
                <w:sz w:val="20"/>
                <w:szCs w:val="20"/>
              </w:rPr>
            </w:pPr>
            <w:r w:rsidRPr="00C800B7">
              <w:rPr>
                <w:bCs/>
              </w:rPr>
              <w:t>Platform and Triage suppliers contribute evidence and recommendations to an annual review assessing maturity and growth of the service. This should support GC3's ability to review the vulnerability of HMG</w:t>
            </w:r>
          </w:p>
        </w:tc>
        <w:tc>
          <w:tcPr>
            <w:tcW w:w="2552" w:type="dxa"/>
            <w:vAlign w:val="center"/>
          </w:tcPr>
          <w:p w14:paraId="531DB5FF" w14:textId="77777777" w:rsidR="00D75382" w:rsidRPr="00C800B7" w:rsidRDefault="00D75382" w:rsidP="008B5699">
            <w:pPr>
              <w:pBdr>
                <w:top w:val="nil"/>
                <w:left w:val="nil"/>
                <w:bottom w:val="nil"/>
                <w:right w:val="nil"/>
                <w:between w:val="nil"/>
              </w:pBdr>
              <w:rPr>
                <w:b/>
                <w:bCs/>
                <w:sz w:val="20"/>
                <w:szCs w:val="20"/>
              </w:rPr>
            </w:pPr>
            <w:r w:rsidRPr="00C800B7">
              <w:rPr>
                <w:bCs/>
              </w:rPr>
              <w:t>Evidence collated throughout the year with an action plan at the start of building the Annual Review.</w:t>
            </w:r>
          </w:p>
        </w:tc>
        <w:tc>
          <w:tcPr>
            <w:tcW w:w="3005" w:type="dxa"/>
            <w:vAlign w:val="center"/>
          </w:tcPr>
          <w:p w14:paraId="35DBD55F" w14:textId="77777777" w:rsidR="00D75382" w:rsidRPr="00C800B7" w:rsidRDefault="00D75382" w:rsidP="008B5699">
            <w:pPr>
              <w:pBdr>
                <w:top w:val="nil"/>
                <w:left w:val="nil"/>
                <w:bottom w:val="nil"/>
                <w:right w:val="nil"/>
                <w:between w:val="nil"/>
              </w:pBdr>
              <w:rPr>
                <w:b/>
                <w:bCs/>
                <w:sz w:val="20"/>
                <w:szCs w:val="20"/>
              </w:rPr>
            </w:pPr>
            <w:r w:rsidRPr="00C800B7">
              <w:rPr>
                <w:bCs/>
              </w:rPr>
              <w:t>100% completion annually with action plan agreed and monitored</w:t>
            </w:r>
          </w:p>
        </w:tc>
      </w:tr>
    </w:tbl>
    <w:p w14:paraId="7B6699F9" w14:textId="77777777" w:rsidR="00D75382" w:rsidRDefault="00D75382" w:rsidP="00D75382"/>
    <w:p w14:paraId="2A2DED87" w14:textId="77777777" w:rsidR="00D75382" w:rsidRPr="009974ED" w:rsidRDefault="00D75382" w:rsidP="00D75382">
      <w:pPr>
        <w:pStyle w:val="ScheduleL2"/>
        <w:jc w:val="left"/>
      </w:pPr>
      <w:r w:rsidRPr="009974ED">
        <w:t>Attendance at contract review meetings shall be at the supplier’s own expense.  You may want to include when and how often meetings will take place.</w:t>
      </w:r>
    </w:p>
    <w:p w14:paraId="3EFE287D" w14:textId="77777777" w:rsidR="00D75382" w:rsidRPr="009974ED" w:rsidRDefault="00D75382" w:rsidP="00D75382"/>
    <w:sectPr w:rsidR="00D75382" w:rsidRPr="009974ED">
      <w:type w:val="continuous"/>
      <w:pgSz w:w="11910" w:h="16840"/>
      <w:pgMar w:top="6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13A07"/>
    <w:multiLevelType w:val="multilevel"/>
    <w:tmpl w:val="C31EE89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7F1225BD"/>
    <w:multiLevelType w:val="multilevel"/>
    <w:tmpl w:val="499EC19C"/>
    <w:lvl w:ilvl="0">
      <w:start w:val="1"/>
      <w:numFmt w:val="decimal"/>
      <w:pStyle w:val="ScheduleL1"/>
      <w:lvlText w:val="%1."/>
      <w:lvlJc w:val="left"/>
      <w:pPr>
        <w:ind w:left="720" w:hanging="720"/>
      </w:pPr>
      <w:rPr>
        <w:b/>
        <w:bCs/>
        <w:smallCaps w:val="0"/>
      </w:rPr>
    </w:lvl>
    <w:lvl w:ilvl="1">
      <w:start w:val="1"/>
      <w:numFmt w:val="decimal"/>
      <w:pStyle w:val="ScheduleL2"/>
      <w:lvlText w:val="%1.%2"/>
      <w:lvlJc w:val="left"/>
      <w:pPr>
        <w:ind w:left="720" w:hanging="720"/>
      </w:pPr>
      <w:rPr>
        <w:smallCaps w:val="0"/>
        <w:sz w:val="22"/>
        <w:szCs w:val="22"/>
      </w:rPr>
    </w:lvl>
    <w:lvl w:ilvl="2">
      <w:start w:val="1"/>
      <w:numFmt w:val="decimal"/>
      <w:pStyle w:val="ScheduleL3"/>
      <w:lvlText w:val="%1.%2.%3"/>
      <w:lvlJc w:val="left"/>
      <w:pPr>
        <w:ind w:left="1800" w:hanging="1080"/>
      </w:pPr>
      <w:rPr>
        <w:b w:val="0"/>
        <w:smallCaps w:val="0"/>
        <w:sz w:val="22"/>
        <w:szCs w:val="22"/>
      </w:rPr>
    </w:lvl>
    <w:lvl w:ilvl="3">
      <w:start w:val="1"/>
      <w:numFmt w:val="decimal"/>
      <w:pStyle w:val="ScheduleL4"/>
      <w:lvlText w:val="%1.%2.%3.%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F8"/>
    <w:rsid w:val="00155341"/>
    <w:rsid w:val="003F3EC1"/>
    <w:rsid w:val="0062713E"/>
    <w:rsid w:val="00D75382"/>
    <w:rsid w:val="00FB5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3245"/>
  <w15:docId w15:val="{DC7588F6-EA16-4DF3-AC80-FC72E03F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D75382"/>
    <w:pPr>
      <w:ind w:left="120"/>
      <w:outlineLvl w:val="0"/>
    </w:pPr>
    <w:rPr>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link w:val="Heading2Char"/>
    <w:uiPriority w:val="9"/>
    <w:unhideWhenUsed/>
    <w:qFormat/>
    <w:rsid w:val="00D75382"/>
    <w:pPr>
      <w:keepNext/>
      <w:keepLines/>
      <w:widowControl/>
      <w:autoSpaceDE/>
      <w:autoSpaceDN/>
      <w:spacing w:after="180" w:line="259" w:lineRule="auto"/>
      <w:ind w:left="557"/>
      <w:outlineLvl w:val="1"/>
    </w:pPr>
    <w:rPr>
      <w:rFonts w:ascii="Arial" w:eastAsia="Arial" w:hAnsi="Arial" w:cs="Arial"/>
      <w:b/>
      <w:color w:val="252D7C"/>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6"/>
      <w:ind w:left="100"/>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D75382"/>
    <w:rPr>
      <w:rFonts w:ascii="Arial" w:eastAsia="Arial" w:hAnsi="Arial" w:cs="Arial"/>
      <w:sz w:val="24"/>
      <w:szCs w:val="24"/>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D75382"/>
    <w:rPr>
      <w:rFonts w:ascii="Arial" w:eastAsia="Arial" w:hAnsi="Arial" w:cs="Arial"/>
      <w:b/>
      <w:color w:val="252D7C"/>
      <w:sz w:val="24"/>
      <w:lang w:val="en-GB" w:eastAsia="en-GB"/>
    </w:rPr>
  </w:style>
  <w:style w:type="paragraph" w:customStyle="1" w:styleId="ScheduleL1">
    <w:name w:val="Schedule L1"/>
    <w:basedOn w:val="Normal"/>
    <w:rsid w:val="00D75382"/>
    <w:pPr>
      <w:widowControl/>
      <w:numPr>
        <w:numId w:val="1"/>
      </w:numPr>
      <w:autoSpaceDE/>
      <w:autoSpaceDN/>
      <w:adjustRightInd w:val="0"/>
      <w:spacing w:after="240"/>
      <w:jc w:val="both"/>
      <w:outlineLvl w:val="0"/>
    </w:pPr>
    <w:rPr>
      <w:rFonts w:eastAsia="STZhongsong"/>
      <w:lang w:val="en-GB" w:eastAsia="zh-CN"/>
    </w:rPr>
  </w:style>
  <w:style w:type="paragraph" w:customStyle="1" w:styleId="ScheduleL2">
    <w:name w:val="Schedule L2"/>
    <w:basedOn w:val="Normal"/>
    <w:rsid w:val="00D75382"/>
    <w:pPr>
      <w:widowControl/>
      <w:numPr>
        <w:ilvl w:val="1"/>
        <w:numId w:val="1"/>
      </w:numPr>
      <w:autoSpaceDE/>
      <w:autoSpaceDN/>
      <w:adjustRightInd w:val="0"/>
      <w:spacing w:after="240"/>
      <w:jc w:val="both"/>
      <w:outlineLvl w:val="1"/>
    </w:pPr>
    <w:rPr>
      <w:rFonts w:eastAsia="STZhongsong"/>
      <w:lang w:val="en-GB" w:eastAsia="zh-CN"/>
    </w:rPr>
  </w:style>
  <w:style w:type="paragraph" w:customStyle="1" w:styleId="ScheduleL3">
    <w:name w:val="Schedule L3"/>
    <w:basedOn w:val="Normal"/>
    <w:rsid w:val="00D75382"/>
    <w:pPr>
      <w:widowControl/>
      <w:numPr>
        <w:ilvl w:val="2"/>
        <w:numId w:val="1"/>
      </w:numPr>
      <w:autoSpaceDE/>
      <w:autoSpaceDN/>
      <w:adjustRightInd w:val="0"/>
      <w:spacing w:after="240"/>
      <w:jc w:val="both"/>
      <w:outlineLvl w:val="2"/>
    </w:pPr>
    <w:rPr>
      <w:rFonts w:eastAsia="STZhongsong"/>
      <w:lang w:val="en-GB" w:eastAsia="zh-CN"/>
    </w:rPr>
  </w:style>
  <w:style w:type="paragraph" w:customStyle="1" w:styleId="ScheduleL4">
    <w:name w:val="Schedule L4"/>
    <w:basedOn w:val="Normal"/>
    <w:rsid w:val="00D75382"/>
    <w:pPr>
      <w:widowControl/>
      <w:numPr>
        <w:ilvl w:val="3"/>
        <w:numId w:val="1"/>
      </w:numPr>
      <w:autoSpaceDE/>
      <w:autoSpaceDN/>
      <w:adjustRightInd w:val="0"/>
      <w:spacing w:after="240"/>
      <w:jc w:val="both"/>
      <w:outlineLvl w:val="3"/>
    </w:pPr>
    <w:rPr>
      <w:rFonts w:eastAsia="STZhongsong"/>
      <w:lang w:val="en-GB" w:eastAsia="zh-CN"/>
    </w:rPr>
  </w:style>
  <w:style w:type="paragraph" w:customStyle="1" w:styleId="ScheduleL5">
    <w:name w:val="Schedule L5"/>
    <w:basedOn w:val="Normal"/>
    <w:rsid w:val="00D75382"/>
    <w:pPr>
      <w:widowControl/>
      <w:numPr>
        <w:ilvl w:val="4"/>
        <w:numId w:val="1"/>
      </w:numPr>
      <w:autoSpaceDE/>
      <w:autoSpaceDN/>
      <w:adjustRightInd w:val="0"/>
      <w:spacing w:after="240"/>
      <w:jc w:val="both"/>
      <w:outlineLvl w:val="4"/>
    </w:pPr>
    <w:rPr>
      <w:rFonts w:eastAsia="STZhongsong"/>
      <w:lang w:val="en-GB" w:eastAsia="zh-CN"/>
    </w:rPr>
  </w:style>
  <w:style w:type="paragraph" w:customStyle="1" w:styleId="ScheduleL6">
    <w:name w:val="Schedule L6"/>
    <w:basedOn w:val="Normal"/>
    <w:rsid w:val="00D75382"/>
    <w:pPr>
      <w:widowControl/>
      <w:numPr>
        <w:ilvl w:val="5"/>
        <w:numId w:val="1"/>
      </w:numPr>
      <w:autoSpaceDE/>
      <w:autoSpaceDN/>
      <w:adjustRightInd w:val="0"/>
      <w:spacing w:after="240"/>
      <w:jc w:val="both"/>
      <w:outlineLvl w:val="5"/>
    </w:pPr>
    <w:rPr>
      <w:rFonts w:eastAsia="STZhongsong"/>
      <w:lang w:val="en-GB" w:eastAsia="zh-CN"/>
    </w:rPr>
  </w:style>
  <w:style w:type="paragraph" w:customStyle="1" w:styleId="ScheduleL7">
    <w:name w:val="Schedule L7"/>
    <w:basedOn w:val="Normal"/>
    <w:rsid w:val="00D75382"/>
    <w:pPr>
      <w:widowControl/>
      <w:numPr>
        <w:ilvl w:val="6"/>
        <w:numId w:val="1"/>
      </w:numPr>
      <w:autoSpaceDE/>
      <w:autoSpaceDN/>
      <w:adjustRightInd w:val="0"/>
      <w:spacing w:after="240"/>
      <w:jc w:val="both"/>
      <w:outlineLvl w:val="6"/>
    </w:pPr>
    <w:rPr>
      <w:rFonts w:eastAsia="STZhongsong"/>
      <w:lang w:val="en-GB" w:eastAsia="zh-CN"/>
    </w:rPr>
  </w:style>
  <w:style w:type="paragraph" w:customStyle="1" w:styleId="ScheduleL8">
    <w:name w:val="Schedule L8"/>
    <w:basedOn w:val="Normal"/>
    <w:rsid w:val="00D75382"/>
    <w:pPr>
      <w:widowControl/>
      <w:numPr>
        <w:ilvl w:val="7"/>
        <w:numId w:val="1"/>
      </w:numPr>
      <w:autoSpaceDE/>
      <w:autoSpaceDN/>
      <w:adjustRightInd w:val="0"/>
      <w:spacing w:after="240"/>
      <w:jc w:val="both"/>
      <w:outlineLvl w:val="7"/>
    </w:pPr>
    <w:rPr>
      <w:rFonts w:eastAsia="STZhongsong"/>
      <w:lang w:val="en-GB" w:eastAsia="zh-CN"/>
    </w:rPr>
  </w:style>
  <w:style w:type="paragraph" w:customStyle="1" w:styleId="ScheduleL9">
    <w:name w:val="Schedule L9"/>
    <w:basedOn w:val="Normal"/>
    <w:rsid w:val="00D75382"/>
    <w:pPr>
      <w:widowControl/>
      <w:numPr>
        <w:ilvl w:val="8"/>
        <w:numId w:val="1"/>
      </w:numPr>
      <w:autoSpaceDE/>
      <w:autoSpaceDN/>
      <w:adjustRightInd w:val="0"/>
      <w:spacing w:after="240"/>
      <w:jc w:val="both"/>
      <w:outlineLvl w:val="8"/>
    </w:pPr>
    <w:rPr>
      <w:rFonts w:eastAsia="STZhongsong"/>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Lisa Gale</cp:lastModifiedBy>
  <cp:revision>2</cp:revision>
  <dcterms:created xsi:type="dcterms:W3CDTF">2026-01-08T16:30:00Z</dcterms:created>
  <dcterms:modified xsi:type="dcterms:W3CDTF">2026-01-08T16:30:00Z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2016</vt:lpwstr>
  </property>
  <property fmtid="{D5CDD505-2E9C-101B-9397-08002B2CF9AE}" pid="4" name="LastSaved">
    <vt:filetime>2024-12-09T00:00:00Z</vt:filetime>
  </property>
  <property fmtid="{D5CDD505-2E9C-101B-9397-08002B2CF9AE}" pid="5" name="Producer">
    <vt:lpwstr>iLovePDF</vt:lpwstr>
  </property>
</Properties>
</file>