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A776" w14:textId="77777777" w:rsidR="00CC5369" w:rsidRPr="003715BC" w:rsidRDefault="00CC5369" w:rsidP="00CC5369">
      <w:pPr>
        <w:pStyle w:val="Header"/>
        <w:tabs>
          <w:tab w:val="left" w:pos="709"/>
          <w:tab w:val="center" w:pos="4820"/>
          <w:tab w:val="right" w:pos="9639"/>
        </w:tabs>
        <w:spacing w:before="120"/>
        <w:ind w:right="-1"/>
        <w:rPr>
          <w:b/>
          <w:i/>
          <w:color w:val="C00000"/>
          <w:sz w:val="16"/>
          <w:szCs w:val="16"/>
        </w:rPr>
      </w:pPr>
      <w:r w:rsidRPr="003715BC">
        <w:rPr>
          <w:b/>
          <w:i/>
          <w:noProof/>
          <w:sz w:val="16"/>
          <w:szCs w:val="16"/>
          <w:lang w:eastAsia="en-GB"/>
        </w:rPr>
        <w:drawing>
          <wp:anchor distT="0" distB="0" distL="114300" distR="114300" simplePos="0" relativeHeight="251659264" behindDoc="0" locked="0" layoutInCell="1" allowOverlap="1" wp14:anchorId="585C0100" wp14:editId="5C9F466C">
            <wp:simplePos x="0" y="0"/>
            <wp:positionH relativeFrom="column">
              <wp:posOffset>5069417</wp:posOffset>
            </wp:positionH>
            <wp:positionV relativeFrom="paragraph">
              <wp:posOffset>26882</wp:posOffset>
            </wp:positionV>
            <wp:extent cx="852170" cy="448733"/>
            <wp:effectExtent l="19050" t="0" r="5080" b="0"/>
            <wp:wrapNone/>
            <wp:docPr id="5" name="Picture 0" descr="kppcont_038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ppcont_038956.gif"/>
                    <pic:cNvPicPr>
                      <a:picLocks noChangeAspect="1" noChangeArrowheads="1"/>
                    </pic:cNvPicPr>
                  </pic:nvPicPr>
                  <pic:blipFill>
                    <a:blip r:embed="rId7" cstate="print"/>
                    <a:srcRect/>
                    <a:stretch>
                      <a:fillRect/>
                    </a:stretch>
                  </pic:blipFill>
                  <pic:spPr bwMode="auto">
                    <a:xfrm>
                      <a:off x="0" y="0"/>
                      <a:ext cx="852170" cy="448733"/>
                    </a:xfrm>
                    <a:prstGeom prst="rect">
                      <a:avLst/>
                    </a:prstGeom>
                    <a:noFill/>
                    <a:ln w="9525">
                      <a:noFill/>
                      <a:miter lim="800000"/>
                      <a:headEnd/>
                      <a:tailEnd/>
                    </a:ln>
                  </pic:spPr>
                </pic:pic>
              </a:graphicData>
            </a:graphic>
          </wp:anchor>
        </w:drawing>
      </w:r>
      <w:r w:rsidR="00006901" w:rsidRPr="00324928">
        <w:rPr>
          <w:b/>
          <w:i/>
          <w:sz w:val="16"/>
          <w:szCs w:val="16"/>
        </w:rPr>
        <w:t>Project:</w:t>
      </w:r>
      <w:r w:rsidR="00006901">
        <w:rPr>
          <w:b/>
          <w:i/>
          <w:sz w:val="16"/>
          <w:szCs w:val="16"/>
        </w:rPr>
        <w:t xml:space="preserve"> </w:t>
      </w:r>
      <w:r w:rsidR="0078343D">
        <w:rPr>
          <w:b/>
          <w:i/>
          <w:noProof/>
          <w:sz w:val="16"/>
          <w:szCs w:val="16"/>
        </w:rPr>
        <w:t>Replacement and reconfiguration fuel storage and dispensing arrangement at Wakehurst</w:t>
      </w:r>
    </w:p>
    <w:p w14:paraId="549445EA" w14:textId="0057B08A" w:rsidR="00CC5369" w:rsidRPr="00A70D3C" w:rsidRDefault="0017576D" w:rsidP="00CC5369">
      <w:pPr>
        <w:pStyle w:val="Header"/>
        <w:tabs>
          <w:tab w:val="left" w:pos="709"/>
          <w:tab w:val="center" w:pos="4820"/>
          <w:tab w:val="right" w:pos="9639"/>
        </w:tabs>
        <w:spacing w:after="120"/>
        <w:ind w:right="-1"/>
        <w:rPr>
          <w:b/>
          <w:i/>
          <w:sz w:val="16"/>
          <w:szCs w:val="16"/>
        </w:rPr>
      </w:pPr>
      <w:r>
        <w:rPr>
          <w:b/>
          <w:i/>
          <w:sz w:val="16"/>
          <w:szCs w:val="16"/>
        </w:rPr>
        <w:t>PERFORMANCE</w:t>
      </w:r>
      <w:r w:rsidR="00C664C3" w:rsidRPr="00C664C3">
        <w:rPr>
          <w:b/>
          <w:i/>
          <w:sz w:val="16"/>
          <w:szCs w:val="16"/>
        </w:rPr>
        <w:t xml:space="preserve"> SPECIFICATION</w:t>
      </w:r>
    </w:p>
    <w:p w14:paraId="574AF900" w14:textId="77777777" w:rsidR="00CC5369" w:rsidRPr="00A70D3C" w:rsidRDefault="00006901" w:rsidP="00CC5369">
      <w:pPr>
        <w:pStyle w:val="Header"/>
        <w:pBdr>
          <w:bottom w:val="single" w:sz="4" w:space="1" w:color="auto"/>
        </w:pBdr>
        <w:tabs>
          <w:tab w:val="center" w:pos="4820"/>
          <w:tab w:val="right" w:pos="9639"/>
        </w:tabs>
        <w:spacing w:after="240"/>
        <w:rPr>
          <w:sz w:val="16"/>
          <w:szCs w:val="16"/>
        </w:rPr>
      </w:pPr>
      <w:r w:rsidRPr="00A70D3C">
        <w:rPr>
          <w:b/>
          <w:i/>
          <w:sz w:val="16"/>
          <w:szCs w:val="16"/>
        </w:rPr>
        <w:t>KEW PROCUREMENT REF NO. RBGKEW/</w:t>
      </w:r>
      <w:r w:rsidR="00642F2C" w:rsidRPr="00A70D3C">
        <w:rPr>
          <w:b/>
          <w:i/>
          <w:sz w:val="16"/>
          <w:szCs w:val="16"/>
        </w:rPr>
        <w:t>148</w:t>
      </w:r>
    </w:p>
    <w:p w14:paraId="723F4A6A" w14:textId="7D30C248" w:rsidR="00D81D95" w:rsidRPr="00802571" w:rsidRDefault="00D81D95" w:rsidP="000703B0">
      <w:pPr>
        <w:pStyle w:val="Heading3"/>
        <w:rPr>
          <w:rFonts w:ascii="Arial" w:hAnsi="Arial" w:cs="Arial"/>
          <w:szCs w:val="24"/>
        </w:rPr>
      </w:pPr>
      <w:r w:rsidRPr="00802571">
        <w:rPr>
          <w:rFonts w:ascii="Arial" w:hAnsi="Arial" w:cs="Arial"/>
          <w:szCs w:val="24"/>
        </w:rPr>
        <w:t xml:space="preserve">APPENDIX </w:t>
      </w:r>
      <w:r w:rsidR="00006901">
        <w:rPr>
          <w:rFonts w:ascii="Arial" w:hAnsi="Arial" w:cs="Arial"/>
          <w:szCs w:val="24"/>
        </w:rPr>
        <w:t>3B</w:t>
      </w:r>
      <w:r w:rsidR="009462A5" w:rsidRPr="00802571">
        <w:rPr>
          <w:rFonts w:ascii="Arial" w:hAnsi="Arial" w:cs="Arial"/>
          <w:szCs w:val="24"/>
        </w:rPr>
        <w:t xml:space="preserve">: </w:t>
      </w:r>
      <w:r w:rsidR="0017576D">
        <w:rPr>
          <w:rFonts w:ascii="Arial" w:hAnsi="Arial" w:cs="Arial"/>
          <w:szCs w:val="24"/>
        </w:rPr>
        <w:t>PERFORMANCE</w:t>
      </w:r>
      <w:r w:rsidR="00802571" w:rsidRPr="00802571">
        <w:rPr>
          <w:rFonts w:ascii="Arial" w:hAnsi="Arial" w:cs="Arial"/>
          <w:szCs w:val="24"/>
        </w:rPr>
        <w:t xml:space="preserve"> SPECIFICATION</w:t>
      </w:r>
    </w:p>
    <w:p w14:paraId="0116C769" w14:textId="77777777" w:rsidR="00006901" w:rsidRDefault="00006901" w:rsidP="00535DC8"/>
    <w:p w14:paraId="507A7332" w14:textId="77777777" w:rsidR="0017576D" w:rsidRDefault="00AF69CA" w:rsidP="0017576D">
      <w:pPr>
        <w:pStyle w:val="Heading1"/>
        <w:rPr>
          <w:rFonts w:ascii="Arial" w:hAnsi="Arial" w:cs="Arial"/>
          <w:sz w:val="20"/>
          <w:szCs w:val="20"/>
        </w:rPr>
      </w:pPr>
      <w:r w:rsidRPr="00AF69CA">
        <w:rPr>
          <w:rFonts w:ascii="Arial" w:hAnsi="Arial" w:cs="Arial"/>
          <w:sz w:val="20"/>
          <w:szCs w:val="20"/>
        </w:rPr>
        <w:t xml:space="preserve">ROYAL BOTANICAL GARDENS KEW </w:t>
      </w:r>
      <w:r>
        <w:rPr>
          <w:rFonts w:ascii="Arial" w:hAnsi="Arial" w:cs="Arial"/>
          <w:sz w:val="20"/>
          <w:szCs w:val="20"/>
        </w:rPr>
        <w:t>–</w:t>
      </w:r>
      <w:r w:rsidRPr="00AF69CA">
        <w:rPr>
          <w:rFonts w:ascii="Arial" w:hAnsi="Arial" w:cs="Arial"/>
          <w:sz w:val="20"/>
          <w:szCs w:val="20"/>
        </w:rPr>
        <w:t xml:space="preserve"> </w:t>
      </w:r>
      <w:r>
        <w:rPr>
          <w:rFonts w:ascii="Arial" w:hAnsi="Arial" w:cs="Arial"/>
          <w:sz w:val="20"/>
          <w:szCs w:val="20"/>
        </w:rPr>
        <w:t>WAKEHURST ARDINGLY</w:t>
      </w:r>
    </w:p>
    <w:p w14:paraId="227286FC" w14:textId="77777777" w:rsidR="00535DC8" w:rsidRPr="004029CE" w:rsidRDefault="00535DC8" w:rsidP="00535DC8">
      <w:pPr>
        <w:tabs>
          <w:tab w:val="left" w:pos="4230"/>
        </w:tabs>
      </w:pPr>
      <w:r>
        <w:tab/>
      </w:r>
    </w:p>
    <w:p w14:paraId="1EB142C6" w14:textId="77777777" w:rsidR="00535DC8" w:rsidRDefault="00535DC8" w:rsidP="00535DC8"/>
    <w:p w14:paraId="48813FBE" w14:textId="77777777" w:rsidR="002C5D80" w:rsidRDefault="002C5D80" w:rsidP="00535DC8"/>
    <w:p w14:paraId="21773C62" w14:textId="77777777" w:rsidR="002C5D80" w:rsidRDefault="002C5D80" w:rsidP="00535DC8"/>
    <w:p w14:paraId="765445B4" w14:textId="77777777" w:rsidR="002C5D80" w:rsidRDefault="002C5D80" w:rsidP="00535DC8"/>
    <w:p w14:paraId="1A02FCE2" w14:textId="77777777" w:rsidR="002C5D80" w:rsidRDefault="002C5D80" w:rsidP="00535DC8"/>
    <w:p w14:paraId="7FAC328E" w14:textId="77777777" w:rsidR="002C5D80" w:rsidRDefault="002C5D80" w:rsidP="00535DC8"/>
    <w:p w14:paraId="0C1C643B" w14:textId="77777777" w:rsidR="002C5D80" w:rsidRDefault="002C5D80" w:rsidP="00535DC8"/>
    <w:p w14:paraId="383DDB9D" w14:textId="77777777" w:rsidR="002C5D80" w:rsidRPr="004029CE" w:rsidRDefault="002C5D80" w:rsidP="00535DC8"/>
    <w:p w14:paraId="115B5583" w14:textId="77777777" w:rsidR="00535DC8" w:rsidRPr="004029CE" w:rsidRDefault="00535DC8" w:rsidP="00535DC8">
      <w:pPr>
        <w:rPr>
          <w:u w:val="single"/>
        </w:rPr>
      </w:pPr>
      <w:r>
        <w:rPr>
          <w:bCs/>
          <w:u w:val="single"/>
        </w:rPr>
        <w:t xml:space="preserve">ESTATE S </w:t>
      </w:r>
      <w:r w:rsidRPr="004029CE">
        <w:rPr>
          <w:bCs/>
          <w:u w:val="single"/>
        </w:rPr>
        <w:t>DEPARTMENT</w:t>
      </w:r>
      <w:r>
        <w:rPr>
          <w:bCs/>
          <w:u w:val="single"/>
        </w:rPr>
        <w:t xml:space="preserve"> (PROJECTS)</w:t>
      </w:r>
    </w:p>
    <w:p w14:paraId="77EC432D" w14:textId="77777777" w:rsidR="00535DC8" w:rsidRPr="004029CE" w:rsidRDefault="00535DC8" w:rsidP="00535DC8"/>
    <w:p w14:paraId="3DDA0537" w14:textId="77777777" w:rsidR="00535DC8" w:rsidRPr="004029CE" w:rsidRDefault="00535DC8" w:rsidP="00535DC8"/>
    <w:p w14:paraId="7006F029" w14:textId="6162FDC3" w:rsidR="00535DC8" w:rsidRPr="004029CE" w:rsidRDefault="00535DC8" w:rsidP="00535DC8">
      <w:pPr>
        <w:rPr>
          <w:bCs/>
        </w:rPr>
      </w:pPr>
      <w:r w:rsidRPr="004029CE">
        <w:rPr>
          <w:b/>
          <w:bCs/>
        </w:rPr>
        <w:t xml:space="preserve">Project:    </w:t>
      </w:r>
      <w:r w:rsidRPr="004029CE">
        <w:rPr>
          <w:b/>
          <w:bCs/>
        </w:rPr>
        <w:tab/>
      </w:r>
      <w:r w:rsidRPr="004029CE">
        <w:rPr>
          <w:bCs/>
        </w:rPr>
        <w:t xml:space="preserve">Replacement and re-configuration </w:t>
      </w:r>
      <w:r>
        <w:rPr>
          <w:bCs/>
        </w:rPr>
        <w:t>fuel storage and suspension arrangement</w:t>
      </w:r>
      <w:r w:rsidR="00FD25C5">
        <w:rPr>
          <w:bCs/>
        </w:rPr>
        <w:t xml:space="preserve"> at </w:t>
      </w:r>
      <w:r w:rsidR="00FD25C5">
        <w:rPr>
          <w:bCs/>
        </w:rPr>
        <w:tab/>
      </w:r>
      <w:r w:rsidR="00FD25C5">
        <w:rPr>
          <w:bCs/>
        </w:rPr>
        <w:tab/>
      </w:r>
      <w:r w:rsidR="00FD25C5">
        <w:rPr>
          <w:bCs/>
        </w:rPr>
        <w:tab/>
        <w:t>Wakehurst</w:t>
      </w:r>
    </w:p>
    <w:p w14:paraId="55384549" w14:textId="77777777" w:rsidR="00535DC8" w:rsidRDefault="00535DC8" w:rsidP="00535DC8">
      <w:pPr>
        <w:rPr>
          <w:b/>
          <w:bCs/>
        </w:rPr>
      </w:pPr>
    </w:p>
    <w:p w14:paraId="2DAE1F92" w14:textId="77777777" w:rsidR="00FD25C5" w:rsidRPr="004029CE" w:rsidRDefault="00FD25C5" w:rsidP="00535DC8">
      <w:pPr>
        <w:rPr>
          <w:b/>
          <w:bCs/>
        </w:rPr>
      </w:pPr>
    </w:p>
    <w:p w14:paraId="6AC6ED0A" w14:textId="4159821F" w:rsidR="00535DC8" w:rsidRPr="004029CE" w:rsidRDefault="00535DC8" w:rsidP="00535DC8">
      <w:pPr>
        <w:rPr>
          <w:b/>
        </w:rPr>
      </w:pPr>
      <w:r w:rsidRPr="004029CE">
        <w:rPr>
          <w:b/>
          <w:bCs/>
        </w:rPr>
        <w:t>Activity:</w:t>
      </w:r>
      <w:r w:rsidRPr="004029CE">
        <w:rPr>
          <w:b/>
          <w:bCs/>
        </w:rPr>
        <w:tab/>
      </w:r>
      <w:r>
        <w:rPr>
          <w:bCs/>
        </w:rPr>
        <w:t xml:space="preserve">Appointment specialist design and build </w:t>
      </w:r>
      <w:r w:rsidR="003F0BDC">
        <w:rPr>
          <w:bCs/>
        </w:rPr>
        <w:t>Contractor</w:t>
      </w:r>
      <w:r>
        <w:rPr>
          <w:bCs/>
        </w:rPr>
        <w:t xml:space="preserve"> for implementation of the project</w:t>
      </w:r>
    </w:p>
    <w:p w14:paraId="6C808B92" w14:textId="77777777" w:rsidR="00535DC8" w:rsidRPr="004029CE" w:rsidRDefault="00535DC8" w:rsidP="00535DC8">
      <w:pPr>
        <w:rPr>
          <w:b/>
          <w:bCs/>
        </w:rPr>
      </w:pPr>
    </w:p>
    <w:p w14:paraId="1A775275" w14:textId="77777777" w:rsidR="00535DC8" w:rsidRPr="004029CE" w:rsidRDefault="00757581" w:rsidP="00535DC8">
      <w:pPr>
        <w:rPr>
          <w:bCs/>
        </w:rPr>
      </w:pPr>
      <w:r>
        <w:rPr>
          <w:bCs/>
          <w:noProof/>
          <w:lang w:eastAsia="en-GB"/>
        </w:rPr>
        <w:pict w14:anchorId="655D8CE0">
          <v:shapetype id="_x0000_t32" coordsize="21600,21600" o:spt="32" o:oned="t" path="m,l21600,21600e" filled="f">
            <v:path arrowok="t" fillok="f" o:connecttype="none"/>
            <o:lock v:ext="edit" shapetype="t"/>
          </v:shapetype>
          <v:shape id="_x0000_s1033" type="#_x0000_t32" style="position:absolute;margin-left:55.3pt;margin-top:7.5pt;width:398.25pt;height:0;z-index:251664384" o:connectortype="straight"/>
        </w:pict>
      </w:r>
    </w:p>
    <w:p w14:paraId="6EA31410" w14:textId="77777777" w:rsidR="00535DC8" w:rsidRPr="004029CE" w:rsidRDefault="00535DC8" w:rsidP="00535DC8">
      <w:pPr>
        <w:rPr>
          <w:bCs/>
        </w:rPr>
      </w:pPr>
    </w:p>
    <w:p w14:paraId="0145A78C" w14:textId="77777777" w:rsidR="00535DC8" w:rsidRPr="004029CE" w:rsidRDefault="00535DC8" w:rsidP="00535DC8">
      <w:pPr>
        <w:rPr>
          <w:bCs/>
        </w:rPr>
      </w:pPr>
    </w:p>
    <w:p w14:paraId="6839518A" w14:textId="77777777" w:rsidR="00535DC8" w:rsidRPr="004029CE" w:rsidRDefault="00535DC8" w:rsidP="00535DC8">
      <w:pPr>
        <w:rPr>
          <w:bCs/>
        </w:rPr>
      </w:pPr>
    </w:p>
    <w:p w14:paraId="79FA175D" w14:textId="77777777" w:rsidR="00535DC8" w:rsidRPr="004029CE" w:rsidRDefault="00535DC8" w:rsidP="00535DC8">
      <w:pPr>
        <w:jc w:val="both"/>
      </w:pPr>
    </w:p>
    <w:p w14:paraId="0A5F363C" w14:textId="77777777" w:rsidR="00535DC8" w:rsidRPr="004029CE" w:rsidRDefault="00535DC8" w:rsidP="00535DC8">
      <w:pPr>
        <w:rPr>
          <w:b/>
          <w:bCs/>
          <w:smallCaps/>
        </w:rPr>
      </w:pPr>
      <w:r w:rsidRPr="004029CE">
        <w:rPr>
          <w:bCs/>
        </w:rPr>
        <w:tab/>
      </w:r>
      <w:r w:rsidRPr="004029CE">
        <w:rPr>
          <w:b/>
          <w:bCs/>
          <w:smallCaps/>
        </w:rPr>
        <w:t>CONTENTS</w:t>
      </w:r>
    </w:p>
    <w:p w14:paraId="01B0618F" w14:textId="77777777" w:rsidR="00535DC8" w:rsidRPr="004029CE" w:rsidRDefault="00535DC8" w:rsidP="00535DC8">
      <w:pPr>
        <w:jc w:val="both"/>
        <w:rPr>
          <w:bCs/>
        </w:rPr>
      </w:pPr>
    </w:p>
    <w:p w14:paraId="669B628B" w14:textId="77777777" w:rsidR="00535DC8" w:rsidRPr="004029CE" w:rsidRDefault="00535DC8" w:rsidP="00535DC8">
      <w:pPr>
        <w:jc w:val="both"/>
        <w:rPr>
          <w:bCs/>
        </w:rPr>
      </w:pPr>
    </w:p>
    <w:p w14:paraId="72206628" w14:textId="77777777" w:rsidR="00535DC8" w:rsidRPr="004029CE" w:rsidRDefault="00535DC8" w:rsidP="00535DC8">
      <w:pPr>
        <w:jc w:val="both"/>
        <w:rPr>
          <w:bCs/>
        </w:rPr>
      </w:pPr>
    </w:p>
    <w:p w14:paraId="5FFC0072" w14:textId="77777777" w:rsidR="00535DC8" w:rsidRPr="004029CE" w:rsidRDefault="00535DC8" w:rsidP="00535DC8">
      <w:pPr>
        <w:jc w:val="both"/>
        <w:rPr>
          <w:bCs/>
          <w:smallCaps/>
        </w:rPr>
      </w:pPr>
      <w:r w:rsidRPr="004029CE">
        <w:rPr>
          <w:bCs/>
          <w:smallCaps/>
        </w:rPr>
        <w:t>1.0</w:t>
      </w:r>
      <w:r w:rsidRPr="004029CE">
        <w:rPr>
          <w:bCs/>
          <w:smallCaps/>
        </w:rPr>
        <w:tab/>
        <w:t>INTRODUCTION</w:t>
      </w:r>
    </w:p>
    <w:p w14:paraId="61A9EF40" w14:textId="77777777" w:rsidR="00535DC8" w:rsidRPr="004029CE" w:rsidRDefault="00535DC8" w:rsidP="00535DC8">
      <w:pPr>
        <w:jc w:val="both"/>
        <w:rPr>
          <w:bCs/>
          <w:smallCaps/>
        </w:rPr>
      </w:pPr>
    </w:p>
    <w:p w14:paraId="4F4C6249" w14:textId="77777777" w:rsidR="00535DC8" w:rsidRPr="004029CE" w:rsidRDefault="00535DC8" w:rsidP="00535DC8">
      <w:pPr>
        <w:jc w:val="both"/>
        <w:rPr>
          <w:bCs/>
          <w:smallCaps/>
        </w:rPr>
      </w:pPr>
      <w:r w:rsidRPr="004029CE">
        <w:rPr>
          <w:bCs/>
          <w:smallCaps/>
        </w:rPr>
        <w:t>2.0</w:t>
      </w:r>
      <w:r w:rsidRPr="004029CE">
        <w:rPr>
          <w:bCs/>
          <w:smallCaps/>
        </w:rPr>
        <w:tab/>
        <w:t>INFORMATION TO BE PROVIDED</w:t>
      </w:r>
      <w:r>
        <w:rPr>
          <w:bCs/>
          <w:smallCaps/>
        </w:rPr>
        <w:t xml:space="preserve"> BY RBGK</w:t>
      </w:r>
    </w:p>
    <w:p w14:paraId="5BF3C9C3" w14:textId="77777777" w:rsidR="00535DC8" w:rsidRPr="004029CE" w:rsidRDefault="00535DC8" w:rsidP="00535DC8">
      <w:pPr>
        <w:jc w:val="both"/>
        <w:rPr>
          <w:bCs/>
          <w:smallCaps/>
        </w:rPr>
      </w:pPr>
    </w:p>
    <w:p w14:paraId="3290302E" w14:textId="6BCEF7E1" w:rsidR="00535DC8" w:rsidRPr="004029CE" w:rsidRDefault="00EA007C" w:rsidP="00535DC8">
      <w:pPr>
        <w:jc w:val="both"/>
        <w:rPr>
          <w:bCs/>
          <w:smallCaps/>
        </w:rPr>
      </w:pPr>
      <w:r>
        <w:rPr>
          <w:bCs/>
          <w:smallCaps/>
        </w:rPr>
        <w:t>3</w:t>
      </w:r>
      <w:r w:rsidR="00535DC8">
        <w:rPr>
          <w:bCs/>
          <w:smallCaps/>
        </w:rPr>
        <w:t>.0</w:t>
      </w:r>
      <w:r w:rsidR="00535DC8">
        <w:rPr>
          <w:bCs/>
          <w:smallCaps/>
        </w:rPr>
        <w:tab/>
        <w:t xml:space="preserve">SERVICES </w:t>
      </w:r>
      <w:r w:rsidR="00535DC8" w:rsidRPr="004029CE">
        <w:rPr>
          <w:bCs/>
          <w:smallCaps/>
        </w:rPr>
        <w:t xml:space="preserve"> REQUIRED</w:t>
      </w:r>
    </w:p>
    <w:p w14:paraId="60953597" w14:textId="77777777" w:rsidR="00535DC8" w:rsidRPr="004029CE" w:rsidRDefault="00535DC8" w:rsidP="00535DC8">
      <w:pPr>
        <w:jc w:val="both"/>
        <w:rPr>
          <w:bCs/>
          <w:smallCaps/>
        </w:rPr>
      </w:pPr>
    </w:p>
    <w:p w14:paraId="4862144E" w14:textId="77777777" w:rsidR="00535DC8" w:rsidRPr="004029CE" w:rsidRDefault="00535DC8" w:rsidP="00535DC8">
      <w:pPr>
        <w:jc w:val="both"/>
        <w:rPr>
          <w:bCs/>
          <w:smallCaps/>
        </w:rPr>
      </w:pPr>
    </w:p>
    <w:p w14:paraId="3F091F7F" w14:textId="77777777" w:rsidR="00535DC8" w:rsidRPr="004029CE" w:rsidRDefault="00535DC8" w:rsidP="00535DC8">
      <w:pPr>
        <w:rPr>
          <w:b/>
          <w:bCs/>
        </w:rPr>
      </w:pPr>
      <w:bookmarkStart w:id="0" w:name="_GoBack"/>
      <w:bookmarkEnd w:id="0"/>
      <w:r w:rsidRPr="004029CE">
        <w:rPr>
          <w:b/>
          <w:bCs/>
        </w:rPr>
        <w:br w:type="page"/>
        <w:t>1.0</w:t>
      </w:r>
      <w:r w:rsidRPr="004029CE">
        <w:rPr>
          <w:b/>
          <w:bCs/>
        </w:rPr>
        <w:tab/>
        <w:t>INTRODUCTION</w:t>
      </w:r>
    </w:p>
    <w:p w14:paraId="5C0A2AD2" w14:textId="77777777" w:rsidR="00535DC8" w:rsidRPr="004029CE" w:rsidRDefault="00535DC8" w:rsidP="00535DC8">
      <w:pPr>
        <w:rPr>
          <w:b/>
          <w:bCs/>
        </w:rPr>
      </w:pPr>
    </w:p>
    <w:p w14:paraId="0D199268" w14:textId="17443114" w:rsidR="00535DC8" w:rsidRPr="004029CE" w:rsidRDefault="00927104" w:rsidP="00FD25C5">
      <w:pPr>
        <w:ind w:left="709"/>
        <w:rPr>
          <w:b/>
          <w:bCs/>
        </w:rPr>
      </w:pPr>
      <w:r>
        <w:rPr>
          <w:b/>
          <w:bCs/>
        </w:rPr>
        <w:t>Site and installation Details</w:t>
      </w:r>
    </w:p>
    <w:p w14:paraId="48C663B4" w14:textId="1F5E572D" w:rsidR="00535DC8" w:rsidRDefault="00927104" w:rsidP="00FD25C5">
      <w:pPr>
        <w:ind w:left="709"/>
        <w:jc w:val="both"/>
      </w:pPr>
      <w:r>
        <w:t>W</w:t>
      </w:r>
      <w:r w:rsidR="00535DC8">
        <w:t>akehurst</w:t>
      </w:r>
      <w:r w:rsidR="00535DC8" w:rsidRPr="00C92ABB">
        <w:t xml:space="preserve"> is owned by the National Trust but leased to and operated by the Royal Botanic Gardens, Kew (RBG). </w:t>
      </w:r>
      <w:r w:rsidR="00535DC8">
        <w:tab/>
      </w:r>
      <w:r w:rsidR="00535DC8" w:rsidRPr="00C92ABB">
        <w:t xml:space="preserve">The site includes petroleum storage and dispensing equipment used for the refuelling of equipment and </w:t>
      </w:r>
      <w:r w:rsidR="00535DC8">
        <w:tab/>
      </w:r>
      <w:r w:rsidR="00535DC8" w:rsidRPr="00C92ABB">
        <w:t>vehicles</w:t>
      </w:r>
      <w:r w:rsidR="00535DC8">
        <w:t>. The Environment Agency has visited site last year and found inconsi</w:t>
      </w:r>
      <w:r>
        <w:t xml:space="preserve">stencies in the circulation of </w:t>
      </w:r>
      <w:r w:rsidR="00535DC8">
        <w:t>quantities of fuel. The fuel tanks were tested for leaks in September 2014 and found to be leak</w:t>
      </w:r>
      <w:r>
        <w:t xml:space="preserve"> free. In broad </w:t>
      </w:r>
      <w:r w:rsidR="00535DC8">
        <w:t>terms t</w:t>
      </w:r>
      <w:r w:rsidR="00535DC8" w:rsidRPr="00C92ABB">
        <w:t>he installation comprises a 5000L underground storage tank</w:t>
      </w:r>
      <w:r w:rsidR="00535DC8">
        <w:t xml:space="preserve"> for petrol</w:t>
      </w:r>
      <w:r w:rsidR="00535DC8" w:rsidRPr="00C92ABB">
        <w:t xml:space="preserve"> and </w:t>
      </w:r>
      <w:r>
        <w:t xml:space="preserve">a 5000L tank for diesel with </w:t>
      </w:r>
      <w:r w:rsidR="00535DC8" w:rsidRPr="00C92ABB">
        <w:t xml:space="preserve">outdoor </w:t>
      </w:r>
      <w:r w:rsidR="00535DC8">
        <w:t>dispensers.</w:t>
      </w:r>
    </w:p>
    <w:p w14:paraId="1C0180DB" w14:textId="77777777" w:rsidR="007C51D4" w:rsidRPr="00927104" w:rsidRDefault="007C51D4" w:rsidP="00FD25C5">
      <w:pPr>
        <w:ind w:left="709"/>
        <w:jc w:val="both"/>
      </w:pPr>
    </w:p>
    <w:p w14:paraId="7DEBCD26" w14:textId="01432CAC" w:rsidR="00535DC8" w:rsidRPr="00724936" w:rsidRDefault="00535DC8" w:rsidP="00FD25C5">
      <w:pPr>
        <w:ind w:left="709"/>
        <w:rPr>
          <w:b/>
        </w:rPr>
      </w:pPr>
      <w:r>
        <w:rPr>
          <w:b/>
        </w:rPr>
        <w:t xml:space="preserve">Current situation, </w:t>
      </w:r>
      <w:r w:rsidRPr="00724936">
        <w:rPr>
          <w:b/>
        </w:rPr>
        <w:t>procedures, protocols and proceedings</w:t>
      </w:r>
    </w:p>
    <w:p w14:paraId="5A2A260F" w14:textId="00B90770" w:rsidR="00535DC8" w:rsidRDefault="00535DC8" w:rsidP="00FD25C5">
      <w:pPr>
        <w:ind w:left="709"/>
      </w:pPr>
      <w:r w:rsidRPr="00C92ABB">
        <w:t>Daily wet stock reconciliation</w:t>
      </w:r>
      <w:r>
        <w:t xml:space="preserve"> (manually on a sheet of paper)</w:t>
      </w:r>
      <w:r w:rsidRPr="00C92ABB">
        <w:t xml:space="preserve"> is carried out to reduce the risk of an undetected leak.</w:t>
      </w:r>
      <w:r>
        <w:t xml:space="preserve"> An electronic fuel management system with user ID must be installed to</w:t>
      </w:r>
      <w:r w:rsidR="007C51D4">
        <w:t xml:space="preserve"> bring the desired improvement </w:t>
      </w:r>
      <w:r>
        <w:t>and accuracy. T</w:t>
      </w:r>
      <w:r w:rsidRPr="00C92ABB">
        <w:t xml:space="preserve">he diesel and petrol tanks are 38 years old and in several respects do not meet current </w:t>
      </w:r>
      <w:r>
        <w:t xml:space="preserve">standards. </w:t>
      </w:r>
    </w:p>
    <w:p w14:paraId="555EF7CD" w14:textId="77777777" w:rsidR="007C51D4" w:rsidRDefault="007C51D4" w:rsidP="00FD25C5">
      <w:pPr>
        <w:ind w:left="709"/>
      </w:pPr>
    </w:p>
    <w:p w14:paraId="750A5E87" w14:textId="14C8A732" w:rsidR="00535DC8" w:rsidRDefault="00535DC8" w:rsidP="00FD25C5">
      <w:pPr>
        <w:ind w:left="709"/>
      </w:pPr>
      <w:r>
        <w:t>P</w:t>
      </w:r>
      <w:r w:rsidRPr="00EB5E63">
        <w:t xml:space="preserve">etroleum storage at the site was licensed </w:t>
      </w:r>
      <w:r>
        <w:t xml:space="preserve">in 1976 </w:t>
      </w:r>
      <w:r w:rsidRPr="00EB5E63">
        <w:t>by West Sussex County Council Trading Standards Service under the Petroleum (Consolidation) Act 1928.</w:t>
      </w:r>
      <w:r>
        <w:t xml:space="preserve"> </w:t>
      </w:r>
      <w:r w:rsidRPr="00C92ABB">
        <w:t>The existing license for this site expires on 31st May 2016 and w</w:t>
      </w:r>
      <w:r w:rsidR="007C51D4">
        <w:t xml:space="preserve">ill </w:t>
      </w:r>
      <w:r>
        <w:t>remain in force until then. It is anticipated that the current arrangement will b</w:t>
      </w:r>
      <w:r w:rsidR="007C51D4">
        <w:t xml:space="preserve">e replaced and improved in its </w:t>
      </w:r>
      <w:r>
        <w:t xml:space="preserve">entirety as soon as possible , and has been accelerated  to take place summer </w:t>
      </w:r>
      <w:r w:rsidR="007C51D4">
        <w:t xml:space="preserve">2015, well ahead of the expiry </w:t>
      </w:r>
      <w:r>
        <w:t>date.</w:t>
      </w:r>
    </w:p>
    <w:p w14:paraId="70C2D91E" w14:textId="77777777" w:rsidR="007C51D4" w:rsidRDefault="007C51D4" w:rsidP="00FD25C5">
      <w:pPr>
        <w:ind w:left="709"/>
      </w:pPr>
    </w:p>
    <w:p w14:paraId="13240342" w14:textId="7E103753" w:rsidR="00535DC8" w:rsidRPr="000F629E" w:rsidRDefault="00535DC8" w:rsidP="00FD25C5">
      <w:pPr>
        <w:ind w:left="709"/>
      </w:pPr>
      <w:r w:rsidRPr="00607E89">
        <w:t>Under the new</w:t>
      </w:r>
      <w:r>
        <w:t xml:space="preserve"> (PCR)</w:t>
      </w:r>
      <w:r w:rsidRPr="00607E89">
        <w:t xml:space="preserve"> regulations the fuel license will be replaced by a storage certificate automatically when there are no changes </w:t>
      </w:r>
      <w:r>
        <w:t xml:space="preserve">(prescribed material changes) </w:t>
      </w:r>
      <w:r w:rsidRPr="00607E89">
        <w:t xml:space="preserve">to the configuration. </w:t>
      </w:r>
      <w:r>
        <w:t>However a</w:t>
      </w:r>
      <w:r w:rsidRPr="00607E89">
        <w:t xml:space="preserve">s the current installation will </w:t>
      </w:r>
      <w:r>
        <w:tab/>
      </w:r>
      <w:r w:rsidRPr="00607E89">
        <w:t xml:space="preserve">be </w:t>
      </w:r>
      <w:r>
        <w:t>changed</w:t>
      </w:r>
      <w:r w:rsidRPr="00607E89">
        <w:t xml:space="preserve"> there will be a requirement to apply for a new storage certificate</w:t>
      </w:r>
      <w:r>
        <w:t>. A</w:t>
      </w:r>
      <w:r w:rsidRPr="00607E89">
        <w:t>pplication for the new certificate w</w:t>
      </w:r>
      <w:r>
        <w:t xml:space="preserve">ill form part of the </w:t>
      </w:r>
      <w:r w:rsidR="003F0BDC">
        <w:t>Contractor</w:t>
      </w:r>
      <w:r>
        <w:t>s</w:t>
      </w:r>
      <w:r w:rsidRPr="00607E89">
        <w:t xml:space="preserve"> works in relation to this brief</w:t>
      </w:r>
      <w:r w:rsidRPr="000F629E">
        <w:t>. Prescribed material changes must be notified to the petroleum enforcement aut</w:t>
      </w:r>
      <w:r w:rsidR="00927104">
        <w:t xml:space="preserve">hority at least 28 days before </w:t>
      </w:r>
      <w:r w:rsidRPr="000F629E">
        <w:t>commencement.</w:t>
      </w:r>
    </w:p>
    <w:p w14:paraId="679DB545" w14:textId="77777777" w:rsidR="00535DC8" w:rsidRDefault="00535DC8" w:rsidP="00FD25C5">
      <w:pPr>
        <w:ind w:left="709"/>
      </w:pPr>
      <w:r>
        <w:tab/>
      </w:r>
    </w:p>
    <w:p w14:paraId="283FFE0C" w14:textId="5B9405D7" w:rsidR="00535DC8" w:rsidRPr="004029CE" w:rsidRDefault="00535DC8" w:rsidP="00FD25C5">
      <w:pPr>
        <w:ind w:left="709"/>
        <w:rPr>
          <w:b/>
        </w:rPr>
      </w:pPr>
      <w:r>
        <w:rPr>
          <w:b/>
        </w:rPr>
        <w:t>The next step</w:t>
      </w:r>
    </w:p>
    <w:p w14:paraId="3A01CE01" w14:textId="1A93AE3D" w:rsidR="00535DC8" w:rsidRDefault="00535DC8" w:rsidP="00FD25C5">
      <w:pPr>
        <w:ind w:left="709"/>
        <w:rPr>
          <w:color w:val="000000"/>
        </w:rPr>
      </w:pPr>
      <w:r>
        <w:t>RBG Kew</w:t>
      </w:r>
      <w:r w:rsidRPr="004029CE">
        <w:t xml:space="preserve"> seeks to appoint a </w:t>
      </w:r>
      <w:r>
        <w:t xml:space="preserve">Design and Build </w:t>
      </w:r>
      <w:r w:rsidR="003F0BDC">
        <w:t>Contractor</w:t>
      </w:r>
      <w:r>
        <w:t xml:space="preserve"> </w:t>
      </w:r>
      <w:r w:rsidRPr="004029CE">
        <w:rPr>
          <w:color w:val="000000"/>
        </w:rPr>
        <w:t xml:space="preserve">to undertake </w:t>
      </w:r>
      <w:r>
        <w:rPr>
          <w:color w:val="000000"/>
        </w:rPr>
        <w:t xml:space="preserve">implementation of this replacement project in full including management, </w:t>
      </w:r>
      <w:r w:rsidRPr="004029CE">
        <w:rPr>
          <w:color w:val="000000"/>
        </w:rPr>
        <w:t>detaile</w:t>
      </w:r>
      <w:r>
        <w:rPr>
          <w:color w:val="000000"/>
        </w:rPr>
        <w:t>d design and specification for replacement of the current installation with new. The appointment includes</w:t>
      </w:r>
      <w:r w:rsidRPr="004029CE">
        <w:rPr>
          <w:color w:val="000000"/>
        </w:rPr>
        <w:t xml:space="preserve"> any studies, appraisals, investigations, contract administration and construction monitoring.</w:t>
      </w:r>
      <w:r>
        <w:rPr>
          <w:color w:val="000000"/>
        </w:rPr>
        <w:t xml:space="preserve"> </w:t>
      </w:r>
    </w:p>
    <w:p w14:paraId="3687D138" w14:textId="77777777" w:rsidR="007C51D4" w:rsidRDefault="007C51D4" w:rsidP="00FD25C5">
      <w:pPr>
        <w:ind w:left="709"/>
        <w:rPr>
          <w:color w:val="000000"/>
        </w:rPr>
      </w:pPr>
    </w:p>
    <w:p w14:paraId="6CECF5FA" w14:textId="13722C03" w:rsidR="00535DC8" w:rsidRPr="00654CB5" w:rsidRDefault="00535DC8" w:rsidP="00FD25C5">
      <w:pPr>
        <w:ind w:left="709"/>
        <w:jc w:val="both"/>
      </w:pPr>
      <w:r w:rsidRPr="00654CB5">
        <w:t>The scope of the project includes for the design and construction of a replacement fuel dispensing facility (petrol and diesel) to the north east of the tractor sheds on site. The new arrangement will be installed in approximately the same area as the existing. It is envisaged that the existing tanks and dispensing systems will be removed and discarded of as part of this project. The current tank arrangement comprises two separate tanks for diesel and petrol. The new tank will be a double skin tank with an internal partition to separate both fuel types and will be fitted with a class 1 leak detection system. Each fuel type will have a 3500litre capacity</w:t>
      </w:r>
      <w:r w:rsidR="007C51D4">
        <w:t xml:space="preserve"> in the new configuration</w:t>
      </w:r>
      <w:r w:rsidR="00927104">
        <w:t>.</w:t>
      </w:r>
      <w:r w:rsidRPr="00654CB5">
        <w:t xml:space="preserve"> The new combined tank will be fitted subsoil as per the existing.</w:t>
      </w:r>
      <w:r w:rsidR="00927104">
        <w:t xml:space="preserve"> Discussion have been had with Wakehurst management regarding the interim period when the installation is taken out of use.It is anticipated that this can be managed through alternative means. Confirmation will be provided in the pre-contract meeting.</w:t>
      </w:r>
    </w:p>
    <w:p w14:paraId="59A56F08" w14:textId="2DB48063" w:rsidR="00535DC8" w:rsidRDefault="00535DC8" w:rsidP="00FD25C5">
      <w:pPr>
        <w:ind w:left="709"/>
        <w:jc w:val="both"/>
      </w:pPr>
      <w:r w:rsidRPr="008966FB">
        <w:t>The works to be tendered are to meet the objectives of t</w:t>
      </w:r>
      <w:r w:rsidR="00FD25C5">
        <w:t>he project which are as follows:</w:t>
      </w:r>
    </w:p>
    <w:p w14:paraId="76797CC5" w14:textId="77777777" w:rsidR="00FD25C5" w:rsidRPr="008966FB" w:rsidRDefault="00FD25C5" w:rsidP="007C51D4">
      <w:pPr>
        <w:ind w:left="709"/>
        <w:jc w:val="both"/>
      </w:pPr>
    </w:p>
    <w:p w14:paraId="519BA521" w14:textId="6DD06FD1" w:rsidR="008966FB" w:rsidRDefault="00535DC8" w:rsidP="007C51D4">
      <w:pPr>
        <w:pStyle w:val="ListParagraph"/>
        <w:numPr>
          <w:ilvl w:val="0"/>
          <w:numId w:val="7"/>
        </w:numPr>
        <w:spacing w:after="120"/>
        <w:ind w:left="709" w:firstLine="0"/>
        <w:jc w:val="both"/>
        <w:rPr>
          <w:rFonts w:ascii="Arial" w:hAnsi="Arial" w:cs="Arial"/>
          <w:sz w:val="20"/>
          <w:szCs w:val="20"/>
        </w:rPr>
      </w:pPr>
      <w:r w:rsidRPr="008966FB">
        <w:rPr>
          <w:rFonts w:ascii="Arial" w:hAnsi="Arial" w:cs="Arial"/>
          <w:sz w:val="20"/>
          <w:szCs w:val="20"/>
        </w:rPr>
        <w:t xml:space="preserve">To install a fuel storage arrangement that is robust, and in full compliance with the latest </w:t>
      </w:r>
      <w:r w:rsidR="00FD25C5">
        <w:rPr>
          <w:rFonts w:ascii="Arial" w:hAnsi="Arial" w:cs="Arial"/>
          <w:sz w:val="20"/>
          <w:szCs w:val="20"/>
        </w:rPr>
        <w:tab/>
      </w:r>
      <w:r w:rsidR="008966FB">
        <w:rPr>
          <w:rFonts w:ascii="Arial" w:hAnsi="Arial" w:cs="Arial"/>
          <w:sz w:val="20"/>
          <w:szCs w:val="20"/>
        </w:rPr>
        <w:tab/>
      </w:r>
      <w:r w:rsidRPr="008966FB">
        <w:rPr>
          <w:rFonts w:ascii="Arial" w:hAnsi="Arial" w:cs="Arial"/>
          <w:sz w:val="20"/>
          <w:szCs w:val="20"/>
        </w:rPr>
        <w:t xml:space="preserve">regulations in regard to health and safety, and fuel management legislation, regulations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 xml:space="preserve">and recommendations, both in relation to installation (APEA Blue Book) and </w:t>
      </w:r>
      <w:r w:rsidR="00FD25C5">
        <w:rPr>
          <w:rFonts w:ascii="Arial" w:hAnsi="Arial" w:cs="Arial"/>
          <w:sz w:val="20"/>
          <w:szCs w:val="20"/>
        </w:rPr>
        <w:tab/>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management (PELG Red Guide)</w:t>
      </w:r>
    </w:p>
    <w:p w14:paraId="32076607" w14:textId="77777777" w:rsidR="008966FB" w:rsidRPr="008966FB" w:rsidRDefault="008966FB" w:rsidP="007C51D4">
      <w:pPr>
        <w:pStyle w:val="ListParagraph"/>
        <w:spacing w:after="120"/>
        <w:ind w:left="709"/>
        <w:jc w:val="both"/>
        <w:rPr>
          <w:rFonts w:ascii="Arial" w:hAnsi="Arial" w:cs="Arial"/>
          <w:sz w:val="20"/>
          <w:szCs w:val="20"/>
        </w:rPr>
      </w:pPr>
    </w:p>
    <w:p w14:paraId="432F080F" w14:textId="10984F1B" w:rsidR="00FD25C5" w:rsidRDefault="00535DC8" w:rsidP="007C51D4">
      <w:pPr>
        <w:pStyle w:val="ListParagraph"/>
        <w:numPr>
          <w:ilvl w:val="0"/>
          <w:numId w:val="7"/>
        </w:numPr>
        <w:spacing w:after="120"/>
        <w:ind w:left="709" w:firstLine="0"/>
        <w:jc w:val="both"/>
        <w:rPr>
          <w:rFonts w:ascii="Arial" w:hAnsi="Arial" w:cs="Arial"/>
          <w:sz w:val="20"/>
          <w:szCs w:val="20"/>
        </w:rPr>
      </w:pPr>
      <w:r w:rsidRPr="008966FB">
        <w:rPr>
          <w:rFonts w:ascii="Arial" w:hAnsi="Arial" w:cs="Arial"/>
          <w:sz w:val="20"/>
          <w:szCs w:val="20"/>
        </w:rPr>
        <w:t xml:space="preserve">Controlled dispensing and re-filling (circulation) of the system through data tags and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 xml:space="preserve">through connection of the new equipment to the existing BMS, such that management of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 xml:space="preserve">the system can </w:t>
      </w:r>
      <w:r w:rsidR="008966FB">
        <w:rPr>
          <w:rFonts w:ascii="Arial" w:hAnsi="Arial" w:cs="Arial"/>
          <w:sz w:val="20"/>
          <w:szCs w:val="20"/>
        </w:rPr>
        <w:tab/>
      </w:r>
      <w:r w:rsidRPr="008966FB">
        <w:rPr>
          <w:rFonts w:ascii="Arial" w:hAnsi="Arial" w:cs="Arial"/>
          <w:sz w:val="20"/>
          <w:szCs w:val="20"/>
        </w:rPr>
        <w:t>be carried out remotely t</w:t>
      </w:r>
      <w:r w:rsidR="008966FB">
        <w:rPr>
          <w:rFonts w:ascii="Arial" w:hAnsi="Arial" w:cs="Arial"/>
          <w:sz w:val="20"/>
          <w:szCs w:val="20"/>
        </w:rPr>
        <w:t>h</w:t>
      </w:r>
      <w:r w:rsidRPr="008966FB">
        <w:rPr>
          <w:rFonts w:ascii="Arial" w:hAnsi="Arial" w:cs="Arial"/>
          <w:sz w:val="20"/>
          <w:szCs w:val="20"/>
        </w:rPr>
        <w:t>rough</w:t>
      </w:r>
      <w:r w:rsidR="008966FB">
        <w:rPr>
          <w:rFonts w:ascii="Arial" w:hAnsi="Arial" w:cs="Arial"/>
          <w:sz w:val="20"/>
          <w:szCs w:val="20"/>
        </w:rPr>
        <w:t xml:space="preserve"> the Internet</w:t>
      </w:r>
      <w:r w:rsidRPr="008966FB">
        <w:rPr>
          <w:rFonts w:ascii="Arial" w:hAnsi="Arial" w:cs="Arial"/>
          <w:sz w:val="20"/>
          <w:szCs w:val="20"/>
        </w:rPr>
        <w:t xml:space="preserve"> (allow for supply and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 xml:space="preserve">installation of the infrastructure; </w:t>
      </w:r>
      <w:r w:rsidR="008966FB">
        <w:rPr>
          <w:rFonts w:ascii="Arial" w:hAnsi="Arial" w:cs="Arial"/>
          <w:sz w:val="20"/>
          <w:szCs w:val="20"/>
        </w:rPr>
        <w:tab/>
      </w:r>
      <w:r w:rsidRPr="008966FB">
        <w:rPr>
          <w:rFonts w:ascii="Arial" w:hAnsi="Arial" w:cs="Arial"/>
          <w:sz w:val="20"/>
          <w:szCs w:val="20"/>
        </w:rPr>
        <w:t xml:space="preserve">final connection to be arranged by the Kew appointed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 xml:space="preserve">BMS </w:t>
      </w:r>
      <w:r w:rsidR="003F0BDC">
        <w:rPr>
          <w:rFonts w:ascii="Arial" w:hAnsi="Arial" w:cs="Arial"/>
          <w:sz w:val="20"/>
          <w:szCs w:val="20"/>
        </w:rPr>
        <w:t>Contractor</w:t>
      </w:r>
      <w:r w:rsidRPr="008966FB">
        <w:rPr>
          <w:rFonts w:ascii="Arial" w:hAnsi="Arial" w:cs="Arial"/>
          <w:sz w:val="20"/>
          <w:szCs w:val="20"/>
        </w:rPr>
        <w:t>.</w:t>
      </w:r>
    </w:p>
    <w:p w14:paraId="578CEAE6" w14:textId="77777777" w:rsidR="00FD25C5" w:rsidRPr="00FD25C5" w:rsidRDefault="00FD25C5" w:rsidP="007C51D4">
      <w:pPr>
        <w:pStyle w:val="ListParagraph"/>
        <w:rPr>
          <w:rFonts w:ascii="Arial" w:hAnsi="Arial" w:cs="Arial"/>
          <w:sz w:val="20"/>
          <w:szCs w:val="20"/>
        </w:rPr>
      </w:pPr>
    </w:p>
    <w:p w14:paraId="1ED0CD29" w14:textId="02075C64" w:rsidR="007C51D4" w:rsidRDefault="00535DC8" w:rsidP="007C51D4">
      <w:pPr>
        <w:pStyle w:val="ListParagraph"/>
        <w:numPr>
          <w:ilvl w:val="0"/>
          <w:numId w:val="7"/>
        </w:numPr>
        <w:spacing w:after="120"/>
        <w:ind w:left="709" w:firstLine="0"/>
        <w:jc w:val="both"/>
        <w:rPr>
          <w:rFonts w:ascii="Arial" w:hAnsi="Arial" w:cs="Arial"/>
          <w:sz w:val="20"/>
          <w:szCs w:val="20"/>
        </w:rPr>
      </w:pPr>
      <w:r w:rsidRPr="008966FB">
        <w:rPr>
          <w:rFonts w:ascii="Arial" w:hAnsi="Arial" w:cs="Arial"/>
          <w:sz w:val="20"/>
          <w:szCs w:val="20"/>
        </w:rPr>
        <w:t xml:space="preserve">Ensure that the current drainage interceptor tanks are adequate for the new </w:t>
      </w:r>
      <w:r w:rsidR="00FD25C5">
        <w:rPr>
          <w:rFonts w:ascii="Arial" w:hAnsi="Arial" w:cs="Arial"/>
          <w:sz w:val="20"/>
          <w:szCs w:val="20"/>
        </w:rPr>
        <w:tab/>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arrangement, if not to increase / modify the tanks to the re</w:t>
      </w:r>
      <w:r w:rsidR="007C51D4">
        <w:rPr>
          <w:rFonts w:ascii="Arial" w:hAnsi="Arial" w:cs="Arial"/>
          <w:sz w:val="20"/>
          <w:szCs w:val="20"/>
        </w:rPr>
        <w:t>quired standard.</w:t>
      </w:r>
    </w:p>
    <w:p w14:paraId="6F70282A" w14:textId="77777777" w:rsidR="007C51D4" w:rsidRPr="007C51D4" w:rsidRDefault="007C51D4" w:rsidP="007C51D4">
      <w:pPr>
        <w:spacing w:after="120"/>
        <w:jc w:val="both"/>
      </w:pPr>
    </w:p>
    <w:p w14:paraId="483EAF15" w14:textId="08FFD2FC" w:rsidR="007C51D4" w:rsidRDefault="00535DC8" w:rsidP="007C51D4">
      <w:pPr>
        <w:pStyle w:val="ListParagraph"/>
        <w:numPr>
          <w:ilvl w:val="0"/>
          <w:numId w:val="7"/>
        </w:numPr>
        <w:spacing w:after="120"/>
        <w:ind w:left="709" w:firstLine="0"/>
        <w:jc w:val="both"/>
        <w:rPr>
          <w:rFonts w:ascii="Arial" w:hAnsi="Arial" w:cs="Arial"/>
          <w:sz w:val="20"/>
          <w:szCs w:val="20"/>
        </w:rPr>
      </w:pPr>
      <w:r w:rsidRPr="008966FB">
        <w:rPr>
          <w:rFonts w:ascii="Arial" w:hAnsi="Arial" w:cs="Arial"/>
          <w:sz w:val="20"/>
          <w:szCs w:val="20"/>
        </w:rPr>
        <w:t xml:space="preserve">Modify the existing forecourt drainage system to be in full compliance with current </w:t>
      </w:r>
      <w:r w:rsidR="00FD25C5">
        <w:rPr>
          <w:rFonts w:ascii="Arial" w:hAnsi="Arial" w:cs="Arial"/>
          <w:sz w:val="20"/>
          <w:szCs w:val="20"/>
        </w:rPr>
        <w:tab/>
      </w:r>
      <w:r w:rsidR="00FD25C5">
        <w:rPr>
          <w:rFonts w:ascii="Arial" w:hAnsi="Arial" w:cs="Arial"/>
          <w:sz w:val="20"/>
          <w:szCs w:val="20"/>
        </w:rPr>
        <w:tab/>
      </w:r>
      <w:r w:rsidRPr="008966FB">
        <w:rPr>
          <w:rFonts w:ascii="Arial" w:hAnsi="Arial" w:cs="Arial"/>
          <w:sz w:val="20"/>
          <w:szCs w:val="20"/>
        </w:rPr>
        <w:t>regulations applicable.</w:t>
      </w:r>
    </w:p>
    <w:p w14:paraId="20CEE9E1" w14:textId="77777777" w:rsidR="007C51D4" w:rsidRPr="007C51D4" w:rsidRDefault="007C51D4" w:rsidP="007C51D4">
      <w:pPr>
        <w:spacing w:after="120"/>
        <w:jc w:val="both"/>
      </w:pPr>
    </w:p>
    <w:p w14:paraId="1075F529" w14:textId="4BF600ED" w:rsidR="00535DC8" w:rsidRPr="008966FB" w:rsidRDefault="00535DC8" w:rsidP="007C51D4">
      <w:pPr>
        <w:pStyle w:val="ListParagraph"/>
        <w:numPr>
          <w:ilvl w:val="0"/>
          <w:numId w:val="7"/>
        </w:numPr>
        <w:spacing w:after="120"/>
        <w:ind w:left="709" w:firstLine="0"/>
        <w:jc w:val="both"/>
        <w:rPr>
          <w:rFonts w:ascii="Arial" w:hAnsi="Arial" w:cs="Arial"/>
          <w:sz w:val="20"/>
          <w:szCs w:val="20"/>
        </w:rPr>
      </w:pPr>
      <w:r w:rsidRPr="008966FB">
        <w:rPr>
          <w:rFonts w:ascii="Arial" w:hAnsi="Arial" w:cs="Arial"/>
          <w:sz w:val="20"/>
          <w:szCs w:val="20"/>
        </w:rPr>
        <w:t>Replacement of the existing elec</w:t>
      </w:r>
      <w:r w:rsidR="008966FB">
        <w:rPr>
          <w:rFonts w:ascii="Arial" w:hAnsi="Arial" w:cs="Arial"/>
          <w:sz w:val="20"/>
          <w:szCs w:val="20"/>
        </w:rPr>
        <w:t xml:space="preserve">trical installation associated with </w:t>
      </w:r>
      <w:r w:rsidRPr="008966FB">
        <w:rPr>
          <w:rFonts w:ascii="Arial" w:hAnsi="Arial" w:cs="Arial"/>
          <w:sz w:val="20"/>
          <w:szCs w:val="20"/>
        </w:rPr>
        <w:t xml:space="preserve">the dispensing system </w:t>
      </w:r>
    </w:p>
    <w:p w14:paraId="184AD135" w14:textId="7437E0B0" w:rsidR="00535DC8" w:rsidRDefault="00FD25C5" w:rsidP="007C51D4">
      <w:pPr>
        <w:ind w:left="709"/>
        <w:rPr>
          <w:color w:val="000000"/>
        </w:rPr>
      </w:pPr>
      <w:r>
        <w:rPr>
          <w:color w:val="000000"/>
        </w:rPr>
        <w:tab/>
      </w:r>
      <w:r w:rsidR="008966FB">
        <w:rPr>
          <w:color w:val="000000"/>
        </w:rPr>
        <w:tab/>
      </w:r>
      <w:r w:rsidR="00535DC8" w:rsidRPr="008966FB">
        <w:rPr>
          <w:color w:val="000000"/>
        </w:rPr>
        <w:t xml:space="preserve">Additional duties under this appointment will be the application for-, and arrangement of </w:t>
      </w:r>
      <w:r>
        <w:rPr>
          <w:color w:val="000000"/>
        </w:rPr>
        <w:tab/>
      </w:r>
      <w:r>
        <w:rPr>
          <w:color w:val="000000"/>
        </w:rPr>
        <w:tab/>
      </w:r>
      <w:r w:rsidR="00535DC8" w:rsidRPr="008966FB">
        <w:rPr>
          <w:color w:val="000000"/>
        </w:rPr>
        <w:t>all required approvals, inspections and licenses, as well as the</w:t>
      </w:r>
      <w:r w:rsidR="00535DC8">
        <w:rPr>
          <w:color w:val="000000"/>
        </w:rPr>
        <w:t xml:space="preserve"> associated </w:t>
      </w:r>
      <w:r>
        <w:rPr>
          <w:color w:val="000000"/>
        </w:rPr>
        <w:tab/>
      </w:r>
      <w:r>
        <w:rPr>
          <w:color w:val="000000"/>
        </w:rPr>
        <w:tab/>
      </w:r>
      <w:r>
        <w:rPr>
          <w:color w:val="000000"/>
        </w:rPr>
        <w:tab/>
      </w:r>
      <w:r w:rsidR="00535DC8">
        <w:rPr>
          <w:color w:val="000000"/>
        </w:rPr>
        <w:t xml:space="preserve">communication with relevant authorities in relation to replacement and </w:t>
      </w:r>
      <w:r w:rsidR="008966FB">
        <w:rPr>
          <w:color w:val="000000"/>
        </w:rPr>
        <w:t>putting</w:t>
      </w:r>
      <w:r w:rsidR="00535DC8">
        <w:rPr>
          <w:color w:val="000000"/>
        </w:rPr>
        <w:t xml:space="preserve"> in use of </w:t>
      </w:r>
      <w:r>
        <w:rPr>
          <w:color w:val="000000"/>
        </w:rPr>
        <w:tab/>
      </w:r>
      <w:r>
        <w:rPr>
          <w:color w:val="000000"/>
        </w:rPr>
        <w:tab/>
      </w:r>
      <w:r w:rsidR="00535DC8">
        <w:rPr>
          <w:color w:val="000000"/>
        </w:rPr>
        <w:t xml:space="preserve">the facilities after completion of </w:t>
      </w:r>
      <w:r w:rsidR="008966FB">
        <w:rPr>
          <w:color w:val="000000"/>
        </w:rPr>
        <w:tab/>
      </w:r>
      <w:r w:rsidR="00535DC8">
        <w:rPr>
          <w:color w:val="000000"/>
        </w:rPr>
        <w:t>the replacement works.</w:t>
      </w:r>
    </w:p>
    <w:p w14:paraId="3FFA4562" w14:textId="537C571D" w:rsidR="00535DC8" w:rsidRDefault="00FD25C5" w:rsidP="007C51D4">
      <w:pPr>
        <w:ind w:left="709"/>
        <w:rPr>
          <w:color w:val="000000"/>
        </w:rPr>
      </w:pPr>
      <w:r>
        <w:rPr>
          <w:color w:val="000000"/>
        </w:rPr>
        <w:tab/>
      </w:r>
      <w:r w:rsidR="008966FB">
        <w:rPr>
          <w:color w:val="000000"/>
        </w:rPr>
        <w:tab/>
      </w:r>
      <w:r w:rsidR="00535DC8">
        <w:rPr>
          <w:color w:val="000000"/>
        </w:rPr>
        <w:t xml:space="preserve">The scope of the project includes the forecourt area and associated drainage as the </w:t>
      </w:r>
      <w:r>
        <w:rPr>
          <w:color w:val="000000"/>
        </w:rPr>
        <w:tab/>
      </w:r>
      <w:r>
        <w:rPr>
          <w:color w:val="000000"/>
        </w:rPr>
        <w:tab/>
      </w:r>
      <w:r w:rsidR="00535DC8">
        <w:rPr>
          <w:color w:val="000000"/>
        </w:rPr>
        <w:t xml:space="preserve">existing arrangement may not be in compliance with current regulations. </w:t>
      </w:r>
    </w:p>
    <w:p w14:paraId="232936AB" w14:textId="77777777" w:rsidR="008966FB" w:rsidRDefault="008966FB" w:rsidP="00FD25C5">
      <w:pPr>
        <w:ind w:left="709"/>
      </w:pPr>
    </w:p>
    <w:p w14:paraId="49BB7EFB" w14:textId="4BB7B01C" w:rsidR="00535DC8" w:rsidRDefault="00535DC8" w:rsidP="00FD25C5">
      <w:pPr>
        <w:ind w:left="709"/>
      </w:pPr>
      <w:r w:rsidRPr="009250D8">
        <w:t xml:space="preserve">The new installation and surrounding areas must be in full compliance with </w:t>
      </w:r>
      <w:r w:rsidR="001A2CAE">
        <w:t>regulations including but not limited to:</w:t>
      </w:r>
    </w:p>
    <w:p w14:paraId="6E5B6B94" w14:textId="77777777" w:rsidR="00E02F4F" w:rsidRPr="009250D8" w:rsidRDefault="00E02F4F" w:rsidP="00FD25C5">
      <w:pPr>
        <w:ind w:left="709"/>
      </w:pPr>
    </w:p>
    <w:p w14:paraId="3CDEF85E" w14:textId="77777777" w:rsidR="009816FB" w:rsidRPr="009816FB" w:rsidRDefault="00535DC8" w:rsidP="00FD25C5">
      <w:pPr>
        <w:numPr>
          <w:ilvl w:val="0"/>
          <w:numId w:val="3"/>
        </w:numPr>
        <w:ind w:left="709" w:firstLine="0"/>
        <w:rPr>
          <w:sz w:val="18"/>
          <w:szCs w:val="18"/>
        </w:rPr>
      </w:pPr>
      <w:r w:rsidRPr="009250D8">
        <w:t xml:space="preserve">The Petroleum Consolidation Regulations 2014 </w:t>
      </w:r>
    </w:p>
    <w:p w14:paraId="39033FF2" w14:textId="27735239" w:rsidR="00535DC8" w:rsidRPr="009250D8" w:rsidRDefault="009816FB" w:rsidP="009816FB">
      <w:pPr>
        <w:ind w:left="709"/>
        <w:rPr>
          <w:sz w:val="18"/>
          <w:szCs w:val="18"/>
        </w:rPr>
      </w:pPr>
      <w:r>
        <w:tab/>
        <w:t xml:space="preserve">   </w:t>
      </w:r>
      <w:r w:rsidR="008966FB">
        <w:tab/>
      </w:r>
      <w:hyperlink r:id="rId8" w:history="1">
        <w:r w:rsidR="008966FB" w:rsidRPr="00847C0A">
          <w:rPr>
            <w:rStyle w:val="Hyperlink"/>
            <w:sz w:val="18"/>
            <w:szCs w:val="18"/>
          </w:rPr>
          <w:t>http://www.legislation.gov.uk/uksi/2014/1637/contents/made</w:t>
        </w:r>
      </w:hyperlink>
    </w:p>
    <w:p w14:paraId="6FA10651" w14:textId="680855AB" w:rsidR="00535DC8" w:rsidRPr="009250D8" w:rsidRDefault="00535DC8" w:rsidP="00FD25C5">
      <w:pPr>
        <w:numPr>
          <w:ilvl w:val="0"/>
          <w:numId w:val="3"/>
        </w:numPr>
        <w:ind w:left="709" w:firstLine="0"/>
      </w:pPr>
      <w:r w:rsidRPr="009250D8">
        <w:t xml:space="preserve">DSEAR 2002 </w:t>
      </w:r>
      <w:hyperlink r:id="rId9" w:history="1">
        <w:r w:rsidRPr="009250D8">
          <w:rPr>
            <w:rStyle w:val="Hyperlink"/>
            <w:sz w:val="18"/>
            <w:szCs w:val="18"/>
          </w:rPr>
          <w:t>http://www.legislation.gov.uk/uksi/2002/2776/contents/made</w:t>
        </w:r>
      </w:hyperlink>
    </w:p>
    <w:p w14:paraId="0F7C54A1" w14:textId="696FE70E" w:rsidR="00535DC8" w:rsidRPr="009250D8" w:rsidRDefault="00535DC8" w:rsidP="00FD25C5">
      <w:pPr>
        <w:numPr>
          <w:ilvl w:val="0"/>
          <w:numId w:val="3"/>
        </w:numPr>
        <w:ind w:left="709" w:firstLine="0"/>
      </w:pPr>
      <w:r w:rsidRPr="009250D8">
        <w:t xml:space="preserve">All current HSE guidance with regard to fuel storage and dispensing as relevant to </w:t>
      </w:r>
      <w:r w:rsidR="009816FB">
        <w:tab/>
      </w:r>
      <w:r w:rsidR="009816FB">
        <w:tab/>
      </w:r>
      <w:r w:rsidRPr="009250D8">
        <w:t>installation</w:t>
      </w:r>
    </w:p>
    <w:p w14:paraId="2FC75A10" w14:textId="77777777" w:rsidR="00535DC8" w:rsidRPr="009250D8" w:rsidRDefault="00535DC8" w:rsidP="00FD25C5">
      <w:pPr>
        <w:numPr>
          <w:ilvl w:val="0"/>
          <w:numId w:val="3"/>
        </w:numPr>
        <w:ind w:left="709" w:firstLine="0"/>
      </w:pPr>
      <w:r w:rsidRPr="009250D8">
        <w:t>Appropriate area classification</w:t>
      </w:r>
    </w:p>
    <w:p w14:paraId="45603E6E" w14:textId="688D6836" w:rsidR="00E02F4F" w:rsidRDefault="009816FB" w:rsidP="00FD25C5">
      <w:pPr>
        <w:numPr>
          <w:ilvl w:val="0"/>
          <w:numId w:val="3"/>
        </w:numPr>
        <w:ind w:left="709" w:firstLine="0"/>
      </w:pPr>
      <w:r w:rsidRPr="00980D27">
        <w:t xml:space="preserve">Guidance for the design, construction, modification and maintenance of petrol filling </w:t>
      </w:r>
      <w:r>
        <w:tab/>
      </w:r>
      <w:r>
        <w:tab/>
      </w:r>
      <w:r w:rsidRPr="00980D27">
        <w:t>stations</w:t>
      </w:r>
      <w:r w:rsidRPr="00980D27">
        <w:rPr>
          <w:bCs/>
        </w:rPr>
        <w:t xml:space="preserve"> (Blue Book)</w:t>
      </w:r>
      <w:r w:rsidRPr="00980D27">
        <w:t xml:space="preserve">, 1999, ISBN 0 85293 217 0: Association for Petroleum and </w:t>
      </w:r>
      <w:r>
        <w:tab/>
      </w:r>
      <w:r>
        <w:tab/>
      </w:r>
      <w:r>
        <w:tab/>
      </w:r>
      <w:r w:rsidRPr="00980D27">
        <w:t>Explosives Administration/Institute  of Petroleum, latest edition</w:t>
      </w:r>
      <w:r w:rsidR="00535DC8">
        <w:t xml:space="preserve">Building and Planning </w:t>
      </w:r>
      <w:r>
        <w:tab/>
      </w:r>
      <w:r>
        <w:tab/>
      </w:r>
      <w:r w:rsidR="00535DC8">
        <w:t>regulations</w:t>
      </w:r>
    </w:p>
    <w:p w14:paraId="5F600A5F" w14:textId="31DC84EF" w:rsidR="00E02F4F" w:rsidRDefault="00E02F4F" w:rsidP="00FD25C5">
      <w:pPr>
        <w:numPr>
          <w:ilvl w:val="0"/>
          <w:numId w:val="3"/>
        </w:numPr>
        <w:ind w:left="709" w:firstLine="0"/>
      </w:pPr>
      <w:r>
        <w:t>G</w:t>
      </w:r>
      <w:r w:rsidRPr="00D77DA8">
        <w:t xml:space="preserve">roundwater  protection  code for petrol stations and other fuel dispensing facilities  </w:t>
      </w:r>
      <w:r w:rsidR="009816FB">
        <w:tab/>
      </w:r>
      <w:r>
        <w:tab/>
      </w:r>
      <w:r w:rsidR="009816FB">
        <w:t>involving</w:t>
      </w:r>
      <w:r>
        <w:t xml:space="preserve"> </w:t>
      </w:r>
      <w:r w:rsidRPr="00D77DA8">
        <w:t xml:space="preserve">underground  storage tanks, 2001:  Department  for Environment, Food and </w:t>
      </w:r>
      <w:r w:rsidR="009816FB">
        <w:tab/>
      </w:r>
      <w:r w:rsidR="009816FB">
        <w:tab/>
      </w:r>
      <w:r w:rsidRPr="00D77DA8">
        <w:t xml:space="preserve">Rural </w:t>
      </w:r>
      <w:r w:rsidR="009816FB">
        <w:t xml:space="preserve">Affairs  </w:t>
      </w:r>
      <w:r w:rsidRPr="00D77DA8">
        <w:t xml:space="preserve">(DEFRA), </w:t>
      </w:r>
      <w:hyperlink r:id="rId10" w:history="1">
        <w:r w:rsidRPr="00847C0A">
          <w:rPr>
            <w:rStyle w:val="Hyperlink"/>
          </w:rPr>
          <w:t>www.defra.gov.uk/environment/consult/ground-petrol.index.htm</w:t>
        </w:r>
      </w:hyperlink>
    </w:p>
    <w:p w14:paraId="2B98D983" w14:textId="21DD5108" w:rsidR="00E02F4F" w:rsidRDefault="00E02F4F" w:rsidP="00FD25C5">
      <w:pPr>
        <w:numPr>
          <w:ilvl w:val="0"/>
          <w:numId w:val="3"/>
        </w:numPr>
        <w:ind w:left="709" w:firstLine="0"/>
      </w:pPr>
      <w:r>
        <w:t>PPG27: Installation, decommissioning and removal of underground storage tanks</w:t>
      </w:r>
    </w:p>
    <w:p w14:paraId="0131557D" w14:textId="77777777" w:rsidR="00E02F4F" w:rsidRDefault="00E02F4F" w:rsidP="00FD25C5">
      <w:pPr>
        <w:numPr>
          <w:ilvl w:val="0"/>
          <w:numId w:val="3"/>
        </w:numPr>
        <w:ind w:left="709" w:firstLine="0"/>
      </w:pPr>
      <w:r w:rsidRPr="00D77DA8">
        <w:t>PPG7 : Fuelling stations construction and operation</w:t>
      </w:r>
    </w:p>
    <w:p w14:paraId="67F1778C" w14:textId="77777777" w:rsidR="00E02F4F" w:rsidRDefault="00E02F4F" w:rsidP="00FD25C5">
      <w:pPr>
        <w:numPr>
          <w:ilvl w:val="0"/>
          <w:numId w:val="3"/>
        </w:numPr>
        <w:ind w:left="709" w:firstLine="0"/>
      </w:pPr>
      <w:r w:rsidRPr="00D77DA8">
        <w:t>PPG8: Safe storage and disposal of used oils</w:t>
      </w:r>
    </w:p>
    <w:p w14:paraId="415D1868" w14:textId="4FD6166E" w:rsidR="00E02F4F" w:rsidRDefault="00E02F4F" w:rsidP="00FD25C5">
      <w:pPr>
        <w:numPr>
          <w:ilvl w:val="0"/>
          <w:numId w:val="3"/>
        </w:numPr>
        <w:ind w:left="709" w:firstLine="0"/>
      </w:pPr>
      <w:r w:rsidRPr="00D77DA8">
        <w:t xml:space="preserve">Guidance document on risk assessment for the water environment at operational fuel </w:t>
      </w:r>
      <w:r w:rsidR="009816FB">
        <w:tab/>
      </w:r>
      <w:r w:rsidR="009816FB">
        <w:tab/>
      </w:r>
      <w:r w:rsidRPr="00D77DA8">
        <w:t>storage and dispensing facilities, 1999, ISBN 0 85293 256 1: Institute of Petroleum</w:t>
      </w:r>
    </w:p>
    <w:p w14:paraId="21CB700C" w14:textId="4A4467EF" w:rsidR="00E02F4F" w:rsidRDefault="00E02F4F" w:rsidP="00FD25C5">
      <w:pPr>
        <w:numPr>
          <w:ilvl w:val="0"/>
          <w:numId w:val="3"/>
        </w:numPr>
        <w:ind w:left="709" w:firstLine="0"/>
      </w:pPr>
      <w:r w:rsidRPr="00D77DA8">
        <w:t xml:space="preserve">Policy and practice for the protection of groundwater, 1998, ISBN 011 3101457: </w:t>
      </w:r>
      <w:r w:rsidR="009816FB">
        <w:tab/>
      </w:r>
      <w:r w:rsidR="009816FB">
        <w:tab/>
      </w:r>
      <w:r w:rsidR="009816FB">
        <w:tab/>
      </w:r>
      <w:r w:rsidRPr="00D77DA8">
        <w:t>Environment Agency, The Stationery Office</w:t>
      </w:r>
    </w:p>
    <w:p w14:paraId="6C842FEC" w14:textId="75C44F48" w:rsidR="00E02F4F" w:rsidRDefault="00E02F4F" w:rsidP="00FD25C5">
      <w:pPr>
        <w:numPr>
          <w:ilvl w:val="0"/>
          <w:numId w:val="3"/>
        </w:numPr>
        <w:ind w:left="709" w:firstLine="0"/>
      </w:pPr>
      <w:r w:rsidRPr="00D77DA8">
        <w:t>TI/134  Installing oil supply pipes underground:  Oil Firing Techni</w:t>
      </w:r>
      <w:r>
        <w:t xml:space="preserve">cal Association for the </w:t>
      </w:r>
      <w:r>
        <w:tab/>
      </w:r>
      <w:r>
        <w:tab/>
      </w:r>
      <w:r w:rsidRPr="00D77DA8">
        <w:t>Petroleum Industry (OFTEC), Tel: 01737 373311</w:t>
      </w:r>
    </w:p>
    <w:p w14:paraId="01328539" w14:textId="77777777" w:rsidR="00E02F4F" w:rsidRPr="00D77DA8" w:rsidRDefault="00E02F4F" w:rsidP="00FD25C5">
      <w:pPr>
        <w:numPr>
          <w:ilvl w:val="0"/>
          <w:numId w:val="3"/>
        </w:numPr>
        <w:ind w:left="709" w:firstLine="0"/>
      </w:pPr>
      <w:r w:rsidRPr="00D77DA8">
        <w:t>A Guide to the Special Waste Regulations 1996: Environment Agency</w:t>
      </w:r>
    </w:p>
    <w:p w14:paraId="1BB49D2A" w14:textId="77777777" w:rsidR="00E02F4F" w:rsidRDefault="00E02F4F" w:rsidP="00FD25C5">
      <w:pPr>
        <w:ind w:left="709"/>
        <w:rPr>
          <w:color w:val="000000"/>
        </w:rPr>
      </w:pPr>
    </w:p>
    <w:p w14:paraId="326F0EAF" w14:textId="6E65DD2C" w:rsidR="00535DC8" w:rsidRDefault="00535DC8" w:rsidP="00FD25C5">
      <w:pPr>
        <w:ind w:left="709"/>
        <w:rPr>
          <w:color w:val="000000"/>
        </w:rPr>
      </w:pPr>
      <w:r>
        <w:rPr>
          <w:color w:val="000000"/>
        </w:rPr>
        <w:t>The new installation must be equipped with a remotely accessible fuel managem</w:t>
      </w:r>
      <w:r w:rsidR="00E02F4F">
        <w:rPr>
          <w:color w:val="000000"/>
        </w:rPr>
        <w:t xml:space="preserve">ent system (in and out), and a </w:t>
      </w:r>
      <w:r>
        <w:rPr>
          <w:color w:val="000000"/>
        </w:rPr>
        <w:t>class 1 leak detec</w:t>
      </w:r>
      <w:r w:rsidR="00C52E77">
        <w:rPr>
          <w:color w:val="000000"/>
        </w:rPr>
        <w:t xml:space="preserve">tion system </w:t>
      </w:r>
      <w:r w:rsidR="00C52E77">
        <w:rPr>
          <w:color w:val="000000"/>
        </w:rPr>
        <w:t>(tanks and associated pipework)</w:t>
      </w:r>
      <w:r w:rsidR="00C52E77">
        <w:rPr>
          <w:color w:val="000000"/>
        </w:rPr>
        <w:t>.</w:t>
      </w:r>
    </w:p>
    <w:p w14:paraId="46B8BC03" w14:textId="77777777" w:rsidR="00C52E77" w:rsidRDefault="00C52E77" w:rsidP="00FD25C5">
      <w:pPr>
        <w:ind w:left="709"/>
        <w:rPr>
          <w:color w:val="000000"/>
        </w:rPr>
      </w:pPr>
    </w:p>
    <w:p w14:paraId="7E1EB343" w14:textId="70E0A3F2" w:rsidR="00535DC8" w:rsidRPr="004029CE" w:rsidRDefault="00C52E77" w:rsidP="00FD25C5">
      <w:pPr>
        <w:ind w:left="709"/>
        <w:rPr>
          <w:rFonts w:ascii="Calibri" w:hAnsi="Calibri"/>
        </w:rPr>
      </w:pPr>
      <w:r>
        <w:t xml:space="preserve">In signing the Form of Tender the </w:t>
      </w:r>
      <w:r w:rsidR="003F0BDC">
        <w:t>Contractor</w:t>
      </w:r>
      <w:r>
        <w:t xml:space="preserve"> confirms</w:t>
      </w:r>
      <w:r w:rsidR="00535DC8" w:rsidRPr="00C52E77">
        <w:t xml:space="preserve"> that this programme can be met bas</w:t>
      </w:r>
      <w:r>
        <w:t xml:space="preserve">ed on the information provided </w:t>
      </w:r>
      <w:r w:rsidR="00535DC8" w:rsidRPr="00C52E77">
        <w:t>in all sections of the ITT to this project, and his visit to site prior to submitting his tender</w:t>
      </w:r>
    </w:p>
    <w:p w14:paraId="7ACFFAE9" w14:textId="77777777" w:rsidR="00535DC8" w:rsidRPr="004029CE" w:rsidRDefault="00535DC8" w:rsidP="00535DC8"/>
    <w:p w14:paraId="17D9BA4D" w14:textId="77777777" w:rsidR="00535DC8" w:rsidRDefault="00535DC8" w:rsidP="00535DC8">
      <w:pPr>
        <w:rPr>
          <w:b/>
          <w:bCs/>
        </w:rPr>
      </w:pPr>
      <w:r w:rsidRPr="004029CE">
        <w:rPr>
          <w:b/>
          <w:bCs/>
        </w:rPr>
        <w:t>2.0</w:t>
      </w:r>
      <w:r w:rsidRPr="004029CE">
        <w:rPr>
          <w:b/>
          <w:bCs/>
        </w:rPr>
        <w:tab/>
        <w:t xml:space="preserve">INFORMATION TO BE PROVIDED BY </w:t>
      </w:r>
      <w:r>
        <w:rPr>
          <w:b/>
          <w:bCs/>
        </w:rPr>
        <w:t>RBG KEW</w:t>
      </w:r>
    </w:p>
    <w:p w14:paraId="55BBE314" w14:textId="77777777" w:rsidR="009E4942" w:rsidRDefault="009E4942" w:rsidP="00535DC8">
      <w:pPr>
        <w:rPr>
          <w:b/>
          <w:bCs/>
        </w:rPr>
      </w:pPr>
    </w:p>
    <w:p w14:paraId="61E88717" w14:textId="66066C3F" w:rsidR="00535DC8" w:rsidRPr="009E4942" w:rsidRDefault="009E4942" w:rsidP="009E4942">
      <w:pPr>
        <w:rPr>
          <w:bCs/>
        </w:rPr>
      </w:pPr>
      <w:r>
        <w:rPr>
          <w:b/>
          <w:bCs/>
        </w:rPr>
        <w:tab/>
      </w:r>
      <w:r>
        <w:rPr>
          <w:bCs/>
        </w:rPr>
        <w:t>As indicated in Appendix 3A and Works Information W08.02</w:t>
      </w:r>
    </w:p>
    <w:p w14:paraId="15D1B5F0" w14:textId="77777777" w:rsidR="00535DC8" w:rsidRPr="004029CE" w:rsidRDefault="00535DC8" w:rsidP="00535DC8">
      <w:r w:rsidRPr="004029CE">
        <w:tab/>
        <w:t xml:space="preserve"> </w:t>
      </w:r>
    </w:p>
    <w:p w14:paraId="293D7C98" w14:textId="31F831B8" w:rsidR="00535DC8" w:rsidRPr="004029CE" w:rsidRDefault="009E4942" w:rsidP="00535DC8">
      <w:pPr>
        <w:rPr>
          <w:b/>
          <w:bCs/>
        </w:rPr>
      </w:pPr>
      <w:r>
        <w:rPr>
          <w:b/>
          <w:bCs/>
        </w:rPr>
        <w:t>3</w:t>
      </w:r>
      <w:r w:rsidR="00535DC8" w:rsidRPr="004029CE">
        <w:rPr>
          <w:b/>
          <w:bCs/>
        </w:rPr>
        <w:t>.0</w:t>
      </w:r>
      <w:r w:rsidR="00535DC8" w:rsidRPr="004029CE">
        <w:rPr>
          <w:b/>
          <w:bCs/>
        </w:rPr>
        <w:tab/>
        <w:t>SERVICES REQUIRED</w:t>
      </w:r>
    </w:p>
    <w:p w14:paraId="36E19F37" w14:textId="77777777" w:rsidR="00535DC8" w:rsidRPr="004029CE" w:rsidRDefault="00535DC8" w:rsidP="00535DC8">
      <w:pPr>
        <w:rPr>
          <w:b/>
          <w:bCs/>
        </w:rPr>
      </w:pPr>
    </w:p>
    <w:p w14:paraId="4067F03C" w14:textId="627DF75E" w:rsidR="009E4942" w:rsidRDefault="00535DC8" w:rsidP="00FD25C5">
      <w:pPr>
        <w:ind w:left="709"/>
        <w:rPr>
          <w:bCs/>
        </w:rPr>
      </w:pPr>
      <w:r>
        <w:rPr>
          <w:bCs/>
        </w:rPr>
        <w:t xml:space="preserve">The appointed </w:t>
      </w:r>
      <w:r w:rsidR="003F0BDC">
        <w:rPr>
          <w:bCs/>
        </w:rPr>
        <w:t>Contractor</w:t>
      </w:r>
      <w:r>
        <w:rPr>
          <w:bCs/>
        </w:rPr>
        <w:t xml:space="preserve"> </w:t>
      </w:r>
      <w:r w:rsidRPr="004029CE">
        <w:rPr>
          <w:bCs/>
        </w:rPr>
        <w:t>will be required to provide a complete and comprehensive des</w:t>
      </w:r>
      <w:r>
        <w:rPr>
          <w:bCs/>
        </w:rPr>
        <w:t>ign for the proposed new</w:t>
      </w:r>
      <w:r w:rsidRPr="004029CE">
        <w:rPr>
          <w:bCs/>
        </w:rPr>
        <w:t xml:space="preserve"> installation as outl</w:t>
      </w:r>
      <w:r>
        <w:rPr>
          <w:bCs/>
        </w:rPr>
        <w:t>ined in and in consider</w:t>
      </w:r>
      <w:r w:rsidR="009E4942">
        <w:rPr>
          <w:bCs/>
        </w:rPr>
        <w:t>ation of all sections of the Contract</w:t>
      </w:r>
      <w:r w:rsidRPr="004029CE">
        <w:rPr>
          <w:bCs/>
        </w:rPr>
        <w:t xml:space="preserve"> </w:t>
      </w:r>
    </w:p>
    <w:p w14:paraId="0DAD0B2F" w14:textId="77777777" w:rsidR="009E4942" w:rsidRDefault="009E4942" w:rsidP="00FD25C5">
      <w:pPr>
        <w:ind w:left="709"/>
        <w:rPr>
          <w:bCs/>
        </w:rPr>
      </w:pPr>
    </w:p>
    <w:p w14:paraId="17B64FB4" w14:textId="77777777" w:rsidR="003F0BDC" w:rsidRPr="00980D27" w:rsidRDefault="003F0BDC" w:rsidP="00FD25C5">
      <w:pPr>
        <w:ind w:left="709"/>
      </w:pPr>
      <w:r w:rsidRPr="00980D27">
        <w:rPr>
          <w:bCs/>
        </w:rPr>
        <w:t xml:space="preserve">The successful Contractor must provide an electronic copy of the </w:t>
      </w:r>
      <w:r w:rsidRPr="00980D27">
        <w:t>Guidance for the design, construction, modification and maintenance of petrol filling stations</w:t>
      </w:r>
      <w:r w:rsidRPr="00980D27">
        <w:rPr>
          <w:bCs/>
        </w:rPr>
        <w:t xml:space="preserve"> (Blue Book)</w:t>
      </w:r>
      <w:r w:rsidRPr="00980D27">
        <w:t>, 1999, ISBN 0 85293 217 0: Association for Petroleum and Explosives Administration/Institute  of Petroleum, latest edition</w:t>
      </w:r>
      <w:r w:rsidRPr="00980D27">
        <w:rPr>
          <w:bCs/>
        </w:rPr>
        <w:t>, as part of this contract. The copy must be forwarded via e-mail immediately after receipt of written instruction to commence with the contract</w:t>
      </w:r>
    </w:p>
    <w:p w14:paraId="78396DE6" w14:textId="77777777" w:rsidR="003F0BDC" w:rsidRDefault="003F0BDC" w:rsidP="00FD25C5">
      <w:pPr>
        <w:ind w:left="709"/>
        <w:rPr>
          <w:bCs/>
        </w:rPr>
      </w:pPr>
    </w:p>
    <w:p w14:paraId="63D26799" w14:textId="28F22418" w:rsidR="003F0BDC" w:rsidRDefault="00535DC8" w:rsidP="00FD25C5">
      <w:pPr>
        <w:ind w:left="709"/>
        <w:rPr>
          <w:bCs/>
        </w:rPr>
      </w:pPr>
      <w:r w:rsidRPr="004029CE">
        <w:rPr>
          <w:bCs/>
        </w:rPr>
        <w:t xml:space="preserve">The </w:t>
      </w:r>
      <w:r w:rsidR="003F0BDC">
        <w:rPr>
          <w:bCs/>
        </w:rPr>
        <w:t>successful Contractor will be requested, as part of the design process, to provide</w:t>
      </w:r>
      <w:r>
        <w:rPr>
          <w:bCs/>
        </w:rPr>
        <w:t xml:space="preserve"> a report regardi</w:t>
      </w:r>
      <w:r w:rsidR="007C51D4">
        <w:rPr>
          <w:bCs/>
        </w:rPr>
        <w:t xml:space="preserve">ng options and alternatives, </w:t>
      </w:r>
      <w:r>
        <w:rPr>
          <w:bCs/>
        </w:rPr>
        <w:t xml:space="preserve">associated </w:t>
      </w:r>
      <w:r w:rsidRPr="004029CE">
        <w:rPr>
          <w:bCs/>
        </w:rPr>
        <w:t>advantages and disadvantages of the various options, and the impact they have on</w:t>
      </w:r>
      <w:r>
        <w:rPr>
          <w:bCs/>
        </w:rPr>
        <w:t xml:space="preserve"> </w:t>
      </w:r>
      <w:r w:rsidRPr="004029CE">
        <w:rPr>
          <w:bCs/>
        </w:rPr>
        <w:t xml:space="preserve">use </w:t>
      </w:r>
      <w:r>
        <w:rPr>
          <w:bCs/>
        </w:rPr>
        <w:t>and maintenance</w:t>
      </w:r>
      <w:r w:rsidRPr="004029CE">
        <w:rPr>
          <w:bCs/>
        </w:rPr>
        <w:t>, as well as the financial implications of each option, both directly, as well as for the period the antic</w:t>
      </w:r>
      <w:r>
        <w:rPr>
          <w:bCs/>
        </w:rPr>
        <w:t xml:space="preserve">ipated technical life of </w:t>
      </w:r>
      <w:r w:rsidRPr="004029CE">
        <w:rPr>
          <w:bCs/>
        </w:rPr>
        <w:t>the design and its vital components.</w:t>
      </w:r>
      <w:r>
        <w:rPr>
          <w:bCs/>
        </w:rPr>
        <w:t xml:space="preserve"> </w:t>
      </w:r>
    </w:p>
    <w:p w14:paraId="5A7BD603" w14:textId="77777777" w:rsidR="003F0BDC" w:rsidRDefault="003F0BDC" w:rsidP="00FD25C5">
      <w:pPr>
        <w:ind w:left="709"/>
        <w:rPr>
          <w:bCs/>
        </w:rPr>
      </w:pPr>
    </w:p>
    <w:p w14:paraId="7D54AD57" w14:textId="022A9533" w:rsidR="003F0BDC" w:rsidRDefault="005E7490" w:rsidP="00FD25C5">
      <w:pPr>
        <w:ind w:left="709"/>
      </w:pPr>
      <w:r>
        <w:rPr>
          <w:bCs/>
        </w:rPr>
        <w:t>The Employer will review the report within a week from receipt and give the contractor direction as to which options, if any, will be included as part of the project</w:t>
      </w:r>
    </w:p>
    <w:p w14:paraId="481C694F" w14:textId="77777777" w:rsidR="003F0BDC" w:rsidRDefault="003F0BDC" w:rsidP="00FD25C5">
      <w:pPr>
        <w:ind w:left="709"/>
      </w:pPr>
    </w:p>
    <w:p w14:paraId="3241D8F6" w14:textId="7C2EE69F" w:rsidR="00535DC8" w:rsidRDefault="009816FB" w:rsidP="009816FB">
      <w:r>
        <w:tab/>
      </w:r>
      <w:r w:rsidR="00535DC8">
        <w:t xml:space="preserve">The </w:t>
      </w:r>
      <w:r w:rsidR="003F0BDC">
        <w:t>Contractor</w:t>
      </w:r>
      <w:r w:rsidR="00535DC8">
        <w:t xml:space="preserve"> will require written approval from the Employer indicating the preferred proposal </w:t>
      </w:r>
      <w:r>
        <w:tab/>
      </w:r>
      <w:r w:rsidR="00535DC8">
        <w:t>at the end of stage C3 below, prior to commencing the next stage.</w:t>
      </w:r>
    </w:p>
    <w:p w14:paraId="232D1F79" w14:textId="77777777" w:rsidR="00535DC8" w:rsidRDefault="00535DC8" w:rsidP="00FD25C5">
      <w:pPr>
        <w:ind w:left="709"/>
      </w:pPr>
    </w:p>
    <w:p w14:paraId="1BF0E173" w14:textId="7BA449D7" w:rsidR="00535DC8" w:rsidRDefault="00535DC8" w:rsidP="00FD25C5">
      <w:pPr>
        <w:ind w:left="709"/>
      </w:pPr>
      <w:r>
        <w:t xml:space="preserve">Once approved the </w:t>
      </w:r>
      <w:r w:rsidR="003F0BDC">
        <w:t>Contractor</w:t>
      </w:r>
      <w:r>
        <w:t xml:space="preserve"> can commence with stages C4 to C7. At the end of stage C7 there will be a brief review between the employer and the </w:t>
      </w:r>
      <w:r w:rsidR="003F0BDC">
        <w:t>Contractor</w:t>
      </w:r>
      <w:r>
        <w:t xml:space="preserve"> of the status quo (design, programme, costs) of the project. Subject to consensus, the employer will authorize commencement of the works on site.</w:t>
      </w:r>
    </w:p>
    <w:p w14:paraId="0305C50F" w14:textId="77777777" w:rsidR="00535DC8" w:rsidRDefault="00535DC8" w:rsidP="00FD25C5">
      <w:pPr>
        <w:ind w:left="709"/>
        <w:rPr>
          <w:bCs/>
        </w:rPr>
      </w:pPr>
    </w:p>
    <w:p w14:paraId="0F65807B" w14:textId="77777777" w:rsidR="00535DC8" w:rsidRPr="004029CE" w:rsidRDefault="00535DC8" w:rsidP="00FD25C5">
      <w:pPr>
        <w:ind w:left="709"/>
        <w:rPr>
          <w:bCs/>
        </w:rPr>
      </w:pPr>
      <w:r>
        <w:rPr>
          <w:bCs/>
        </w:rPr>
        <w:tab/>
      </w:r>
      <w:r w:rsidRPr="004029CE">
        <w:rPr>
          <w:bCs/>
        </w:rPr>
        <w:t>The following services</w:t>
      </w:r>
      <w:r>
        <w:rPr>
          <w:bCs/>
        </w:rPr>
        <w:t xml:space="preserve"> / stages </w:t>
      </w:r>
      <w:r w:rsidRPr="004029CE">
        <w:rPr>
          <w:bCs/>
        </w:rPr>
        <w:t>are deemed to be included:</w:t>
      </w:r>
    </w:p>
    <w:p w14:paraId="43FEB2B9" w14:textId="77777777" w:rsidR="00535DC8" w:rsidRPr="004029CE" w:rsidRDefault="00535DC8" w:rsidP="00FD25C5">
      <w:pPr>
        <w:ind w:left="709"/>
        <w:rPr>
          <w:bCs/>
        </w:rPr>
      </w:pPr>
    </w:p>
    <w:p w14:paraId="1D1B2AFE" w14:textId="77777777" w:rsidR="00535DC8" w:rsidRPr="004029CE" w:rsidRDefault="00535DC8" w:rsidP="00FD25C5">
      <w:pPr>
        <w:ind w:left="709"/>
        <w:rPr>
          <w:bCs/>
        </w:rPr>
      </w:pPr>
      <w:r w:rsidRPr="004029CE">
        <w:rPr>
          <w:bCs/>
        </w:rPr>
        <w:tab/>
        <w:t xml:space="preserve">C1 </w:t>
      </w:r>
      <w:r w:rsidRPr="004029CE">
        <w:rPr>
          <w:bCs/>
        </w:rPr>
        <w:tab/>
        <w:t xml:space="preserve">appraisal </w:t>
      </w:r>
    </w:p>
    <w:p w14:paraId="364D0633" w14:textId="77777777" w:rsidR="00535DC8" w:rsidRPr="005707AB" w:rsidRDefault="00535DC8" w:rsidP="00FD25C5">
      <w:pPr>
        <w:ind w:left="709"/>
        <w:rPr>
          <w:bCs/>
        </w:rPr>
      </w:pPr>
      <w:r w:rsidRPr="004029CE">
        <w:rPr>
          <w:bCs/>
        </w:rPr>
        <w:tab/>
      </w:r>
      <w:r w:rsidRPr="005707AB">
        <w:rPr>
          <w:bCs/>
          <w:strike/>
        </w:rPr>
        <w:t xml:space="preserve">C2 </w:t>
      </w:r>
      <w:r w:rsidRPr="005707AB">
        <w:rPr>
          <w:bCs/>
          <w:strike/>
        </w:rPr>
        <w:tab/>
        <w:t>strategic briefing</w:t>
      </w:r>
      <w:r>
        <w:rPr>
          <w:bCs/>
        </w:rPr>
        <w:t xml:space="preserve">  (not used)</w:t>
      </w:r>
    </w:p>
    <w:p w14:paraId="43F3A7A5" w14:textId="77777777" w:rsidR="00535DC8" w:rsidRPr="004029CE" w:rsidRDefault="00535DC8" w:rsidP="00FD25C5">
      <w:pPr>
        <w:ind w:left="709"/>
        <w:rPr>
          <w:bCs/>
        </w:rPr>
      </w:pPr>
      <w:r w:rsidRPr="004029CE">
        <w:rPr>
          <w:bCs/>
        </w:rPr>
        <w:tab/>
        <w:t xml:space="preserve">C3 </w:t>
      </w:r>
      <w:r w:rsidRPr="004029CE">
        <w:rPr>
          <w:bCs/>
        </w:rPr>
        <w:tab/>
        <w:t>outline proposals</w:t>
      </w:r>
      <w:r>
        <w:rPr>
          <w:bCs/>
        </w:rPr>
        <w:t xml:space="preserve"> and options</w:t>
      </w:r>
    </w:p>
    <w:p w14:paraId="75734BF7" w14:textId="77777777" w:rsidR="00535DC8" w:rsidRPr="003C5DBA" w:rsidRDefault="00535DC8" w:rsidP="00FD25C5">
      <w:pPr>
        <w:ind w:left="709"/>
        <w:rPr>
          <w:bCs/>
        </w:rPr>
      </w:pPr>
      <w:r w:rsidRPr="004029CE">
        <w:rPr>
          <w:bCs/>
        </w:rPr>
        <w:tab/>
      </w:r>
      <w:r w:rsidRPr="003C5DBA">
        <w:rPr>
          <w:bCs/>
        </w:rPr>
        <w:t xml:space="preserve">C4 </w:t>
      </w:r>
      <w:r w:rsidRPr="003C5DBA">
        <w:rPr>
          <w:bCs/>
        </w:rPr>
        <w:tab/>
        <w:t xml:space="preserve">detailed proposals </w:t>
      </w:r>
    </w:p>
    <w:p w14:paraId="63363991" w14:textId="77777777" w:rsidR="00535DC8" w:rsidRPr="004029CE" w:rsidRDefault="00535DC8" w:rsidP="00FD25C5">
      <w:pPr>
        <w:ind w:left="709"/>
        <w:rPr>
          <w:bCs/>
        </w:rPr>
      </w:pPr>
      <w:r w:rsidRPr="004029CE">
        <w:rPr>
          <w:bCs/>
        </w:rPr>
        <w:tab/>
        <w:t xml:space="preserve">C5 </w:t>
      </w:r>
      <w:r w:rsidRPr="004029CE">
        <w:rPr>
          <w:bCs/>
        </w:rPr>
        <w:tab/>
        <w:t>final proposals</w:t>
      </w:r>
      <w:r>
        <w:rPr>
          <w:bCs/>
        </w:rPr>
        <w:t xml:space="preserve"> and</w:t>
      </w:r>
    </w:p>
    <w:p w14:paraId="324B4CD0" w14:textId="77777777" w:rsidR="00535DC8" w:rsidRPr="004029CE" w:rsidRDefault="00535DC8" w:rsidP="00FD25C5">
      <w:pPr>
        <w:ind w:left="709"/>
        <w:rPr>
          <w:bCs/>
        </w:rPr>
      </w:pPr>
      <w:r w:rsidRPr="004029CE">
        <w:rPr>
          <w:bCs/>
        </w:rPr>
        <w:tab/>
        <w:t xml:space="preserve">C6 </w:t>
      </w:r>
      <w:r w:rsidRPr="004029CE">
        <w:rPr>
          <w:bCs/>
        </w:rPr>
        <w:tab/>
        <w:t>production information</w:t>
      </w:r>
      <w:r>
        <w:rPr>
          <w:bCs/>
        </w:rPr>
        <w:t xml:space="preserve"> </w:t>
      </w:r>
    </w:p>
    <w:p w14:paraId="0DCE98F0" w14:textId="77777777" w:rsidR="00535DC8" w:rsidRPr="004029CE" w:rsidRDefault="00535DC8" w:rsidP="00FD25C5">
      <w:pPr>
        <w:ind w:left="709"/>
        <w:rPr>
          <w:bCs/>
        </w:rPr>
      </w:pPr>
      <w:r w:rsidRPr="004029CE">
        <w:rPr>
          <w:bCs/>
        </w:rPr>
        <w:tab/>
        <w:t xml:space="preserve">C7 </w:t>
      </w:r>
      <w:r w:rsidRPr="004029CE">
        <w:rPr>
          <w:bCs/>
        </w:rPr>
        <w:tab/>
      </w:r>
      <w:r>
        <w:rPr>
          <w:bCs/>
        </w:rPr>
        <w:t>procurement activities</w:t>
      </w:r>
    </w:p>
    <w:p w14:paraId="49CDECB4" w14:textId="77777777" w:rsidR="00535DC8" w:rsidRPr="004029CE" w:rsidRDefault="00535DC8" w:rsidP="00FD25C5">
      <w:pPr>
        <w:ind w:left="709"/>
        <w:rPr>
          <w:bCs/>
        </w:rPr>
      </w:pPr>
      <w:r w:rsidRPr="004029CE">
        <w:rPr>
          <w:bCs/>
        </w:rPr>
        <w:tab/>
        <w:t xml:space="preserve">C8 </w:t>
      </w:r>
      <w:r>
        <w:rPr>
          <w:bCs/>
        </w:rPr>
        <w:tab/>
      </w:r>
      <w:r w:rsidRPr="004029CE">
        <w:rPr>
          <w:bCs/>
        </w:rPr>
        <w:t>construction, completion</w:t>
      </w:r>
      <w:r>
        <w:rPr>
          <w:bCs/>
        </w:rPr>
        <w:t xml:space="preserve"> </w:t>
      </w:r>
    </w:p>
    <w:p w14:paraId="7BFE9419" w14:textId="77777777" w:rsidR="00535DC8" w:rsidRPr="004029CE" w:rsidRDefault="00535DC8" w:rsidP="00FD25C5">
      <w:pPr>
        <w:ind w:left="709"/>
        <w:rPr>
          <w:bCs/>
        </w:rPr>
      </w:pPr>
      <w:r w:rsidRPr="004029CE">
        <w:rPr>
          <w:bCs/>
        </w:rPr>
        <w:tab/>
        <w:t xml:space="preserve">C9 </w:t>
      </w:r>
      <w:r w:rsidRPr="004029CE">
        <w:rPr>
          <w:bCs/>
        </w:rPr>
        <w:tab/>
        <w:t>general duties</w:t>
      </w:r>
    </w:p>
    <w:p w14:paraId="708473B2" w14:textId="77777777" w:rsidR="00535DC8" w:rsidRPr="004029CE" w:rsidRDefault="00535DC8" w:rsidP="00FD25C5">
      <w:pPr>
        <w:ind w:left="709"/>
        <w:rPr>
          <w:bCs/>
        </w:rPr>
      </w:pPr>
      <w:r w:rsidRPr="004029CE">
        <w:rPr>
          <w:bCs/>
        </w:rPr>
        <w:tab/>
        <w:t xml:space="preserve">C10 </w:t>
      </w:r>
      <w:r w:rsidRPr="004029CE">
        <w:rPr>
          <w:bCs/>
        </w:rPr>
        <w:tab/>
        <w:t>additional services as relevant to the project</w:t>
      </w:r>
    </w:p>
    <w:p w14:paraId="2457742B" w14:textId="77777777" w:rsidR="00535DC8" w:rsidRPr="004029CE" w:rsidRDefault="00535DC8" w:rsidP="00FD25C5">
      <w:pPr>
        <w:ind w:left="709"/>
        <w:rPr>
          <w:bCs/>
        </w:rPr>
      </w:pPr>
    </w:p>
    <w:p w14:paraId="4A105CE1" w14:textId="77777777" w:rsidR="00535DC8" w:rsidRPr="004029CE" w:rsidRDefault="00535DC8" w:rsidP="00FD25C5">
      <w:pPr>
        <w:ind w:left="709"/>
        <w:rPr>
          <w:bCs/>
        </w:rPr>
      </w:pPr>
      <w:r w:rsidRPr="004029CE">
        <w:rPr>
          <w:bCs/>
        </w:rPr>
        <w:tab/>
        <w:t>and include the following specifically</w:t>
      </w:r>
      <w:r>
        <w:rPr>
          <w:bCs/>
        </w:rPr>
        <w:t>:</w:t>
      </w:r>
    </w:p>
    <w:p w14:paraId="70C7F39C" w14:textId="77777777" w:rsidR="00535DC8" w:rsidRPr="003C5DBA" w:rsidRDefault="00535DC8" w:rsidP="00FD25C5">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b/>
        </w:rPr>
      </w:pPr>
      <w:r w:rsidRPr="004029CE">
        <w:rPr>
          <w:b/>
        </w:rPr>
        <w:tab/>
      </w:r>
    </w:p>
    <w:p w14:paraId="41D999A3" w14:textId="77777777" w:rsidR="00535DC8" w:rsidRPr="004029CE" w:rsidRDefault="00535DC8" w:rsidP="009816FB">
      <w:pPr>
        <w:tabs>
          <w:tab w:val="left" w:pos="144"/>
          <w:tab w:val="left" w:pos="284"/>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tab/>
      </w:r>
      <w:r>
        <w:tab/>
      </w:r>
      <w:r>
        <w:tab/>
        <w:t xml:space="preserve">- </w:t>
      </w:r>
      <w:r>
        <w:tab/>
        <w:t>Application for a new Storage Certificate for use at completion of the new installation</w:t>
      </w:r>
    </w:p>
    <w:p w14:paraId="25A168E6" w14:textId="77777777" w:rsidR="009816FB" w:rsidRDefault="00535DC8" w:rsidP="009816FB">
      <w:pPr>
        <w:tabs>
          <w:tab w:val="left" w:pos="144"/>
          <w:tab w:val="left" w:pos="284"/>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4029CE">
        <w:tab/>
      </w:r>
      <w:r w:rsidRPr="004029CE">
        <w:tab/>
      </w:r>
      <w:r w:rsidRPr="004029CE">
        <w:tab/>
        <w:t xml:space="preserve">- </w:t>
      </w:r>
      <w:r w:rsidRPr="004029CE">
        <w:tab/>
        <w:t>Attend all meetings as required for this proje</w:t>
      </w:r>
      <w:r>
        <w:t>ct both with the client organis</w:t>
      </w:r>
      <w:r w:rsidR="005E7490">
        <w:t xml:space="preserve">ation as well as </w:t>
      </w:r>
      <w:r w:rsidR="009816FB">
        <w:tab/>
      </w:r>
      <w:r w:rsidR="005E7490">
        <w:t xml:space="preserve">with </w:t>
      </w:r>
    </w:p>
    <w:p w14:paraId="53E7E6B1" w14:textId="4537A4D8" w:rsidR="00535DC8" w:rsidRDefault="009816FB" w:rsidP="009816FB">
      <w:pPr>
        <w:tabs>
          <w:tab w:val="left" w:pos="144"/>
          <w:tab w:val="left" w:pos="284"/>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tab/>
      </w:r>
      <w:r>
        <w:tab/>
      </w:r>
      <w:r>
        <w:tab/>
      </w:r>
      <w:r w:rsidR="005E7490">
        <w:tab/>
        <w:t>relevant authorities</w:t>
      </w:r>
    </w:p>
    <w:p w14:paraId="028A0466" w14:textId="77777777" w:rsidR="00535DC8" w:rsidRPr="004029CE" w:rsidRDefault="00535DC8" w:rsidP="00FD25C5">
      <w:pPr>
        <w:tabs>
          <w:tab w:val="left" w:pos="144"/>
          <w:tab w:val="left" w:pos="284"/>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pPr>
    </w:p>
    <w:p w14:paraId="03D76658" w14:textId="77777777" w:rsidR="00535DC8" w:rsidRPr="004029CE" w:rsidRDefault="00535DC8" w:rsidP="00FD25C5">
      <w:pPr>
        <w:tabs>
          <w:tab w:val="left" w:pos="567"/>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pPr>
      <w:r>
        <w:tab/>
      </w:r>
    </w:p>
    <w:p w14:paraId="70202584" w14:textId="77777777" w:rsidR="00535DC8" w:rsidRPr="00EA007C" w:rsidRDefault="00535DC8" w:rsidP="00FD25C5">
      <w:pPr>
        <w:ind w:left="709"/>
      </w:pPr>
    </w:p>
    <w:sectPr w:rsidR="00535DC8" w:rsidRPr="00EA007C" w:rsidSect="005C1AB8">
      <w:footerReference w:type="default" r:id="rId11"/>
      <w:pgSz w:w="11906" w:h="16838"/>
      <w:pgMar w:top="1440" w:right="1274"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BC5F0" w14:textId="77777777" w:rsidR="00DB41C0" w:rsidRDefault="00DB41C0" w:rsidP="002E0837">
      <w:r>
        <w:separator/>
      </w:r>
    </w:p>
  </w:endnote>
  <w:endnote w:type="continuationSeparator" w:id="0">
    <w:p w14:paraId="50110137" w14:textId="77777777" w:rsidR="00DB41C0" w:rsidRDefault="00DB41C0" w:rsidP="002E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85D0" w14:textId="77777777" w:rsidR="002C45F4" w:rsidRPr="00C4150D" w:rsidRDefault="002C45F4" w:rsidP="002C45F4">
    <w:pPr>
      <w:pStyle w:val="Footer"/>
      <w:tabs>
        <w:tab w:val="clear" w:pos="4513"/>
        <w:tab w:val="clear" w:pos="9026"/>
        <w:tab w:val="center" w:pos="4678"/>
        <w:tab w:val="right" w:pos="9356"/>
      </w:tabs>
      <w:rPr>
        <w:sz w:val="18"/>
        <w:szCs w:val="18"/>
      </w:rPr>
    </w:pPr>
    <w:r w:rsidRPr="00C4150D">
      <w:rPr>
        <w:sz w:val="18"/>
        <w:szCs w:val="18"/>
      </w:rPr>
      <w:tab/>
    </w:r>
    <w:r w:rsidRPr="003715BC">
      <w:rPr>
        <w:sz w:val="18"/>
        <w:szCs w:val="18"/>
      </w:rPr>
      <w:t>Append</w:t>
    </w:r>
    <w:r w:rsidRPr="00802571">
      <w:rPr>
        <w:sz w:val="18"/>
        <w:szCs w:val="18"/>
      </w:rPr>
      <w:t xml:space="preserve">ix </w:t>
    </w:r>
    <w:r w:rsidR="00006901">
      <w:rPr>
        <w:sz w:val="18"/>
        <w:szCs w:val="18"/>
      </w:rPr>
      <w:t>3B</w:t>
    </w:r>
    <w:r w:rsidRPr="00802571">
      <w:rPr>
        <w:sz w:val="18"/>
        <w:szCs w:val="18"/>
      </w:rPr>
      <w:t xml:space="preserve"> P</w:t>
    </w:r>
    <w:r w:rsidRPr="003715BC">
      <w:rPr>
        <w:sz w:val="18"/>
        <w:szCs w:val="18"/>
      </w:rPr>
      <w:t xml:space="preserve">age </w:t>
    </w:r>
    <w:r w:rsidR="00AB49EF" w:rsidRPr="003715BC">
      <w:rPr>
        <w:sz w:val="18"/>
        <w:szCs w:val="18"/>
      </w:rPr>
      <w:fldChar w:fldCharType="begin"/>
    </w:r>
    <w:r w:rsidRPr="003715BC">
      <w:rPr>
        <w:sz w:val="18"/>
        <w:szCs w:val="18"/>
      </w:rPr>
      <w:instrText xml:space="preserve"> PAGE   \* MERGEFORMAT </w:instrText>
    </w:r>
    <w:r w:rsidR="00AB49EF" w:rsidRPr="003715BC">
      <w:rPr>
        <w:sz w:val="18"/>
        <w:szCs w:val="18"/>
      </w:rPr>
      <w:fldChar w:fldCharType="separate"/>
    </w:r>
    <w:r w:rsidR="00757581">
      <w:rPr>
        <w:noProof/>
        <w:sz w:val="18"/>
        <w:szCs w:val="18"/>
      </w:rPr>
      <w:t>4</w:t>
    </w:r>
    <w:r w:rsidR="00AB49EF" w:rsidRPr="003715BC">
      <w:rPr>
        <w:sz w:val="18"/>
        <w:szCs w:val="18"/>
      </w:rPr>
      <w:fldChar w:fldCharType="end"/>
    </w:r>
    <w:r w:rsidRPr="003715BC">
      <w:rPr>
        <w:sz w:val="18"/>
        <w:szCs w:val="18"/>
      </w:rPr>
      <w:t xml:space="preserve"> of </w:t>
    </w:r>
    <w:fldSimple w:instr=" NUMPAGES   \* MERGEFORMAT ">
      <w:r w:rsidR="00757581" w:rsidRPr="00757581">
        <w:rPr>
          <w:noProof/>
          <w:sz w:val="18"/>
          <w:szCs w:val="18"/>
        </w:rPr>
        <w:t>4</w:t>
      </w:r>
    </w:fldSimple>
  </w:p>
  <w:p w14:paraId="5B195EDE" w14:textId="77777777" w:rsidR="002E0837" w:rsidRDefault="002E0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5A84" w14:textId="77777777" w:rsidR="00DB41C0" w:rsidRDefault="00DB41C0" w:rsidP="002E0837">
      <w:r>
        <w:separator/>
      </w:r>
    </w:p>
  </w:footnote>
  <w:footnote w:type="continuationSeparator" w:id="0">
    <w:p w14:paraId="709D57E3" w14:textId="77777777" w:rsidR="00DB41C0" w:rsidRDefault="00DB41C0" w:rsidP="002E0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FF6"/>
    <w:multiLevelType w:val="multilevel"/>
    <w:tmpl w:val="97B0AE5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03F21BDC"/>
    <w:multiLevelType w:val="hybridMultilevel"/>
    <w:tmpl w:val="083AD498"/>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FD46FEC"/>
    <w:multiLevelType w:val="hybridMultilevel"/>
    <w:tmpl w:val="0AA24CC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5A5BC6"/>
    <w:multiLevelType w:val="singleLevel"/>
    <w:tmpl w:val="E60C1522"/>
    <w:lvl w:ilvl="0">
      <w:start w:val="1"/>
      <w:numFmt w:val="bullet"/>
      <w:pStyle w:val="bullets"/>
      <w:lvlText w:val=""/>
      <w:lvlJc w:val="left"/>
      <w:pPr>
        <w:tabs>
          <w:tab w:val="num" w:pos="360"/>
        </w:tabs>
        <w:ind w:left="360" w:hanging="360"/>
      </w:pPr>
      <w:rPr>
        <w:rFonts w:ascii="Symbol" w:hAnsi="Symbol" w:hint="default"/>
      </w:rPr>
    </w:lvl>
  </w:abstractNum>
  <w:abstractNum w:abstractNumId="4" w15:restartNumberingAfterBreak="0">
    <w:nsid w:val="1ABD6CB2"/>
    <w:multiLevelType w:val="hybridMultilevel"/>
    <w:tmpl w:val="AEF0D9C4"/>
    <w:lvl w:ilvl="0" w:tplc="BFD84B8A">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CC1A30"/>
    <w:multiLevelType w:val="hybridMultilevel"/>
    <w:tmpl w:val="EEF60BF8"/>
    <w:lvl w:ilvl="0" w:tplc="D8B07814">
      <w:start w:val="1"/>
      <w:numFmt w:val="bullet"/>
      <w:lvlText w:val=""/>
      <w:lvlJc w:val="left"/>
      <w:pPr>
        <w:tabs>
          <w:tab w:val="num" w:pos="1364"/>
        </w:tabs>
        <w:ind w:left="130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F300B"/>
    <w:multiLevelType w:val="hybridMultilevel"/>
    <w:tmpl w:val="98E861F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B084B"/>
    <w:multiLevelType w:val="hybridMultilevel"/>
    <w:tmpl w:val="083AD498"/>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F1045"/>
    <w:rsid w:val="00006901"/>
    <w:rsid w:val="00011273"/>
    <w:rsid w:val="00027B8A"/>
    <w:rsid w:val="00046B18"/>
    <w:rsid w:val="000471BA"/>
    <w:rsid w:val="000703B0"/>
    <w:rsid w:val="0008761F"/>
    <w:rsid w:val="000C7D7C"/>
    <w:rsid w:val="000D0C92"/>
    <w:rsid w:val="001008B1"/>
    <w:rsid w:val="00136B3F"/>
    <w:rsid w:val="00174345"/>
    <w:rsid w:val="0017576D"/>
    <w:rsid w:val="001A2CAE"/>
    <w:rsid w:val="002C0645"/>
    <w:rsid w:val="002C2FEE"/>
    <w:rsid w:val="002C45F4"/>
    <w:rsid w:val="002C5D80"/>
    <w:rsid w:val="002E0837"/>
    <w:rsid w:val="002F7040"/>
    <w:rsid w:val="003715BC"/>
    <w:rsid w:val="003910CE"/>
    <w:rsid w:val="003B6063"/>
    <w:rsid w:val="003D4AE1"/>
    <w:rsid w:val="003F0BDC"/>
    <w:rsid w:val="00401B8B"/>
    <w:rsid w:val="00421198"/>
    <w:rsid w:val="00462B6F"/>
    <w:rsid w:val="004838DD"/>
    <w:rsid w:val="004C1397"/>
    <w:rsid w:val="004C4006"/>
    <w:rsid w:val="004C64F1"/>
    <w:rsid w:val="005166CE"/>
    <w:rsid w:val="00535DC8"/>
    <w:rsid w:val="00554982"/>
    <w:rsid w:val="00585A4D"/>
    <w:rsid w:val="005C1AB8"/>
    <w:rsid w:val="005E736C"/>
    <w:rsid w:val="005E7490"/>
    <w:rsid w:val="00600555"/>
    <w:rsid w:val="00605F9C"/>
    <w:rsid w:val="00614728"/>
    <w:rsid w:val="00627B25"/>
    <w:rsid w:val="00642F2C"/>
    <w:rsid w:val="00661D8D"/>
    <w:rsid w:val="006A0F51"/>
    <w:rsid w:val="006C3B5E"/>
    <w:rsid w:val="006D058F"/>
    <w:rsid w:val="006E4275"/>
    <w:rsid w:val="007060F2"/>
    <w:rsid w:val="00723840"/>
    <w:rsid w:val="00757581"/>
    <w:rsid w:val="0078343D"/>
    <w:rsid w:val="007C51D4"/>
    <w:rsid w:val="007F6800"/>
    <w:rsid w:val="007F6F7A"/>
    <w:rsid w:val="00802571"/>
    <w:rsid w:val="00892F79"/>
    <w:rsid w:val="008966FB"/>
    <w:rsid w:val="008C591F"/>
    <w:rsid w:val="008D59DC"/>
    <w:rsid w:val="008E6A65"/>
    <w:rsid w:val="009216E8"/>
    <w:rsid w:val="00927104"/>
    <w:rsid w:val="00943F94"/>
    <w:rsid w:val="009462A5"/>
    <w:rsid w:val="009816FB"/>
    <w:rsid w:val="0098504C"/>
    <w:rsid w:val="00996E98"/>
    <w:rsid w:val="009E4942"/>
    <w:rsid w:val="00A30D74"/>
    <w:rsid w:val="00A42615"/>
    <w:rsid w:val="00A45618"/>
    <w:rsid w:val="00A70D3C"/>
    <w:rsid w:val="00A730EE"/>
    <w:rsid w:val="00AB08D2"/>
    <w:rsid w:val="00AB49EF"/>
    <w:rsid w:val="00AF69CA"/>
    <w:rsid w:val="00BA7318"/>
    <w:rsid w:val="00BB7D7C"/>
    <w:rsid w:val="00C23A9D"/>
    <w:rsid w:val="00C37F64"/>
    <w:rsid w:val="00C4150D"/>
    <w:rsid w:val="00C52E77"/>
    <w:rsid w:val="00C664C3"/>
    <w:rsid w:val="00C82A1D"/>
    <w:rsid w:val="00C92C52"/>
    <w:rsid w:val="00C96206"/>
    <w:rsid w:val="00CA3633"/>
    <w:rsid w:val="00CC5369"/>
    <w:rsid w:val="00CD269B"/>
    <w:rsid w:val="00CD3CB5"/>
    <w:rsid w:val="00D12124"/>
    <w:rsid w:val="00D37FAC"/>
    <w:rsid w:val="00D81D95"/>
    <w:rsid w:val="00DB41C0"/>
    <w:rsid w:val="00DF1045"/>
    <w:rsid w:val="00E02F4F"/>
    <w:rsid w:val="00EA007C"/>
    <w:rsid w:val="00F52D77"/>
    <w:rsid w:val="00FA6A55"/>
    <w:rsid w:val="00FC0B79"/>
    <w:rsid w:val="00FC49F8"/>
    <w:rsid w:val="00FD25C5"/>
    <w:rsid w:val="00FD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5" type="connector" idref="#_x0000_s1030"/>
        <o:r id="V:Rule6" type="connector" idref="#_x0000_s1031"/>
        <o:r id="V:Rule7" type="connector" idref="#_x0000_s1032"/>
        <o:r id="V:Rule8" type="connector" idref="#_x0000_s1033"/>
      </o:rules>
    </o:shapelayout>
  </w:shapeDefaults>
  <w:decimalSymbol w:val="."/>
  <w:listSeparator w:val=","/>
  <w14:docId w14:val="79C49A29"/>
  <w15:docId w15:val="{B34FDE84-341A-4B59-88D3-86B9F675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45"/>
  </w:style>
  <w:style w:type="paragraph" w:styleId="Heading1">
    <w:name w:val="heading 1"/>
    <w:basedOn w:val="Normal"/>
    <w:next w:val="Normal"/>
    <w:link w:val="Heading1Char"/>
    <w:uiPriority w:val="9"/>
    <w:qFormat/>
    <w:rsid w:val="004C1397"/>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D81D95"/>
    <w:pPr>
      <w:keepNext/>
      <w:jc w:val="both"/>
      <w:outlineLvl w:val="2"/>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1D95"/>
    <w:rPr>
      <w:rFonts w:ascii="Times New Roman" w:eastAsia="Times New Roman" w:hAnsi="Times New Roman" w:cs="Times New Roman"/>
      <w:b/>
      <w:sz w:val="24"/>
    </w:rPr>
  </w:style>
  <w:style w:type="paragraph" w:styleId="Header">
    <w:name w:val="header"/>
    <w:basedOn w:val="Normal"/>
    <w:link w:val="HeaderChar"/>
    <w:uiPriority w:val="99"/>
    <w:unhideWhenUsed/>
    <w:rsid w:val="002E0837"/>
    <w:pPr>
      <w:tabs>
        <w:tab w:val="center" w:pos="4513"/>
        <w:tab w:val="right" w:pos="9026"/>
      </w:tabs>
    </w:pPr>
  </w:style>
  <w:style w:type="character" w:customStyle="1" w:styleId="HeaderChar">
    <w:name w:val="Header Char"/>
    <w:basedOn w:val="DefaultParagraphFont"/>
    <w:link w:val="Header"/>
    <w:uiPriority w:val="99"/>
    <w:rsid w:val="002E0837"/>
  </w:style>
  <w:style w:type="paragraph" w:styleId="Footer">
    <w:name w:val="footer"/>
    <w:basedOn w:val="Normal"/>
    <w:link w:val="FooterChar"/>
    <w:uiPriority w:val="99"/>
    <w:unhideWhenUsed/>
    <w:rsid w:val="002E0837"/>
    <w:pPr>
      <w:tabs>
        <w:tab w:val="center" w:pos="4513"/>
        <w:tab w:val="right" w:pos="9026"/>
      </w:tabs>
    </w:pPr>
  </w:style>
  <w:style w:type="character" w:customStyle="1" w:styleId="FooterChar">
    <w:name w:val="Footer Char"/>
    <w:basedOn w:val="DefaultParagraphFont"/>
    <w:link w:val="Footer"/>
    <w:uiPriority w:val="99"/>
    <w:rsid w:val="002E0837"/>
  </w:style>
  <w:style w:type="paragraph" w:styleId="BalloonText">
    <w:name w:val="Balloon Text"/>
    <w:basedOn w:val="Normal"/>
    <w:link w:val="BalloonTextChar"/>
    <w:uiPriority w:val="99"/>
    <w:semiHidden/>
    <w:unhideWhenUsed/>
    <w:rsid w:val="002C45F4"/>
    <w:rPr>
      <w:rFonts w:ascii="Tahoma" w:hAnsi="Tahoma" w:cs="Tahoma"/>
      <w:sz w:val="16"/>
      <w:szCs w:val="16"/>
    </w:rPr>
  </w:style>
  <w:style w:type="character" w:customStyle="1" w:styleId="BalloonTextChar">
    <w:name w:val="Balloon Text Char"/>
    <w:basedOn w:val="DefaultParagraphFont"/>
    <w:link w:val="BalloonText"/>
    <w:uiPriority w:val="99"/>
    <w:semiHidden/>
    <w:rsid w:val="002C45F4"/>
    <w:rPr>
      <w:rFonts w:ascii="Tahoma" w:hAnsi="Tahoma" w:cs="Tahoma"/>
      <w:sz w:val="16"/>
      <w:szCs w:val="16"/>
    </w:rPr>
  </w:style>
  <w:style w:type="paragraph" w:styleId="BodyText">
    <w:name w:val="Body Text"/>
    <w:basedOn w:val="Normal"/>
    <w:link w:val="BodyTextChar"/>
    <w:rsid w:val="007F6800"/>
    <w:pPr>
      <w:widowControl w:val="0"/>
      <w:tabs>
        <w:tab w:val="left" w:pos="0"/>
        <w:tab w:val="left" w:pos="720"/>
        <w:tab w:val="left" w:pos="1440"/>
      </w:tabs>
      <w:suppressAutoHyphens/>
      <w:jc w:val="both"/>
    </w:pPr>
    <w:rPr>
      <w:rFonts w:ascii="CG Times" w:eastAsia="Times New Roman" w:hAnsi="CG Times" w:cs="Times New Roman"/>
      <w:snapToGrid w:val="0"/>
      <w:spacing w:val="-3"/>
      <w:sz w:val="24"/>
    </w:rPr>
  </w:style>
  <w:style w:type="character" w:customStyle="1" w:styleId="BodyTextChar">
    <w:name w:val="Body Text Char"/>
    <w:basedOn w:val="DefaultParagraphFont"/>
    <w:link w:val="BodyText"/>
    <w:rsid w:val="007F6800"/>
    <w:rPr>
      <w:rFonts w:ascii="CG Times" w:eastAsia="Times New Roman" w:hAnsi="CG Times" w:cs="Times New Roman"/>
      <w:snapToGrid w:val="0"/>
      <w:spacing w:val="-3"/>
      <w:sz w:val="24"/>
    </w:rPr>
  </w:style>
  <w:style w:type="character" w:customStyle="1" w:styleId="Heading1Char">
    <w:name w:val="Heading 1 Char"/>
    <w:basedOn w:val="DefaultParagraphFont"/>
    <w:link w:val="Heading1"/>
    <w:uiPriority w:val="9"/>
    <w:rsid w:val="004C1397"/>
    <w:rPr>
      <w:rFonts w:ascii="Cambria" w:eastAsia="Times New Roman" w:hAnsi="Cambria" w:cs="Times New Roman"/>
      <w:b/>
      <w:bCs/>
      <w:kern w:val="32"/>
      <w:sz w:val="32"/>
      <w:szCs w:val="32"/>
    </w:rPr>
  </w:style>
  <w:style w:type="character" w:styleId="Hyperlink">
    <w:name w:val="Hyperlink"/>
    <w:rsid w:val="004C1397"/>
    <w:rPr>
      <w:color w:val="0000FF"/>
      <w:u w:val="single"/>
    </w:rPr>
  </w:style>
  <w:style w:type="paragraph" w:customStyle="1" w:styleId="bullets">
    <w:name w:val="bullets"/>
    <w:basedOn w:val="NormalIndent"/>
    <w:rsid w:val="004C1397"/>
    <w:pPr>
      <w:numPr>
        <w:numId w:val="1"/>
      </w:numPr>
      <w:tabs>
        <w:tab w:val="clear" w:pos="360"/>
        <w:tab w:val="num" w:pos="1800"/>
      </w:tabs>
      <w:ind w:left="1800"/>
      <w:jc w:val="both"/>
    </w:pPr>
    <w:rPr>
      <w:rFonts w:ascii="Times" w:eastAsia="Times New Roman" w:hAnsi="Times" w:cs="Times New Roman"/>
      <w:sz w:val="22"/>
      <w:lang w:val="en-US" w:eastAsia="en-GB" w:bidi="en-US"/>
    </w:rPr>
  </w:style>
  <w:style w:type="paragraph" w:styleId="ListParagraph">
    <w:name w:val="List Paragraph"/>
    <w:basedOn w:val="Normal"/>
    <w:link w:val="ListParagraphChar"/>
    <w:uiPriority w:val="34"/>
    <w:qFormat/>
    <w:rsid w:val="004C1397"/>
    <w:pPr>
      <w:ind w:left="720"/>
      <w:contextualSpacing/>
    </w:pPr>
    <w:rPr>
      <w:rFonts w:ascii="Calibri" w:eastAsia="Times New Roman" w:hAnsi="Calibri" w:cs="Times New Roman"/>
      <w:sz w:val="24"/>
      <w:szCs w:val="24"/>
      <w:lang w:val="en-US" w:bidi="en-US"/>
    </w:rPr>
  </w:style>
  <w:style w:type="character" w:customStyle="1" w:styleId="ListParagraphChar">
    <w:name w:val="List Paragraph Char"/>
    <w:link w:val="ListParagraph"/>
    <w:uiPriority w:val="34"/>
    <w:rsid w:val="004C1397"/>
    <w:rPr>
      <w:rFonts w:ascii="Calibri" w:eastAsia="Times New Roman" w:hAnsi="Calibri" w:cs="Times New Roman"/>
      <w:sz w:val="24"/>
      <w:szCs w:val="24"/>
      <w:lang w:val="en-US" w:bidi="en-US"/>
    </w:rPr>
  </w:style>
  <w:style w:type="character" w:styleId="CommentReference">
    <w:name w:val="annotation reference"/>
    <w:rsid w:val="004C1397"/>
    <w:rPr>
      <w:sz w:val="16"/>
      <w:szCs w:val="16"/>
    </w:rPr>
  </w:style>
  <w:style w:type="paragraph" w:styleId="CommentText">
    <w:name w:val="annotation text"/>
    <w:basedOn w:val="Normal"/>
    <w:link w:val="CommentTextChar"/>
    <w:rsid w:val="004C1397"/>
    <w:rPr>
      <w:rFonts w:ascii="Calibri" w:eastAsia="Times New Roman" w:hAnsi="Calibri" w:cs="Times New Roman"/>
      <w:lang w:val="en-US" w:bidi="en-US"/>
    </w:rPr>
  </w:style>
  <w:style w:type="character" w:customStyle="1" w:styleId="CommentTextChar">
    <w:name w:val="Comment Text Char"/>
    <w:basedOn w:val="DefaultParagraphFont"/>
    <w:link w:val="CommentText"/>
    <w:rsid w:val="004C1397"/>
    <w:rPr>
      <w:rFonts w:ascii="Calibri" w:eastAsia="Times New Roman" w:hAnsi="Calibri" w:cs="Times New Roman"/>
      <w:lang w:val="en-US" w:bidi="en-US"/>
    </w:rPr>
  </w:style>
  <w:style w:type="paragraph" w:styleId="NormalIndent">
    <w:name w:val="Normal Indent"/>
    <w:basedOn w:val="Normal"/>
    <w:uiPriority w:val="99"/>
    <w:semiHidden/>
    <w:unhideWhenUsed/>
    <w:rsid w:val="004C13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637/contents/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efra.gov.uk/environment/consult/ground-petrol.index.htm" TargetMode="External"/><Relationship Id="rId4" Type="http://schemas.openxmlformats.org/officeDocument/2006/relationships/webSettings" Target="webSettings.xml"/><Relationship Id="rId9" Type="http://schemas.openxmlformats.org/officeDocument/2006/relationships/hyperlink" Target="http://www.legislation.gov.uk/uksi/2002/277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B9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416EE22F</Template>
  <TotalTime>284</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RBG, Kew</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Randall</dc:creator>
  <cp:lastModifiedBy>Albert May</cp:lastModifiedBy>
  <cp:revision>15</cp:revision>
  <cp:lastPrinted>2015-08-12T10:26:00Z</cp:lastPrinted>
  <dcterms:created xsi:type="dcterms:W3CDTF">2015-06-23T07:34:00Z</dcterms:created>
  <dcterms:modified xsi:type="dcterms:W3CDTF">2015-08-12T11:10:00Z</dcterms:modified>
</cp:coreProperties>
</file>