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426"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Joint Schedule 4 (Commercially Sensitive Information) </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360" w:hanging="360"/>
        <w:jc w:val="both"/>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What is the Commercially Sensitive Information?</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Parties have sought to identify the Supplier's Confidential Information that is genuinely commercially sensitive and the disclosure of which would be the subject of an exemption under the FOIA and the EIRs. </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1134"/>
        </w:tabs>
        <w:spacing w:after="120" w:before="120" w:line="240" w:lineRule="auto"/>
        <w:ind w:left="644" w:hanging="576"/>
        <w:jc w:val="both"/>
        <w:rPr>
          <w:color w:val="000000"/>
        </w:rPr>
      </w:pPr>
      <w:r w:rsidDel="00000000" w:rsidR="00000000" w:rsidRPr="00000000">
        <w:rPr>
          <w:rtl w:val="0"/>
        </w:rPr>
      </w:r>
    </w:p>
    <w:tbl>
      <w:tblPr>
        <w:tblStyle w:val="Table1"/>
        <w:tblW w:w="7949.000000000001"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1"/>
        </w:trPr>
        <w:tc>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w:t>
            </w:r>
          </w:p>
        </w:tc>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Date</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Item(s)</w:t>
            </w:r>
          </w:p>
        </w:tc>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Duration of Confidentiality</w:t>
            </w:r>
          </w:p>
        </w:tc>
      </w:tr>
      <w:tr>
        <w:trPr>
          <w:cantSplit w:val="0"/>
          <w:tblHeader w:val="0"/>
        </w:trPr>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July 2022 </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 Price Details</w:t>
            </w:r>
          </w:p>
        </w:tc>
        <w:tc>
          <w:tcPr/>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For the duration of the contract and 12 years after.</w:t>
            </w:r>
          </w:p>
        </w:tc>
      </w:tr>
    </w:tbl>
    <w:p w:rsidR="00000000" w:rsidDel="00000000" w:rsidP="00000000" w:rsidRDefault="00000000" w:rsidRPr="00000000" w14:paraId="0000000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b w:val="1"/>
        <w:i w:val="0"/>
        <w:smallCaps w:val="0"/>
        <w:strike w:val="0"/>
        <w:color w:val="000000"/>
        <w:sz w:val="22"/>
        <w:szCs w:val="22"/>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qFormat w:val="1"/>
    <w:pPr>
      <w:numPr>
        <w:ilvl w:val="3"/>
      </w:numPr>
      <w:tabs>
        <w:tab w:val="left" w:pos="2552"/>
      </w:tabs>
      <w:ind w:left="2552" w:hanging="567"/>
    </w:pPr>
  </w:style>
  <w:style w:type="paragraph" w:styleId="GPSL5numberedclause" w:customStyle="1">
    <w:name w:val="GPS L5 numbered clause"/>
    <w:basedOn w:val="GPSL4numberedclause"/>
    <w:qFormat w:val="1"/>
    <w:pPr>
      <w:numPr>
        <w:ilvl w:val="4"/>
      </w:numPr>
      <w:tabs>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left" w:pos="3686"/>
      </w:tabs>
      <w:ind w:left="3686" w:hanging="567"/>
    </w:p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cs="Arial" w:eastAsia="Times New Roman"/>
      <w:color w:val="ffffff"/>
      <w:sz w:val="16"/>
      <w:szCs w:val="16"/>
    </w:rPr>
  </w:style>
  <w:style w:type="paragraph" w:styleId="GPSSchTitleandNumber" w:customStyle="1">
    <w:name w:val="GPS Sch Title and Number"/>
    <w:basedOn w:val="Normal"/>
    <w:link w:val="GPSSchTitleandNumberChar"/>
    <w:qFormat w:val="1"/>
    <w:pPr>
      <w:keepNext w:val="1"/>
      <w:adjustRightInd w:val="0"/>
      <w:spacing w:after="240" w:line="240" w:lineRule="auto"/>
      <w:ind w:firstLine="426"/>
      <w:jc w:val="center"/>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S00y/vIcGO2hawmgI3TTV816mQ==">AMUW2mWo77kvViVH58K+YxTN01bQDorqWroxQaWTkNWWOw1uEyb0ohWkW+cF6gIChAixXpreotRtCvdYSjAIbEy/3GckSW28+ByjfKlxcdnU0TTuKJzoOxMT9Ta3H+pYyLqhjh5Dsune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2022-07-21T14:18:00Z</dcterms:created>
  <dc:creator>Ruth Cowley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