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BC" w:rsidRDefault="007C40BC" w:rsidP="007C40BC"/>
    <w:p w:rsidR="007C40BC" w:rsidRPr="00CF253B" w:rsidRDefault="004A70C3" w:rsidP="00164796">
      <w:pPr>
        <w:pStyle w:val="Title"/>
        <w:rPr>
          <w:color w:val="FF0000"/>
        </w:rPr>
      </w:pPr>
      <w:r w:rsidRPr="004A70C3">
        <w:rPr>
          <w:color w:val="000000" w:themeColor="text1"/>
        </w:rPr>
        <w:t>Our Heritage</w:t>
      </w:r>
    </w:p>
    <w:p w:rsidR="002A3C07" w:rsidRPr="002A3C07" w:rsidRDefault="002A3C07" w:rsidP="002A3C07"/>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rsidR="007C40BC" w:rsidRPr="009E6389" w:rsidRDefault="007C40BC" w:rsidP="004A70C3">
      <w:pPr>
        <w:tabs>
          <w:tab w:val="left" w:pos="567"/>
          <w:tab w:val="left" w:pos="4111"/>
        </w:tabs>
        <w:spacing w:after="240"/>
        <w:ind w:left="1440" w:hanging="1440"/>
        <w:rPr>
          <w:rStyle w:val="Strong"/>
          <w:b w:val="0"/>
          <w:bCs/>
        </w:rPr>
      </w:pPr>
      <w:r w:rsidRPr="0061657B">
        <w:rPr>
          <w:rStyle w:val="Strong"/>
        </w:rPr>
        <w:t>Title of procurement</w:t>
      </w:r>
      <w:r w:rsidRPr="00B230B6">
        <w:rPr>
          <w:rStyle w:val="Strong"/>
        </w:rPr>
        <w:tab/>
      </w:r>
      <w:r w:rsidR="001F3BF8">
        <w:rPr>
          <w:rStyle w:val="Strong"/>
        </w:rPr>
        <w:t>Our Heritage</w:t>
      </w:r>
      <w:r w:rsidR="004A70C3">
        <w:rPr>
          <w:rStyle w:val="Strong"/>
        </w:rPr>
        <w:t xml:space="preserve"> Review                    </w:t>
      </w:r>
    </w:p>
    <w:p w:rsidR="007C40BC" w:rsidRDefault="007C40BC" w:rsidP="007C40BC">
      <w:pPr>
        <w:tabs>
          <w:tab w:val="left" w:pos="567"/>
          <w:tab w:val="left" w:pos="4111"/>
        </w:tabs>
        <w:spacing w:after="240"/>
        <w:ind w:left="4110" w:hanging="4110"/>
      </w:pPr>
      <w:r w:rsidRPr="005E4427">
        <w:rPr>
          <w:b/>
          <w:highlight w:val="yellow"/>
        </w:rPr>
        <w:t>Brief description of supply</w:t>
      </w:r>
      <w:r w:rsidRPr="00B230B6">
        <w:tab/>
      </w:r>
      <w:r w:rsidR="005E4427">
        <w:t>Evaluation services</w:t>
      </w:r>
    </w:p>
    <w:p w:rsidR="007C40BC" w:rsidRDefault="007C40BC" w:rsidP="007C40BC">
      <w:pPr>
        <w:tabs>
          <w:tab w:val="left" w:pos="567"/>
          <w:tab w:val="left" w:pos="4111"/>
        </w:tabs>
        <w:spacing w:after="240"/>
      </w:pPr>
      <w:r>
        <w:rPr>
          <w:b/>
        </w:rPr>
        <w:t>Estimated v</w:t>
      </w:r>
      <w:r w:rsidRPr="00A87B76">
        <w:rPr>
          <w:b/>
        </w:rPr>
        <w:t>alue of tender</w:t>
      </w:r>
      <w:r w:rsidRPr="00B230B6">
        <w:tab/>
      </w:r>
      <w:r w:rsidR="00EE1471">
        <w:t>Up to £15,000 including VAT and expenses</w:t>
      </w:r>
    </w:p>
    <w:p w:rsidR="00617D51" w:rsidRDefault="007C40BC" w:rsidP="007C40BC">
      <w:pPr>
        <w:tabs>
          <w:tab w:val="left" w:pos="567"/>
          <w:tab w:val="left" w:pos="4111"/>
        </w:tabs>
        <w:spacing w:after="240"/>
      </w:pPr>
      <w:r w:rsidRPr="00A87B76">
        <w:rPr>
          <w:b/>
        </w:rPr>
        <w:t xml:space="preserve">Estimated </w:t>
      </w:r>
      <w:r>
        <w:rPr>
          <w:b/>
        </w:rPr>
        <w:t>duration</w:t>
      </w:r>
      <w:r w:rsidRPr="00B230B6">
        <w:tab/>
      </w:r>
      <w:r w:rsidR="001F3BF8">
        <w:t>3 Months</w:t>
      </w:r>
    </w:p>
    <w:p w:rsidR="00EE1471" w:rsidRDefault="007C40BC" w:rsidP="00EE1471">
      <w:pPr>
        <w:rPr>
          <w:rFonts w:eastAsiaTheme="minorEastAsia" w:cs="Arial"/>
          <w:b/>
          <w:bCs/>
          <w:noProof/>
          <w:lang w:eastAsia="en-GB"/>
        </w:rPr>
      </w:pPr>
      <w:r w:rsidRPr="00A87B76">
        <w:rPr>
          <w:b/>
        </w:rPr>
        <w:t xml:space="preserve">Name of </w:t>
      </w:r>
      <w:r>
        <w:rPr>
          <w:b/>
        </w:rPr>
        <w:t>HL</w:t>
      </w:r>
      <w:r w:rsidRPr="00A87B76">
        <w:rPr>
          <w:b/>
        </w:rPr>
        <w:t>F Contact</w:t>
      </w:r>
      <w:r w:rsidRPr="00EE3B0C">
        <w:tab/>
      </w:r>
      <w:r w:rsidR="00EE1471">
        <w:tab/>
        <w:t xml:space="preserve">        </w:t>
      </w:r>
      <w:r w:rsidR="00EE1471">
        <w:rPr>
          <w:rFonts w:eastAsiaTheme="minorEastAsia" w:cs="Arial"/>
          <w:b/>
          <w:bCs/>
          <w:noProof/>
          <w:lang w:eastAsia="en-GB"/>
        </w:rPr>
        <w:t>Kion Ahadi</w:t>
      </w:r>
    </w:p>
    <w:p w:rsidR="00EE1471" w:rsidRDefault="00EE1471" w:rsidP="00EE1471">
      <w:pPr>
        <w:ind w:left="2160" w:firstLine="720"/>
        <w:rPr>
          <w:rFonts w:eastAsiaTheme="minorEastAsia" w:cs="Arial"/>
          <w:bCs/>
          <w:noProof/>
          <w:lang w:eastAsia="en-GB"/>
        </w:rPr>
      </w:pPr>
      <w:r>
        <w:rPr>
          <w:rFonts w:eastAsiaTheme="minorEastAsia" w:cs="Arial"/>
          <w:bCs/>
          <w:noProof/>
          <w:lang w:eastAsia="en-GB"/>
        </w:rPr>
        <w:t xml:space="preserve">                    Head of Evaluation</w:t>
      </w:r>
    </w:p>
    <w:p w:rsidR="00EE1471" w:rsidRDefault="00EE1471" w:rsidP="00EE1471">
      <w:pPr>
        <w:rPr>
          <w:rFonts w:eastAsiaTheme="minorEastAsia" w:cs="Arial"/>
          <w:bCs/>
          <w:noProof/>
          <w:lang w:eastAsia="en-GB"/>
        </w:rPr>
      </w:pPr>
      <w:r>
        <w:rPr>
          <w:rFonts w:eastAsiaTheme="minorEastAsia" w:cs="Arial"/>
          <w:bCs/>
          <w:noProof/>
          <w:lang w:eastAsia="en-GB"/>
        </w:rPr>
        <w:t xml:space="preserve">                                                                   Heritage Lottery Fund</w:t>
      </w:r>
    </w:p>
    <w:p w:rsidR="00EE1471" w:rsidRDefault="00EE1471" w:rsidP="00EE1471">
      <w:pPr>
        <w:rPr>
          <w:rFonts w:eastAsiaTheme="minorEastAsia" w:cs="Arial"/>
          <w:bCs/>
          <w:noProof/>
          <w:lang w:eastAsia="en-GB"/>
        </w:rPr>
      </w:pPr>
      <w:r>
        <w:rPr>
          <w:rFonts w:eastAsiaTheme="minorEastAsia" w:cs="Arial"/>
          <w:bCs/>
          <w:noProof/>
          <w:lang w:eastAsia="en-GB"/>
        </w:rPr>
        <w:t xml:space="preserve">                                                                   7 Holbein Place</w:t>
      </w:r>
    </w:p>
    <w:p w:rsidR="00EE1471" w:rsidRDefault="00EE1471" w:rsidP="00EE1471">
      <w:pPr>
        <w:rPr>
          <w:rFonts w:eastAsiaTheme="minorEastAsia" w:cs="Arial"/>
          <w:bCs/>
          <w:noProof/>
          <w:lang w:eastAsia="en-GB"/>
        </w:rPr>
      </w:pPr>
      <w:r>
        <w:rPr>
          <w:rFonts w:eastAsiaTheme="minorEastAsia" w:cs="Arial"/>
          <w:bCs/>
          <w:noProof/>
          <w:lang w:eastAsia="en-GB"/>
        </w:rPr>
        <w:t xml:space="preserve">                                                                   London SW1W 8NR</w:t>
      </w:r>
    </w:p>
    <w:p w:rsidR="00EE1471" w:rsidRDefault="00EE1471" w:rsidP="00EE1471">
      <w:pPr>
        <w:rPr>
          <w:rFonts w:eastAsiaTheme="minorEastAsia" w:cs="Arial"/>
          <w:bCs/>
          <w:noProof/>
          <w:lang w:eastAsia="en-GB"/>
        </w:rPr>
      </w:pPr>
      <w:r>
        <w:rPr>
          <w:rFonts w:eastAsiaTheme="minorEastAsia" w:cs="Arial"/>
          <w:bCs/>
          <w:noProof/>
          <w:lang w:eastAsia="en-GB"/>
        </w:rPr>
        <w:t xml:space="preserve">                                                                   Phone: 020 7591 6073</w:t>
      </w:r>
    </w:p>
    <w:p w:rsidR="00EE1471" w:rsidRDefault="00EE1471" w:rsidP="00EE1471">
      <w:pPr>
        <w:rPr>
          <w:rFonts w:eastAsiaTheme="minorEastAsia" w:cs="Arial"/>
          <w:bCs/>
          <w:noProof/>
          <w:lang w:eastAsia="en-GB"/>
        </w:rPr>
      </w:pPr>
      <w:r>
        <w:rPr>
          <w:rFonts w:eastAsiaTheme="minorEastAsia" w:cs="Arial"/>
          <w:bCs/>
          <w:noProof/>
          <w:lang w:eastAsia="en-GB"/>
        </w:rPr>
        <w:t xml:space="preserve">                                                                   Email: Kion.Ahadi@hlf.org.uk</w:t>
      </w:r>
    </w:p>
    <w:p w:rsidR="007C40BC" w:rsidRDefault="00EE1471" w:rsidP="00EE1471">
      <w:pPr>
        <w:tabs>
          <w:tab w:val="left" w:pos="567"/>
          <w:tab w:val="left" w:pos="4111"/>
        </w:tabs>
        <w:spacing w:after="240"/>
      </w:pPr>
      <w:r>
        <w:rPr>
          <w:rFonts w:eastAsiaTheme="minorEastAsia" w:cs="Arial"/>
          <w:bCs/>
          <w:noProof/>
          <w:lang w:eastAsia="en-GB"/>
        </w:rPr>
        <w:t xml:space="preserve">                                                                   Website: </w:t>
      </w:r>
      <w:hyperlink r:id="rId8" w:history="1">
        <w:r>
          <w:rPr>
            <w:rStyle w:val="Hyperlink"/>
            <w:rFonts w:eastAsiaTheme="minorEastAsia"/>
            <w:bCs/>
            <w:noProof/>
            <w:lang w:eastAsia="en-GB"/>
          </w:rPr>
          <w:t>www.hlf.org.uk</w:t>
        </w:r>
      </w:hyperlink>
      <w:r w:rsidR="007C1E3D">
        <w:t xml:space="preserve"> </w:t>
      </w:r>
    </w:p>
    <w:p w:rsidR="007C40BC" w:rsidRDefault="007C40BC" w:rsidP="007C40BC">
      <w:pPr>
        <w:tabs>
          <w:tab w:val="left" w:pos="4111"/>
        </w:tabs>
        <w:spacing w:after="240"/>
        <w:ind w:left="4111" w:hanging="4111"/>
      </w:pPr>
      <w:r w:rsidRPr="008A4DA4">
        <w:rPr>
          <w:b/>
        </w:rPr>
        <w:t>Timetable</w:t>
      </w:r>
      <w:r w:rsidR="00697E37">
        <w:tab/>
        <w:t xml:space="preserve">Response deadline: </w:t>
      </w:r>
      <w:r w:rsidR="005E4427">
        <w:t xml:space="preserve">18 </w:t>
      </w:r>
      <w:r w:rsidR="004A70C3">
        <w:t>September 2017</w:t>
      </w:r>
    </w:p>
    <w:p w:rsidR="007C40BC" w:rsidRDefault="00AE2088" w:rsidP="007C40BC">
      <w:pPr>
        <w:tabs>
          <w:tab w:val="left" w:pos="4111"/>
        </w:tabs>
        <w:spacing w:after="240"/>
        <w:ind w:left="4111"/>
      </w:pPr>
      <w:r>
        <w:t>Clarification</w:t>
      </w:r>
      <w:r w:rsidR="00185CD5">
        <w:t xml:space="preserve"> &amp; </w:t>
      </w:r>
      <w:r w:rsidR="004D75F4">
        <w:t>Negotiation</w:t>
      </w:r>
      <w:r>
        <w:t xml:space="preserve"> meetings</w:t>
      </w:r>
      <w:r w:rsidR="00697E37">
        <w:t xml:space="preserve">: </w:t>
      </w:r>
      <w:r w:rsidR="004A70C3">
        <w:t>26 September 2017</w:t>
      </w:r>
    </w:p>
    <w:p w:rsidR="007C40BC" w:rsidRDefault="007C40BC" w:rsidP="007C40BC">
      <w:pPr>
        <w:tabs>
          <w:tab w:val="left" w:pos="4111"/>
        </w:tabs>
        <w:spacing w:after="240"/>
        <w:ind w:left="4110"/>
      </w:pPr>
      <w:r>
        <w:tab/>
        <w:t>Confirmatio</w:t>
      </w:r>
      <w:r w:rsidR="00E04BF0">
        <w:t xml:space="preserve">n of contract: </w:t>
      </w:r>
      <w:r w:rsidR="005E4427">
        <w:t>28</w:t>
      </w:r>
      <w:r w:rsidR="004A70C3">
        <w:t xml:space="preserve"> </w:t>
      </w:r>
      <w:r w:rsidR="005E4427">
        <w:t xml:space="preserve">September </w:t>
      </w:r>
      <w:r w:rsidR="004A70C3">
        <w:t>2017</w:t>
      </w:r>
    </w:p>
    <w:p w:rsidR="007C40BC" w:rsidRDefault="007C40BC" w:rsidP="007C40BC">
      <w:pPr>
        <w:tabs>
          <w:tab w:val="left" w:pos="4111"/>
        </w:tabs>
        <w:spacing w:after="240"/>
        <w:ind w:left="4110"/>
      </w:pPr>
      <w:r>
        <w:t>Completion o</w:t>
      </w:r>
      <w:r w:rsidR="00304AC1">
        <w:t>f</w:t>
      </w:r>
      <w:r>
        <w:t xml:space="preserve"> research: </w:t>
      </w:r>
      <w:r w:rsidR="004A70C3">
        <w:t>15 December 2017</w:t>
      </w:r>
    </w:p>
    <w:p w:rsidR="0082194B" w:rsidRPr="00FB02BD" w:rsidRDefault="007C40BC" w:rsidP="0082194B">
      <w:pPr>
        <w:pStyle w:val="Heading1"/>
      </w:pPr>
      <w:r>
        <w:br w:type="page"/>
      </w:r>
      <w:r w:rsidR="0082194B" w:rsidRPr="00FB02BD">
        <w:lastRenderedPageBreak/>
        <w:t>1.</w:t>
      </w:r>
      <w:r w:rsidR="0082194B" w:rsidRPr="00FB02BD">
        <w:tab/>
        <w:t>Overview</w:t>
      </w:r>
    </w:p>
    <w:p w:rsidR="0082194B" w:rsidRPr="0082194B" w:rsidRDefault="0082194B" w:rsidP="0082194B">
      <w:pPr>
        <w:numPr>
          <w:ilvl w:val="1"/>
          <w:numId w:val="2"/>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9" w:history="1">
        <w:r w:rsidRPr="0082194B">
          <w:rPr>
            <w:rFonts w:cs="Arial"/>
            <w:color w:val="0000FF"/>
            <w:szCs w:val="22"/>
            <w:u w:val="single"/>
          </w:rPr>
          <w:t>HLF website</w:t>
        </w:r>
      </w:hyperlink>
      <w:r w:rsidRPr="0082194B">
        <w:rPr>
          <w:rFonts w:cs="Arial"/>
          <w:szCs w:val="22"/>
        </w:rPr>
        <w:t xml:space="preserve"> for more details.</w:t>
      </w:r>
    </w:p>
    <w:p w:rsidR="0082194B" w:rsidRPr="0082194B" w:rsidRDefault="0082194B" w:rsidP="0082194B">
      <w:pPr>
        <w:numPr>
          <w:ilvl w:val="1"/>
          <w:numId w:val="2"/>
        </w:numPr>
        <w:spacing w:after="240" w:line="276" w:lineRule="auto"/>
        <w:rPr>
          <w:rFonts w:cs="Arial"/>
          <w:szCs w:val="22"/>
        </w:rPr>
      </w:pPr>
      <w:r w:rsidRPr="0082194B">
        <w:rPr>
          <w:rFonts w:cs="Arial"/>
          <w:szCs w:val="22"/>
        </w:rPr>
        <w:t>HLF invests in the full breadth of the UK’s heritage and</w:t>
      </w:r>
      <w:r w:rsidR="00AE2088">
        <w:rPr>
          <w:rFonts w:cs="Arial"/>
          <w:szCs w:val="22"/>
        </w:rPr>
        <w:t>,</w:t>
      </w:r>
      <w:r w:rsidRPr="0082194B">
        <w:rPr>
          <w:rFonts w:cs="Arial"/>
          <w:szCs w:val="22"/>
        </w:rPr>
        <w:t xml:space="preserve"> through our funding</w:t>
      </w:r>
      <w:r w:rsidR="00AE2088">
        <w:rPr>
          <w:rFonts w:cs="Arial"/>
          <w:szCs w:val="22"/>
        </w:rPr>
        <w:t>,</w:t>
      </w:r>
      <w:r w:rsidRPr="0082194B">
        <w:rPr>
          <w:rFonts w:cs="Arial"/>
          <w:szCs w:val="22"/>
        </w:rPr>
        <w:t xml:space="preserve"> we aim to make a lasting difference for heritage and people. This is reflected in the outcomes for heritage, people and communities which underpin our grant-making.</w:t>
      </w:r>
    </w:p>
    <w:p w:rsidR="00441942" w:rsidRPr="00441942" w:rsidRDefault="00E375EB" w:rsidP="0082194B">
      <w:pPr>
        <w:numPr>
          <w:ilvl w:val="1"/>
          <w:numId w:val="2"/>
        </w:numPr>
        <w:spacing w:after="240" w:line="276" w:lineRule="auto"/>
        <w:rPr>
          <w:rFonts w:cs="Arial"/>
          <w:szCs w:val="22"/>
        </w:rPr>
      </w:pPr>
      <w:r>
        <w:t>Our Heritage is an open grants programme that funds projects involving all kinds of heritage with grants of between £10,000 and £100,000.</w:t>
      </w:r>
      <w:r w:rsidR="00AD5989">
        <w:t xml:space="preserve"> </w:t>
      </w:r>
      <w:r>
        <w:t>The programme opened in April 2013 with an annual budget of £22m, for five years. We anticipated this budget would fund between 300 and 400 projects per year over the five year period. The programme funds applications from not-for-profit organisations, private owners of heritage (including individuals and for-profit organisations) and partnerships</w:t>
      </w:r>
      <w:r w:rsidR="00AD5989">
        <w:t xml:space="preserve">. </w:t>
      </w:r>
    </w:p>
    <w:p w:rsidR="0064653F" w:rsidRPr="0097501D" w:rsidRDefault="00273A6C" w:rsidP="000B4E51">
      <w:pPr>
        <w:numPr>
          <w:ilvl w:val="1"/>
          <w:numId w:val="2"/>
        </w:numPr>
        <w:spacing w:after="240" w:line="276" w:lineRule="auto"/>
        <w:rPr>
          <w:rFonts w:cs="Arial"/>
          <w:szCs w:val="22"/>
        </w:rPr>
      </w:pPr>
      <w:r>
        <w:rPr>
          <w:rFonts w:cs="Arial"/>
          <w:iCs/>
          <w:color w:val="000000" w:themeColor="text1"/>
          <w:szCs w:val="22"/>
        </w:rPr>
        <w:t>Our Heritage is one of three open programmes operating under the</w:t>
      </w:r>
      <w:r w:rsidR="007F76CE">
        <w:rPr>
          <w:rFonts w:cs="Arial"/>
          <w:iCs/>
          <w:color w:val="000000" w:themeColor="text1"/>
          <w:szCs w:val="22"/>
        </w:rPr>
        <w:t xml:space="preserve"> </w:t>
      </w:r>
      <w:hyperlink r:id="rId10" w:history="1">
        <w:r w:rsidR="007F76CE" w:rsidRPr="007F76CE">
          <w:rPr>
            <w:rStyle w:val="Hyperlink"/>
            <w:rFonts w:cs="Arial"/>
            <w:iCs/>
            <w:szCs w:val="22"/>
          </w:rPr>
          <w:t>current strategic framework</w:t>
        </w:r>
      </w:hyperlink>
      <w:r>
        <w:rPr>
          <w:rFonts w:cs="Arial"/>
          <w:iCs/>
          <w:color w:val="000000" w:themeColor="text1"/>
          <w:szCs w:val="22"/>
        </w:rPr>
        <w:t xml:space="preserve"> and supports HLF’s key objective to ‘sustain and transform a wide range of heritage and generate a lasting impact</w:t>
      </w:r>
      <w:r w:rsidR="0064653F">
        <w:rPr>
          <w:rFonts w:cs="Arial"/>
          <w:iCs/>
          <w:color w:val="000000" w:themeColor="text1"/>
          <w:szCs w:val="22"/>
        </w:rPr>
        <w:t xml:space="preserve"> on people and places’. Funded projects range from museums, parks and historic places to archaeology, the natural environment and cultural traditions.</w:t>
      </w:r>
    </w:p>
    <w:p w:rsidR="0097501D" w:rsidRPr="0097501D" w:rsidRDefault="0097501D" w:rsidP="000B4E51">
      <w:pPr>
        <w:numPr>
          <w:ilvl w:val="1"/>
          <w:numId w:val="2"/>
        </w:numPr>
        <w:spacing w:after="240" w:line="276" w:lineRule="auto"/>
        <w:rPr>
          <w:rFonts w:cs="Arial"/>
          <w:szCs w:val="22"/>
        </w:rPr>
      </w:pPr>
      <w:r>
        <w:rPr>
          <w:rFonts w:cs="Arial"/>
          <w:iCs/>
          <w:color w:val="000000" w:themeColor="text1"/>
          <w:szCs w:val="22"/>
        </w:rPr>
        <w:t>In 201</w:t>
      </w:r>
      <w:r w:rsidR="00923104">
        <w:rPr>
          <w:rFonts w:cs="Arial"/>
          <w:iCs/>
          <w:color w:val="000000" w:themeColor="text1"/>
          <w:szCs w:val="22"/>
        </w:rPr>
        <w:t>3</w:t>
      </w:r>
      <w:r>
        <w:rPr>
          <w:rFonts w:cs="Arial"/>
          <w:iCs/>
          <w:color w:val="000000" w:themeColor="text1"/>
          <w:szCs w:val="22"/>
        </w:rPr>
        <w:t xml:space="preserve"> we commissioned an evaluation to draw upon evidence from a random sample of funded projects in order to provide an insight into the extent to which the desired outcomes for heritage, people and communities were being achieved.</w:t>
      </w:r>
      <w:r w:rsidR="007D4D60">
        <w:rPr>
          <w:rFonts w:cs="Arial"/>
          <w:iCs/>
          <w:color w:val="000000" w:themeColor="text1"/>
          <w:szCs w:val="22"/>
        </w:rPr>
        <w:t xml:space="preserve">  We now want to look further at a subset of these projects.  The size of the sample is to be agreed, but we would like to include projects that were included in the original evaluation and have come to the end of their grant.  The original evaluation was contracted to look at 360 projects.</w:t>
      </w:r>
    </w:p>
    <w:p w:rsidR="0097501D" w:rsidRPr="0064653F" w:rsidRDefault="0097501D" w:rsidP="000B4E51">
      <w:pPr>
        <w:numPr>
          <w:ilvl w:val="1"/>
          <w:numId w:val="2"/>
        </w:numPr>
        <w:spacing w:after="240" w:line="276" w:lineRule="auto"/>
        <w:rPr>
          <w:rFonts w:cs="Arial"/>
          <w:szCs w:val="22"/>
        </w:rPr>
      </w:pPr>
      <w:r>
        <w:rPr>
          <w:rFonts w:cs="Arial"/>
          <w:iCs/>
          <w:color w:val="000000" w:themeColor="text1"/>
          <w:szCs w:val="22"/>
        </w:rPr>
        <w:t xml:space="preserve">Building on this study we would like to further investigate a sample of completed projects that were part of the original study. </w:t>
      </w:r>
    </w:p>
    <w:p w:rsidR="0064653F" w:rsidRPr="00407F4B" w:rsidRDefault="0064653F" w:rsidP="0064653F">
      <w:pPr>
        <w:numPr>
          <w:ilvl w:val="1"/>
          <w:numId w:val="2"/>
        </w:numPr>
        <w:spacing w:after="240"/>
        <w:rPr>
          <w:rFonts w:cs="Arial"/>
          <w:szCs w:val="22"/>
        </w:rPr>
      </w:pPr>
      <w:r w:rsidRPr="002C0039">
        <w:rPr>
          <w:rFonts w:cs="Arial"/>
          <w:iCs/>
          <w:szCs w:val="22"/>
        </w:rPr>
        <w:t xml:space="preserve">The first audience for the evaluation is HLF, where it will inform our policy and decision making. However, the </w:t>
      </w:r>
      <w:r>
        <w:rPr>
          <w:rFonts w:cs="Arial"/>
          <w:iCs/>
          <w:szCs w:val="22"/>
        </w:rPr>
        <w:t>results</w:t>
      </w:r>
      <w:r w:rsidRPr="002C0039">
        <w:rPr>
          <w:rFonts w:cs="Arial"/>
          <w:iCs/>
          <w:szCs w:val="22"/>
        </w:rPr>
        <w:t xml:space="preserve"> will be made publicly available and may be of interest to other policy makers, funders and practitioners in the heritage sector.</w:t>
      </w:r>
    </w:p>
    <w:p w:rsidR="000B4E51" w:rsidRDefault="000B4E51" w:rsidP="000B4E51">
      <w:pPr>
        <w:pStyle w:val="Heading1"/>
        <w:numPr>
          <w:ilvl w:val="0"/>
          <w:numId w:val="2"/>
        </w:numPr>
      </w:pPr>
      <w:r w:rsidRPr="000B4E51">
        <w:t>Method</w:t>
      </w:r>
    </w:p>
    <w:p w:rsidR="00582B32" w:rsidRPr="00582B32" w:rsidRDefault="00582B32" w:rsidP="0090260A">
      <w:pPr>
        <w:pStyle w:val="ListParagraph"/>
        <w:numPr>
          <w:ilvl w:val="1"/>
          <w:numId w:val="2"/>
        </w:numPr>
        <w:spacing w:after="240"/>
        <w:rPr>
          <w:rFonts w:cs="Arial"/>
          <w:i/>
          <w:color w:val="FF0000"/>
          <w:szCs w:val="22"/>
        </w:rPr>
      </w:pPr>
      <w:r>
        <w:rPr>
          <w:rFonts w:cs="Arial"/>
          <w:color w:val="000000" w:themeColor="text1"/>
          <w:szCs w:val="22"/>
        </w:rPr>
        <w:t>The aim of the evaluation is to</w:t>
      </w:r>
      <w:r>
        <w:rPr>
          <w:rFonts w:cs="Arial"/>
          <w:color w:val="000000" w:themeColor="text1"/>
          <w:szCs w:val="22"/>
        </w:rPr>
        <w:br/>
      </w:r>
      <w:r>
        <w:rPr>
          <w:rFonts w:cs="Arial"/>
          <w:color w:val="000000" w:themeColor="text1"/>
          <w:szCs w:val="22"/>
        </w:rPr>
        <w:br/>
        <w:t>a) identify the quality of self-evaluations from a sample of completed Our Heritage projects; and</w:t>
      </w:r>
      <w:r>
        <w:rPr>
          <w:rFonts w:cs="Arial"/>
          <w:color w:val="000000" w:themeColor="text1"/>
          <w:szCs w:val="22"/>
        </w:rPr>
        <w:br/>
        <w:t>b) map the activities and outcomes achieved by projects against our Outcome framework.</w:t>
      </w:r>
      <w:r>
        <w:rPr>
          <w:rFonts w:cs="Arial"/>
          <w:color w:val="000000" w:themeColor="text1"/>
          <w:szCs w:val="22"/>
        </w:rPr>
        <w:br/>
        <w:t xml:space="preserve">  </w:t>
      </w:r>
    </w:p>
    <w:p w:rsidR="0090260A" w:rsidRPr="009B4246" w:rsidRDefault="0090260A" w:rsidP="0090260A">
      <w:pPr>
        <w:pStyle w:val="ListParagraph"/>
        <w:numPr>
          <w:ilvl w:val="1"/>
          <w:numId w:val="2"/>
        </w:numPr>
        <w:spacing w:after="240"/>
        <w:rPr>
          <w:rFonts w:cs="Arial"/>
          <w:i/>
          <w:color w:val="FF0000"/>
          <w:szCs w:val="22"/>
        </w:rPr>
      </w:pPr>
      <w:r w:rsidRPr="009B4246">
        <w:rPr>
          <w:rFonts w:cs="Arial"/>
          <w:szCs w:val="22"/>
        </w:rPr>
        <w:lastRenderedPageBreak/>
        <w:t>Self-evaluation review</w:t>
      </w:r>
    </w:p>
    <w:p w:rsidR="0090260A" w:rsidRPr="009B4246" w:rsidRDefault="0090260A" w:rsidP="0090260A">
      <w:pPr>
        <w:pStyle w:val="ListParagraph"/>
        <w:spacing w:after="240"/>
        <w:rPr>
          <w:rFonts w:cs="Arial"/>
          <w:i/>
          <w:color w:val="FF0000"/>
          <w:szCs w:val="22"/>
        </w:rPr>
      </w:pPr>
      <w:r>
        <w:rPr>
          <w:rFonts w:cs="Arial"/>
          <w:szCs w:val="22"/>
        </w:rPr>
        <w:t>T</w:t>
      </w:r>
      <w:r w:rsidRPr="009B4246">
        <w:rPr>
          <w:rFonts w:cs="Arial"/>
          <w:szCs w:val="22"/>
        </w:rPr>
        <w:t xml:space="preserve">his task </w:t>
      </w:r>
      <w:r>
        <w:rPr>
          <w:rFonts w:cs="Arial"/>
          <w:szCs w:val="22"/>
        </w:rPr>
        <w:t>will primarily involve</w:t>
      </w:r>
      <w:r w:rsidRPr="009B4246">
        <w:rPr>
          <w:rFonts w:cs="Arial"/>
          <w:szCs w:val="22"/>
        </w:rPr>
        <w:t xml:space="preserve"> review</w:t>
      </w:r>
      <w:r>
        <w:rPr>
          <w:rFonts w:cs="Arial"/>
          <w:szCs w:val="22"/>
        </w:rPr>
        <w:t xml:space="preserve">ing material </w:t>
      </w:r>
      <w:r w:rsidRPr="009B4246">
        <w:rPr>
          <w:rFonts w:cs="Arial"/>
          <w:szCs w:val="22"/>
        </w:rPr>
        <w:t>held by HLF. Consultants should use the methodology already developed to assess the quality of the project self-evaluations</w:t>
      </w:r>
      <w:r>
        <w:rPr>
          <w:rFonts w:cs="Arial"/>
          <w:szCs w:val="22"/>
        </w:rPr>
        <w:t xml:space="preserve"> (see: </w:t>
      </w:r>
      <w:hyperlink r:id="rId11" w:history="1">
        <w:r w:rsidRPr="00991613">
          <w:rPr>
            <w:rStyle w:val="Hyperlink"/>
            <w:rFonts w:cs="Arial"/>
            <w:iCs/>
            <w:szCs w:val="22"/>
          </w:rPr>
          <w:t>https://www.hlf.org.uk/about-us/research-evaluation/programme-evaluation/review-grantee-evaluations</w:t>
        </w:r>
      </w:hyperlink>
      <w:r>
        <w:rPr>
          <w:rFonts w:cs="Arial"/>
          <w:iCs/>
          <w:szCs w:val="22"/>
        </w:rPr>
        <w:t xml:space="preserve">). </w:t>
      </w:r>
    </w:p>
    <w:p w:rsidR="0090260A" w:rsidRPr="00BE7054" w:rsidRDefault="0090260A" w:rsidP="0090260A">
      <w:pPr>
        <w:ind w:firstLine="720"/>
      </w:pPr>
      <w:r w:rsidRPr="00BE7054">
        <w:t>Outcomes review</w:t>
      </w:r>
    </w:p>
    <w:p w:rsidR="0090260A" w:rsidRDefault="0090260A" w:rsidP="0090260A">
      <w:pPr>
        <w:pStyle w:val="ListParagraph"/>
        <w:spacing w:after="240"/>
        <w:contextualSpacing w:val="0"/>
        <w:rPr>
          <w:rFonts w:cs="Arial"/>
          <w:szCs w:val="22"/>
        </w:rPr>
      </w:pPr>
      <w:r w:rsidRPr="00407F4B">
        <w:t>In the second part of the research, consultants should use the assessment, monitoring and evaluation information held by HLF to review and summarise the type, range and quality of activities and outcomes achieved by completed projects, and to map the</w:t>
      </w:r>
      <w:r>
        <w:t>se</w:t>
      </w:r>
      <w:r w:rsidRPr="00407F4B">
        <w:t xml:space="preserve"> onto HLF’s </w:t>
      </w:r>
      <w:hyperlink r:id="rId12" w:history="1">
        <w:r w:rsidRPr="009C3C35">
          <w:rPr>
            <w:rStyle w:val="Hyperlink"/>
            <w:rFonts w:cs="Arial"/>
            <w:szCs w:val="22"/>
          </w:rPr>
          <w:t>14 outcomes for heritage, people and communities</w:t>
        </w:r>
      </w:hyperlink>
      <w:r w:rsidRPr="009C3C35">
        <w:rPr>
          <w:rFonts w:cs="Arial"/>
          <w:szCs w:val="22"/>
        </w:rPr>
        <w:t xml:space="preserve">. </w:t>
      </w:r>
    </w:p>
    <w:p w:rsidR="0090260A" w:rsidRPr="00407F4B" w:rsidRDefault="0090260A" w:rsidP="0090260A">
      <w:pPr>
        <w:pStyle w:val="ListParagraph"/>
        <w:spacing w:after="240"/>
        <w:contextualSpacing w:val="0"/>
        <w:rPr>
          <w:rFonts w:cs="Arial"/>
          <w:szCs w:val="22"/>
        </w:rPr>
      </w:pPr>
      <w:r w:rsidRPr="00407F4B">
        <w:rPr>
          <w:rFonts w:cs="Arial"/>
          <w:szCs w:val="22"/>
        </w:rPr>
        <w:t>As well as helping to quantify and evaluate the achievements of completed Heritage Grants projects, this task will support the design of future evaluation of HLF’s programmes.</w:t>
      </w:r>
    </w:p>
    <w:p w:rsidR="00AE2088" w:rsidRPr="00CE7363" w:rsidRDefault="0090260A" w:rsidP="00697E37">
      <w:pPr>
        <w:pStyle w:val="ListParagraph"/>
        <w:numPr>
          <w:ilvl w:val="1"/>
          <w:numId w:val="2"/>
        </w:numPr>
        <w:spacing w:after="240"/>
        <w:rPr>
          <w:rFonts w:cs="Arial"/>
          <w:i/>
          <w:color w:val="FF0000"/>
          <w:szCs w:val="22"/>
        </w:rPr>
      </w:pPr>
      <w:r w:rsidRPr="00CE7363">
        <w:rPr>
          <w:rFonts w:cs="Arial"/>
          <w:szCs w:val="22"/>
        </w:rPr>
        <w:t>HLF will make available the data it holds on the</w:t>
      </w:r>
      <w:r w:rsidR="0097501D" w:rsidRPr="00CE7363">
        <w:rPr>
          <w:rFonts w:cs="Arial"/>
          <w:szCs w:val="22"/>
        </w:rPr>
        <w:t xml:space="preserve"> Our </w:t>
      </w:r>
      <w:r w:rsidRPr="00CE7363">
        <w:rPr>
          <w:rFonts w:cs="Arial"/>
          <w:szCs w:val="22"/>
        </w:rPr>
        <w:t xml:space="preserve">Heritage Grants programme and the </w:t>
      </w:r>
      <w:r w:rsidR="002D28EC">
        <w:rPr>
          <w:rFonts w:cs="Arial"/>
          <w:szCs w:val="22"/>
        </w:rPr>
        <w:t>177</w:t>
      </w:r>
      <w:r w:rsidRPr="00CE7363">
        <w:rPr>
          <w:rFonts w:cs="Arial"/>
          <w:szCs w:val="22"/>
        </w:rPr>
        <w:t xml:space="preserve"> projects completed </w:t>
      </w:r>
      <w:r w:rsidR="002D28EC">
        <w:rPr>
          <w:rFonts w:cs="Arial"/>
          <w:szCs w:val="22"/>
        </w:rPr>
        <w:t>between January 2015 and</w:t>
      </w:r>
      <w:r w:rsidRPr="00CE7363">
        <w:rPr>
          <w:rFonts w:cs="Arial"/>
          <w:szCs w:val="22"/>
        </w:rPr>
        <w:t xml:space="preserve"> </w:t>
      </w:r>
      <w:r w:rsidR="00956CD6" w:rsidRPr="00CE7363">
        <w:rPr>
          <w:rFonts w:cs="Arial"/>
          <w:szCs w:val="22"/>
        </w:rPr>
        <w:t xml:space="preserve">April </w:t>
      </w:r>
      <w:r w:rsidR="001B3A9F">
        <w:rPr>
          <w:rFonts w:cs="Arial"/>
          <w:szCs w:val="22"/>
        </w:rPr>
        <w:t xml:space="preserve">2016. </w:t>
      </w:r>
      <w:r w:rsidRPr="00CE7363">
        <w:rPr>
          <w:rFonts w:cs="Arial"/>
          <w:szCs w:val="22"/>
        </w:rPr>
        <w:t xml:space="preserve"> As well as programme-level funding data and completed self-evaluations, this includes application forms (where applicants are asked a specific question about how they intend to evaluate their project), project budget information, and project completion reports.</w:t>
      </w:r>
      <w:r w:rsidRPr="00CE7363">
        <w:rPr>
          <w:rFonts w:cs="Arial"/>
          <w:i/>
          <w:color w:val="FF0000"/>
          <w:szCs w:val="22"/>
        </w:rPr>
        <w:t xml:space="preserve"> </w:t>
      </w:r>
    </w:p>
    <w:p w:rsidR="00AA7BD2" w:rsidRPr="00AE2088" w:rsidRDefault="00AA7BD2" w:rsidP="00CE7363">
      <w:pPr>
        <w:pStyle w:val="ListParagraph"/>
        <w:spacing w:after="240"/>
        <w:rPr>
          <w:rFonts w:cs="Arial"/>
          <w:i/>
          <w:color w:val="FF0000"/>
          <w:szCs w:val="22"/>
        </w:rPr>
      </w:pPr>
      <w:r w:rsidRPr="00AE2088">
        <w:rPr>
          <w:rFonts w:cs="Arial"/>
          <w:i/>
          <w:color w:val="FF0000"/>
          <w:szCs w:val="22"/>
        </w:rPr>
        <w:t xml:space="preserve">  </w:t>
      </w:r>
    </w:p>
    <w:p w:rsidR="000B4E51" w:rsidRPr="000B4E51" w:rsidRDefault="0082194B" w:rsidP="000B4E51">
      <w:pPr>
        <w:pStyle w:val="Heading1"/>
        <w:numPr>
          <w:ilvl w:val="0"/>
          <w:numId w:val="2"/>
        </w:numPr>
      </w:pPr>
      <w:r w:rsidRPr="0082194B">
        <w:t>Outputs</w:t>
      </w:r>
    </w:p>
    <w:p w:rsidR="00441942" w:rsidRDefault="00441942" w:rsidP="00441942">
      <w:pPr>
        <w:numPr>
          <w:ilvl w:val="1"/>
          <w:numId w:val="2"/>
        </w:numPr>
        <w:spacing w:after="240" w:line="276" w:lineRule="auto"/>
        <w:rPr>
          <w:rFonts w:cs="Arial"/>
          <w:szCs w:val="22"/>
        </w:rPr>
      </w:pPr>
      <w:r w:rsidRPr="00441942">
        <w:rPr>
          <w:rFonts w:cs="Arial"/>
          <w:szCs w:val="22"/>
        </w:rPr>
        <w:t>The following outputs will be required:</w:t>
      </w:r>
    </w:p>
    <w:p w:rsidR="00441942" w:rsidRDefault="00481AC9" w:rsidP="00441942">
      <w:pPr>
        <w:pStyle w:val="ListParagraph"/>
        <w:numPr>
          <w:ilvl w:val="0"/>
          <w:numId w:val="40"/>
        </w:numPr>
        <w:spacing w:after="240" w:line="276" w:lineRule="auto"/>
        <w:rPr>
          <w:rFonts w:cs="Arial"/>
          <w:szCs w:val="22"/>
        </w:rPr>
      </w:pPr>
      <w:r>
        <w:rPr>
          <w:rFonts w:cs="Arial"/>
          <w:szCs w:val="22"/>
        </w:rPr>
        <w:t>a draft final report in word;</w:t>
      </w:r>
    </w:p>
    <w:p w:rsidR="00441942" w:rsidRDefault="00481AC9" w:rsidP="00441942">
      <w:pPr>
        <w:pStyle w:val="ListParagraph"/>
        <w:numPr>
          <w:ilvl w:val="0"/>
          <w:numId w:val="40"/>
        </w:numPr>
        <w:spacing w:after="240" w:line="276" w:lineRule="auto"/>
        <w:rPr>
          <w:rFonts w:cs="Arial"/>
          <w:szCs w:val="22"/>
        </w:rPr>
      </w:pPr>
      <w:r>
        <w:rPr>
          <w:rFonts w:cs="Arial"/>
          <w:szCs w:val="22"/>
        </w:rPr>
        <w:t>a final report in word;</w:t>
      </w:r>
      <w:r w:rsidR="00441942" w:rsidRPr="00441942">
        <w:rPr>
          <w:rFonts w:cs="Arial"/>
          <w:szCs w:val="22"/>
        </w:rPr>
        <w:t xml:space="preserve"> </w:t>
      </w:r>
    </w:p>
    <w:p w:rsidR="00441942" w:rsidRDefault="00441942" w:rsidP="00441942">
      <w:pPr>
        <w:pStyle w:val="ListParagraph"/>
        <w:numPr>
          <w:ilvl w:val="0"/>
          <w:numId w:val="40"/>
        </w:numPr>
        <w:spacing w:after="240" w:line="276" w:lineRule="auto"/>
        <w:rPr>
          <w:rFonts w:cs="Arial"/>
          <w:szCs w:val="22"/>
        </w:rPr>
      </w:pPr>
      <w:r w:rsidRPr="00441942">
        <w:rPr>
          <w:rFonts w:cs="Arial"/>
          <w:szCs w:val="22"/>
        </w:rPr>
        <w:t xml:space="preserve">any other reports as set out here or agreed between HLF and the contractor; and </w:t>
      </w:r>
    </w:p>
    <w:p w:rsidR="009F6910" w:rsidRDefault="00441942" w:rsidP="00887CB9">
      <w:pPr>
        <w:pStyle w:val="ListParagraph"/>
        <w:numPr>
          <w:ilvl w:val="0"/>
          <w:numId w:val="40"/>
        </w:numPr>
        <w:spacing w:after="240" w:line="276" w:lineRule="auto"/>
        <w:rPr>
          <w:rFonts w:cs="Arial"/>
          <w:szCs w:val="22"/>
        </w:rPr>
      </w:pPr>
      <w:r w:rsidRPr="009F6910">
        <w:rPr>
          <w:rFonts w:cs="Arial"/>
          <w:szCs w:val="22"/>
        </w:rPr>
        <w:t>a set of research data, to be stored in a readily accessible electronic format such as Excel</w:t>
      </w:r>
      <w:r w:rsidR="009F6910" w:rsidRPr="009F6910">
        <w:rPr>
          <w:rFonts w:cs="Arial"/>
          <w:szCs w:val="22"/>
        </w:rPr>
        <w:br/>
      </w:r>
    </w:p>
    <w:p w:rsidR="00EE1471" w:rsidRPr="009F6910" w:rsidRDefault="009F6910" w:rsidP="009F6910">
      <w:pPr>
        <w:pStyle w:val="ListParagraph"/>
        <w:rPr>
          <w:rStyle w:val="PageNumber"/>
          <w:rFonts w:cs="Arial"/>
          <w:szCs w:val="22"/>
        </w:rPr>
      </w:pPr>
      <w:r>
        <w:rPr>
          <w:rFonts w:cs="Arial"/>
          <w:szCs w:val="22"/>
        </w:rPr>
        <w:br/>
      </w:r>
      <w:r w:rsidR="00EE1471" w:rsidRPr="009F6910">
        <w:rPr>
          <w:rStyle w:val="PageNumber"/>
          <w:rFonts w:cs="Arial"/>
          <w:szCs w:val="22"/>
        </w:rPr>
        <w:t>A project plan with specific deliverables* and timetable will be agreed with the successful consultant/ies. However, HLF expects the following deliverables in accordance with the following timetable as a minimum:</w:t>
      </w:r>
    </w:p>
    <w:p w:rsidR="00887CB9" w:rsidRPr="0087332C" w:rsidRDefault="00887CB9" w:rsidP="00887CB9">
      <w:pPr>
        <w:rPr>
          <w:rStyle w:val="PageNumber"/>
          <w:rFonts w:cs="Arial"/>
          <w:b/>
          <w:szCs w:val="22"/>
        </w:rPr>
      </w:pPr>
    </w:p>
    <w:tbl>
      <w:tblPr>
        <w:tblW w:w="821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127"/>
      </w:tblGrid>
      <w:tr w:rsidR="00EE1471" w:rsidRPr="00647563" w:rsidTr="008919E9">
        <w:trPr>
          <w:trHeight w:val="703"/>
        </w:trPr>
        <w:tc>
          <w:tcPr>
            <w:tcW w:w="6084" w:type="dxa"/>
            <w:tcBorders>
              <w:top w:val="single" w:sz="4" w:space="0" w:color="auto"/>
              <w:left w:val="single" w:sz="4" w:space="0" w:color="auto"/>
              <w:bottom w:val="single" w:sz="4" w:space="0" w:color="auto"/>
              <w:right w:val="single" w:sz="4" w:space="0" w:color="auto"/>
            </w:tcBorders>
            <w:shd w:val="clear" w:color="auto" w:fill="000000"/>
            <w:hideMark/>
          </w:tcPr>
          <w:p w:rsidR="00EE1471" w:rsidRPr="00647563" w:rsidRDefault="00EE1471" w:rsidP="008919E9">
            <w:pPr>
              <w:jc w:val="both"/>
              <w:rPr>
                <w:rFonts w:cs="Arial"/>
                <w:b/>
                <w:bCs/>
              </w:rPr>
            </w:pPr>
            <w:r w:rsidRPr="00647563">
              <w:rPr>
                <w:rFonts w:cs="Arial"/>
                <w:b/>
                <w:bCs/>
              </w:rPr>
              <w:t>Deliverable/Key Milestones*</w:t>
            </w:r>
          </w:p>
        </w:tc>
        <w:tc>
          <w:tcPr>
            <w:tcW w:w="2127" w:type="dxa"/>
            <w:tcBorders>
              <w:top w:val="single" w:sz="4" w:space="0" w:color="auto"/>
              <w:left w:val="single" w:sz="4" w:space="0" w:color="auto"/>
              <w:bottom w:val="single" w:sz="4" w:space="0" w:color="auto"/>
              <w:right w:val="single" w:sz="4" w:space="0" w:color="auto"/>
            </w:tcBorders>
            <w:shd w:val="clear" w:color="auto" w:fill="000000"/>
            <w:hideMark/>
          </w:tcPr>
          <w:p w:rsidR="00EE1471" w:rsidRPr="00647563" w:rsidRDefault="00EE1471" w:rsidP="008919E9">
            <w:pPr>
              <w:rPr>
                <w:rFonts w:cs="Arial"/>
                <w:b/>
                <w:bCs/>
              </w:rPr>
            </w:pPr>
            <w:r w:rsidRPr="00647563">
              <w:rPr>
                <w:rFonts w:cs="Arial"/>
                <w:b/>
                <w:bCs/>
              </w:rPr>
              <w:t>Due date</w:t>
            </w:r>
          </w:p>
        </w:tc>
      </w:tr>
      <w:tr w:rsidR="00EE1471" w:rsidRPr="00647563" w:rsidTr="008919E9">
        <w:tc>
          <w:tcPr>
            <w:tcW w:w="6084" w:type="dxa"/>
            <w:tcBorders>
              <w:top w:val="single" w:sz="4" w:space="0" w:color="auto"/>
              <w:left w:val="single" w:sz="4" w:space="0" w:color="auto"/>
              <w:bottom w:val="single" w:sz="4" w:space="0" w:color="auto"/>
              <w:right w:val="single" w:sz="4" w:space="0" w:color="auto"/>
            </w:tcBorders>
            <w:hideMark/>
          </w:tcPr>
          <w:p w:rsidR="00EE1471" w:rsidRDefault="00EE1471" w:rsidP="008919E9">
            <w:pPr>
              <w:rPr>
                <w:rFonts w:cs="Arial"/>
                <w:color w:val="000000"/>
              </w:rPr>
            </w:pPr>
            <w:r>
              <w:rPr>
                <w:rStyle w:val="PageNumber"/>
                <w:rFonts w:cs="Arial"/>
                <w:color w:val="000000"/>
              </w:rPr>
              <w:t>Inception m</w:t>
            </w:r>
            <w:r w:rsidRPr="00647563">
              <w:rPr>
                <w:rStyle w:val="PageNumber"/>
                <w:rFonts w:cs="Arial"/>
                <w:color w:val="000000"/>
              </w:rPr>
              <w:t>eeting to agre</w:t>
            </w:r>
            <w:r w:rsidRPr="00647563">
              <w:rPr>
                <w:rFonts w:cs="Arial"/>
                <w:color w:val="000000"/>
              </w:rPr>
              <w:t>e plans</w:t>
            </w:r>
            <w:r w:rsidR="007F7FFB">
              <w:rPr>
                <w:rFonts w:cs="Arial"/>
                <w:color w:val="000000"/>
              </w:rPr>
              <w:t xml:space="preserve"> and frequency of reporting</w:t>
            </w:r>
            <w:r>
              <w:rPr>
                <w:rFonts w:cs="Arial"/>
                <w:color w:val="000000"/>
              </w:rPr>
              <w:t>.</w:t>
            </w:r>
          </w:p>
          <w:p w:rsidR="00EE1471" w:rsidRPr="00647563" w:rsidRDefault="00EE1471" w:rsidP="008919E9">
            <w:pPr>
              <w:rPr>
                <w:rFonts w:cs="Arial"/>
                <w:color w:val="000000"/>
              </w:rPr>
            </w:pPr>
          </w:p>
        </w:tc>
        <w:tc>
          <w:tcPr>
            <w:tcW w:w="2127" w:type="dxa"/>
            <w:tcBorders>
              <w:top w:val="single" w:sz="4" w:space="0" w:color="auto"/>
              <w:left w:val="single" w:sz="4" w:space="0" w:color="auto"/>
              <w:bottom w:val="single" w:sz="4" w:space="0" w:color="auto"/>
              <w:right w:val="single" w:sz="4" w:space="0" w:color="auto"/>
            </w:tcBorders>
            <w:hideMark/>
          </w:tcPr>
          <w:p w:rsidR="00EE1471" w:rsidRPr="00647563" w:rsidRDefault="00EE1471" w:rsidP="008919E9">
            <w:pPr>
              <w:rPr>
                <w:rFonts w:cs="Arial"/>
              </w:rPr>
            </w:pPr>
            <w:r w:rsidRPr="00647563">
              <w:rPr>
                <w:rFonts w:cs="Arial"/>
              </w:rPr>
              <w:t>TBC</w:t>
            </w:r>
          </w:p>
        </w:tc>
      </w:tr>
      <w:tr w:rsidR="00EE1471" w:rsidRPr="00647563" w:rsidTr="008919E9">
        <w:tc>
          <w:tcPr>
            <w:tcW w:w="6084" w:type="dxa"/>
            <w:tcBorders>
              <w:top w:val="single" w:sz="4" w:space="0" w:color="auto"/>
              <w:left w:val="single" w:sz="4" w:space="0" w:color="auto"/>
              <w:bottom w:val="single" w:sz="4" w:space="0" w:color="auto"/>
              <w:right w:val="single" w:sz="4" w:space="0" w:color="auto"/>
            </w:tcBorders>
          </w:tcPr>
          <w:p w:rsidR="00EE1471" w:rsidRPr="00647563" w:rsidRDefault="004B1964" w:rsidP="004B1964">
            <w:pPr>
              <w:rPr>
                <w:rFonts w:cs="Arial"/>
              </w:rPr>
            </w:pPr>
            <w:r>
              <w:rPr>
                <w:rFonts w:cs="Arial"/>
              </w:rPr>
              <w:t xml:space="preserve">A draft </w:t>
            </w:r>
            <w:r w:rsidR="00EE1471">
              <w:rPr>
                <w:rFonts w:cs="Arial"/>
              </w:rPr>
              <w:t>report of maximum 30 pages which details the</w:t>
            </w:r>
            <w:r w:rsidR="00AE2E16">
              <w:rPr>
                <w:rFonts w:cs="Arial"/>
              </w:rPr>
              <w:t xml:space="preserve"> </w:t>
            </w:r>
            <w:r>
              <w:rPr>
                <w:rFonts w:cs="Arial"/>
              </w:rPr>
              <w:t xml:space="preserve">review. </w:t>
            </w:r>
            <w:r w:rsidR="00EE1471">
              <w:rPr>
                <w:rFonts w:cs="Arial"/>
              </w:rPr>
              <w:t>This should include a one page executive summary with narrative and a one page infographic presenting the main findings. The report should include a description of the evaluation framework, key findings and recommendations for improvement.</w:t>
            </w:r>
          </w:p>
        </w:tc>
        <w:tc>
          <w:tcPr>
            <w:tcW w:w="2127" w:type="dxa"/>
            <w:tcBorders>
              <w:top w:val="single" w:sz="4" w:space="0" w:color="auto"/>
              <w:left w:val="single" w:sz="4" w:space="0" w:color="auto"/>
              <w:bottom w:val="single" w:sz="4" w:space="0" w:color="auto"/>
              <w:right w:val="single" w:sz="4" w:space="0" w:color="auto"/>
            </w:tcBorders>
          </w:tcPr>
          <w:p w:rsidR="00EE1471" w:rsidRPr="00647563" w:rsidRDefault="004B1964" w:rsidP="008919E9">
            <w:pPr>
              <w:rPr>
                <w:rFonts w:cs="Arial"/>
              </w:rPr>
            </w:pPr>
            <w:r>
              <w:rPr>
                <w:rFonts w:cs="Arial"/>
              </w:rPr>
              <w:t>15 December 2017</w:t>
            </w:r>
          </w:p>
        </w:tc>
      </w:tr>
      <w:tr w:rsidR="00EE1471" w:rsidRPr="00647563" w:rsidTr="008919E9">
        <w:tc>
          <w:tcPr>
            <w:tcW w:w="6084" w:type="dxa"/>
            <w:tcBorders>
              <w:top w:val="single" w:sz="4" w:space="0" w:color="auto"/>
              <w:left w:val="single" w:sz="4" w:space="0" w:color="auto"/>
              <w:bottom w:val="single" w:sz="4" w:space="0" w:color="auto"/>
              <w:right w:val="single" w:sz="4" w:space="0" w:color="auto"/>
            </w:tcBorders>
            <w:hideMark/>
          </w:tcPr>
          <w:p w:rsidR="00EE1471" w:rsidRPr="00647563" w:rsidRDefault="00EE1471" w:rsidP="004B1964">
            <w:pPr>
              <w:rPr>
                <w:rFonts w:cs="Arial"/>
              </w:rPr>
            </w:pPr>
            <w:r>
              <w:rPr>
                <w:rFonts w:cs="Arial"/>
              </w:rPr>
              <w:t xml:space="preserve">A </w:t>
            </w:r>
            <w:r w:rsidR="004B1964">
              <w:rPr>
                <w:rFonts w:cs="Arial"/>
              </w:rPr>
              <w:t xml:space="preserve">finalised </w:t>
            </w:r>
            <w:r>
              <w:rPr>
                <w:rFonts w:cs="Arial"/>
              </w:rPr>
              <w:t xml:space="preserve">report of maximum </w:t>
            </w:r>
            <w:r w:rsidR="004B1964">
              <w:rPr>
                <w:rFonts w:cs="Arial"/>
              </w:rPr>
              <w:t>3</w:t>
            </w:r>
            <w:r>
              <w:rPr>
                <w:rFonts w:cs="Arial"/>
              </w:rPr>
              <w:t xml:space="preserve">0 pages which details </w:t>
            </w:r>
            <w:r w:rsidR="004B1964">
              <w:rPr>
                <w:rFonts w:cs="Arial"/>
              </w:rPr>
              <w:t xml:space="preserve">the </w:t>
            </w:r>
            <w:r w:rsidR="004B1964">
              <w:rPr>
                <w:rFonts w:cs="Arial"/>
              </w:rPr>
              <w:lastRenderedPageBreak/>
              <w:t>review. This should include a one page executive summary with narrative and a one page infographic presenting the main findings. The report should include a description of the evaluation framework, key findings and recommendations for improvement.</w:t>
            </w:r>
          </w:p>
        </w:tc>
        <w:tc>
          <w:tcPr>
            <w:tcW w:w="2127" w:type="dxa"/>
            <w:tcBorders>
              <w:top w:val="single" w:sz="4" w:space="0" w:color="auto"/>
              <w:left w:val="single" w:sz="4" w:space="0" w:color="auto"/>
              <w:bottom w:val="single" w:sz="4" w:space="0" w:color="auto"/>
              <w:right w:val="single" w:sz="4" w:space="0" w:color="auto"/>
            </w:tcBorders>
            <w:hideMark/>
          </w:tcPr>
          <w:p w:rsidR="00EE1471" w:rsidRPr="00647563" w:rsidRDefault="004B1964" w:rsidP="008919E9">
            <w:pPr>
              <w:rPr>
                <w:rFonts w:cs="Arial"/>
              </w:rPr>
            </w:pPr>
            <w:r>
              <w:rPr>
                <w:rFonts w:cs="Arial"/>
              </w:rPr>
              <w:lastRenderedPageBreak/>
              <w:t>5 January 2018</w:t>
            </w:r>
          </w:p>
        </w:tc>
      </w:tr>
    </w:tbl>
    <w:p w:rsidR="00441942" w:rsidRPr="00441942" w:rsidRDefault="00441942" w:rsidP="00EE1471">
      <w:pPr>
        <w:pStyle w:val="ListParagraph"/>
        <w:spacing w:after="240" w:line="276" w:lineRule="auto"/>
        <w:ind w:left="1440"/>
        <w:rPr>
          <w:rFonts w:cs="Arial"/>
          <w:szCs w:val="22"/>
        </w:rPr>
      </w:pPr>
    </w:p>
    <w:p w:rsidR="00441942" w:rsidRPr="00847015" w:rsidRDefault="00DF1B4E" w:rsidP="00441942">
      <w:pPr>
        <w:numPr>
          <w:ilvl w:val="1"/>
          <w:numId w:val="2"/>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rsidR="00441942" w:rsidRDefault="0082194B" w:rsidP="00441942">
      <w:pPr>
        <w:numPr>
          <w:ilvl w:val="1"/>
          <w:numId w:val="2"/>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rsidR="00441942" w:rsidRPr="007C42CF" w:rsidRDefault="00441942" w:rsidP="00441942">
      <w:pPr>
        <w:numPr>
          <w:ilvl w:val="1"/>
          <w:numId w:val="2"/>
        </w:numPr>
        <w:spacing w:after="240" w:line="276" w:lineRule="auto"/>
        <w:rPr>
          <w:rFonts w:cs="Arial"/>
          <w:szCs w:val="22"/>
        </w:rPr>
      </w:pPr>
      <w:r w:rsidRPr="007C42CF">
        <w:rPr>
          <w:rFonts w:cs="Arial"/>
          <w:szCs w:val="22"/>
        </w:rPr>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rsidR="0082194B" w:rsidRPr="00697E37" w:rsidRDefault="00E4627B" w:rsidP="00697E37">
      <w:pPr>
        <w:pStyle w:val="ListParagraph"/>
        <w:numPr>
          <w:ilvl w:val="1"/>
          <w:numId w:val="2"/>
        </w:numPr>
        <w:spacing w:after="240"/>
        <w:contextualSpacing w:val="0"/>
      </w:pPr>
      <w:r w:rsidRPr="007C5D75">
        <w:t>All bidders are required to adhere to all appropriate regulations and guidelines on the collection, storage, transmission and destruction of personal data (</w:t>
      </w:r>
      <w:hyperlink r:id="rId13" w:history="1">
        <w:r w:rsidRPr="007C5D75">
          <w:rPr>
            <w:rStyle w:val="Hyperlink"/>
          </w:rPr>
          <w:t>MRS/SRA, Data Protection Act 1998: Guidelines for Social Research, April 2013</w:t>
        </w:r>
      </w:hyperlink>
      <w:r w:rsidRPr="007C5D75">
        <w:t>).</w:t>
      </w:r>
    </w:p>
    <w:p w:rsidR="0082194B" w:rsidRPr="0082194B" w:rsidRDefault="00C26086" w:rsidP="0082194B">
      <w:pPr>
        <w:pStyle w:val="Heading1"/>
        <w:numPr>
          <w:ilvl w:val="0"/>
          <w:numId w:val="2"/>
        </w:numPr>
      </w:pPr>
      <w:r>
        <w:t>Contract</w:t>
      </w:r>
      <w:r w:rsidR="0082194B" w:rsidRPr="0082194B">
        <w:t xml:space="preserve"> management</w:t>
      </w:r>
    </w:p>
    <w:p w:rsidR="00DB2497" w:rsidRPr="00C26086" w:rsidRDefault="00E4627B" w:rsidP="00697E37">
      <w:pPr>
        <w:numPr>
          <w:ilvl w:val="1"/>
          <w:numId w:val="2"/>
        </w:numPr>
        <w:spacing w:before="240" w:after="200" w:line="276" w:lineRule="auto"/>
        <w:contextualSpacing/>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DC0795">
        <w:rPr>
          <w:rFonts w:cs="Arial"/>
          <w:szCs w:val="22"/>
        </w:rPr>
        <w:t xml:space="preserve">3 October </w:t>
      </w:r>
      <w:r w:rsidR="004B1964">
        <w:rPr>
          <w:rFonts w:cs="Arial"/>
          <w:szCs w:val="22"/>
        </w:rPr>
        <w:t xml:space="preserve">2017 </w:t>
      </w:r>
      <w:r w:rsidRPr="00056B22">
        <w:rPr>
          <w:rFonts w:cs="Arial"/>
          <w:szCs w:val="22"/>
        </w:rPr>
        <w:t>and be completed by</w:t>
      </w:r>
      <w:r w:rsidR="004B1964">
        <w:rPr>
          <w:rFonts w:cs="Arial"/>
          <w:szCs w:val="22"/>
        </w:rPr>
        <w:t xml:space="preserve"> 15 December 2017</w:t>
      </w:r>
      <w:r w:rsidRPr="00056B22">
        <w:rPr>
          <w:rFonts w:cs="Arial"/>
          <w:szCs w:val="22"/>
        </w:rPr>
        <w:t>.</w:t>
      </w:r>
      <w:r>
        <w:rPr>
          <w:rFonts w:cs="Arial"/>
          <w:szCs w:val="22"/>
        </w:rPr>
        <w:t xml:space="preserve"> The final report shall be submitted to HLF by</w:t>
      </w:r>
      <w:r w:rsidR="004B1964">
        <w:rPr>
          <w:rFonts w:cs="Arial"/>
          <w:szCs w:val="22"/>
        </w:rPr>
        <w:t xml:space="preserve"> 5 January 2018</w:t>
      </w:r>
    </w:p>
    <w:p w:rsidR="00C26086" w:rsidRPr="00697E37" w:rsidRDefault="00C26086" w:rsidP="00C26086">
      <w:pPr>
        <w:spacing w:before="240" w:after="200" w:line="276" w:lineRule="auto"/>
        <w:ind w:left="720"/>
        <w:contextualSpacing/>
        <w:rPr>
          <w:rFonts w:cs="Arial"/>
          <w:szCs w:val="22"/>
        </w:rPr>
      </w:pPr>
    </w:p>
    <w:p w:rsidR="0082194B" w:rsidRDefault="0082194B" w:rsidP="00697E37">
      <w:pPr>
        <w:numPr>
          <w:ilvl w:val="1"/>
          <w:numId w:val="2"/>
        </w:numPr>
        <w:spacing w:before="240" w:after="200" w:line="276" w:lineRule="auto"/>
        <w:contextualSpacing/>
        <w:rPr>
          <w:rFonts w:cs="Arial"/>
          <w:szCs w:val="22"/>
        </w:rPr>
      </w:pPr>
      <w:r w:rsidRPr="0082194B">
        <w:rPr>
          <w:rFonts w:cs="Arial"/>
          <w:szCs w:val="22"/>
        </w:rPr>
        <w:t xml:space="preserve">The anticipated budget is </w:t>
      </w:r>
      <w:r w:rsidR="004B1964">
        <w:rPr>
          <w:rFonts w:cs="Arial"/>
          <w:szCs w:val="22"/>
        </w:rPr>
        <w:t xml:space="preserve">up to £15,000 </w:t>
      </w:r>
      <w:r w:rsidRPr="0082194B">
        <w:rPr>
          <w:rFonts w:cs="Arial"/>
          <w:szCs w:val="22"/>
        </w:rPr>
        <w:t>to include all expenses and VAT. The contract will be let by the National Heritage Memorial Fund.</w:t>
      </w:r>
    </w:p>
    <w:p w:rsidR="00E4627B" w:rsidRPr="00697E37" w:rsidRDefault="00E4627B" w:rsidP="00697E37">
      <w:pPr>
        <w:spacing w:before="240" w:after="200" w:line="276" w:lineRule="auto"/>
        <w:ind w:left="720"/>
        <w:contextualSpacing/>
        <w:rPr>
          <w:i/>
          <w:color w:val="FF0000"/>
        </w:rPr>
      </w:pPr>
    </w:p>
    <w:p w:rsidR="00E4627B" w:rsidRPr="00686022" w:rsidRDefault="0082194B" w:rsidP="00E4627B">
      <w:pPr>
        <w:numPr>
          <w:ilvl w:val="1"/>
          <w:numId w:val="2"/>
        </w:numPr>
        <w:spacing w:before="240" w:after="240" w:line="276" w:lineRule="auto"/>
        <w:rPr>
          <w:rFonts w:cs="Arial"/>
          <w:szCs w:val="22"/>
        </w:rPr>
      </w:pPr>
      <w:r w:rsidRPr="00686022">
        <w:rPr>
          <w:rFonts w:cs="Arial"/>
          <w:szCs w:val="22"/>
        </w:rPr>
        <w:t xml:space="preserve">The payment schedule will be </w:t>
      </w:r>
      <w:r w:rsidR="00DC0795" w:rsidRPr="00686022">
        <w:rPr>
          <w:rFonts w:cs="Arial"/>
          <w:szCs w:val="22"/>
        </w:rPr>
        <w:t>20% at start up after contract exchange; other payments will be agreed with the contractor based on completion of agreed milestones, with 10% to be paid after approval of the final report.</w:t>
      </w:r>
      <w:r w:rsidR="00E4627B" w:rsidRPr="00686022">
        <w:rPr>
          <w:i/>
          <w:color w:val="FF0000"/>
        </w:rPr>
        <w:t>.</w:t>
      </w:r>
    </w:p>
    <w:p w:rsidR="00CF253B" w:rsidRPr="00CF253B" w:rsidRDefault="0082194B" w:rsidP="00CF253B">
      <w:pPr>
        <w:numPr>
          <w:ilvl w:val="1"/>
          <w:numId w:val="2"/>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r w:rsidR="00C26086">
        <w:rPr>
          <w:rFonts w:cs="Arial"/>
          <w:szCs w:val="22"/>
        </w:rPr>
        <w:t>.</w:t>
      </w:r>
    </w:p>
    <w:p w:rsidR="0082194B" w:rsidRPr="00697E37" w:rsidRDefault="0082194B" w:rsidP="00697E37">
      <w:pPr>
        <w:numPr>
          <w:ilvl w:val="1"/>
          <w:numId w:val="2"/>
        </w:numPr>
        <w:spacing w:after="200" w:line="276" w:lineRule="auto"/>
        <w:contextualSpacing/>
        <w:rPr>
          <w:rFonts w:cs="Arial"/>
          <w:szCs w:val="22"/>
        </w:rPr>
      </w:pPr>
      <w:r w:rsidRPr="0082194B">
        <w:rPr>
          <w:rFonts w:cs="Arial"/>
          <w:szCs w:val="22"/>
        </w:rPr>
        <w:t>The research will be managed on a day to day basis for HLF by</w:t>
      </w:r>
      <w:r w:rsidR="004B1964">
        <w:rPr>
          <w:rFonts w:cs="Arial"/>
          <w:szCs w:val="22"/>
        </w:rPr>
        <w:t xml:space="preserve"> Kion Ahadi.</w:t>
      </w:r>
    </w:p>
    <w:p w:rsidR="0082194B" w:rsidRPr="0082194B" w:rsidRDefault="00CF253B" w:rsidP="0082194B">
      <w:pPr>
        <w:pStyle w:val="Heading1"/>
        <w:numPr>
          <w:ilvl w:val="0"/>
          <w:numId w:val="2"/>
        </w:numPr>
      </w:pPr>
      <w:r>
        <w:t>Award Criteria</w:t>
      </w:r>
    </w:p>
    <w:p w:rsidR="0082194B" w:rsidRPr="0082194B" w:rsidRDefault="00F45083" w:rsidP="0082194B">
      <w:pPr>
        <w:numPr>
          <w:ilvl w:val="1"/>
          <w:numId w:val="2"/>
        </w:numPr>
        <w:spacing w:after="240" w:line="276" w:lineRule="auto"/>
        <w:rPr>
          <w:rFonts w:cs="Arial"/>
          <w:szCs w:val="22"/>
        </w:rPr>
      </w:pPr>
      <w:r>
        <w:rPr>
          <w:rFonts w:cs="Arial"/>
          <w:szCs w:val="22"/>
        </w:rPr>
        <w:t xml:space="preserve">The </w:t>
      </w:r>
      <w:r w:rsidR="0082194B" w:rsidRPr="0082194B">
        <w:rPr>
          <w:rFonts w:cs="Arial"/>
          <w:szCs w:val="22"/>
        </w:rPr>
        <w:t>proposal for undertaking the work should</w:t>
      </w:r>
      <w:r>
        <w:rPr>
          <w:rFonts w:cs="Arial"/>
          <w:szCs w:val="22"/>
        </w:rPr>
        <w:t xml:space="preserve"> be a maximum of 15 pages and</w:t>
      </w:r>
      <w:r w:rsidR="0082194B" w:rsidRPr="0082194B">
        <w:rPr>
          <w:rFonts w:cs="Arial"/>
          <w:szCs w:val="22"/>
        </w:rPr>
        <w:t xml:space="preserve"> include:</w:t>
      </w:r>
    </w:p>
    <w:p w:rsidR="0082194B" w:rsidRPr="0082194B" w:rsidRDefault="00C26086" w:rsidP="0082194B">
      <w:pPr>
        <w:numPr>
          <w:ilvl w:val="0"/>
          <w:numId w:val="33"/>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the allocation of days between members of the team;</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the daily charging rate of individual staff involved;</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lastRenderedPageBreak/>
        <w:t>a timescale for carrying out the project;</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an overall cost for the work.</w:t>
      </w:r>
    </w:p>
    <w:p w:rsidR="003213D4" w:rsidRDefault="0082194B" w:rsidP="003213D4">
      <w:pPr>
        <w:numPr>
          <w:ilvl w:val="1"/>
          <w:numId w:val="2"/>
        </w:numPr>
        <w:spacing w:after="240" w:line="276" w:lineRule="auto"/>
        <w:rPr>
          <w:rFonts w:cs="Arial"/>
          <w:szCs w:val="22"/>
        </w:rPr>
      </w:pPr>
      <w:r w:rsidRPr="0082194B">
        <w:rPr>
          <w:rFonts w:cs="Arial"/>
          <w:szCs w:val="22"/>
        </w:rPr>
        <w:t xml:space="preserve">Your Bid will be scored out of 100%. </w:t>
      </w:r>
      <w:r w:rsidR="00097BE4">
        <w:rPr>
          <w:rFonts w:cs="Arial"/>
          <w:szCs w:val="22"/>
        </w:rPr>
        <w:br/>
      </w:r>
      <w:r w:rsidR="00097BE4">
        <w:rPr>
          <w:rFonts w:cs="Arial"/>
          <w:szCs w:val="22"/>
        </w:rPr>
        <w:br/>
      </w:r>
      <w:r w:rsidR="00097BE4">
        <w:rPr>
          <w:rFonts w:cs="Arial"/>
          <w:b/>
          <w:szCs w:val="22"/>
          <w:u w:val="single"/>
        </w:rPr>
        <w:t>50% of the marks will be awarded to Quality</w:t>
      </w:r>
    </w:p>
    <w:p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rsidR="001B33E4" w:rsidRDefault="001B0833" w:rsidP="001B33E4">
      <w:pPr>
        <w:pStyle w:val="BodyTextIndent2"/>
        <w:spacing w:after="0"/>
        <w:ind w:left="709"/>
        <w:rPr>
          <w:rFonts w:cs="Arial"/>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sidR="004F2D8D">
        <w:rPr>
          <w:b w:val="0"/>
          <w:szCs w:val="22"/>
        </w:rPr>
        <w:t xml:space="preserve"> </w:t>
      </w:r>
    </w:p>
    <w:p w:rsidR="00AE2E16" w:rsidRPr="00697E37" w:rsidRDefault="00AE2E16" w:rsidP="001B33E4">
      <w:pPr>
        <w:pStyle w:val="Bullettext"/>
        <w:numPr>
          <w:ilvl w:val="0"/>
          <w:numId w:val="0"/>
        </w:numPr>
        <w:spacing w:after="240"/>
        <w:ind w:left="1495"/>
        <w:contextualSpacing/>
        <w:rPr>
          <w:rFonts w:cs="Arial"/>
          <w:b/>
        </w:rPr>
      </w:pPr>
      <w:r>
        <w:rPr>
          <w:rFonts w:cs="Arial"/>
        </w:rPr>
        <w:br/>
      </w:r>
    </w:p>
    <w:tbl>
      <w:tblPr>
        <w:tblStyle w:val="TableGrid"/>
        <w:tblW w:w="0" w:type="auto"/>
        <w:tblInd w:w="392" w:type="dxa"/>
        <w:tblLook w:val="04A0" w:firstRow="1" w:lastRow="0" w:firstColumn="1" w:lastColumn="0" w:noHBand="0" w:noVBand="1"/>
      </w:tblPr>
      <w:tblGrid>
        <w:gridCol w:w="6215"/>
        <w:gridCol w:w="2290"/>
      </w:tblGrid>
      <w:tr w:rsidR="00AE2E16" w:rsidTr="008919E9">
        <w:tc>
          <w:tcPr>
            <w:tcW w:w="6215" w:type="dxa"/>
          </w:tcPr>
          <w:p w:rsidR="00AE2E16" w:rsidRDefault="00AE2E16" w:rsidP="00AE2E16">
            <w:pPr>
              <w:pStyle w:val="ListParagraph"/>
              <w:numPr>
                <w:ilvl w:val="0"/>
                <w:numId w:val="46"/>
              </w:numPr>
              <w:contextualSpacing w:val="0"/>
              <w:rPr>
                <w:rFonts w:cs="Arial"/>
              </w:rPr>
            </w:pPr>
            <w:r>
              <w:rPr>
                <w:rFonts w:cs="Arial"/>
              </w:rPr>
              <w:t>Demonstrated a clear understanding of the aims, objectives and main concerns of the evaluation.</w:t>
            </w:r>
          </w:p>
          <w:p w:rsidR="00AE2E16" w:rsidRPr="002A3985" w:rsidRDefault="00AE2E16" w:rsidP="008919E9">
            <w:pPr>
              <w:pStyle w:val="ListParagraph"/>
              <w:rPr>
                <w:rFonts w:cs="Arial"/>
              </w:rPr>
            </w:pPr>
          </w:p>
        </w:tc>
        <w:tc>
          <w:tcPr>
            <w:tcW w:w="2290" w:type="dxa"/>
          </w:tcPr>
          <w:p w:rsidR="00AE2E16" w:rsidRPr="00C934E7" w:rsidRDefault="00AE2E16" w:rsidP="008919E9">
            <w:pPr>
              <w:ind w:left="720" w:hanging="720"/>
              <w:jc w:val="right"/>
              <w:rPr>
                <w:rFonts w:cs="Arial"/>
              </w:rPr>
            </w:pPr>
            <w:r w:rsidRPr="00C934E7">
              <w:rPr>
                <w:rFonts w:cs="Arial"/>
              </w:rPr>
              <w:t>Weighing</w:t>
            </w:r>
          </w:p>
          <w:p w:rsidR="00AE2E16" w:rsidRPr="00C934E7" w:rsidRDefault="00AE2E16" w:rsidP="008919E9">
            <w:pPr>
              <w:ind w:left="720" w:hanging="720"/>
              <w:jc w:val="right"/>
              <w:rPr>
                <w:rFonts w:cs="Arial"/>
              </w:rPr>
            </w:pPr>
            <w:r w:rsidRPr="00C934E7">
              <w:rPr>
                <w:rFonts w:cs="Arial"/>
              </w:rPr>
              <w:t>25%</w:t>
            </w:r>
          </w:p>
        </w:tc>
      </w:tr>
      <w:tr w:rsidR="00AE2E16" w:rsidTr="008919E9">
        <w:tc>
          <w:tcPr>
            <w:tcW w:w="6215" w:type="dxa"/>
          </w:tcPr>
          <w:p w:rsidR="00AE2E16" w:rsidRPr="002A3985" w:rsidRDefault="005A3B33" w:rsidP="0068337B">
            <w:pPr>
              <w:pStyle w:val="ListParagraph"/>
              <w:numPr>
                <w:ilvl w:val="0"/>
                <w:numId w:val="46"/>
              </w:numPr>
              <w:contextualSpacing w:val="0"/>
              <w:rPr>
                <w:rFonts w:cs="Arial"/>
              </w:rPr>
            </w:pPr>
            <w:r>
              <w:rPr>
                <w:rFonts w:cs="Arial"/>
              </w:rPr>
              <w:t>Demonstrated the proposed design and methods are well de</w:t>
            </w:r>
            <w:r w:rsidR="0068337B">
              <w:rPr>
                <w:rFonts w:cs="Arial"/>
              </w:rPr>
              <w:t>veloped, appropriate and meet the aims and objectives of the evaluation</w:t>
            </w:r>
          </w:p>
        </w:tc>
        <w:tc>
          <w:tcPr>
            <w:tcW w:w="2290" w:type="dxa"/>
          </w:tcPr>
          <w:p w:rsidR="00AE2E16" w:rsidRPr="00C934E7" w:rsidRDefault="00AE2E16" w:rsidP="008919E9">
            <w:pPr>
              <w:ind w:left="720" w:hanging="720"/>
              <w:jc w:val="right"/>
              <w:rPr>
                <w:rFonts w:cs="Arial"/>
              </w:rPr>
            </w:pPr>
            <w:r w:rsidRPr="00C934E7">
              <w:rPr>
                <w:rFonts w:cs="Arial"/>
              </w:rPr>
              <w:t>Weighting</w:t>
            </w:r>
          </w:p>
          <w:p w:rsidR="00AE2E16" w:rsidRPr="00C934E7" w:rsidRDefault="00AE2E16" w:rsidP="0068337B">
            <w:pPr>
              <w:ind w:left="720" w:hanging="720"/>
              <w:jc w:val="right"/>
              <w:rPr>
                <w:rFonts w:cs="Arial"/>
              </w:rPr>
            </w:pPr>
            <w:r w:rsidRPr="00C934E7">
              <w:rPr>
                <w:rFonts w:cs="Arial"/>
              </w:rPr>
              <w:t>2</w:t>
            </w:r>
            <w:r w:rsidR="0068337B">
              <w:rPr>
                <w:rFonts w:cs="Arial"/>
              </w:rPr>
              <w:t>5</w:t>
            </w:r>
            <w:r w:rsidRPr="00C934E7">
              <w:rPr>
                <w:rFonts w:cs="Arial"/>
              </w:rPr>
              <w:t>%</w:t>
            </w:r>
          </w:p>
        </w:tc>
      </w:tr>
      <w:tr w:rsidR="00AE2E16" w:rsidTr="008919E9">
        <w:tc>
          <w:tcPr>
            <w:tcW w:w="6215" w:type="dxa"/>
          </w:tcPr>
          <w:p w:rsidR="00AE2E16" w:rsidRDefault="00AE2E16" w:rsidP="00AE2E16">
            <w:pPr>
              <w:pStyle w:val="ListParagraph"/>
              <w:numPr>
                <w:ilvl w:val="0"/>
                <w:numId w:val="46"/>
              </w:numPr>
              <w:contextualSpacing w:val="0"/>
              <w:rPr>
                <w:rFonts w:cs="Arial"/>
              </w:rPr>
            </w:pPr>
            <w:r>
              <w:rPr>
                <w:rFonts w:cs="Arial"/>
              </w:rPr>
              <w:t>Demonstrated the bidder has the capacity and resources to carry out the evaluation within the timescale, or if working in partnership, each organisation has the capacity to fulfil its role and roles of each partner is clear.</w:t>
            </w:r>
          </w:p>
          <w:p w:rsidR="00AE2E16" w:rsidRPr="002A3985" w:rsidRDefault="00AE2E16" w:rsidP="008919E9">
            <w:pPr>
              <w:pStyle w:val="ListParagraph"/>
              <w:rPr>
                <w:rFonts w:cs="Arial"/>
              </w:rPr>
            </w:pPr>
          </w:p>
        </w:tc>
        <w:tc>
          <w:tcPr>
            <w:tcW w:w="2290" w:type="dxa"/>
          </w:tcPr>
          <w:p w:rsidR="00AE2E16" w:rsidRPr="00C934E7" w:rsidRDefault="00AE2E16" w:rsidP="008919E9">
            <w:pPr>
              <w:ind w:left="720" w:hanging="720"/>
              <w:jc w:val="right"/>
              <w:rPr>
                <w:rFonts w:cs="Arial"/>
              </w:rPr>
            </w:pPr>
            <w:r w:rsidRPr="00C934E7">
              <w:rPr>
                <w:rFonts w:cs="Arial"/>
              </w:rPr>
              <w:t>Weighting</w:t>
            </w:r>
          </w:p>
          <w:p w:rsidR="00AE2E16" w:rsidRPr="00C934E7" w:rsidRDefault="0068337B" w:rsidP="0068337B">
            <w:pPr>
              <w:ind w:left="720" w:hanging="720"/>
              <w:jc w:val="right"/>
              <w:rPr>
                <w:rFonts w:cs="Arial"/>
              </w:rPr>
            </w:pPr>
            <w:r>
              <w:rPr>
                <w:rFonts w:cs="Arial"/>
              </w:rPr>
              <w:t>25</w:t>
            </w:r>
            <w:r w:rsidR="00AE2E16" w:rsidRPr="00C934E7">
              <w:rPr>
                <w:rFonts w:cs="Arial"/>
              </w:rPr>
              <w:t>%</w:t>
            </w:r>
          </w:p>
        </w:tc>
      </w:tr>
      <w:tr w:rsidR="00AE2E16" w:rsidTr="008919E9">
        <w:tc>
          <w:tcPr>
            <w:tcW w:w="6215" w:type="dxa"/>
          </w:tcPr>
          <w:p w:rsidR="00AE2E16" w:rsidRDefault="00AE2E16" w:rsidP="00AE2E16">
            <w:pPr>
              <w:pStyle w:val="ListParagraph"/>
              <w:numPr>
                <w:ilvl w:val="0"/>
                <w:numId w:val="46"/>
              </w:numPr>
              <w:contextualSpacing w:val="0"/>
              <w:rPr>
                <w:rFonts w:cs="Arial"/>
              </w:rPr>
            </w:pPr>
            <w:r>
              <w:rPr>
                <w:rFonts w:cs="Arial"/>
              </w:rPr>
              <w:t>Demonstrated a clear and realistic project plan, showing phases of the evaluation, tasks for each phase and roles and responsibilities for each member of the team.</w:t>
            </w:r>
          </w:p>
          <w:p w:rsidR="00AE2E16" w:rsidRPr="008D5A89" w:rsidRDefault="00AE2E16" w:rsidP="008919E9">
            <w:pPr>
              <w:pStyle w:val="ListParagraph"/>
              <w:rPr>
                <w:rFonts w:cs="Arial"/>
              </w:rPr>
            </w:pPr>
          </w:p>
        </w:tc>
        <w:tc>
          <w:tcPr>
            <w:tcW w:w="2290" w:type="dxa"/>
          </w:tcPr>
          <w:p w:rsidR="00AE2E16" w:rsidRDefault="00AE2E16" w:rsidP="008919E9">
            <w:pPr>
              <w:pStyle w:val="ListParagraph"/>
              <w:jc w:val="right"/>
              <w:rPr>
                <w:rFonts w:cs="Arial"/>
              </w:rPr>
            </w:pPr>
            <w:r>
              <w:rPr>
                <w:rFonts w:cs="Arial"/>
              </w:rPr>
              <w:t>Weighting</w:t>
            </w:r>
          </w:p>
          <w:p w:rsidR="00AE2E16" w:rsidRDefault="0068337B" w:rsidP="008919E9">
            <w:pPr>
              <w:pStyle w:val="ListParagraph"/>
              <w:jc w:val="right"/>
              <w:rPr>
                <w:rFonts w:cs="Arial"/>
              </w:rPr>
            </w:pPr>
            <w:r>
              <w:rPr>
                <w:rFonts w:cs="Arial"/>
              </w:rPr>
              <w:t>2</w:t>
            </w:r>
            <w:r w:rsidR="00AE2E16">
              <w:rPr>
                <w:rFonts w:cs="Arial"/>
              </w:rPr>
              <w:t>5%</w:t>
            </w:r>
          </w:p>
        </w:tc>
      </w:tr>
    </w:tbl>
    <w:p w:rsidR="00AE2E16" w:rsidRPr="002A3985" w:rsidRDefault="00AE2E16" w:rsidP="00AE2E16">
      <w:pPr>
        <w:rPr>
          <w:rFonts w:cs="Arial"/>
        </w:rPr>
      </w:pPr>
    </w:p>
    <w:p w:rsidR="00AE2E16" w:rsidRPr="002A3985" w:rsidRDefault="00AE2E16" w:rsidP="00AE2E16">
      <w:pPr>
        <w:rPr>
          <w:rFonts w:cs="Arial"/>
        </w:rPr>
      </w:pPr>
      <w:r>
        <w:rPr>
          <w:rFonts w:cs="Arial"/>
        </w:rPr>
        <w:t>Scores will be given for each criteria in a range of 1 (low) to 5 (high), as per the descriptions in the quality questions scoring methodology table below.</w:t>
      </w:r>
    </w:p>
    <w:p w:rsidR="001B0833" w:rsidRPr="00697E37" w:rsidRDefault="001B0833" w:rsidP="00AE2E16">
      <w:pPr>
        <w:pStyle w:val="Bullettext"/>
        <w:numPr>
          <w:ilvl w:val="0"/>
          <w:numId w:val="0"/>
        </w:numPr>
        <w:spacing w:after="240"/>
        <w:ind w:left="1495"/>
        <w:contextualSpacing/>
        <w:rPr>
          <w:rFonts w:cs="Arial"/>
          <w:b/>
        </w:rPr>
      </w:pPr>
    </w:p>
    <w:p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lastRenderedPageBreak/>
              <w:t xml:space="preserve">Response is comprehensive and supported by </w:t>
            </w:r>
            <w:r w:rsidRPr="009E147C">
              <w:rPr>
                <w:rFonts w:cs="Arial"/>
                <w:lang w:val="en-US"/>
              </w:rPr>
              <w:lastRenderedPageBreak/>
              <w:t>good standard of evidence. Gives the HLF confidence in the ability of the Bidder to deliver the contract. Meets the HLF’s requirements.</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lastRenderedPageBreak/>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610507" w:rsidRDefault="00610507" w:rsidP="006B27B4">
      <w:pPr>
        <w:spacing w:before="240"/>
        <w:rPr>
          <w:rFonts w:cs="Arial"/>
          <w:b/>
          <w:bCs/>
          <w:iCs/>
          <w:highlight w:val="yellow"/>
          <w:u w:val="single"/>
        </w:rPr>
      </w:pPr>
    </w:p>
    <w:p w:rsidR="00E00936" w:rsidRPr="006B27B4" w:rsidRDefault="00610507" w:rsidP="00E00936">
      <w:pPr>
        <w:rPr>
          <w:rFonts w:cs="Arial"/>
          <w:i/>
        </w:rPr>
      </w:pPr>
      <w:r w:rsidRPr="00610507">
        <w:rPr>
          <w:rFonts w:cs="Arial"/>
          <w:b/>
          <w:u w:val="single"/>
        </w:rPr>
        <w:softHyphen/>
      </w:r>
      <w:r>
        <w:rPr>
          <w:rFonts w:cs="Arial"/>
          <w:b/>
          <w:u w:val="single"/>
        </w:rPr>
        <w:t>5</w:t>
      </w:r>
      <w:r w:rsidRPr="00610507">
        <w:rPr>
          <w:rFonts w:cs="Arial"/>
          <w:b/>
          <w:u w:val="single"/>
        </w:rPr>
        <w:t>0% of marks will be awarded for Price</w:t>
      </w:r>
      <w:r>
        <w:rPr>
          <w:rFonts w:cs="Arial"/>
          <w:b/>
          <w:u w:val="single"/>
        </w:rPr>
        <w:br/>
      </w:r>
      <w:r>
        <w:rPr>
          <w:rFonts w:cs="Arial"/>
        </w:rPr>
        <w:t xml:space="preserve">The evaluation of price will be carried out on the </w:t>
      </w:r>
      <w:r w:rsidR="001B0833" w:rsidRPr="00517834">
        <w:rPr>
          <w:rFonts w:cs="Arial"/>
        </w:rPr>
        <w:t xml:space="preserve">Schedule of charges you provide in response to </w:t>
      </w:r>
      <w:r w:rsidR="001B0833" w:rsidRPr="00E06E88">
        <w:rPr>
          <w:rFonts w:cs="Arial"/>
          <w:b/>
        </w:rPr>
        <w:t>Table A</w:t>
      </w:r>
    </w:p>
    <w:p w:rsidR="00E00936" w:rsidRDefault="00273A6C" w:rsidP="00E00936">
      <w:pPr>
        <w:pStyle w:val="Heading2"/>
        <w:rPr>
          <w:u w:val="single"/>
          <w:lang w:val="en-US"/>
        </w:rPr>
      </w:pPr>
      <w:r>
        <w:rPr>
          <w:u w:val="single"/>
          <w:lang w:val="en-US"/>
        </w:rPr>
        <w:br/>
      </w:r>
      <w:r w:rsidR="003A6DA0">
        <w:rPr>
          <w:u w:val="single"/>
          <w:lang w:val="en-US"/>
        </w:rPr>
        <w:t xml:space="preserve">Price Criterion at </w:t>
      </w:r>
      <w:r w:rsidR="00610507">
        <w:rPr>
          <w:u w:val="single"/>
          <w:lang w:val="en-US"/>
        </w:rPr>
        <w:t>5</w:t>
      </w:r>
      <w:r w:rsidR="00E00936" w:rsidRPr="00E00936">
        <w:rPr>
          <w:u w:val="single"/>
          <w:lang w:val="en-US"/>
        </w:rPr>
        <w:t>0%</w:t>
      </w:r>
    </w:p>
    <w:p w:rsidR="00AE2E16" w:rsidRPr="00697E37" w:rsidRDefault="001B0833" w:rsidP="00AE2E16">
      <w:pPr>
        <w:pStyle w:val="ListParagraph"/>
        <w:numPr>
          <w:ilvl w:val="0"/>
          <w:numId w:val="39"/>
        </w:numPr>
        <w:ind w:left="360"/>
        <w:rPr>
          <w:rFonts w:cs="Arial"/>
          <w:lang w:val="en-US"/>
        </w:rPr>
      </w:pPr>
      <w:r w:rsidRPr="00E00936">
        <w:rPr>
          <w:rFonts w:cs="Arial"/>
          <w:bCs/>
          <w:iCs/>
        </w:rPr>
        <w:t>The scores for quality and price will be added together to obtain the overall score for each Bidder.</w:t>
      </w:r>
      <w:r w:rsidR="00AE2E16">
        <w:rPr>
          <w:rFonts w:cs="Arial"/>
          <w:bCs/>
          <w:iCs/>
        </w:rPr>
        <w:br/>
      </w:r>
      <w:r w:rsidR="00610507">
        <w:rPr>
          <w:rFonts w:cs="Arial"/>
          <w:lang w:val="en-US"/>
        </w:rPr>
        <w:t>5</w:t>
      </w:r>
      <w:r w:rsidR="00AE2E16"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rsidR="00AE2E16" w:rsidRPr="00697E37" w:rsidRDefault="00AE2E16" w:rsidP="00AE2E16">
      <w:pPr>
        <w:pStyle w:val="ListParagraph"/>
        <w:numPr>
          <w:ilvl w:val="0"/>
          <w:numId w:val="39"/>
        </w:numPr>
        <w:ind w:left="360"/>
        <w:rPr>
          <w:lang w:val="en-US"/>
        </w:rPr>
      </w:pPr>
      <w:r w:rsidRPr="00E00936">
        <w:rPr>
          <w:rFonts w:cs="Arial"/>
          <w:lang w:val="en-US"/>
        </w:rPr>
        <w:t xml:space="preserve">For example, if the lowest price is £100 and the second lowest price is £108 then the lowest priced bidder gets </w:t>
      </w:r>
      <w:r w:rsidR="00610507">
        <w:rPr>
          <w:rFonts w:cs="Arial"/>
          <w:lang w:val="en-US"/>
        </w:rPr>
        <w:t>5</w:t>
      </w:r>
      <w:r w:rsidRPr="00E00936">
        <w:rPr>
          <w:rFonts w:cs="Arial"/>
          <w:lang w:val="en-US"/>
        </w:rPr>
        <w:t xml:space="preserve">0% (full marks) for price and the second placed bidder gets </w:t>
      </w:r>
      <w:r w:rsidR="00610507">
        <w:rPr>
          <w:rFonts w:cs="Arial"/>
          <w:lang w:val="en-US"/>
        </w:rPr>
        <w:t>46</w:t>
      </w:r>
      <w:r w:rsidRPr="00E00936">
        <w:rPr>
          <w:rFonts w:cs="Arial"/>
          <w:lang w:val="en-US"/>
        </w:rPr>
        <w:t xml:space="preserve">% and so on. (8/100 x </w:t>
      </w:r>
      <w:r w:rsidR="00610507">
        <w:rPr>
          <w:rFonts w:cs="Arial"/>
          <w:lang w:val="en-US"/>
        </w:rPr>
        <w:t>5</w:t>
      </w:r>
      <w:r w:rsidRPr="00E00936">
        <w:rPr>
          <w:rFonts w:cs="Arial"/>
          <w:lang w:val="en-US"/>
        </w:rPr>
        <w:t>0 =4 m</w:t>
      </w:r>
      <w:r w:rsidR="00610507">
        <w:rPr>
          <w:rFonts w:cs="Arial"/>
          <w:lang w:val="en-US"/>
        </w:rPr>
        <w:t>arks; 50-</w:t>
      </w:r>
      <w:r w:rsidRPr="00E00936">
        <w:rPr>
          <w:rFonts w:cs="Arial"/>
          <w:lang w:val="en-US"/>
        </w:rPr>
        <w:t>4 =</w:t>
      </w:r>
      <w:r w:rsidR="00610507">
        <w:rPr>
          <w:rFonts w:cs="Arial"/>
          <w:lang w:val="en-US"/>
        </w:rPr>
        <w:t>4</w:t>
      </w:r>
      <w:r w:rsidRPr="00E00936">
        <w:rPr>
          <w:rFonts w:cs="Arial"/>
          <w:lang w:val="en-US"/>
        </w:rPr>
        <w:t>6 marks)</w:t>
      </w:r>
    </w:p>
    <w:p w:rsidR="00AE2E16" w:rsidRPr="00E00936" w:rsidRDefault="00AE2E16" w:rsidP="00AE2E16">
      <w:pPr>
        <w:pStyle w:val="ListParagraph"/>
        <w:numPr>
          <w:ilvl w:val="0"/>
          <w:numId w:val="39"/>
        </w:numPr>
        <w:spacing w:after="240"/>
        <w:ind w:left="360"/>
        <w:rPr>
          <w:rFonts w:cs="Arial"/>
          <w:bCs/>
          <w:iCs/>
        </w:rPr>
      </w:pPr>
      <w:r w:rsidRPr="00E00936">
        <w:rPr>
          <w:rFonts w:cs="Arial"/>
          <w:bCs/>
          <w:iCs/>
        </w:rPr>
        <w:t>The scores for quality and price will be added together to obtain the overall score for each Bidder.</w:t>
      </w:r>
    </w:p>
    <w:p w:rsidR="001B0833" w:rsidRPr="00E00936" w:rsidRDefault="001B0833" w:rsidP="00AE2E16">
      <w:pPr>
        <w:pStyle w:val="ListParagraph"/>
        <w:spacing w:after="240"/>
        <w:rPr>
          <w:rFonts w:cs="Arial"/>
          <w:bCs/>
          <w:iCs/>
        </w:rPr>
      </w:pPr>
    </w:p>
    <w:p w:rsidR="001B0833" w:rsidRPr="006B27B4" w:rsidRDefault="001B0833" w:rsidP="006B27B4">
      <w:pPr>
        <w:pStyle w:val="Heading2"/>
        <w:rPr>
          <w:u w:val="single"/>
        </w:rPr>
      </w:pPr>
      <w:r w:rsidRPr="00164796">
        <w:rPr>
          <w:u w:val="single"/>
        </w:rPr>
        <w:t>Table A - Schedule of Charges</w:t>
      </w:r>
    </w:p>
    <w:p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CF253B" w:rsidRPr="0082194B" w:rsidRDefault="00CF253B" w:rsidP="00CF253B">
      <w:pPr>
        <w:spacing w:after="240"/>
        <w:rPr>
          <w:rFonts w:cs="Arial"/>
          <w:b/>
          <w:bCs/>
          <w:iCs/>
        </w:rPr>
      </w:pPr>
      <w:r w:rsidRPr="0082194B">
        <w:rPr>
          <w:rFonts w:cs="Arial"/>
          <w:b/>
          <w:bCs/>
          <w:iCs/>
        </w:rPr>
        <w:lastRenderedPageBreak/>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rsidTr="005C1CA2">
        <w:trPr>
          <w:tblHeader/>
        </w:trPr>
        <w:tc>
          <w:tcPr>
            <w:tcW w:w="3655" w:type="dxa"/>
          </w:tcPr>
          <w:p w:rsidR="00CF253B" w:rsidRPr="0082194B" w:rsidRDefault="00CF253B" w:rsidP="00AA7BD2">
            <w:pPr>
              <w:jc w:val="center"/>
              <w:rPr>
                <w:rFonts w:cs="Arial"/>
                <w:b/>
                <w:bCs/>
                <w:iCs/>
                <w:lang w:val="en-US"/>
              </w:rPr>
            </w:pPr>
            <w:r>
              <w:rPr>
                <w:rFonts w:cs="Arial"/>
                <w:b/>
                <w:bCs/>
                <w:iCs/>
                <w:lang w:val="en-US"/>
              </w:rPr>
              <w:t>Cost</w:t>
            </w:r>
          </w:p>
        </w:tc>
        <w:tc>
          <w:tcPr>
            <w:tcW w:w="1275"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Project Manager/ Director</w:t>
            </w:r>
          </w:p>
          <w:p w:rsidR="00CF253B" w:rsidRPr="0082194B" w:rsidRDefault="007E2B81" w:rsidP="00AA7BD2">
            <w:pPr>
              <w:rPr>
                <w:rFonts w:cs="Arial"/>
                <w:b/>
                <w:bCs/>
                <w:iCs/>
                <w:lang w:val="en-US"/>
              </w:rPr>
            </w:pPr>
            <w:r>
              <w:rPr>
                <w:rFonts w:cs="Arial"/>
                <w:bCs/>
                <w:i/>
                <w:iCs/>
                <w:lang w:val="en-US"/>
              </w:rPr>
              <w:t>@ £2</w:t>
            </w:r>
          </w:p>
        </w:tc>
        <w:tc>
          <w:tcPr>
            <w:tcW w:w="1560"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Senior Consultant/manager/researcher</w:t>
            </w:r>
          </w:p>
          <w:p w:rsidR="00CF253B" w:rsidRPr="0082194B" w:rsidRDefault="007E2B81" w:rsidP="00AA7BD2">
            <w:pPr>
              <w:rPr>
                <w:rFonts w:cs="Arial"/>
                <w:b/>
                <w:bCs/>
                <w:iCs/>
                <w:lang w:val="en-US"/>
              </w:rPr>
            </w:pPr>
            <w:r>
              <w:rPr>
                <w:rFonts w:cs="Arial"/>
                <w:bCs/>
                <w:i/>
                <w:iCs/>
                <w:lang w:val="en-US"/>
              </w:rPr>
              <w:t>@£1.5</w:t>
            </w:r>
          </w:p>
        </w:tc>
        <w:tc>
          <w:tcPr>
            <w:tcW w:w="1302"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CF253B" w:rsidP="00AA7BD2">
            <w:pPr>
              <w:rPr>
                <w:rFonts w:cs="Arial"/>
                <w:bCs/>
                <w:i/>
                <w:iCs/>
                <w:lang w:val="en-US"/>
              </w:rPr>
            </w:pPr>
            <w:r w:rsidRPr="0082194B">
              <w:rPr>
                <w:rFonts w:cs="Arial"/>
                <w:bCs/>
                <w:i/>
                <w:iCs/>
                <w:lang w:val="en-US"/>
              </w:rPr>
              <w:t xml:space="preserve">Consultant/equivalent </w:t>
            </w:r>
          </w:p>
          <w:p w:rsidR="00CF253B" w:rsidRPr="0082194B" w:rsidRDefault="007E2B81" w:rsidP="00AA7BD2">
            <w:pPr>
              <w:rPr>
                <w:rFonts w:cs="Arial"/>
                <w:bCs/>
                <w:i/>
                <w:iCs/>
                <w:lang w:val="en-US"/>
              </w:rPr>
            </w:pPr>
            <w:r>
              <w:rPr>
                <w:rFonts w:cs="Arial"/>
                <w:bCs/>
                <w:i/>
                <w:iCs/>
                <w:lang w:val="en-US"/>
              </w:rPr>
              <w:t>e.g. £1</w:t>
            </w:r>
          </w:p>
        </w:tc>
        <w:tc>
          <w:tcPr>
            <w:tcW w:w="823"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5C1CA2">
        <w:tc>
          <w:tcPr>
            <w:tcW w:w="3655" w:type="dxa"/>
            <w:hideMark/>
          </w:tcPr>
          <w:p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rsidR="00CF253B" w:rsidRPr="0082194B" w:rsidRDefault="00CF253B" w:rsidP="00AA7BD2">
            <w:pPr>
              <w:rPr>
                <w:rFonts w:cs="Arial"/>
                <w:bCs/>
                <w:i/>
                <w:iCs/>
                <w:lang w:val="en-US"/>
              </w:rPr>
            </w:pPr>
            <w:r w:rsidRPr="0082194B">
              <w:rPr>
                <w:rFonts w:cs="Arial"/>
                <w:bCs/>
                <w:i/>
                <w:iCs/>
                <w:lang w:val="en-US"/>
              </w:rPr>
              <w:t>1</w:t>
            </w:r>
          </w:p>
        </w:tc>
        <w:tc>
          <w:tcPr>
            <w:tcW w:w="1302" w:type="dxa"/>
            <w:hideMark/>
          </w:tcPr>
          <w:p w:rsidR="00CF253B" w:rsidRPr="0082194B" w:rsidRDefault="00CF253B" w:rsidP="00AA7BD2">
            <w:pPr>
              <w:rPr>
                <w:rFonts w:cs="Arial"/>
                <w:bCs/>
                <w:i/>
                <w:iCs/>
                <w:lang w:val="en-US"/>
              </w:rPr>
            </w:pPr>
            <w:r w:rsidRPr="0082194B">
              <w:rPr>
                <w:rFonts w:cs="Arial"/>
                <w:bCs/>
                <w:i/>
                <w:iCs/>
                <w:lang w:val="en-US"/>
              </w:rPr>
              <w:t>1.5</w:t>
            </w:r>
          </w:p>
        </w:tc>
        <w:tc>
          <w:tcPr>
            <w:tcW w:w="823"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7E2B81" w:rsidP="00AA7BD2">
            <w:pPr>
              <w:rPr>
                <w:rFonts w:cs="Arial"/>
                <w:bCs/>
                <w:i/>
                <w:iCs/>
                <w:lang w:val="en-US"/>
              </w:rPr>
            </w:pPr>
            <w:r>
              <w:rPr>
                <w:rFonts w:cs="Arial"/>
                <w:bCs/>
                <w:i/>
                <w:iCs/>
                <w:lang w:val="en-US"/>
              </w:rPr>
              <w:t>£4</w:t>
            </w:r>
          </w:p>
        </w:tc>
      </w:tr>
      <w:tr w:rsidR="00CF253B" w:rsidRPr="0082194B" w:rsidTr="005C1CA2">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302" w:type="dxa"/>
          </w:tcPr>
          <w:p w:rsidR="00CF253B" w:rsidRPr="0082194B" w:rsidRDefault="00CF253B" w:rsidP="00AA7BD2">
            <w:pPr>
              <w:rPr>
                <w:rFonts w:cs="Arial"/>
                <w:bCs/>
                <w:iCs/>
                <w:lang w:val="en-US"/>
              </w:rPr>
            </w:pPr>
          </w:p>
        </w:tc>
        <w:tc>
          <w:tcPr>
            <w:tcW w:w="823"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5C1CA2">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302" w:type="dxa"/>
          </w:tcPr>
          <w:p w:rsidR="00CF253B" w:rsidRPr="0082194B" w:rsidRDefault="00CF253B" w:rsidP="00AA7BD2">
            <w:pPr>
              <w:rPr>
                <w:rFonts w:cs="Arial"/>
                <w:bCs/>
                <w:iCs/>
                <w:lang w:val="en-US"/>
              </w:rPr>
            </w:pPr>
          </w:p>
        </w:tc>
        <w:tc>
          <w:tcPr>
            <w:tcW w:w="823"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5C1CA2">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302" w:type="dxa"/>
          </w:tcPr>
          <w:p w:rsidR="00CF253B" w:rsidRPr="0082194B" w:rsidRDefault="00CF253B" w:rsidP="00AA7BD2">
            <w:pPr>
              <w:rPr>
                <w:rFonts w:cs="Arial"/>
                <w:bCs/>
                <w:iCs/>
                <w:lang w:val="en-US"/>
              </w:rPr>
            </w:pPr>
          </w:p>
        </w:tc>
        <w:tc>
          <w:tcPr>
            <w:tcW w:w="823"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82194B" w:rsidRDefault="00CF253B" w:rsidP="00CF253B">
      <w:pPr>
        <w:tabs>
          <w:tab w:val="right" w:pos="9072"/>
        </w:tabs>
        <w:rPr>
          <w:rFonts w:cs="Arial"/>
          <w:b/>
          <w:bCs/>
          <w:iCs/>
        </w:rPr>
      </w:pPr>
    </w:p>
    <w:p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Pr="007E2B81">
        <w:rPr>
          <w:rFonts w:cs="Arial"/>
          <w:b/>
          <w:bCs/>
          <w:iCs/>
        </w:rPr>
        <w:t>HLF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HLF</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rsidR="00CF253B" w:rsidRPr="00CF253B" w:rsidRDefault="00CF253B" w:rsidP="00CF253B">
      <w:pPr>
        <w:pStyle w:val="Heading1"/>
        <w:numPr>
          <w:ilvl w:val="0"/>
          <w:numId w:val="2"/>
        </w:numPr>
      </w:pPr>
      <w:r w:rsidRPr="0034414E">
        <w:t>Procurement Process</w:t>
      </w:r>
    </w:p>
    <w:p w:rsidR="00E4627B" w:rsidRDefault="0082194B" w:rsidP="00E4627B">
      <w:pPr>
        <w:numPr>
          <w:ilvl w:val="1"/>
          <w:numId w:val="2"/>
        </w:numPr>
        <w:spacing w:after="240" w:line="276" w:lineRule="auto"/>
        <w:rPr>
          <w:rFonts w:cs="Arial"/>
          <w:szCs w:val="22"/>
        </w:rPr>
      </w:pPr>
      <w:r w:rsidRPr="0082194B">
        <w:rPr>
          <w:rFonts w:cs="Arial"/>
          <w:szCs w:val="22"/>
        </w:rPr>
        <w:t>HLF reserves the right to reject abnormally low</w:t>
      </w:r>
      <w:r w:rsidR="005C1CA2">
        <w:rPr>
          <w:rFonts w:cs="Arial"/>
          <w:szCs w:val="22"/>
        </w:rPr>
        <w:t xml:space="preserve"> scoring</w:t>
      </w:r>
      <w:r w:rsidRPr="0082194B">
        <w:rPr>
          <w:rFonts w:cs="Arial"/>
          <w:szCs w:val="22"/>
        </w:rPr>
        <w:t xml:space="preserve"> tenders.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rsidR="00E4627B" w:rsidRPr="00E4627B" w:rsidRDefault="00E4627B" w:rsidP="00E4627B">
      <w:pPr>
        <w:numPr>
          <w:ilvl w:val="1"/>
          <w:numId w:val="2"/>
        </w:numPr>
        <w:spacing w:after="240" w:line="276" w:lineRule="auto"/>
        <w:rPr>
          <w:rFonts w:cs="Arial"/>
          <w:szCs w:val="22"/>
        </w:rPr>
      </w:pPr>
      <w:r w:rsidRPr="00E4627B">
        <w:t>The procurement timetable will be:</w:t>
      </w:r>
    </w:p>
    <w:p w:rsidR="00E4627B" w:rsidRPr="00E4627B" w:rsidRDefault="00E4627B" w:rsidP="00E63058">
      <w:r w:rsidRPr="00E4627B">
        <w:t xml:space="preserve">Tender return deadline: completed proposal to be returned to HLF by </w:t>
      </w:r>
      <w:r w:rsidR="005E4427">
        <w:t xml:space="preserve">10.00 am on 18 </w:t>
      </w:r>
      <w:r w:rsidR="00DC0795">
        <w:t>September 2017.</w:t>
      </w:r>
    </w:p>
    <w:p w:rsidR="00E4627B" w:rsidRPr="00E4627B" w:rsidRDefault="00C26086" w:rsidP="00E63058">
      <w:r w:rsidRPr="00847015">
        <w:t>Clarification</w:t>
      </w:r>
      <w:r w:rsidR="005C1CA2">
        <w:t>/ Negotiation</w:t>
      </w:r>
      <w:r w:rsidRPr="00847015">
        <w:t xml:space="preserve"> meetings</w:t>
      </w:r>
      <w:r w:rsidR="007A1A8E">
        <w:t>*</w:t>
      </w:r>
      <w:r w:rsidR="00E4627B" w:rsidRPr="00847015">
        <w:t xml:space="preserve"> may be held with shortlisted consultants and w</w:t>
      </w:r>
      <w:r w:rsidR="00E4627B" w:rsidRPr="00E4627B">
        <w:t xml:space="preserve">ould take place on </w:t>
      </w:r>
      <w:r w:rsidR="00DC0795">
        <w:t>26 September 2018.</w:t>
      </w:r>
    </w:p>
    <w:p w:rsidR="00DB2497" w:rsidRPr="007A1A8E" w:rsidRDefault="00DB2497" w:rsidP="00E63058">
      <w:r>
        <w:t>HLF will n</w:t>
      </w:r>
      <w:r w:rsidR="00E4627B" w:rsidRPr="00E4627B">
        <w:t>otify</w:t>
      </w:r>
      <w:r>
        <w:t xml:space="preserve"> bidders of our procurement decision </w:t>
      </w:r>
      <w:r w:rsidR="005E4427">
        <w:t xml:space="preserve">by 28 September </w:t>
      </w:r>
      <w:r w:rsidR="00DC0795">
        <w:t>2017</w:t>
      </w:r>
      <w:r w:rsidR="00E4627B" w:rsidRPr="00DB2497">
        <w:rPr>
          <w:i/>
        </w:rPr>
        <w:t>.</w:t>
      </w:r>
      <w:r w:rsidR="007A1A8E">
        <w:rPr>
          <w:i/>
        </w:rPr>
        <w:br/>
      </w:r>
      <w:r w:rsidR="007A1A8E">
        <w:rPr>
          <w:i/>
        </w:rPr>
        <w:br/>
      </w:r>
      <w:r w:rsidR="007A1A8E">
        <w:t xml:space="preserve">* We reserve the right to carry out clarifications if necessary; these may be carried out via email or by inviting bidders to attend a clarification meeting.  In order to ensure that both HLF’s and Bidder’s resources are used appropriately, we will only invite up to three (the ultimate number will depend on the closeness of the scores) highest scoring bidders to </w:t>
      </w:r>
      <w:r w:rsidR="007A1A8E">
        <w:lastRenderedPageBreak/>
        <w:t>attend a clarification meeting.  Scores will be moderated based on any clarifications provided during this meeting.  You are responsible for all your expenses when attending such meetings.</w:t>
      </w:r>
    </w:p>
    <w:p w:rsidR="00C26086" w:rsidRPr="00697E37" w:rsidRDefault="00C26086" w:rsidP="00E63058">
      <w:pPr>
        <w:rPr>
          <w:i/>
        </w:rPr>
      </w:pPr>
    </w:p>
    <w:p w:rsidR="00E4627B" w:rsidRPr="004D2C5F" w:rsidRDefault="00E4627B" w:rsidP="00E4627B">
      <w:pPr>
        <w:pStyle w:val="ListParagraph"/>
        <w:numPr>
          <w:ilvl w:val="1"/>
          <w:numId w:val="2"/>
        </w:numPr>
        <w:spacing w:after="240"/>
        <w:contextualSpacing w:val="0"/>
      </w:pPr>
      <w:r w:rsidRPr="004D2C5F">
        <w:t xml:space="preserve">Your tender proposals must be sent electronically via e-mail before the tender return deadline of </w:t>
      </w:r>
      <w:r w:rsidR="005E4427">
        <w:t>10.00 am  on 18</w:t>
      </w:r>
      <w:r w:rsidR="00DC0795">
        <w:t xml:space="preserve"> September 2017 </w:t>
      </w:r>
      <w:r w:rsidRPr="004D2C5F">
        <w:t>to the following contact:</w:t>
      </w:r>
    </w:p>
    <w:p w:rsidR="00E4627B" w:rsidRPr="00DC0795" w:rsidRDefault="00DC0795" w:rsidP="00E4627B">
      <w:pPr>
        <w:ind w:left="720"/>
        <w:rPr>
          <w:rFonts w:cs="Arial"/>
          <w:b/>
          <w:color w:val="000000" w:themeColor="text1"/>
          <w:szCs w:val="22"/>
        </w:rPr>
      </w:pPr>
      <w:r>
        <w:rPr>
          <w:rFonts w:cs="Arial"/>
          <w:b/>
          <w:color w:val="000000" w:themeColor="text1"/>
          <w:szCs w:val="22"/>
        </w:rPr>
        <w:t>Emily Griffiths</w:t>
      </w:r>
    </w:p>
    <w:p w:rsidR="00E4627B" w:rsidRPr="00056B22" w:rsidRDefault="00E4627B" w:rsidP="00E4627B">
      <w:pPr>
        <w:ind w:left="720"/>
        <w:rPr>
          <w:rFonts w:cs="Arial"/>
          <w:szCs w:val="22"/>
        </w:rPr>
      </w:pPr>
      <w:r w:rsidRPr="00056B22">
        <w:rPr>
          <w:rFonts w:cs="Arial"/>
          <w:szCs w:val="22"/>
        </w:rPr>
        <w:t>Heritage Lottery Fund</w:t>
      </w:r>
    </w:p>
    <w:p w:rsidR="00E4627B" w:rsidRPr="00056B22" w:rsidRDefault="00E4627B" w:rsidP="00E4627B">
      <w:pPr>
        <w:ind w:left="720"/>
        <w:rPr>
          <w:rFonts w:cs="Arial"/>
          <w:szCs w:val="22"/>
        </w:rPr>
      </w:pPr>
      <w:r w:rsidRPr="00056B22">
        <w:rPr>
          <w:rFonts w:cs="Arial"/>
          <w:szCs w:val="22"/>
        </w:rPr>
        <w:t>Holbein Place</w:t>
      </w:r>
    </w:p>
    <w:p w:rsidR="00E4627B" w:rsidRPr="00056B22" w:rsidRDefault="00E4627B" w:rsidP="00E4627B">
      <w:pPr>
        <w:ind w:left="720"/>
        <w:rPr>
          <w:rFonts w:cs="Arial"/>
          <w:szCs w:val="22"/>
        </w:rPr>
      </w:pPr>
      <w:r w:rsidRPr="00056B22">
        <w:rPr>
          <w:rFonts w:cs="Arial"/>
          <w:szCs w:val="22"/>
        </w:rPr>
        <w:t>London</w:t>
      </w:r>
    </w:p>
    <w:p w:rsidR="00E4627B" w:rsidRDefault="00C04658" w:rsidP="00E4627B">
      <w:pPr>
        <w:ind w:left="720"/>
        <w:rPr>
          <w:rFonts w:cs="Arial"/>
          <w:szCs w:val="22"/>
        </w:rPr>
      </w:pPr>
      <w:r>
        <w:rPr>
          <w:rFonts w:cs="Arial"/>
          <w:szCs w:val="22"/>
        </w:rPr>
        <w:t>SW1W 8NR</w:t>
      </w:r>
    </w:p>
    <w:p w:rsidR="00C26086" w:rsidRPr="00E4627B" w:rsidRDefault="00DC0795" w:rsidP="00697E37">
      <w:pPr>
        <w:ind w:left="720"/>
        <w:rPr>
          <w:rFonts w:cs="Arial"/>
          <w:color w:val="FF0000"/>
          <w:szCs w:val="22"/>
        </w:rPr>
      </w:pPr>
      <w:r w:rsidRPr="00DC0795">
        <w:rPr>
          <w:rFonts w:cs="Arial"/>
          <w:color w:val="000000" w:themeColor="text1"/>
          <w:szCs w:val="22"/>
        </w:rPr>
        <w:t>Emily.griffiths@hlf.org.uk</w:t>
      </w:r>
      <w:r>
        <w:rPr>
          <w:rFonts w:cs="Arial"/>
          <w:color w:val="FF0000"/>
          <w:szCs w:val="22"/>
        </w:rPr>
        <w:br/>
      </w:r>
    </w:p>
    <w:p w:rsidR="0082194B" w:rsidRPr="00697E37" w:rsidRDefault="00E4627B" w:rsidP="0082194B">
      <w:pPr>
        <w:numPr>
          <w:ilvl w:val="1"/>
          <w:numId w:val="2"/>
        </w:numPr>
        <w:spacing w:after="240" w:line="276" w:lineRule="auto"/>
        <w:rPr>
          <w:rFonts w:cs="Arial"/>
          <w:szCs w:val="22"/>
        </w:rPr>
      </w:pPr>
      <w:r w:rsidRPr="00E4627B">
        <w:rPr>
          <w:szCs w:val="22"/>
        </w:rPr>
        <w:t xml:space="preserve">Please visit the </w:t>
      </w:r>
      <w:hyperlink r:id="rId14"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rsidR="0082194B" w:rsidRPr="0082194B" w:rsidRDefault="0082194B" w:rsidP="0082194B">
      <w:pPr>
        <w:rPr>
          <w:rFonts w:cs="Arial"/>
          <w:szCs w:val="22"/>
        </w:rPr>
      </w:pPr>
      <w:bookmarkStart w:id="0" w:name="_GoBack"/>
      <w:r w:rsidRPr="0082194B">
        <w:rPr>
          <w:rFonts w:cs="Arial"/>
          <w:szCs w:val="22"/>
        </w:rPr>
        <w:br w:type="page"/>
      </w:r>
    </w:p>
    <w:bookmarkEnd w:id="0"/>
    <w:p w:rsidR="00A103BE" w:rsidRPr="00783C36" w:rsidRDefault="00A103BE" w:rsidP="00A103BE">
      <w:pPr>
        <w:pStyle w:val="Heading1"/>
      </w:pPr>
      <w:r w:rsidRPr="00783C36">
        <w:lastRenderedPageBreak/>
        <w:t>Appendix: Accessibility and formatting guidance</w:t>
      </w:r>
    </w:p>
    <w:p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WebAIM for more detailed information. </w:t>
      </w:r>
    </w:p>
    <w:p w:rsidR="00A103BE" w:rsidRPr="00164469" w:rsidRDefault="00A103BE" w:rsidP="00A103BE">
      <w:pPr>
        <w:pStyle w:val="Heading2"/>
      </w:pPr>
      <w:r w:rsidRPr="00164469">
        <w:t>Readability</w:t>
      </w:r>
    </w:p>
    <w:p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rsidR="00A103BE" w:rsidRPr="008C409D" w:rsidRDefault="00A103BE" w:rsidP="00A103BE">
      <w:pPr>
        <w:numPr>
          <w:ilvl w:val="0"/>
          <w:numId w:val="38"/>
        </w:numPr>
        <w:contextualSpacing/>
        <w:rPr>
          <w:szCs w:val="24"/>
          <w:lang w:eastAsia="en-GB"/>
        </w:rPr>
      </w:pPr>
      <w:r w:rsidRPr="008C409D">
        <w:rPr>
          <w:szCs w:val="24"/>
          <w:lang w:eastAsia="en-GB"/>
        </w:rPr>
        <w:t>The size of the font is at least 11pt;</w:t>
      </w:r>
    </w:p>
    <w:p w:rsidR="00A103BE" w:rsidRPr="008C409D" w:rsidRDefault="00A103BE" w:rsidP="00A103BE">
      <w:pPr>
        <w:numPr>
          <w:ilvl w:val="0"/>
          <w:numId w:val="38"/>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rsidR="00A103BE" w:rsidRPr="008C409D" w:rsidRDefault="00A103BE" w:rsidP="00A103BE">
      <w:pPr>
        <w:numPr>
          <w:ilvl w:val="0"/>
          <w:numId w:val="38"/>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rsidR="00A103BE" w:rsidRPr="008C409D" w:rsidRDefault="00A103BE" w:rsidP="00A103BE">
      <w:pPr>
        <w:numPr>
          <w:ilvl w:val="0"/>
          <w:numId w:val="38"/>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5" w:history="1">
        <w:r w:rsidRPr="008C409D">
          <w:rPr>
            <w:rFonts w:cs="Arial"/>
            <w:color w:val="0000FF"/>
            <w:u w:val="single"/>
          </w:rPr>
          <w:t>RNIB website</w:t>
        </w:r>
      </w:hyperlink>
      <w:r w:rsidRPr="008C409D">
        <w:rPr>
          <w:rFonts w:cs="Arial"/>
        </w:rPr>
        <w:t>.</w:t>
      </w:r>
    </w:p>
    <w:p w:rsidR="00A103BE" w:rsidRPr="00A103BE" w:rsidRDefault="00A103BE" w:rsidP="00A103BE">
      <w:pPr>
        <w:pStyle w:val="Heading2"/>
      </w:pPr>
      <w:r w:rsidRPr="00A103BE">
        <w:t>Accessibility</w:t>
      </w:r>
    </w:p>
    <w:p w:rsidR="00A103BE" w:rsidRPr="008C409D" w:rsidRDefault="00A103BE" w:rsidP="00A103BE">
      <w:r w:rsidRPr="008C409D">
        <w:t>Reports should adhere to the following guidelines:</w:t>
      </w:r>
    </w:p>
    <w:p w:rsidR="00A103BE" w:rsidRPr="006738C2" w:rsidRDefault="00A103BE" w:rsidP="00A103BE">
      <w:pPr>
        <w:pStyle w:val="Heading3"/>
      </w:pPr>
      <w:r w:rsidRPr="006738C2">
        <w:t>Formatting</w:t>
      </w:r>
    </w:p>
    <w:p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A103BE" w:rsidRPr="008C409D" w:rsidRDefault="00A103BE" w:rsidP="00A103BE">
      <w:pPr>
        <w:pStyle w:val="Heading3"/>
      </w:pPr>
      <w:bookmarkStart w:id="1" w:name="_Toc322438558"/>
      <w:r w:rsidRPr="008C409D">
        <w:t>Spacing</w:t>
      </w:r>
      <w:bookmarkEnd w:id="1"/>
    </w:p>
    <w:p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A103BE" w:rsidRPr="008C409D" w:rsidRDefault="00A103BE" w:rsidP="00A103BE">
      <w:pPr>
        <w:pStyle w:val="Heading3"/>
      </w:pPr>
      <w:r w:rsidRPr="008C409D">
        <w:t>Alternative text</w:t>
      </w:r>
    </w:p>
    <w:p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A103BE" w:rsidRPr="008C409D" w:rsidRDefault="00A103BE" w:rsidP="00A103BE">
      <w:pPr>
        <w:pStyle w:val="Heading3"/>
      </w:pPr>
      <w:r w:rsidRPr="008C409D">
        <w:t>Images</w:t>
      </w:r>
    </w:p>
    <w:p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rsidR="00A103BE" w:rsidRPr="008C409D" w:rsidRDefault="00A103BE" w:rsidP="00A103BE">
      <w:pPr>
        <w:pStyle w:val="Heading3"/>
      </w:pPr>
      <w:r w:rsidRPr="008C409D">
        <w:lastRenderedPageBreak/>
        <w:t>Tables</w:t>
      </w:r>
    </w:p>
    <w:p w:rsidR="00A103BE" w:rsidRPr="008C409D" w:rsidRDefault="00A103BE" w:rsidP="00A103BE">
      <w:pPr>
        <w:contextualSpacing/>
      </w:pPr>
      <w:r w:rsidRPr="008C409D">
        <w:t>These should be for used for presenting data and not for layout or design. They should also be simple, and include a descriptive title.</w:t>
      </w:r>
    </w:p>
    <w:p w:rsidR="00A103BE" w:rsidRPr="008C409D" w:rsidRDefault="00A103BE" w:rsidP="00A103BE">
      <w:pPr>
        <w:pStyle w:val="Heading3"/>
      </w:pPr>
      <w:r w:rsidRPr="008C409D">
        <w:t>Additional documents</w:t>
      </w:r>
    </w:p>
    <w:p w:rsidR="00A103BE" w:rsidRPr="008C409D" w:rsidRDefault="00A103BE" w:rsidP="00A103BE">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rsidR="00A103BE" w:rsidRPr="00164469" w:rsidRDefault="00A103BE" w:rsidP="00A103BE">
      <w:pPr>
        <w:pStyle w:val="Heading3"/>
      </w:pPr>
      <w:r w:rsidRPr="00164469">
        <w:t>Acknowledgement</w:t>
      </w:r>
    </w:p>
    <w:p w:rsidR="00A103BE" w:rsidRPr="00164469" w:rsidRDefault="00A103BE" w:rsidP="00A103BE">
      <w:pPr>
        <w:rPr>
          <w:rFonts w:cs="Arial"/>
        </w:rPr>
      </w:pPr>
      <w:r w:rsidRPr="00164469">
        <w:rPr>
          <w:rFonts w:cs="Arial"/>
        </w:rPr>
        <w:t xml:space="preserve">All reports should acknowledge HLF. Our logo can be found on the </w:t>
      </w:r>
      <w:hyperlink r:id="rId16" w:history="1">
        <w:r w:rsidRPr="00164469">
          <w:rPr>
            <w:rStyle w:val="Hyperlink"/>
            <w:rFonts w:cs="Arial"/>
          </w:rPr>
          <w:t>HLF website</w:t>
        </w:r>
      </w:hyperlink>
      <w:r w:rsidRPr="00164469">
        <w:rPr>
          <w:rFonts w:cs="Arial"/>
        </w:rPr>
        <w:t>.</w:t>
      </w:r>
    </w:p>
    <w:p w:rsidR="00A103BE" w:rsidRPr="00164469" w:rsidRDefault="00A103BE" w:rsidP="00A103BE">
      <w:pPr>
        <w:pStyle w:val="Heading3"/>
      </w:pPr>
      <w:r w:rsidRPr="00164469">
        <w:t>Further resources</w:t>
      </w:r>
    </w:p>
    <w:p w:rsidR="00A103BE" w:rsidRPr="00164469" w:rsidRDefault="00A103BE" w:rsidP="00A103BE">
      <w:pPr>
        <w:rPr>
          <w:rFonts w:cs="Arial"/>
        </w:rPr>
      </w:pPr>
      <w:r w:rsidRPr="00164469">
        <w:rPr>
          <w:rFonts w:cs="Arial"/>
        </w:rPr>
        <w:t>Please refer to the links below for further information:</w:t>
      </w:r>
    </w:p>
    <w:p w:rsidR="00A103BE" w:rsidRPr="00164469" w:rsidRDefault="00A103BE" w:rsidP="00A103BE">
      <w:pPr>
        <w:rPr>
          <w:rFonts w:cs="Arial"/>
        </w:rPr>
      </w:pPr>
    </w:p>
    <w:p w:rsidR="00A103BE" w:rsidRPr="00164469" w:rsidRDefault="006E7829" w:rsidP="00A103BE">
      <w:pPr>
        <w:pStyle w:val="ListParagraph"/>
        <w:numPr>
          <w:ilvl w:val="0"/>
          <w:numId w:val="45"/>
        </w:numPr>
        <w:spacing w:after="200" w:line="276" w:lineRule="auto"/>
        <w:rPr>
          <w:rFonts w:cs="Arial"/>
        </w:rPr>
      </w:pPr>
      <w:hyperlink r:id="rId17" w:history="1">
        <w:r w:rsidR="00A103BE" w:rsidRPr="00164469">
          <w:rPr>
            <w:rStyle w:val="Hyperlink"/>
            <w:rFonts w:cs="Arial"/>
          </w:rPr>
          <w:t>'Microsoft Word: creating accessible documents' - webaim.org</w:t>
        </w:r>
      </w:hyperlink>
    </w:p>
    <w:p w:rsidR="00A103BE" w:rsidRPr="00164469" w:rsidRDefault="006E7829" w:rsidP="00A103BE">
      <w:pPr>
        <w:pStyle w:val="ListParagraph"/>
        <w:numPr>
          <w:ilvl w:val="0"/>
          <w:numId w:val="45"/>
        </w:numPr>
        <w:spacing w:after="200" w:line="276" w:lineRule="auto"/>
        <w:rPr>
          <w:rFonts w:cs="Arial"/>
        </w:rPr>
      </w:pPr>
      <w:hyperlink r:id="rId18" w:history="1">
        <w:r w:rsidR="00A103BE" w:rsidRPr="00164469">
          <w:rPr>
            <w:rStyle w:val="Hyperlink"/>
            <w:rFonts w:cs="Arial"/>
          </w:rPr>
          <w:t>'How to create an accessible PDF' - GOV.UK</w:t>
        </w:r>
      </w:hyperlink>
    </w:p>
    <w:p w:rsidR="00A103BE" w:rsidRPr="00164469" w:rsidRDefault="00A103BE" w:rsidP="00A103BE">
      <w:pPr>
        <w:rPr>
          <w:rFonts w:cs="Arial"/>
        </w:rPr>
      </w:pPr>
      <w:r w:rsidRPr="00164469">
        <w:rPr>
          <w:rFonts w:cs="Arial"/>
        </w:rPr>
        <w:t xml:space="preserve">We also recommend using an accessibility consultant to help you produce your reports. Agencies that HLF have worked with include </w:t>
      </w:r>
      <w:hyperlink r:id="rId19" w:history="1">
        <w:r w:rsidRPr="00164469">
          <w:rPr>
            <w:rStyle w:val="Hyperlink"/>
            <w:rFonts w:cs="Arial"/>
          </w:rPr>
          <w:t>Shaw Trust</w:t>
        </w:r>
      </w:hyperlink>
      <w:r w:rsidRPr="00164469">
        <w:rPr>
          <w:rFonts w:cs="Arial"/>
        </w:rPr>
        <w:t xml:space="preserve"> and </w:t>
      </w:r>
      <w:hyperlink r:id="rId20" w:history="1">
        <w:r w:rsidRPr="00164469">
          <w:rPr>
            <w:rStyle w:val="Hyperlink"/>
            <w:rFonts w:cs="Arial"/>
          </w:rPr>
          <w:t>The Accessible Digital Documents Company</w:t>
        </w:r>
      </w:hyperlink>
      <w:r w:rsidRPr="00164469">
        <w:rPr>
          <w:rFonts w:cs="Arial"/>
        </w:rPr>
        <w:t>.</w:t>
      </w:r>
    </w:p>
    <w:p w:rsidR="00A103BE" w:rsidRPr="00164469" w:rsidRDefault="00A103BE" w:rsidP="00A103BE">
      <w:pPr>
        <w:rPr>
          <w:rFonts w:cs="Arial"/>
        </w:rPr>
      </w:pPr>
    </w:p>
    <w:p w:rsidR="00A103BE" w:rsidRPr="00164469" w:rsidRDefault="00A103BE" w:rsidP="00A103BE">
      <w:pPr>
        <w:rPr>
          <w:rFonts w:cs="Arial"/>
        </w:rPr>
      </w:pPr>
      <w:r w:rsidRPr="00164469">
        <w:rPr>
          <w:rFonts w:cs="Arial"/>
        </w:rPr>
        <w:t>HLF retains the right to amend documents in order to create accessible versions for publishing.</w:t>
      </w:r>
    </w:p>
    <w:p w:rsidR="00FA3F8F" w:rsidRPr="00697E37" w:rsidRDefault="00FA3F8F" w:rsidP="00A103BE">
      <w:pPr>
        <w:pStyle w:val="Heading1"/>
        <w:rPr>
          <w:rFonts w:cs="Arial"/>
          <w:szCs w:val="22"/>
        </w:rPr>
      </w:pPr>
    </w:p>
    <w:sectPr w:rsidR="00FA3F8F" w:rsidRPr="00697E37" w:rsidSect="00372811">
      <w:footerReference w:type="even" r:id="rId21"/>
      <w:footerReference w:type="default" r:id="rId22"/>
      <w:headerReference w:type="first" r:id="rId23"/>
      <w:footerReference w:type="first" r:id="rId24"/>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829" w:rsidRDefault="006E7829">
      <w:r>
        <w:separator/>
      </w:r>
    </w:p>
  </w:endnote>
  <w:endnote w:type="continuationSeparator" w:id="0">
    <w:p w:rsidR="006E7829" w:rsidRDefault="006E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7015" w:rsidRDefault="00847015"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C04658">
      <w:rPr>
        <w:rStyle w:val="PageNumber"/>
        <w:rFonts w:cs="Arial"/>
        <w:noProof/>
        <w:sz w:val="20"/>
      </w:rPr>
      <w:t>7</w:t>
    </w:r>
    <w:r w:rsidRPr="00FE2F89">
      <w:rPr>
        <w:rStyle w:val="PageNumber"/>
        <w:rFonts w:cs="Arial"/>
        <w:sz w:val="20"/>
      </w:rPr>
      <w:fldChar w:fldCharType="end"/>
    </w:r>
  </w:p>
  <w:p w:rsidR="00847015" w:rsidRDefault="00847015"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847015" w:rsidP="00D27190">
    <w:pPr>
      <w:pStyle w:val="Footer"/>
      <w:tabs>
        <w:tab w:val="clear" w:pos="4153"/>
        <w:tab w:val="clear" w:pos="8306"/>
        <w:tab w:val="left" w:pos="2552"/>
      </w:tabs>
      <w:ind w:right="-1"/>
    </w:pPr>
    <w:r>
      <w:rPr>
        <w:noProof/>
        <w:lang w:eastAsia="en-GB"/>
      </w:rPr>
      <w:drawing>
        <wp:inline distT="0" distB="0" distL="0" distR="0" wp14:anchorId="023DE501" wp14:editId="1B86FFF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847015" w:rsidRPr="00DC45DF" w:rsidRDefault="00847015" w:rsidP="00C93A35">
    <w:pPr>
      <w:pStyle w:val="Footer"/>
      <w:ind w:left="-1260" w:right="-1176"/>
      <w:jc w:val="center"/>
      <w:rPr>
        <w:sz w:val="20"/>
      </w:rPr>
    </w:pPr>
  </w:p>
  <w:p w:rsidR="00847015" w:rsidRDefault="00847015"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829" w:rsidRDefault="006E7829">
      <w:r>
        <w:separator/>
      </w:r>
    </w:p>
  </w:footnote>
  <w:footnote w:type="continuationSeparator" w:id="0">
    <w:p w:rsidR="006E7829" w:rsidRDefault="006E7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847015" w:rsidP="0082540F">
    <w:pPr>
      <w:pStyle w:val="Header"/>
      <w:tabs>
        <w:tab w:val="clear" w:pos="4153"/>
        <w:tab w:val="clear" w:pos="8306"/>
      </w:tabs>
      <w:jc w:val="center"/>
    </w:pPr>
    <w:r>
      <w:rPr>
        <w:noProof/>
        <w:lang w:eastAsia="en-GB"/>
      </w:rPr>
      <w:drawing>
        <wp:inline distT="0" distB="0" distL="0" distR="0" wp14:anchorId="622BADBE" wp14:editId="40B531A2">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15:restartNumberingAfterBreak="0">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6" w15:restartNumberingAfterBreak="0">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5" w15:restartNumberingAfterBreak="0">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6" w15:restartNumberingAfterBreak="0">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8" w15:restartNumberingAfterBreak="0">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1"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5" w15:restartNumberingAfterBreak="0">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31"/>
  </w:num>
  <w:num w:numId="3">
    <w:abstractNumId w:val="45"/>
  </w:num>
  <w:num w:numId="4">
    <w:abstractNumId w:val="34"/>
  </w:num>
  <w:num w:numId="5">
    <w:abstractNumId w:val="12"/>
  </w:num>
  <w:num w:numId="6">
    <w:abstractNumId w:val="20"/>
  </w:num>
  <w:num w:numId="7">
    <w:abstractNumId w:val="33"/>
  </w:num>
  <w:num w:numId="8">
    <w:abstractNumId w:val="4"/>
  </w:num>
  <w:num w:numId="9">
    <w:abstractNumId w:val="41"/>
  </w:num>
  <w:num w:numId="10">
    <w:abstractNumId w:val="23"/>
  </w:num>
  <w:num w:numId="11">
    <w:abstractNumId w:val="25"/>
  </w:num>
  <w:num w:numId="12">
    <w:abstractNumId w:val="13"/>
  </w:num>
  <w:num w:numId="13">
    <w:abstractNumId w:val="43"/>
  </w:num>
  <w:num w:numId="14">
    <w:abstractNumId w:val="2"/>
  </w:num>
  <w:num w:numId="15">
    <w:abstractNumId w:val="1"/>
  </w:num>
  <w:num w:numId="16">
    <w:abstractNumId w:val="22"/>
  </w:num>
  <w:num w:numId="17">
    <w:abstractNumId w:val="42"/>
  </w:num>
  <w:num w:numId="18">
    <w:abstractNumId w:val="17"/>
  </w:num>
  <w:num w:numId="19">
    <w:abstractNumId w:val="32"/>
  </w:num>
  <w:num w:numId="20">
    <w:abstractNumId w:val="21"/>
  </w:num>
  <w:num w:numId="21">
    <w:abstractNumId w:val="10"/>
  </w:num>
  <w:num w:numId="22">
    <w:abstractNumId w:val="5"/>
  </w:num>
  <w:num w:numId="23">
    <w:abstractNumId w:val="11"/>
  </w:num>
  <w:num w:numId="24">
    <w:abstractNumId w:val="35"/>
  </w:num>
  <w:num w:numId="25">
    <w:abstractNumId w:val="36"/>
  </w:num>
  <w:num w:numId="26">
    <w:abstractNumId w:val="14"/>
  </w:num>
  <w:num w:numId="27">
    <w:abstractNumId w:val="9"/>
  </w:num>
  <w:num w:numId="28">
    <w:abstractNumId w:val="7"/>
  </w:num>
  <w:num w:numId="29">
    <w:abstractNumId w:val="0"/>
  </w:num>
  <w:num w:numId="30">
    <w:abstractNumId w:val="26"/>
  </w:num>
  <w:num w:numId="31">
    <w:abstractNumId w:val="38"/>
  </w:num>
  <w:num w:numId="32">
    <w:abstractNumId w:val="30"/>
  </w:num>
  <w:num w:numId="33">
    <w:abstractNumId w:val="15"/>
  </w:num>
  <w:num w:numId="34">
    <w:abstractNumId w:val="39"/>
  </w:num>
  <w:num w:numId="35">
    <w:abstractNumId w:val="6"/>
  </w:num>
  <w:num w:numId="36">
    <w:abstractNumId w:val="27"/>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8"/>
  </w:num>
  <w:num w:numId="39">
    <w:abstractNumId w:val="40"/>
  </w:num>
  <w:num w:numId="40">
    <w:abstractNumId w:val="37"/>
  </w:num>
  <w:num w:numId="41">
    <w:abstractNumId w:val="18"/>
  </w:num>
  <w:num w:numId="42">
    <w:abstractNumId w:val="24"/>
  </w:num>
  <w:num w:numId="43">
    <w:abstractNumId w:val="44"/>
  </w:num>
  <w:num w:numId="44">
    <w:abstractNumId w:val="19"/>
  </w:num>
  <w:num w:numId="45">
    <w:abstractNumId w:val="29"/>
  </w:num>
  <w:num w:numId="4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3B"/>
    <w:rsid w:val="00010655"/>
    <w:rsid w:val="00022E60"/>
    <w:rsid w:val="000232DC"/>
    <w:rsid w:val="00023FF3"/>
    <w:rsid w:val="000302FA"/>
    <w:rsid w:val="00044308"/>
    <w:rsid w:val="00056B22"/>
    <w:rsid w:val="000600B0"/>
    <w:rsid w:val="00061CC3"/>
    <w:rsid w:val="00065DF2"/>
    <w:rsid w:val="0007195E"/>
    <w:rsid w:val="00080479"/>
    <w:rsid w:val="00084D37"/>
    <w:rsid w:val="00087032"/>
    <w:rsid w:val="00097BE4"/>
    <w:rsid w:val="000B1288"/>
    <w:rsid w:val="000B4E51"/>
    <w:rsid w:val="000C0DC9"/>
    <w:rsid w:val="000C1537"/>
    <w:rsid w:val="000D05FE"/>
    <w:rsid w:val="000E4409"/>
    <w:rsid w:val="000F3C4D"/>
    <w:rsid w:val="00100665"/>
    <w:rsid w:val="0010334A"/>
    <w:rsid w:val="0011075E"/>
    <w:rsid w:val="00113497"/>
    <w:rsid w:val="001208B1"/>
    <w:rsid w:val="0012514A"/>
    <w:rsid w:val="00130E94"/>
    <w:rsid w:val="00131128"/>
    <w:rsid w:val="001467AF"/>
    <w:rsid w:val="00156E03"/>
    <w:rsid w:val="00157446"/>
    <w:rsid w:val="00164796"/>
    <w:rsid w:val="00175979"/>
    <w:rsid w:val="00183CA1"/>
    <w:rsid w:val="001855AF"/>
    <w:rsid w:val="00185CD5"/>
    <w:rsid w:val="00193C0A"/>
    <w:rsid w:val="001A510E"/>
    <w:rsid w:val="001A5F4A"/>
    <w:rsid w:val="001B0833"/>
    <w:rsid w:val="001B0A45"/>
    <w:rsid w:val="001B33E4"/>
    <w:rsid w:val="001B3754"/>
    <w:rsid w:val="001B3A9F"/>
    <w:rsid w:val="001B633C"/>
    <w:rsid w:val="001C3408"/>
    <w:rsid w:val="001D5F79"/>
    <w:rsid w:val="001E0220"/>
    <w:rsid w:val="001F3BF8"/>
    <w:rsid w:val="0021230D"/>
    <w:rsid w:val="00230F44"/>
    <w:rsid w:val="00234ED8"/>
    <w:rsid w:val="002409F5"/>
    <w:rsid w:val="00245CDA"/>
    <w:rsid w:val="00252DBB"/>
    <w:rsid w:val="00273A6C"/>
    <w:rsid w:val="00274270"/>
    <w:rsid w:val="00286236"/>
    <w:rsid w:val="00286E4F"/>
    <w:rsid w:val="0029057B"/>
    <w:rsid w:val="002A3C07"/>
    <w:rsid w:val="002B736C"/>
    <w:rsid w:val="002D1955"/>
    <w:rsid w:val="002D28EC"/>
    <w:rsid w:val="002D6957"/>
    <w:rsid w:val="002E6DE0"/>
    <w:rsid w:val="002F2E3D"/>
    <w:rsid w:val="0030091E"/>
    <w:rsid w:val="0030363F"/>
    <w:rsid w:val="00304AC1"/>
    <w:rsid w:val="00310EB0"/>
    <w:rsid w:val="003119D1"/>
    <w:rsid w:val="003213D4"/>
    <w:rsid w:val="0032402A"/>
    <w:rsid w:val="00334094"/>
    <w:rsid w:val="00337632"/>
    <w:rsid w:val="003440FF"/>
    <w:rsid w:val="003653D3"/>
    <w:rsid w:val="00370C76"/>
    <w:rsid w:val="00372811"/>
    <w:rsid w:val="00374149"/>
    <w:rsid w:val="00390875"/>
    <w:rsid w:val="003A3FA3"/>
    <w:rsid w:val="003A6577"/>
    <w:rsid w:val="003A6DA0"/>
    <w:rsid w:val="003B180F"/>
    <w:rsid w:val="003C0CAC"/>
    <w:rsid w:val="003C5497"/>
    <w:rsid w:val="003D688D"/>
    <w:rsid w:val="003E1863"/>
    <w:rsid w:val="00406171"/>
    <w:rsid w:val="00410299"/>
    <w:rsid w:val="0042281E"/>
    <w:rsid w:val="004328A0"/>
    <w:rsid w:val="00437E6F"/>
    <w:rsid w:val="00441942"/>
    <w:rsid w:val="00457454"/>
    <w:rsid w:val="00481AC9"/>
    <w:rsid w:val="00485DF2"/>
    <w:rsid w:val="004A1711"/>
    <w:rsid w:val="004A57F3"/>
    <w:rsid w:val="004A60CE"/>
    <w:rsid w:val="004A70C3"/>
    <w:rsid w:val="004B1964"/>
    <w:rsid w:val="004C39CE"/>
    <w:rsid w:val="004C558D"/>
    <w:rsid w:val="004C69E3"/>
    <w:rsid w:val="004D2D17"/>
    <w:rsid w:val="004D30D5"/>
    <w:rsid w:val="004D31DE"/>
    <w:rsid w:val="004D75F4"/>
    <w:rsid w:val="004E0346"/>
    <w:rsid w:val="004E161A"/>
    <w:rsid w:val="004E50DD"/>
    <w:rsid w:val="004F29AC"/>
    <w:rsid w:val="004F2D8D"/>
    <w:rsid w:val="00506D30"/>
    <w:rsid w:val="00511955"/>
    <w:rsid w:val="00525F85"/>
    <w:rsid w:val="00533801"/>
    <w:rsid w:val="00543341"/>
    <w:rsid w:val="00551CF6"/>
    <w:rsid w:val="005726D2"/>
    <w:rsid w:val="00582B32"/>
    <w:rsid w:val="00586075"/>
    <w:rsid w:val="0058712E"/>
    <w:rsid w:val="0059222F"/>
    <w:rsid w:val="005949B6"/>
    <w:rsid w:val="005956B7"/>
    <w:rsid w:val="005A3B33"/>
    <w:rsid w:val="005A5561"/>
    <w:rsid w:val="005C1CA2"/>
    <w:rsid w:val="005C5052"/>
    <w:rsid w:val="005D78CC"/>
    <w:rsid w:val="005E2B6C"/>
    <w:rsid w:val="005E4427"/>
    <w:rsid w:val="005F01C7"/>
    <w:rsid w:val="005F3B9A"/>
    <w:rsid w:val="005F7F3F"/>
    <w:rsid w:val="00601065"/>
    <w:rsid w:val="006018FA"/>
    <w:rsid w:val="006101AF"/>
    <w:rsid w:val="0061033A"/>
    <w:rsid w:val="00610507"/>
    <w:rsid w:val="0061657B"/>
    <w:rsid w:val="00617D51"/>
    <w:rsid w:val="00635984"/>
    <w:rsid w:val="0063783B"/>
    <w:rsid w:val="0064653F"/>
    <w:rsid w:val="0064695C"/>
    <w:rsid w:val="00646D58"/>
    <w:rsid w:val="0066252D"/>
    <w:rsid w:val="00671D59"/>
    <w:rsid w:val="0068337B"/>
    <w:rsid w:val="00686022"/>
    <w:rsid w:val="00690EA9"/>
    <w:rsid w:val="00697E37"/>
    <w:rsid w:val="006B27B4"/>
    <w:rsid w:val="006D3573"/>
    <w:rsid w:val="006E4C66"/>
    <w:rsid w:val="006E7829"/>
    <w:rsid w:val="006F375E"/>
    <w:rsid w:val="006F41A3"/>
    <w:rsid w:val="006F47FA"/>
    <w:rsid w:val="00701F0C"/>
    <w:rsid w:val="0070362F"/>
    <w:rsid w:val="00705DBB"/>
    <w:rsid w:val="00711011"/>
    <w:rsid w:val="00734E40"/>
    <w:rsid w:val="00743E11"/>
    <w:rsid w:val="00774489"/>
    <w:rsid w:val="00785B3B"/>
    <w:rsid w:val="007A096A"/>
    <w:rsid w:val="007A1A8E"/>
    <w:rsid w:val="007A3B89"/>
    <w:rsid w:val="007B4B9B"/>
    <w:rsid w:val="007C0317"/>
    <w:rsid w:val="007C1E3D"/>
    <w:rsid w:val="007C29BF"/>
    <w:rsid w:val="007C40BC"/>
    <w:rsid w:val="007C42CF"/>
    <w:rsid w:val="007D4D60"/>
    <w:rsid w:val="007D5EE0"/>
    <w:rsid w:val="007D7154"/>
    <w:rsid w:val="007D750C"/>
    <w:rsid w:val="007E2B81"/>
    <w:rsid w:val="007F22D4"/>
    <w:rsid w:val="007F76CE"/>
    <w:rsid w:val="007F7FFB"/>
    <w:rsid w:val="00807DE0"/>
    <w:rsid w:val="0082194B"/>
    <w:rsid w:val="0082540F"/>
    <w:rsid w:val="0082683B"/>
    <w:rsid w:val="008341BC"/>
    <w:rsid w:val="0084478B"/>
    <w:rsid w:val="00847015"/>
    <w:rsid w:val="008572D5"/>
    <w:rsid w:val="0086443C"/>
    <w:rsid w:val="0087078E"/>
    <w:rsid w:val="00871A60"/>
    <w:rsid w:val="00887CB9"/>
    <w:rsid w:val="00895A89"/>
    <w:rsid w:val="008A4DA4"/>
    <w:rsid w:val="008A5F51"/>
    <w:rsid w:val="008D4111"/>
    <w:rsid w:val="008E4937"/>
    <w:rsid w:val="009012D3"/>
    <w:rsid w:val="0090260A"/>
    <w:rsid w:val="00914043"/>
    <w:rsid w:val="00916ECA"/>
    <w:rsid w:val="00923104"/>
    <w:rsid w:val="00933D4B"/>
    <w:rsid w:val="00956CD6"/>
    <w:rsid w:val="0097501D"/>
    <w:rsid w:val="0097623A"/>
    <w:rsid w:val="009901B6"/>
    <w:rsid w:val="009970CC"/>
    <w:rsid w:val="009A0AFE"/>
    <w:rsid w:val="009B0D88"/>
    <w:rsid w:val="009D7BCE"/>
    <w:rsid w:val="009E147C"/>
    <w:rsid w:val="009E7000"/>
    <w:rsid w:val="009F6910"/>
    <w:rsid w:val="009F733A"/>
    <w:rsid w:val="00A05123"/>
    <w:rsid w:val="00A06A66"/>
    <w:rsid w:val="00A103BE"/>
    <w:rsid w:val="00A263F6"/>
    <w:rsid w:val="00A313B1"/>
    <w:rsid w:val="00A3484F"/>
    <w:rsid w:val="00A37458"/>
    <w:rsid w:val="00A41848"/>
    <w:rsid w:val="00A52F79"/>
    <w:rsid w:val="00A61094"/>
    <w:rsid w:val="00A70C89"/>
    <w:rsid w:val="00A75320"/>
    <w:rsid w:val="00A75D04"/>
    <w:rsid w:val="00A75F0A"/>
    <w:rsid w:val="00A77FE7"/>
    <w:rsid w:val="00A87B76"/>
    <w:rsid w:val="00A96B6A"/>
    <w:rsid w:val="00AA004E"/>
    <w:rsid w:val="00AA7BD2"/>
    <w:rsid w:val="00AB6493"/>
    <w:rsid w:val="00AC14FF"/>
    <w:rsid w:val="00AC368F"/>
    <w:rsid w:val="00AD5989"/>
    <w:rsid w:val="00AE0C61"/>
    <w:rsid w:val="00AE2088"/>
    <w:rsid w:val="00AE2E16"/>
    <w:rsid w:val="00AE436A"/>
    <w:rsid w:val="00AF57EC"/>
    <w:rsid w:val="00B11CB8"/>
    <w:rsid w:val="00B3228E"/>
    <w:rsid w:val="00B42AA0"/>
    <w:rsid w:val="00B47373"/>
    <w:rsid w:val="00B50AEE"/>
    <w:rsid w:val="00B52005"/>
    <w:rsid w:val="00B61E0C"/>
    <w:rsid w:val="00B62348"/>
    <w:rsid w:val="00B6354C"/>
    <w:rsid w:val="00B63A91"/>
    <w:rsid w:val="00B66C11"/>
    <w:rsid w:val="00B831A0"/>
    <w:rsid w:val="00BA1623"/>
    <w:rsid w:val="00BA6125"/>
    <w:rsid w:val="00BB427C"/>
    <w:rsid w:val="00BC0577"/>
    <w:rsid w:val="00BC6770"/>
    <w:rsid w:val="00BD163B"/>
    <w:rsid w:val="00BD4BBE"/>
    <w:rsid w:val="00C04658"/>
    <w:rsid w:val="00C10E1D"/>
    <w:rsid w:val="00C231DD"/>
    <w:rsid w:val="00C26086"/>
    <w:rsid w:val="00C507FB"/>
    <w:rsid w:val="00C53228"/>
    <w:rsid w:val="00C75004"/>
    <w:rsid w:val="00C75AE9"/>
    <w:rsid w:val="00C819A0"/>
    <w:rsid w:val="00C93A35"/>
    <w:rsid w:val="00CB4ACA"/>
    <w:rsid w:val="00CB6EA7"/>
    <w:rsid w:val="00CD6F79"/>
    <w:rsid w:val="00CD7B50"/>
    <w:rsid w:val="00CE5DD7"/>
    <w:rsid w:val="00CE7363"/>
    <w:rsid w:val="00CF0490"/>
    <w:rsid w:val="00CF116D"/>
    <w:rsid w:val="00CF253B"/>
    <w:rsid w:val="00CF3EFA"/>
    <w:rsid w:val="00CF6323"/>
    <w:rsid w:val="00D00803"/>
    <w:rsid w:val="00D07124"/>
    <w:rsid w:val="00D13DCB"/>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B2497"/>
    <w:rsid w:val="00DB5DDE"/>
    <w:rsid w:val="00DC0795"/>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375EB"/>
    <w:rsid w:val="00E446E6"/>
    <w:rsid w:val="00E4627B"/>
    <w:rsid w:val="00E61EE1"/>
    <w:rsid w:val="00E63058"/>
    <w:rsid w:val="00E6375E"/>
    <w:rsid w:val="00E7611E"/>
    <w:rsid w:val="00E83D56"/>
    <w:rsid w:val="00E83D68"/>
    <w:rsid w:val="00E87C87"/>
    <w:rsid w:val="00E91339"/>
    <w:rsid w:val="00EA3ED2"/>
    <w:rsid w:val="00EA7234"/>
    <w:rsid w:val="00ED3A60"/>
    <w:rsid w:val="00ED5E78"/>
    <w:rsid w:val="00EE1471"/>
    <w:rsid w:val="00EE21A0"/>
    <w:rsid w:val="00EF0AA1"/>
    <w:rsid w:val="00EF1286"/>
    <w:rsid w:val="00EF48E1"/>
    <w:rsid w:val="00F03DBE"/>
    <w:rsid w:val="00F45083"/>
    <w:rsid w:val="00F45311"/>
    <w:rsid w:val="00F471F2"/>
    <w:rsid w:val="00F52988"/>
    <w:rsid w:val="00F61389"/>
    <w:rsid w:val="00F61636"/>
    <w:rsid w:val="00F70CBA"/>
    <w:rsid w:val="00F721AD"/>
    <w:rsid w:val="00F75A7D"/>
    <w:rsid w:val="00F90797"/>
    <w:rsid w:val="00FA3F8F"/>
    <w:rsid w:val="00FB5F73"/>
    <w:rsid w:val="00FC222D"/>
    <w:rsid w:val="00FC6B0C"/>
    <w:rsid w:val="00FD74AA"/>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AE044DD-A11D-461F-A258-DB3289FA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uiPriority w:val="5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f.org.uk/" TargetMode="External"/><Relationship Id="rId13" Type="http://schemas.openxmlformats.org/officeDocument/2006/relationships/hyperlink" Target="https://www.mrs.org.uk/pdf/2013-04-23%20MRS%20SRA%20-%20DP%20Guidelines%20updated.pdf" TargetMode="External"/><Relationship Id="rId18" Type="http://schemas.openxmlformats.org/officeDocument/2006/relationships/hyperlink" Target="https://www.gov.uk/guidance/how-to-publish-on-gov-uk/accessible-pdf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lf.org.uk/HowToApply/Pages/Outcomes.aspx" TargetMode="External"/><Relationship Id="rId17" Type="http://schemas.openxmlformats.org/officeDocument/2006/relationships/hyperlink" Target="http://webaim.org/techniques/wor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lf.org.uk/grantholders/acknowledgement/Pages/Logosandacknowledgement.aspx" TargetMode="External"/><Relationship Id="rId20" Type="http://schemas.openxmlformats.org/officeDocument/2006/relationships/hyperlink" Target="http://www.accessible-digital-document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lf.org.uk/about-us/research-evaluation/programme-evaluation/review-grantee-evaluation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rnib.org.uk/Pages/Home.aspx" TargetMode="External"/><Relationship Id="rId23" Type="http://schemas.openxmlformats.org/officeDocument/2006/relationships/header" Target="header1.xml"/><Relationship Id="rId10" Type="http://schemas.openxmlformats.org/officeDocument/2006/relationships/hyperlink" Target="https://www.hlf.org.uk/lasting-difference-heritage-and-people-our-strategy-2013-2018" TargetMode="External"/><Relationship Id="rId19" Type="http://schemas.openxmlformats.org/officeDocument/2006/relationships/hyperlink" Target="http://webacc.shaw-trust.org.uk/" TargetMode="External"/><Relationship Id="rId4" Type="http://schemas.openxmlformats.org/officeDocument/2006/relationships/settings" Target="setting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http://www.hlf.org.uk/Pages/Home.aspx"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40BE0-43BD-47D9-8F78-FC4869FB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10</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Jim Crisp</cp:lastModifiedBy>
  <cp:revision>27</cp:revision>
  <cp:lastPrinted>2012-10-15T14:38:00Z</cp:lastPrinted>
  <dcterms:created xsi:type="dcterms:W3CDTF">2017-08-08T10:24:00Z</dcterms:created>
  <dcterms:modified xsi:type="dcterms:W3CDTF">2017-08-24T09:19:00Z</dcterms:modified>
</cp:coreProperties>
</file>