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t xml:space="preserve">Call-Off Schedule 9 (Security)</w:t>
      </w:r>
    </w:p>
    <w:p w:rsidR="00000000" w:rsidDel="00000000" w:rsidP="00000000" w:rsidRDefault="00000000" w:rsidRPr="00000000" w14:paraId="00000002">
      <w:pPr>
        <w:spacing w:before="240" w:lineRule="auto"/>
        <w:ind w:right="-386"/>
        <w:jc w:val="both"/>
        <w:rPr/>
      </w:pP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rtl w:val="0"/>
        </w:rPr>
        <w:t xml:space="preserve">Part A: Short Form Security Requirements</w:t>
      </w:r>
    </w:p>
    <w:p w:rsidR="00000000" w:rsidDel="00000000" w:rsidP="00000000" w:rsidRDefault="00000000" w:rsidRPr="00000000" w14:paraId="00000004">
      <w:pPr>
        <w:pStyle w:val="Heading3"/>
        <w:numPr>
          <w:ilvl w:val="0"/>
          <w:numId w:val="4"/>
        </w:numPr>
        <w:ind w:left="432" w:hanging="432"/>
        <w:rPr/>
      </w:pPr>
      <w:r w:rsidDel="00000000" w:rsidR="00000000" w:rsidRPr="00000000">
        <w:rPr>
          <w:rtl w:val="0"/>
        </w:rPr>
        <w:t xml:space="preserve">Definitions</w:t>
      </w:r>
    </w:p>
    <w:p w:rsidR="00000000" w:rsidDel="00000000" w:rsidP="00000000" w:rsidRDefault="00000000" w:rsidRPr="00000000" w14:paraId="00000005">
      <w:pPr>
        <w:numPr>
          <w:ilvl w:val="1"/>
          <w:numId w:val="4"/>
        </w:numPr>
        <w:tabs>
          <w:tab w:val="left" w:pos="-1746"/>
        </w:tabs>
        <w:spacing w:before="120" w:lineRule="auto"/>
        <w:ind w:left="576" w:right="-386" w:hanging="576"/>
        <w:rPr/>
      </w:pPr>
      <w:r w:rsidDel="00000000" w:rsidR="00000000" w:rsidRPr="00000000">
        <w:rPr>
          <w:sz w:val="24"/>
          <w:szCs w:val="24"/>
          <w:rtl w:val="0"/>
        </w:rPr>
        <w:t xml:space="preserve">In this Schedule, the following words shall have the following meanings and they shall supplement Joint Schedule 1 (Definitions):</w:t>
      </w:r>
    </w:p>
    <w:p w:rsidR="00000000" w:rsidDel="00000000" w:rsidP="00000000" w:rsidRDefault="00000000" w:rsidRPr="00000000" w14:paraId="00000006">
      <w:pPr>
        <w:tabs>
          <w:tab w:val="left" w:pos="-9"/>
        </w:tabs>
        <w:ind w:right="-386"/>
        <w:rPr/>
      </w:pPr>
      <w:r w:rsidDel="00000000" w:rsidR="00000000" w:rsidRPr="00000000">
        <w:rPr>
          <w:b w:val="1"/>
          <w:sz w:val="24"/>
          <w:szCs w:val="24"/>
          <w:rtl w:val="0"/>
        </w:rPr>
        <w:t xml:space="preserve">"Breach of Security" </w:t>
        <w:tab/>
      </w:r>
      <w:r w:rsidDel="00000000" w:rsidR="00000000" w:rsidRPr="00000000">
        <w:rPr>
          <w:sz w:val="24"/>
          <w:szCs w:val="24"/>
          <w:rtl w:val="0"/>
        </w:rPr>
        <w:t xml:space="preserve">the occurrence of:</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2456"/>
        </w:tabs>
        <w:spacing w:after="120" w:before="0" w:line="240" w:lineRule="auto"/>
        <w:ind w:left="3240"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2456"/>
        </w:tabs>
        <w:spacing w:after="120" w:before="0" w:line="240" w:lineRule="auto"/>
        <w:ind w:left="3240"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p>
    <w:p w:rsidR="00000000" w:rsidDel="00000000" w:rsidP="00000000" w:rsidRDefault="00000000" w:rsidRPr="00000000" w14:paraId="00000009">
      <w:pPr>
        <w:tabs>
          <w:tab w:val="left" w:pos="1134"/>
        </w:tabs>
        <w:spacing w:before="120" w:lineRule="auto"/>
        <w:ind w:left="2160" w:right="-386" w:firstLine="0"/>
        <w:rPr>
          <w:sz w:val="24"/>
          <w:szCs w:val="24"/>
        </w:rPr>
      </w:pPr>
      <w:r w:rsidDel="00000000" w:rsidR="00000000" w:rsidRPr="00000000">
        <w:rPr>
          <w:sz w:val="24"/>
          <w:szCs w:val="24"/>
          <w:rtl w:val="0"/>
        </w:rPr>
        <w:tab/>
        <w:t xml:space="preserve">in either case as more particularly set out in the Security Policy where the Buyer has required compliance therewith in accordance with paragraph 2.2;</w:t>
      </w:r>
    </w:p>
    <w:p w:rsidR="00000000" w:rsidDel="00000000" w:rsidP="00000000" w:rsidRDefault="00000000" w:rsidRPr="00000000" w14:paraId="0000000A">
      <w:pPr>
        <w:tabs>
          <w:tab w:val="left" w:pos="1134"/>
        </w:tabs>
        <w:spacing w:before="120" w:lineRule="auto"/>
        <w:ind w:right="-386"/>
        <w:rPr/>
      </w:pPr>
      <w:r w:rsidDel="00000000" w:rsidR="00000000" w:rsidRPr="00000000">
        <w:rPr>
          <w:b w:val="1"/>
          <w:sz w:val="24"/>
          <w:szCs w:val="24"/>
          <w:rtl w:val="0"/>
        </w:rPr>
        <w:t xml:space="preserve">"Security Management Plan"</w:t>
      </w:r>
      <w:r w:rsidDel="00000000" w:rsidR="00000000" w:rsidRPr="00000000">
        <w:rPr>
          <w:sz w:val="24"/>
          <w:szCs w:val="24"/>
          <w:rtl w:val="0"/>
        </w:rPr>
        <w:t xml:space="preserve"> the Supplier's security management plan prepared pursuant to this Schedule, a draft of which has been provided by the Supplier to the Buyer and as updated from time to time.</w:t>
      </w:r>
      <w:r w:rsidDel="00000000" w:rsidR="00000000" w:rsidRPr="00000000">
        <w:rPr>
          <w:rtl w:val="0"/>
        </w:rPr>
      </w:r>
    </w:p>
    <w:p w:rsidR="00000000" w:rsidDel="00000000" w:rsidP="00000000" w:rsidRDefault="00000000" w:rsidRPr="00000000" w14:paraId="0000000B">
      <w:pPr>
        <w:pStyle w:val="Heading3"/>
        <w:numPr>
          <w:ilvl w:val="0"/>
          <w:numId w:val="4"/>
        </w:numPr>
        <w:ind w:left="432" w:hanging="432"/>
        <w:rPr/>
      </w:pPr>
      <w:r w:rsidDel="00000000" w:rsidR="00000000" w:rsidRPr="00000000">
        <w:rPr>
          <w:rtl w:val="0"/>
        </w:rPr>
        <w:t xml:space="preserve">Complying with security requirements and updates to them</w:t>
      </w:r>
    </w:p>
    <w:p w:rsidR="00000000" w:rsidDel="00000000" w:rsidP="00000000" w:rsidRDefault="00000000" w:rsidRPr="00000000" w14:paraId="0000000C">
      <w:pPr>
        <w:numPr>
          <w:ilvl w:val="1"/>
          <w:numId w:val="4"/>
        </w:numPr>
        <w:spacing w:before="120" w:lineRule="auto"/>
        <w:ind w:left="576" w:right="-386" w:hanging="576"/>
        <w:rPr/>
      </w:pPr>
      <w:r w:rsidDel="00000000" w:rsidR="00000000" w:rsidRPr="00000000">
        <w:rPr>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0D">
      <w:pPr>
        <w:numPr>
          <w:ilvl w:val="1"/>
          <w:numId w:val="4"/>
        </w:numPr>
        <w:spacing w:before="120" w:lineRule="auto"/>
        <w:ind w:left="576" w:right="-386" w:hanging="576"/>
        <w:rPr/>
      </w:pPr>
      <w:r w:rsidDel="00000000" w:rsidR="00000000" w:rsidRPr="00000000">
        <w:rPr>
          <w:sz w:val="24"/>
          <w:szCs w:val="24"/>
          <w:rtl w:val="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000000" w:rsidDel="00000000" w:rsidP="00000000" w:rsidRDefault="00000000" w:rsidRPr="00000000" w14:paraId="0000000E">
      <w:pPr>
        <w:numPr>
          <w:ilvl w:val="1"/>
          <w:numId w:val="4"/>
        </w:numPr>
        <w:spacing w:before="120" w:lineRule="auto"/>
        <w:ind w:left="576" w:right="-386" w:hanging="576"/>
        <w:rPr/>
      </w:pPr>
      <w:r w:rsidDel="00000000" w:rsidR="00000000" w:rsidRPr="00000000">
        <w:rPr>
          <w:sz w:val="24"/>
          <w:szCs w:val="24"/>
          <w:rtl w:val="0"/>
        </w:rPr>
        <w:t xml:space="preserve">Where the Security Policy applies the Buyer shall notify the Supplier of any changes or proposed changes to the Security Policy.</w:t>
      </w:r>
    </w:p>
    <w:p w:rsidR="00000000" w:rsidDel="00000000" w:rsidP="00000000" w:rsidRDefault="00000000" w:rsidRPr="00000000" w14:paraId="0000000F">
      <w:pPr>
        <w:numPr>
          <w:ilvl w:val="1"/>
          <w:numId w:val="4"/>
        </w:numPr>
        <w:spacing w:before="120" w:lineRule="auto"/>
        <w:ind w:left="576" w:right="-386" w:hanging="576"/>
        <w:rPr/>
      </w:pPr>
      <w:r w:rsidDel="00000000" w:rsidR="00000000" w:rsidRPr="00000000">
        <w:rPr>
          <w:sz w:val="24"/>
          <w:szCs w:val="24"/>
          <w:rtl w:val="0"/>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000000" w:rsidDel="00000000" w:rsidP="00000000" w:rsidRDefault="00000000" w:rsidRPr="00000000" w14:paraId="00000010">
      <w:pPr>
        <w:numPr>
          <w:ilvl w:val="1"/>
          <w:numId w:val="4"/>
        </w:numPr>
        <w:spacing w:before="120" w:lineRule="auto"/>
        <w:ind w:left="576" w:right="-386" w:hanging="576"/>
        <w:rPr/>
      </w:pPr>
      <w:r w:rsidDel="00000000" w:rsidR="00000000" w:rsidRPr="00000000">
        <w:rPr>
          <w:sz w:val="24"/>
          <w:szCs w:val="24"/>
          <w:rtl w:val="0"/>
        </w:rPr>
        <w:t xml:space="preserve">Until and/or unless a change to the Charges is agreed by the Buyer pursuant to the Variation Procedure the Supplier shall continue to provide the Deliverables in accordance with its existing obligations.</w:t>
      </w:r>
    </w:p>
    <w:p w:rsidR="00000000" w:rsidDel="00000000" w:rsidP="00000000" w:rsidRDefault="00000000" w:rsidRPr="00000000" w14:paraId="00000011">
      <w:pPr>
        <w:pStyle w:val="Heading3"/>
        <w:numPr>
          <w:ilvl w:val="0"/>
          <w:numId w:val="4"/>
        </w:numPr>
        <w:ind w:left="432" w:hanging="432"/>
        <w:rPr/>
      </w:pPr>
      <w:r w:rsidDel="00000000" w:rsidR="00000000" w:rsidRPr="00000000">
        <w:rPr>
          <w:rtl w:val="0"/>
        </w:rPr>
        <w:t xml:space="preserve">Security Standards</w:t>
      </w:r>
    </w:p>
    <w:p w:rsidR="00000000" w:rsidDel="00000000" w:rsidP="00000000" w:rsidRDefault="00000000" w:rsidRPr="00000000" w14:paraId="00000012">
      <w:pPr>
        <w:numPr>
          <w:ilvl w:val="1"/>
          <w:numId w:val="4"/>
        </w:numPr>
        <w:tabs>
          <w:tab w:val="left" w:pos="-1746"/>
        </w:tabs>
        <w:spacing w:before="120" w:lineRule="auto"/>
        <w:ind w:left="576" w:right="-386" w:hanging="576"/>
        <w:rPr/>
      </w:pPr>
      <w:r w:rsidDel="00000000" w:rsidR="00000000" w:rsidRPr="00000000">
        <w:rPr>
          <w:sz w:val="24"/>
          <w:szCs w:val="24"/>
          <w:rtl w:val="0"/>
        </w:rPr>
        <w:t xml:space="preserve">The Supplier acknowledges that the Buyer places great emphasis on the reliability of the performance of the Deliverables, confidentiality, integrity and availability of information and consequently on security.</w:t>
      </w:r>
    </w:p>
    <w:p w:rsidR="00000000" w:rsidDel="00000000" w:rsidP="00000000" w:rsidRDefault="00000000" w:rsidRPr="00000000" w14:paraId="00000013">
      <w:pPr>
        <w:numPr>
          <w:ilvl w:val="1"/>
          <w:numId w:val="4"/>
        </w:numPr>
        <w:tabs>
          <w:tab w:val="left" w:pos="-1746"/>
        </w:tabs>
        <w:spacing w:before="120" w:lineRule="auto"/>
        <w:ind w:left="576" w:right="-386" w:hanging="576"/>
        <w:rPr/>
      </w:pPr>
      <w:r w:rsidDel="00000000" w:rsidR="00000000" w:rsidRPr="00000000">
        <w:rPr>
          <w:sz w:val="24"/>
          <w:szCs w:val="24"/>
          <w:rtl w:val="0"/>
        </w:rPr>
        <w:t xml:space="preserve">The Supplier shall be responsible for the effective performance of its security obligations and shall at all times provide a level of security which:</w:t>
      </w:r>
    </w:p>
    <w:p w:rsidR="00000000" w:rsidDel="00000000" w:rsidP="00000000" w:rsidRDefault="00000000" w:rsidRPr="00000000" w14:paraId="00000014">
      <w:pPr>
        <w:numPr>
          <w:ilvl w:val="2"/>
          <w:numId w:val="4"/>
        </w:numPr>
        <w:spacing w:before="120" w:lineRule="auto"/>
        <w:ind w:left="720" w:right="-386" w:hanging="720"/>
        <w:rPr>
          <w:sz w:val="24"/>
          <w:szCs w:val="24"/>
        </w:rPr>
      </w:pPr>
      <w:r w:rsidDel="00000000" w:rsidR="00000000" w:rsidRPr="00000000">
        <w:rPr>
          <w:sz w:val="24"/>
          <w:szCs w:val="24"/>
          <w:rtl w:val="0"/>
        </w:rPr>
        <w:t xml:space="preserve">is in accordance with the Law and this Contract; </w:t>
      </w:r>
    </w:p>
    <w:p w:rsidR="00000000" w:rsidDel="00000000" w:rsidP="00000000" w:rsidRDefault="00000000" w:rsidRPr="00000000" w14:paraId="00000015">
      <w:pPr>
        <w:numPr>
          <w:ilvl w:val="2"/>
          <w:numId w:val="4"/>
        </w:numPr>
        <w:spacing w:before="120" w:lineRule="auto"/>
        <w:ind w:left="720" w:right="-386" w:hanging="720"/>
        <w:rPr>
          <w:sz w:val="24"/>
          <w:szCs w:val="24"/>
        </w:rPr>
      </w:pPr>
      <w:r w:rsidDel="00000000" w:rsidR="00000000" w:rsidRPr="00000000">
        <w:rPr>
          <w:sz w:val="24"/>
          <w:szCs w:val="24"/>
          <w:rtl w:val="0"/>
        </w:rPr>
        <w:t xml:space="preserve">as a minimum demonstrates Good Industry Practice;</w:t>
      </w:r>
    </w:p>
    <w:p w:rsidR="00000000" w:rsidDel="00000000" w:rsidP="00000000" w:rsidRDefault="00000000" w:rsidRPr="00000000" w14:paraId="00000016">
      <w:pPr>
        <w:numPr>
          <w:ilvl w:val="2"/>
          <w:numId w:val="4"/>
        </w:numPr>
        <w:spacing w:before="120" w:lineRule="auto"/>
        <w:ind w:left="720" w:right="-386" w:hanging="720"/>
        <w:rPr>
          <w:sz w:val="24"/>
          <w:szCs w:val="24"/>
        </w:rPr>
      </w:pPr>
      <w:r w:rsidDel="00000000" w:rsidR="00000000" w:rsidRPr="00000000">
        <w:rPr>
          <w:sz w:val="24"/>
          <w:szCs w:val="24"/>
          <w:rtl w:val="0"/>
        </w:rPr>
        <w:t xml:space="preserve">meets any specific security threats of immediate relevance to the Deliverables and/or the Government Data; and</w:t>
      </w:r>
    </w:p>
    <w:p w:rsidR="00000000" w:rsidDel="00000000" w:rsidP="00000000" w:rsidRDefault="00000000" w:rsidRPr="00000000" w14:paraId="00000017">
      <w:pPr>
        <w:numPr>
          <w:ilvl w:val="2"/>
          <w:numId w:val="4"/>
        </w:numPr>
        <w:spacing w:before="120" w:lineRule="auto"/>
        <w:ind w:left="720" w:right="-386" w:hanging="720"/>
        <w:rPr>
          <w:sz w:val="24"/>
          <w:szCs w:val="24"/>
        </w:rPr>
      </w:pPr>
      <w:r w:rsidDel="00000000" w:rsidR="00000000" w:rsidRPr="00000000">
        <w:rPr>
          <w:sz w:val="24"/>
          <w:szCs w:val="24"/>
          <w:rtl w:val="0"/>
        </w:rPr>
        <w:t xml:space="preserve">where specified by the Buyer in accordance with paragraph 2.2 complies with the Security Policy and the ICT Policy.</w:t>
      </w:r>
    </w:p>
    <w:p w:rsidR="00000000" w:rsidDel="00000000" w:rsidP="00000000" w:rsidRDefault="00000000" w:rsidRPr="00000000" w14:paraId="00000018">
      <w:pPr>
        <w:numPr>
          <w:ilvl w:val="1"/>
          <w:numId w:val="4"/>
        </w:numPr>
        <w:spacing w:before="120" w:lineRule="auto"/>
        <w:ind w:left="576" w:right="-386" w:hanging="576"/>
        <w:rPr/>
      </w:pPr>
      <w:r w:rsidDel="00000000" w:rsidR="00000000" w:rsidRPr="00000000">
        <w:rPr>
          <w:sz w:val="24"/>
          <w:szCs w:val="24"/>
          <w:rtl w:val="0"/>
        </w:rPr>
        <w:t xml:space="preserve">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000000" w:rsidDel="00000000" w:rsidP="00000000" w:rsidRDefault="00000000" w:rsidRPr="00000000" w14:paraId="00000019">
      <w:pPr>
        <w:numPr>
          <w:ilvl w:val="1"/>
          <w:numId w:val="4"/>
        </w:numPr>
        <w:spacing w:before="120" w:lineRule="auto"/>
        <w:ind w:left="576" w:right="-386" w:hanging="576"/>
        <w:rPr/>
      </w:pPr>
      <w:r w:rsidDel="00000000" w:rsidR="00000000" w:rsidRPr="00000000">
        <w:rPr>
          <w:sz w:val="24"/>
          <w:szCs w:val="24"/>
          <w:rtl w:val="0"/>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000000" w:rsidDel="00000000" w:rsidP="00000000" w:rsidRDefault="00000000" w:rsidRPr="00000000" w14:paraId="0000001A">
      <w:pPr>
        <w:pStyle w:val="Heading3"/>
        <w:numPr>
          <w:ilvl w:val="0"/>
          <w:numId w:val="4"/>
        </w:numPr>
        <w:ind w:left="432" w:hanging="432"/>
        <w:rPr/>
      </w:pPr>
      <w:r w:rsidDel="00000000" w:rsidR="00000000" w:rsidRPr="00000000">
        <w:rPr>
          <w:rtl w:val="0"/>
        </w:rPr>
        <w:t xml:space="preserve">Security Management Plan</w:t>
      </w:r>
    </w:p>
    <w:p w:rsidR="00000000" w:rsidDel="00000000" w:rsidP="00000000" w:rsidRDefault="00000000" w:rsidRPr="00000000" w14:paraId="0000001B">
      <w:pPr>
        <w:pStyle w:val="Heading4"/>
        <w:numPr>
          <w:ilvl w:val="1"/>
          <w:numId w:val="4"/>
        </w:numPr>
        <w:ind w:left="576" w:hanging="576"/>
        <w:rPr/>
      </w:pPr>
      <w:r w:rsidDel="00000000" w:rsidR="00000000" w:rsidRPr="00000000">
        <w:rPr>
          <w:rtl w:val="0"/>
        </w:rPr>
        <w:t xml:space="preserve">Introduction</w:t>
      </w:r>
    </w:p>
    <w:p w:rsidR="00000000" w:rsidDel="00000000" w:rsidP="00000000" w:rsidRDefault="00000000" w:rsidRPr="00000000" w14:paraId="0000001C">
      <w:pPr>
        <w:numPr>
          <w:ilvl w:val="2"/>
          <w:numId w:val="4"/>
        </w:numPr>
        <w:spacing w:before="120" w:lineRule="auto"/>
        <w:ind w:left="720" w:right="-386" w:hanging="720"/>
        <w:rPr>
          <w:sz w:val="24"/>
          <w:szCs w:val="24"/>
        </w:rPr>
      </w:pPr>
      <w:r w:rsidDel="00000000" w:rsidR="00000000" w:rsidRPr="00000000">
        <w:rPr>
          <w:sz w:val="24"/>
          <w:szCs w:val="24"/>
          <w:rtl w:val="0"/>
        </w:rPr>
        <w:t xml:space="preserve">The Supplier shall develop and maintain a Security Management Plan in accordance with this Schedule. The Supplier shall thereafter comply with its obligations set out in the Security Management Plan.</w:t>
      </w:r>
    </w:p>
    <w:p w:rsidR="00000000" w:rsidDel="00000000" w:rsidP="00000000" w:rsidRDefault="00000000" w:rsidRPr="00000000" w14:paraId="0000001D">
      <w:pPr>
        <w:pStyle w:val="Heading4"/>
        <w:numPr>
          <w:ilvl w:val="1"/>
          <w:numId w:val="4"/>
        </w:numPr>
        <w:ind w:left="576" w:hanging="576"/>
        <w:rPr/>
      </w:pPr>
      <w:r w:rsidDel="00000000" w:rsidR="00000000" w:rsidRPr="00000000">
        <w:rPr>
          <w:rtl w:val="0"/>
        </w:rPr>
        <w:t xml:space="preserve">Content of the Security Management Plan</w:t>
      </w:r>
    </w:p>
    <w:p w:rsidR="00000000" w:rsidDel="00000000" w:rsidP="00000000" w:rsidRDefault="00000000" w:rsidRPr="00000000" w14:paraId="0000001E">
      <w:pPr>
        <w:numPr>
          <w:ilvl w:val="2"/>
          <w:numId w:val="4"/>
        </w:numPr>
        <w:spacing w:before="120" w:lineRule="auto"/>
        <w:ind w:left="720" w:right="-386" w:hanging="720"/>
        <w:rPr>
          <w:sz w:val="24"/>
          <w:szCs w:val="24"/>
        </w:rPr>
      </w:pPr>
      <w:r w:rsidDel="00000000" w:rsidR="00000000" w:rsidRPr="00000000">
        <w:rPr>
          <w:sz w:val="24"/>
          <w:szCs w:val="24"/>
          <w:rtl w:val="0"/>
        </w:rPr>
        <w:t xml:space="preserve">The Security Management Plan shall:</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principles of security set out in Paragraph 3 and any other provisions of this Contract relevant to security;</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the necessary delegated organisational roles for those responsible for ensuring it is complied with by the Supplier;</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out the plans for transitioning all security arrangements and responsibilities for the Supplier to meet the full obligations of the security requirements set out in this Contract and, where necessary in accordance with paragraph 2.2 the Security Policy; and</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000000" w:rsidDel="00000000" w:rsidP="00000000" w:rsidRDefault="00000000" w:rsidRPr="00000000" w14:paraId="00000026">
      <w:pPr>
        <w:pStyle w:val="Heading4"/>
        <w:numPr>
          <w:ilvl w:val="1"/>
          <w:numId w:val="4"/>
        </w:numPr>
        <w:ind w:left="576" w:hanging="576"/>
        <w:rPr/>
      </w:pPr>
      <w:r w:rsidDel="00000000" w:rsidR="00000000" w:rsidRPr="00000000">
        <w:rPr>
          <w:rtl w:val="0"/>
        </w:rPr>
        <w:t xml:space="preserve">Development of the Security Management Plan</w:t>
      </w:r>
    </w:p>
    <w:p w:rsidR="00000000" w:rsidDel="00000000" w:rsidP="00000000" w:rsidRDefault="00000000" w:rsidRPr="00000000" w14:paraId="00000027">
      <w:pPr>
        <w:numPr>
          <w:ilvl w:val="2"/>
          <w:numId w:val="4"/>
        </w:numPr>
        <w:spacing w:before="120" w:lineRule="auto"/>
        <w:ind w:left="720" w:right="-386" w:hanging="720"/>
        <w:rPr/>
      </w:pPr>
      <w:r w:rsidDel="00000000" w:rsidR="00000000" w:rsidRPr="00000000">
        <w:rPr>
          <w:sz w:val="24"/>
          <w:szCs w:val="24"/>
          <w:rtl w:val="0"/>
        </w:rPr>
        <w:t xml:space="preserve">Within twenty (20)</w:t>
      </w:r>
      <w:r w:rsidDel="00000000" w:rsidR="00000000" w:rsidRPr="00000000">
        <w:rPr>
          <w:b w:val="1"/>
          <w:sz w:val="24"/>
          <w:szCs w:val="24"/>
          <w:rtl w:val="0"/>
        </w:rPr>
        <w:t xml:space="preserve"> </w:t>
      </w:r>
      <w:r w:rsidDel="00000000" w:rsidR="00000000" w:rsidRPr="00000000">
        <w:rPr>
          <w:sz w:val="24"/>
          <w:szCs w:val="24"/>
          <w:rtl w:val="0"/>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r w:rsidDel="00000000" w:rsidR="00000000" w:rsidRPr="00000000">
        <w:rPr>
          <w:rtl w:val="0"/>
        </w:rPr>
      </w:r>
    </w:p>
    <w:p w:rsidR="00000000" w:rsidDel="00000000" w:rsidP="00000000" w:rsidRDefault="00000000" w:rsidRPr="00000000" w14:paraId="00000028">
      <w:pPr>
        <w:numPr>
          <w:ilvl w:val="2"/>
          <w:numId w:val="4"/>
        </w:numPr>
        <w:spacing w:before="120" w:lineRule="auto"/>
        <w:ind w:left="720" w:right="-386" w:hanging="720"/>
        <w:rPr>
          <w:sz w:val="24"/>
          <w:szCs w:val="24"/>
        </w:rPr>
      </w:pPr>
      <w:r w:rsidDel="00000000" w:rsidR="00000000" w:rsidRPr="00000000">
        <w:rPr>
          <w:sz w:val="24"/>
          <w:szCs w:val="24"/>
          <w:rtl w:val="0"/>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rsidR="00000000" w:rsidDel="00000000" w:rsidP="00000000" w:rsidRDefault="00000000" w:rsidRPr="00000000" w14:paraId="00000029">
      <w:pPr>
        <w:numPr>
          <w:ilvl w:val="2"/>
          <w:numId w:val="4"/>
        </w:numPr>
        <w:spacing w:before="120" w:lineRule="auto"/>
        <w:ind w:left="720" w:right="-386" w:hanging="720"/>
        <w:rPr>
          <w:sz w:val="24"/>
          <w:szCs w:val="24"/>
        </w:rPr>
      </w:pPr>
      <w:r w:rsidDel="00000000" w:rsidR="00000000" w:rsidRPr="00000000">
        <w:rPr>
          <w:sz w:val="24"/>
          <w:szCs w:val="24"/>
          <w:rtl w:val="0"/>
        </w:rPr>
        <w:t xml:space="preserve">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rsidR="00000000" w:rsidDel="00000000" w:rsidP="00000000" w:rsidRDefault="00000000" w:rsidRPr="00000000" w14:paraId="0000002A">
      <w:pPr>
        <w:numPr>
          <w:ilvl w:val="2"/>
          <w:numId w:val="4"/>
        </w:numPr>
        <w:spacing w:before="120" w:lineRule="auto"/>
        <w:ind w:left="720" w:right="-386" w:hanging="720"/>
        <w:rPr>
          <w:sz w:val="24"/>
          <w:szCs w:val="24"/>
        </w:rPr>
      </w:pPr>
      <w:r w:rsidDel="00000000" w:rsidR="00000000" w:rsidRPr="00000000">
        <w:rPr>
          <w:sz w:val="24"/>
          <w:szCs w:val="24"/>
          <w:rtl w:val="0"/>
        </w:rPr>
        <w:t xml:space="preserve">Approval by the Buyer of the Security Management Plan pursuant to Paragraph 4.3.2 or of any change to the Security Management Plan in accordance with Paragraph 4.4 shall not relieve the Supplier of its obligations under this Schedule. </w:t>
      </w:r>
    </w:p>
    <w:p w:rsidR="00000000" w:rsidDel="00000000" w:rsidP="00000000" w:rsidRDefault="00000000" w:rsidRPr="00000000" w14:paraId="0000002B">
      <w:pPr>
        <w:pStyle w:val="Heading4"/>
        <w:numPr>
          <w:ilvl w:val="1"/>
          <w:numId w:val="4"/>
        </w:numPr>
        <w:ind w:left="576" w:hanging="576"/>
        <w:rPr/>
      </w:pPr>
      <w:r w:rsidDel="00000000" w:rsidR="00000000" w:rsidRPr="00000000">
        <w:rPr>
          <w:rtl w:val="0"/>
        </w:rPr>
        <w:t xml:space="preserve">Amendment of the Security Management Plan</w:t>
      </w:r>
    </w:p>
    <w:p w:rsidR="00000000" w:rsidDel="00000000" w:rsidP="00000000" w:rsidRDefault="00000000" w:rsidRPr="00000000" w14:paraId="0000002C">
      <w:pPr>
        <w:numPr>
          <w:ilvl w:val="2"/>
          <w:numId w:val="4"/>
        </w:numPr>
        <w:spacing w:before="120" w:lineRule="auto"/>
        <w:ind w:left="720" w:right="-386" w:hanging="720"/>
        <w:rPr>
          <w:sz w:val="24"/>
          <w:szCs w:val="24"/>
        </w:rPr>
      </w:pPr>
      <w:r w:rsidDel="00000000" w:rsidR="00000000" w:rsidRPr="00000000">
        <w:rPr>
          <w:sz w:val="24"/>
          <w:szCs w:val="24"/>
          <w:rtl w:val="0"/>
        </w:rPr>
        <w:t xml:space="preserve">The Security Management Plan shall be fully reviewed and updated by the Supplier at least annually to reflect:</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emerging changes in Good Industry Practice;</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or proposed change to the Deliverables and/or associated processes; </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necessary in accordance with paragraph 2.2, any change to the Security Policy;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new perceived or changed security threats; and</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reasonable change in requirements requested by the Buyer.</w:t>
      </w:r>
    </w:p>
    <w:p w:rsidR="00000000" w:rsidDel="00000000" w:rsidP="00000000" w:rsidRDefault="00000000" w:rsidRPr="00000000" w14:paraId="00000032">
      <w:pPr>
        <w:numPr>
          <w:ilvl w:val="2"/>
          <w:numId w:val="4"/>
        </w:numPr>
        <w:spacing w:before="120" w:lineRule="auto"/>
        <w:ind w:left="720" w:right="-386" w:hanging="720"/>
        <w:rPr>
          <w:sz w:val="24"/>
          <w:szCs w:val="24"/>
        </w:rPr>
      </w:pPr>
      <w:r w:rsidDel="00000000" w:rsidR="00000000" w:rsidRPr="00000000">
        <w:rPr>
          <w:sz w:val="24"/>
          <w:szCs w:val="24"/>
          <w:rtl w:val="0"/>
        </w:rPr>
        <w:t xml:space="preserve">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suggested improvements to the effectiveness of the Security Management Plan;</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updates to the risk assessments; and</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suggested improvements in measuring the effectiveness of controls.</w:t>
      </w:r>
    </w:p>
    <w:p w:rsidR="00000000" w:rsidDel="00000000" w:rsidP="00000000" w:rsidRDefault="00000000" w:rsidRPr="00000000" w14:paraId="00000036">
      <w:pPr>
        <w:numPr>
          <w:ilvl w:val="2"/>
          <w:numId w:val="4"/>
        </w:numPr>
        <w:spacing w:before="120" w:lineRule="auto"/>
        <w:ind w:left="720" w:right="-386" w:hanging="720"/>
        <w:rPr>
          <w:sz w:val="24"/>
          <w:szCs w:val="24"/>
        </w:rPr>
      </w:pPr>
      <w:r w:rsidDel="00000000" w:rsidR="00000000" w:rsidRPr="00000000">
        <w:rPr>
          <w:sz w:val="24"/>
          <w:szCs w:val="24"/>
          <w:rtl w:val="0"/>
        </w:rPr>
        <w:t xml:space="preserve">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000000" w:rsidDel="00000000" w:rsidP="00000000" w:rsidRDefault="00000000" w:rsidRPr="00000000" w14:paraId="00000037">
      <w:pPr>
        <w:numPr>
          <w:ilvl w:val="2"/>
          <w:numId w:val="4"/>
        </w:numPr>
        <w:spacing w:before="120" w:lineRule="auto"/>
        <w:ind w:left="720" w:right="-386" w:hanging="720"/>
        <w:rPr>
          <w:sz w:val="24"/>
          <w:szCs w:val="24"/>
        </w:rPr>
      </w:pPr>
      <w:r w:rsidDel="00000000" w:rsidR="00000000" w:rsidRPr="00000000">
        <w:rPr>
          <w:sz w:val="24"/>
          <w:szCs w:val="24"/>
          <w:rtl w:val="0"/>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0000" w:rsidDel="00000000" w:rsidP="00000000" w:rsidRDefault="00000000" w:rsidRPr="00000000" w14:paraId="00000038">
      <w:pPr>
        <w:pStyle w:val="Heading3"/>
        <w:numPr>
          <w:ilvl w:val="0"/>
          <w:numId w:val="4"/>
        </w:numPr>
        <w:ind w:left="432" w:hanging="432"/>
        <w:rPr/>
      </w:pPr>
      <w:r w:rsidDel="00000000" w:rsidR="00000000" w:rsidRPr="00000000">
        <w:rPr>
          <w:rtl w:val="0"/>
        </w:rPr>
        <w:t xml:space="preserve">Security breach</w:t>
      </w:r>
    </w:p>
    <w:p w:rsidR="00000000" w:rsidDel="00000000" w:rsidP="00000000" w:rsidRDefault="00000000" w:rsidRPr="00000000" w14:paraId="00000039">
      <w:pPr>
        <w:numPr>
          <w:ilvl w:val="1"/>
          <w:numId w:val="4"/>
        </w:numPr>
        <w:tabs>
          <w:tab w:val="left" w:pos="-1746"/>
        </w:tabs>
        <w:spacing w:before="120" w:lineRule="auto"/>
        <w:ind w:left="576" w:right="-386" w:hanging="576"/>
        <w:rPr/>
      </w:pPr>
      <w:r w:rsidDel="00000000" w:rsidR="00000000" w:rsidRPr="00000000">
        <w:rPr>
          <w:sz w:val="24"/>
          <w:szCs w:val="24"/>
          <w:rtl w:val="0"/>
        </w:rPr>
        <w:t xml:space="preserve">Either Party shall notify the other in accordance with the agreed security incident management process (as detailed in the Security Management Plan) upon becoming aware of any Breach of Security or any potential or attempted Breach of Security.</w:t>
      </w:r>
    </w:p>
    <w:p w:rsidR="00000000" w:rsidDel="00000000" w:rsidP="00000000" w:rsidRDefault="00000000" w:rsidRPr="00000000" w14:paraId="0000003A">
      <w:pPr>
        <w:numPr>
          <w:ilvl w:val="1"/>
          <w:numId w:val="4"/>
        </w:numPr>
        <w:tabs>
          <w:tab w:val="left" w:pos="-1746"/>
        </w:tabs>
        <w:spacing w:before="120" w:lineRule="auto"/>
        <w:ind w:left="576" w:right="-386" w:hanging="576"/>
        <w:rPr/>
      </w:pPr>
      <w:r w:rsidDel="00000000" w:rsidR="00000000" w:rsidRPr="00000000">
        <w:rPr>
          <w:sz w:val="24"/>
          <w:szCs w:val="24"/>
          <w:rtl w:val="0"/>
        </w:rPr>
        <w:t xml:space="preserve">Without prejudice to the security incident management process, upon becoming aware of any of the circumstances referred to in Paragraph 5.1, the Supplier shall:</w:t>
      </w:r>
    </w:p>
    <w:p w:rsidR="00000000" w:rsidDel="00000000" w:rsidP="00000000" w:rsidRDefault="00000000" w:rsidRPr="00000000" w14:paraId="0000003B">
      <w:pPr>
        <w:numPr>
          <w:ilvl w:val="2"/>
          <w:numId w:val="4"/>
        </w:numPr>
        <w:tabs>
          <w:tab w:val="left" w:pos="-1615"/>
          <w:tab w:val="left" w:pos="-1473"/>
        </w:tabs>
        <w:spacing w:before="120" w:lineRule="auto"/>
        <w:ind w:left="720" w:right="-386" w:hanging="720"/>
        <w:rPr>
          <w:sz w:val="24"/>
          <w:szCs w:val="24"/>
        </w:rPr>
      </w:pPr>
      <w:r w:rsidDel="00000000" w:rsidR="00000000" w:rsidRPr="00000000">
        <w:rPr>
          <w:sz w:val="24"/>
          <w:szCs w:val="24"/>
          <w:rtl w:val="0"/>
        </w:rPr>
        <w:t xml:space="preserve">immediately take all reasonable steps (which shall include any action or changes reasonably required by the Buyer) necessary to:</w:t>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the extent of actual or potential harm caused by any Breach of Security;</w:t>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an equivalent breach in the future exploiting the same cause failure; and</w:t>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000000" w:rsidDel="00000000" w:rsidP="00000000" w:rsidRDefault="00000000" w:rsidRPr="00000000" w14:paraId="00000040">
      <w:pPr>
        <w:numPr>
          <w:ilvl w:val="1"/>
          <w:numId w:val="4"/>
        </w:numPr>
        <w:tabs>
          <w:tab w:val="left" w:pos="-1746"/>
        </w:tabs>
        <w:spacing w:before="120" w:lineRule="auto"/>
        <w:ind w:left="576" w:right="-386" w:hanging="576"/>
        <w:rPr/>
      </w:pPr>
      <w:r w:rsidDel="00000000" w:rsidR="00000000" w:rsidRPr="00000000">
        <w:rPr>
          <w:sz w:val="24"/>
          <w:szCs w:val="24"/>
          <w:rtl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000000" w:rsidDel="00000000" w:rsidP="00000000" w:rsidRDefault="00000000" w:rsidRPr="00000000" w14:paraId="00000041">
      <w:pPr>
        <w:spacing w:after="240" w:lineRule="auto"/>
        <w:ind w:right="-386" w:firstLine="60"/>
        <w:rPr>
          <w:b w:val="1"/>
          <w:sz w:val="24"/>
          <w:szCs w:val="24"/>
        </w:rPr>
      </w:pPr>
      <w:r w:rsidDel="00000000" w:rsidR="00000000" w:rsidRPr="00000000">
        <w:rPr>
          <w:rtl w:val="0"/>
        </w:rPr>
      </w:r>
    </w:p>
    <w:p w:rsidR="00000000" w:rsidDel="00000000" w:rsidP="00000000" w:rsidRDefault="00000000" w:rsidRPr="00000000" w14:paraId="00000042">
      <w:pPr>
        <w:pageBreakBefore w:val="1"/>
        <w:spacing w:after="200" w:line="276" w:lineRule="auto"/>
        <w:ind w:right="-386"/>
        <w:rPr>
          <w:b w:val="1"/>
          <w:sz w:val="24"/>
          <w:szCs w:val="24"/>
        </w:rPr>
      </w:pPr>
      <w:r w:rsidDel="00000000" w:rsidR="00000000" w:rsidRPr="00000000">
        <w:rPr>
          <w:rtl w:val="0"/>
        </w:rPr>
      </w:r>
    </w:p>
    <w:p w:rsidR="00000000" w:rsidDel="00000000" w:rsidP="00000000" w:rsidRDefault="00000000" w:rsidRPr="00000000" w14:paraId="00000043">
      <w:pPr>
        <w:pStyle w:val="Heading2"/>
        <w:rPr/>
      </w:pPr>
      <w:r w:rsidDel="00000000" w:rsidR="00000000" w:rsidRPr="00000000">
        <w:rPr>
          <w:rtl w:val="0"/>
        </w:rPr>
        <w:t xml:space="preserve">Part B: Long Form Security Requirements</w:t>
      </w:r>
    </w:p>
    <w:p w:rsidR="00000000" w:rsidDel="00000000" w:rsidP="00000000" w:rsidRDefault="00000000" w:rsidRPr="00000000" w14:paraId="00000044">
      <w:pPr>
        <w:pStyle w:val="Heading3"/>
        <w:ind w:left="0" w:firstLine="0"/>
        <w:rPr/>
      </w:pPr>
      <w:r w:rsidDel="00000000" w:rsidR="00000000" w:rsidRPr="00000000">
        <w:rPr>
          <w:rtl w:val="0"/>
        </w:rPr>
      </w:r>
    </w:p>
    <w:p w:rsidR="00000000" w:rsidDel="00000000" w:rsidP="00000000" w:rsidRDefault="00000000" w:rsidRPr="00000000" w14:paraId="00000045">
      <w:pPr>
        <w:pStyle w:val="Heading3"/>
        <w:ind w:left="0" w:firstLine="0"/>
        <w:rPr>
          <w:sz w:val="24"/>
          <w:szCs w:val="24"/>
        </w:rPr>
      </w:pPr>
      <w:r w:rsidDel="00000000" w:rsidR="00000000" w:rsidRPr="00000000">
        <w:rPr>
          <w:rtl w:val="0"/>
        </w:rPr>
        <w:t xml:space="preserve">NOT USED</w:t>
      </w:r>
      <w:r w:rsidDel="00000000" w:rsidR="00000000" w:rsidRPr="00000000">
        <w:rPr>
          <w:rtl w:val="0"/>
        </w:rPr>
      </w:r>
    </w:p>
    <w:p w:rsidR="00000000" w:rsidDel="00000000" w:rsidP="00000000" w:rsidRDefault="00000000" w:rsidRPr="00000000" w14:paraId="00000046">
      <w:pPr>
        <w:spacing w:after="0" w:lineRule="auto"/>
        <w:ind w:right="-38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Rule="auto"/>
        <w:ind w:right="-386"/>
        <w:rPr>
          <w:sz w:val="24"/>
          <w:szCs w:val="24"/>
        </w:rPr>
      </w:pPr>
      <w:r w:rsidDel="00000000" w:rsidR="00000000" w:rsidRPr="00000000">
        <w:rPr>
          <w:rtl w:val="0"/>
        </w:rPr>
      </w:r>
    </w:p>
    <w:p w:rsidR="00000000" w:rsidDel="00000000" w:rsidP="00000000" w:rsidRDefault="00000000" w:rsidRPr="00000000" w14:paraId="00000048">
      <w:pPr>
        <w:pageBreakBefore w:val="1"/>
        <w:spacing w:after="200" w:line="276" w:lineRule="auto"/>
        <w:ind w:right="-386"/>
        <w:rPr>
          <w:sz w:val="24"/>
          <w:szCs w:val="24"/>
        </w:rPr>
      </w:pP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Part C: Commodity Service Security Requirements</w:t>
      </w:r>
    </w:p>
    <w:p w:rsidR="00000000" w:rsidDel="00000000" w:rsidP="00000000" w:rsidRDefault="00000000" w:rsidRPr="00000000" w14:paraId="0000004A">
      <w:pPr>
        <w:tabs>
          <w:tab w:val="left" w:pos="-1026"/>
        </w:tabs>
        <w:spacing w:before="120" w:lineRule="auto"/>
        <w:ind w:left="0" w:right="-386" w:firstLine="0"/>
        <w:rPr>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4B">
      <w:pPr>
        <w:tabs>
          <w:tab w:val="left" w:pos="-1026"/>
        </w:tabs>
        <w:spacing w:before="120" w:lineRule="auto"/>
        <w:ind w:left="0" w:right="-386" w:firstLine="0"/>
        <w:rPr>
          <w:b w:val="1"/>
          <w:sz w:val="24"/>
          <w:szCs w:val="24"/>
        </w:rPr>
      </w:pPr>
      <w:bookmarkStart w:colFirst="0" w:colLast="0" w:name="_yax2i8wpxkgw" w:id="2"/>
      <w:bookmarkEnd w:id="2"/>
      <w:r w:rsidDel="00000000" w:rsidR="00000000" w:rsidRPr="00000000">
        <w:rPr>
          <w:b w:val="1"/>
          <w:sz w:val="24"/>
          <w:szCs w:val="24"/>
          <w:rtl w:val="0"/>
        </w:rPr>
        <w:t xml:space="preserve">NOT USED</w:t>
      </w: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right"/>
      <w:rPr/>
    </w:pPr>
    <w:r w:rsidDel="00000000" w:rsidR="00000000" w:rsidRPr="00000000">
      <w:rPr>
        <w:rtl w:val="0"/>
      </w:rPr>
    </w:r>
  </w:p>
  <w:p w:rsidR="00000000" w:rsidDel="00000000" w:rsidP="00000000" w:rsidRDefault="00000000" w:rsidRPr="00000000" w14:paraId="0000004E">
    <w:pPr>
      <w:tabs>
        <w:tab w:val="center" w:pos="4513"/>
        <w:tab w:val="right" w:pos="9026"/>
      </w:tabs>
      <w:spacing w:after="0" w:line="276" w:lineRule="auto"/>
      <w:rPr>
        <w:sz w:val="20"/>
        <w:szCs w:val="20"/>
      </w:rPr>
    </w:pPr>
    <w:r w:rsidDel="00000000" w:rsidR="00000000" w:rsidRPr="00000000">
      <w:rPr>
        <w:sz w:val="20"/>
        <w:szCs w:val="20"/>
        <w:rtl w:val="0"/>
      </w:rPr>
      <w:t xml:space="preserve">Framework Ref: RM6068</w:t>
      <w:tab/>
      <w:t xml:space="preserve">                                           </w:t>
    </w:r>
  </w:p>
  <w:p w:rsidR="00000000" w:rsidDel="00000000" w:rsidP="00000000" w:rsidRDefault="00000000" w:rsidRPr="00000000" w14:paraId="0000004F">
    <w:pPr>
      <w:rPr>
        <w:sz w:val="20"/>
        <w:szCs w:val="20"/>
      </w:rPr>
    </w:pPr>
    <w:r w:rsidDel="00000000" w:rsidR="00000000" w:rsidRPr="00000000">
      <w:rPr>
        <w:sz w:val="20"/>
        <w:szCs w:val="20"/>
        <w:rtl w:val="0"/>
      </w:rPr>
      <w:t xml:space="preserve">Project Version: v1.0</w:t>
    </w:r>
  </w:p>
  <w:p w:rsidR="00000000" w:rsidDel="00000000" w:rsidP="00000000" w:rsidRDefault="00000000" w:rsidRPr="00000000" w14:paraId="0000005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t xml:space="preserve">Call Off Schedule 9 (Security)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584" w:hanging="360"/>
      </w:pPr>
      <w:rPr>
        <w:rFonts w:ascii="Helvetica Neue" w:cs="Helvetica Neue" w:eastAsia="Helvetica Neue" w:hAnsi="Helvetica Neue"/>
        <w:sz w:val="22"/>
        <w:szCs w:val="22"/>
      </w:rPr>
    </w:lvl>
    <w:lvl w:ilvl="1">
      <w:start w:val="1"/>
      <w:numFmt w:val="lowerLetter"/>
      <w:lvlText w:val="(%2)"/>
      <w:lvlJc w:val="left"/>
      <w:pPr>
        <w:ind w:left="1584" w:hanging="360"/>
      </w:pPr>
      <w:rPr>
        <w:rFonts w:ascii="Helvetica Neue" w:cs="Helvetica Neue" w:eastAsia="Helvetica Neue" w:hAnsi="Helvetica Neue"/>
        <w:sz w:val="22"/>
        <w:szCs w:val="22"/>
      </w:rPr>
    </w:lvl>
    <w:lvl w:ilvl="2">
      <w:start w:val="1"/>
      <w:numFmt w:val="lowerRoman"/>
      <w:lvlText w:val="%3."/>
      <w:lvlJc w:val="right"/>
      <w:pPr>
        <w:ind w:left="3024" w:hanging="180"/>
      </w:pPr>
      <w:rPr/>
    </w:lvl>
    <w:lvl w:ilvl="3">
      <w:start w:val="1"/>
      <w:numFmt w:val="decimal"/>
      <w:lvlText w:val="%4."/>
      <w:lvlJc w:val="left"/>
      <w:pPr>
        <w:ind w:left="3744" w:hanging="360"/>
      </w:pPr>
      <w:rPr/>
    </w:lvl>
    <w:lvl w:ilvl="4">
      <w:start w:val="1"/>
      <w:numFmt w:val="lowerLetter"/>
      <w:lvlText w:val="%5."/>
      <w:lvlJc w:val="left"/>
      <w:pPr>
        <w:ind w:left="4464" w:hanging="360"/>
      </w:pPr>
      <w:rPr/>
    </w:lvl>
    <w:lvl w:ilvl="5">
      <w:start w:val="1"/>
      <w:numFmt w:val="lowerRoman"/>
      <w:lvlText w:val="%6."/>
      <w:lvlJc w:val="right"/>
      <w:pPr>
        <w:ind w:left="5184" w:hanging="180"/>
      </w:pPr>
      <w:rPr/>
    </w:lvl>
    <w:lvl w:ilvl="6">
      <w:start w:val="1"/>
      <w:numFmt w:val="decimal"/>
      <w:lvlText w:val="%7."/>
      <w:lvlJc w:val="left"/>
      <w:pPr>
        <w:ind w:left="5904" w:hanging="360"/>
      </w:pPr>
      <w:rPr/>
    </w:lvl>
    <w:lvl w:ilvl="7">
      <w:start w:val="1"/>
      <w:numFmt w:val="lowerLetter"/>
      <w:lvlText w:val="%8."/>
      <w:lvlJc w:val="left"/>
      <w:pPr>
        <w:ind w:left="6624" w:hanging="360"/>
      </w:pPr>
      <w:rPr/>
    </w:lvl>
    <w:lvl w:ilvl="8">
      <w:start w:val="1"/>
      <w:numFmt w:val="lowerRoman"/>
      <w:lvlText w:val="%9."/>
      <w:lvlJc w:val="right"/>
      <w:pPr>
        <w:ind w:left="7344" w:hanging="180"/>
      </w:pPr>
      <w:rPr/>
    </w:lvl>
  </w:abstractNum>
  <w:abstractNum w:abstractNumId="2">
    <w:lvl w:ilvl="0">
      <w:start w:val="1"/>
      <w:numFmt w:val="lowerLetter"/>
      <w:lvlText w:val="(%1)"/>
      <w:lvlJc w:val="left"/>
      <w:pPr>
        <w:ind w:left="1584" w:hanging="360"/>
      </w:pPr>
      <w:rPr>
        <w:rFonts w:ascii="Helvetica Neue" w:cs="Helvetica Neue" w:eastAsia="Helvetica Neue" w:hAnsi="Helvetica Neue"/>
        <w:sz w:val="22"/>
        <w:szCs w:val="22"/>
      </w:rPr>
    </w:lvl>
    <w:lvl w:ilvl="1">
      <w:start w:val="1"/>
      <w:numFmt w:val="lowerLetter"/>
      <w:lvlText w:val="(%2)"/>
      <w:lvlJc w:val="left"/>
      <w:pPr>
        <w:ind w:left="1584" w:hanging="360"/>
      </w:pPr>
      <w:rPr>
        <w:rFonts w:ascii="Helvetica Neue" w:cs="Helvetica Neue" w:eastAsia="Helvetica Neue" w:hAnsi="Helvetica Neue"/>
        <w:sz w:val="22"/>
        <w:szCs w:val="22"/>
      </w:rPr>
    </w:lvl>
    <w:lvl w:ilvl="2">
      <w:start w:val="1"/>
      <w:numFmt w:val="lowerRoman"/>
      <w:lvlText w:val="%3."/>
      <w:lvlJc w:val="right"/>
      <w:pPr>
        <w:ind w:left="3024" w:hanging="180"/>
      </w:pPr>
      <w:rPr/>
    </w:lvl>
    <w:lvl w:ilvl="3">
      <w:start w:val="1"/>
      <w:numFmt w:val="decimal"/>
      <w:lvlText w:val="%4."/>
      <w:lvlJc w:val="left"/>
      <w:pPr>
        <w:ind w:left="3744" w:hanging="360"/>
      </w:pPr>
      <w:rPr/>
    </w:lvl>
    <w:lvl w:ilvl="4">
      <w:start w:val="1"/>
      <w:numFmt w:val="lowerLetter"/>
      <w:lvlText w:val="%5."/>
      <w:lvlJc w:val="left"/>
      <w:pPr>
        <w:ind w:left="4464" w:hanging="360"/>
      </w:pPr>
      <w:rPr/>
    </w:lvl>
    <w:lvl w:ilvl="5">
      <w:start w:val="1"/>
      <w:numFmt w:val="lowerRoman"/>
      <w:lvlText w:val="%6."/>
      <w:lvlJc w:val="right"/>
      <w:pPr>
        <w:ind w:left="5184" w:hanging="180"/>
      </w:pPr>
      <w:rPr/>
    </w:lvl>
    <w:lvl w:ilvl="6">
      <w:start w:val="1"/>
      <w:numFmt w:val="decimal"/>
      <w:lvlText w:val="%7."/>
      <w:lvlJc w:val="left"/>
      <w:pPr>
        <w:ind w:left="5904" w:hanging="360"/>
      </w:pPr>
      <w:rPr/>
    </w:lvl>
    <w:lvl w:ilvl="7">
      <w:start w:val="1"/>
      <w:numFmt w:val="lowerLetter"/>
      <w:lvlText w:val="%8."/>
      <w:lvlJc w:val="left"/>
      <w:pPr>
        <w:ind w:left="6624" w:hanging="360"/>
      </w:pPr>
      <w:rPr/>
    </w:lvl>
    <w:lvl w:ilvl="8">
      <w:start w:val="1"/>
      <w:numFmt w:val="lowerRoman"/>
      <w:lvlText w:val="%9."/>
      <w:lvlJc w:val="right"/>
      <w:pPr>
        <w:ind w:left="7344" w:hanging="180"/>
      </w:pPr>
      <w:rPr/>
    </w:lvl>
  </w:abstractNum>
  <w:abstractNum w:abstractNumId="3">
    <w:lvl w:ilvl="0">
      <w:start w:val="1"/>
      <w:numFmt w:val="lowerLetter"/>
      <w:lvlText w:val="(%1)"/>
      <w:lvlJc w:val="left"/>
      <w:pPr>
        <w:ind w:left="1584" w:hanging="360"/>
      </w:pPr>
      <w:rPr>
        <w:rFonts w:ascii="Helvetica Neue" w:cs="Helvetica Neue" w:eastAsia="Helvetica Neue" w:hAnsi="Helvetica Neue"/>
        <w:sz w:val="22"/>
        <w:szCs w:val="22"/>
      </w:rPr>
    </w:lvl>
    <w:lvl w:ilvl="1">
      <w:start w:val="1"/>
      <w:numFmt w:val="lowerLetter"/>
      <w:lvlText w:val="(%2)"/>
      <w:lvlJc w:val="left"/>
      <w:pPr>
        <w:ind w:left="1584" w:hanging="360"/>
      </w:pPr>
      <w:rPr>
        <w:rFonts w:ascii="Helvetica Neue" w:cs="Helvetica Neue" w:eastAsia="Helvetica Neue" w:hAnsi="Helvetica Neue"/>
        <w:sz w:val="22"/>
        <w:szCs w:val="22"/>
      </w:rPr>
    </w:lvl>
    <w:lvl w:ilvl="2">
      <w:start w:val="1"/>
      <w:numFmt w:val="lowerRoman"/>
      <w:lvlText w:val="%3."/>
      <w:lvlJc w:val="right"/>
      <w:pPr>
        <w:ind w:left="3024" w:hanging="180"/>
      </w:pPr>
      <w:rPr/>
    </w:lvl>
    <w:lvl w:ilvl="3">
      <w:start w:val="1"/>
      <w:numFmt w:val="decimal"/>
      <w:lvlText w:val="%4."/>
      <w:lvlJc w:val="left"/>
      <w:pPr>
        <w:ind w:left="3744" w:hanging="360"/>
      </w:pPr>
      <w:rPr/>
    </w:lvl>
    <w:lvl w:ilvl="4">
      <w:start w:val="1"/>
      <w:numFmt w:val="lowerLetter"/>
      <w:lvlText w:val="%5."/>
      <w:lvlJc w:val="left"/>
      <w:pPr>
        <w:ind w:left="4464" w:hanging="360"/>
      </w:pPr>
      <w:rPr/>
    </w:lvl>
    <w:lvl w:ilvl="5">
      <w:start w:val="1"/>
      <w:numFmt w:val="lowerRoman"/>
      <w:lvlText w:val="%6."/>
      <w:lvlJc w:val="right"/>
      <w:pPr>
        <w:ind w:left="5184" w:hanging="180"/>
      </w:pPr>
      <w:rPr/>
    </w:lvl>
    <w:lvl w:ilvl="6">
      <w:start w:val="1"/>
      <w:numFmt w:val="decimal"/>
      <w:lvlText w:val="%7."/>
      <w:lvlJc w:val="left"/>
      <w:pPr>
        <w:ind w:left="5904" w:hanging="360"/>
      </w:pPr>
      <w:rPr/>
    </w:lvl>
    <w:lvl w:ilvl="7">
      <w:start w:val="1"/>
      <w:numFmt w:val="lowerLetter"/>
      <w:lvlText w:val="%8."/>
      <w:lvlJc w:val="left"/>
      <w:pPr>
        <w:ind w:left="6624" w:hanging="360"/>
      </w:pPr>
      <w:rPr/>
    </w:lvl>
    <w:lvl w:ilvl="8">
      <w:start w:val="1"/>
      <w:numFmt w:val="lowerRoman"/>
      <w:lvlText w:val="%9."/>
      <w:lvlJc w:val="right"/>
      <w:pPr>
        <w:ind w:left="7344" w:hanging="180"/>
      </w:pPr>
      <w:rPr/>
    </w:lvl>
  </w:abstractNum>
  <w:abstractNum w:abstractNumId="4">
    <w:lvl w:ilvl="0">
      <w:start w:val="1"/>
      <w:numFmt w:val="decimal"/>
      <w:lvlText w:val="%1"/>
      <w:lvlJc w:val="left"/>
      <w:pPr>
        <w:ind w:left="432" w:hanging="432"/>
      </w:pPr>
      <w:rPr>
        <w:rFonts w:ascii="Arial" w:cs="Arial" w:eastAsia="Arial" w:hAnsi="Arial"/>
        <w:b w:val="0"/>
      </w:rPr>
    </w:lvl>
    <w:lvl w:ilvl="1">
      <w:start w:val="1"/>
      <w:numFmt w:val="decimal"/>
      <w:lvlText w:val="%1.%2"/>
      <w:lvlJc w:val="left"/>
      <w:pPr>
        <w:ind w:left="576" w:hanging="576"/>
      </w:pPr>
      <w:rPr>
        <w:b w:val="0"/>
        <w:sz w:val="24"/>
        <w:szCs w:val="24"/>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lowerLetter"/>
      <w:lvlText w:val="(%1)"/>
      <w:lvlJc w:val="left"/>
      <w:pPr>
        <w:ind w:left="3240" w:hanging="360"/>
      </w:pPr>
      <w:rPr>
        <w:rFonts w:ascii="Helvetica Neue" w:cs="Helvetica Neue" w:eastAsia="Helvetica Neue" w:hAnsi="Helvetica Neue"/>
        <w:sz w:val="22"/>
        <w:szCs w:val="22"/>
      </w:rPr>
    </w:lvl>
    <w:lvl w:ilvl="1">
      <w:start w:val="1"/>
      <w:numFmt w:val="lowerLetter"/>
      <w:lvlText w:val="%2."/>
      <w:lvlJc w:val="left"/>
      <w:pPr>
        <w:ind w:left="3960" w:hanging="360"/>
      </w:pPr>
      <w:rPr/>
    </w:lvl>
    <w:lvl w:ilvl="2">
      <w:start w:val="1"/>
      <w:numFmt w:val="lowerRoman"/>
      <w:lvlText w:val="%3."/>
      <w:lvlJc w:val="right"/>
      <w:pPr>
        <w:ind w:left="4680" w:hanging="180"/>
      </w:pPr>
      <w:rPr/>
    </w:lvl>
    <w:lvl w:ilvl="3">
      <w:start w:val="1"/>
      <w:numFmt w:val="decimal"/>
      <w:lvlText w:val="%4."/>
      <w:lvlJc w:val="left"/>
      <w:pPr>
        <w:ind w:left="5400" w:hanging="360"/>
      </w:pPr>
      <w:rPr/>
    </w:lvl>
    <w:lvl w:ilvl="4">
      <w:start w:val="1"/>
      <w:numFmt w:val="lowerLetter"/>
      <w:lvlText w:val="%5."/>
      <w:lvlJc w:val="left"/>
      <w:pPr>
        <w:ind w:left="6120" w:hanging="360"/>
      </w:pPr>
      <w:rPr/>
    </w:lvl>
    <w:lvl w:ilvl="5">
      <w:start w:val="1"/>
      <w:numFmt w:val="lowerRoman"/>
      <w:lvlText w:val="%6."/>
      <w:lvlJc w:val="right"/>
      <w:pPr>
        <w:ind w:left="6840" w:hanging="180"/>
      </w:pPr>
      <w:rPr/>
    </w:lvl>
    <w:lvl w:ilvl="6">
      <w:start w:val="1"/>
      <w:numFmt w:val="decimal"/>
      <w:lvlText w:val="%7."/>
      <w:lvlJc w:val="left"/>
      <w:pPr>
        <w:ind w:left="7560" w:hanging="360"/>
      </w:pPr>
      <w:rPr/>
    </w:lvl>
    <w:lvl w:ilvl="7">
      <w:start w:val="1"/>
      <w:numFmt w:val="lowerLetter"/>
      <w:lvlText w:val="%8."/>
      <w:lvlJc w:val="left"/>
      <w:pPr>
        <w:ind w:left="8280" w:hanging="360"/>
      </w:pPr>
      <w:rPr/>
    </w:lvl>
    <w:lvl w:ilvl="8">
      <w:start w:val="1"/>
      <w:numFmt w:val="lowerRoman"/>
      <w:lvlText w:val="%9."/>
      <w:lvlJc w:val="right"/>
      <w:pPr>
        <w:ind w:left="9000" w:hanging="180"/>
      </w:pPr>
      <w:rPr/>
    </w:lvl>
  </w:abstractNum>
  <w:abstractNum w:abstractNumId="6">
    <w:lvl w:ilvl="0">
      <w:start w:val="1"/>
      <w:numFmt w:val="lowerLetter"/>
      <w:lvlText w:val="(%1)"/>
      <w:lvlJc w:val="left"/>
      <w:pPr>
        <w:ind w:left="1584" w:hanging="360"/>
      </w:pPr>
      <w:rPr>
        <w:rFonts w:ascii="Helvetica Neue" w:cs="Helvetica Neue" w:eastAsia="Helvetica Neue" w:hAnsi="Helvetica Neue"/>
        <w:sz w:val="22"/>
        <w:szCs w:val="22"/>
      </w:rPr>
    </w:lvl>
    <w:lvl w:ilvl="1">
      <w:start w:val="1"/>
      <w:numFmt w:val="lowerLetter"/>
      <w:lvlText w:val="%2)"/>
      <w:lvlJc w:val="left"/>
      <w:pPr>
        <w:ind w:left="2524" w:hanging="580"/>
      </w:pPr>
      <w:rPr/>
    </w:lvl>
    <w:lvl w:ilvl="2">
      <w:start w:val="1"/>
      <w:numFmt w:val="lowerRoman"/>
      <w:lvlText w:val="%3."/>
      <w:lvlJc w:val="right"/>
      <w:pPr>
        <w:ind w:left="3024" w:hanging="180"/>
      </w:pPr>
      <w:rPr/>
    </w:lvl>
    <w:lvl w:ilvl="3">
      <w:start w:val="1"/>
      <w:numFmt w:val="decimal"/>
      <w:lvlText w:val="%4."/>
      <w:lvlJc w:val="left"/>
      <w:pPr>
        <w:ind w:left="3744" w:hanging="360"/>
      </w:pPr>
      <w:rPr/>
    </w:lvl>
    <w:lvl w:ilvl="4">
      <w:start w:val="1"/>
      <w:numFmt w:val="lowerLetter"/>
      <w:lvlText w:val="%5."/>
      <w:lvlJc w:val="left"/>
      <w:pPr>
        <w:ind w:left="4464" w:hanging="360"/>
      </w:pPr>
      <w:rPr/>
    </w:lvl>
    <w:lvl w:ilvl="5">
      <w:start w:val="1"/>
      <w:numFmt w:val="lowerRoman"/>
      <w:lvlText w:val="%6."/>
      <w:lvlJc w:val="right"/>
      <w:pPr>
        <w:ind w:left="5184" w:hanging="180"/>
      </w:pPr>
      <w:rPr/>
    </w:lvl>
    <w:lvl w:ilvl="6">
      <w:start w:val="1"/>
      <w:numFmt w:val="decimal"/>
      <w:lvlText w:val="%7."/>
      <w:lvlJc w:val="left"/>
      <w:pPr>
        <w:ind w:left="5904" w:hanging="360"/>
      </w:pPr>
      <w:rPr/>
    </w:lvl>
    <w:lvl w:ilvl="7">
      <w:start w:val="1"/>
      <w:numFmt w:val="lowerLetter"/>
      <w:lvlText w:val="%8."/>
      <w:lvlJc w:val="left"/>
      <w:pPr>
        <w:ind w:left="6624" w:hanging="360"/>
      </w:pPr>
      <w:rPr/>
    </w:lvl>
    <w:lvl w:ilvl="8">
      <w:start w:val="1"/>
      <w:numFmt w:val="lowerRoman"/>
      <w:lvlText w:val="%9."/>
      <w:lvlJc w:val="right"/>
      <w:pPr>
        <w:ind w:left="734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color w:val="000000"/>
      <w:sz w:val="36"/>
      <w:szCs w:val="36"/>
    </w:rPr>
  </w:style>
  <w:style w:type="paragraph" w:styleId="Heading2">
    <w:name w:val="heading 2"/>
    <w:basedOn w:val="Normal"/>
    <w:next w:val="Normal"/>
    <w:pPr>
      <w:keepNext w:val="1"/>
      <w:keepLines w:val="1"/>
      <w:widowControl w:val="0"/>
      <w:spacing w:before="240" w:line="360" w:lineRule="auto"/>
    </w:pPr>
    <w:rPr>
      <w:b w:val="1"/>
      <w:sz w:val="28"/>
      <w:szCs w:val="28"/>
    </w:rPr>
  </w:style>
  <w:style w:type="paragraph" w:styleId="Heading3">
    <w:name w:val="heading 3"/>
    <w:basedOn w:val="Normal"/>
    <w:next w:val="Normal"/>
    <w:pPr>
      <w:keepNext w:val="1"/>
      <w:keepLines w:val="1"/>
      <w:spacing w:before="40" w:line="360" w:lineRule="auto"/>
    </w:pPr>
    <w:rPr>
      <w:b w:val="1"/>
      <w:color w:val="000000"/>
      <w:sz w:val="24"/>
      <w:szCs w:val="24"/>
    </w:rPr>
  </w:style>
  <w:style w:type="paragraph" w:styleId="Heading4">
    <w:name w:val="heading 4"/>
    <w:basedOn w:val="Normal"/>
    <w:next w:val="Normal"/>
    <w:pPr>
      <w:keepNext w:val="1"/>
      <w:keepLines w:val="1"/>
      <w:spacing w:after="80" w:before="120" w:line="360" w:lineRule="auto"/>
    </w:pPr>
    <w:rPr>
      <w:b w:val="1"/>
      <w:color w:val="000000"/>
    </w:rPr>
  </w:style>
  <w:style w:type="paragraph" w:styleId="Heading5">
    <w:name w:val="heading 5"/>
    <w:basedOn w:val="Normal"/>
    <w:next w:val="Normal"/>
    <w:pPr>
      <w:keepNext w:val="1"/>
      <w:keepLines w:val="1"/>
      <w:spacing w:after="0" w:before="40" w:lineRule="auto"/>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pPr>
    <w:rPr>
      <w:rFonts w:ascii="Calibri" w:cs="Calibri" w:eastAsia="Calibri" w:hAnsi="Calibri"/>
      <w:color w:val="1f4d78"/>
    </w:rPr>
  </w:style>
  <w:style w:type="paragraph" w:styleId="Title">
    <w:name w:val="Title"/>
    <w:basedOn w:val="Normal"/>
    <w:next w:val="Normal"/>
    <w:pPr>
      <w:spacing w:after="240" w:before="360" w:line="480" w:lineRule="auto"/>
      <w:ind w:left="431" w:hanging="431"/>
    </w:pPr>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