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C6205" w14:textId="77777777" w:rsidR="00852130" w:rsidRDefault="00852130" w:rsidP="00852130">
      <w:pPr>
        <w:ind w:right="-46"/>
        <w:rPr>
          <w:rFonts w:ascii="Arial" w:hAnsi="Arial" w:cs="Arial"/>
          <w:b/>
          <w:u w:val="single"/>
        </w:rPr>
      </w:pPr>
      <w:r>
        <w:rPr>
          <w:rFonts w:ascii="Arial" w:hAnsi="Arial" w:cs="Arial"/>
          <w:b/>
          <w:u w:val="single"/>
        </w:rPr>
        <w:t xml:space="preserve">Cefas in Kuwait: </w:t>
      </w:r>
      <w:proofErr w:type="spellStart"/>
      <w:r>
        <w:rPr>
          <w:rFonts w:ascii="Arial" w:hAnsi="Arial" w:cs="Arial"/>
          <w:b/>
          <w:u w:val="single"/>
        </w:rPr>
        <w:t>eMISK</w:t>
      </w:r>
      <w:r w:rsidRPr="00745196">
        <w:rPr>
          <w:rFonts w:ascii="Arial" w:hAnsi="Arial" w:cs="Arial"/>
          <w:b/>
          <w:u w:val="single"/>
          <w:vertAlign w:val="subscript"/>
        </w:rPr>
        <w:t>MARINE</w:t>
      </w:r>
      <w:proofErr w:type="spellEnd"/>
      <w:r>
        <w:rPr>
          <w:rFonts w:ascii="Arial" w:hAnsi="Arial" w:cs="Arial"/>
          <w:b/>
          <w:u w:val="single"/>
        </w:rPr>
        <w:t xml:space="preserve"> and opportunities for partners</w:t>
      </w:r>
    </w:p>
    <w:p w14:paraId="1A994F3B" w14:textId="77777777" w:rsidR="00852130" w:rsidRPr="00557E64" w:rsidRDefault="00852130" w:rsidP="00852130">
      <w:pPr>
        <w:ind w:right="-46"/>
        <w:rPr>
          <w:rFonts w:ascii="Arial" w:hAnsi="Arial" w:cs="Arial"/>
          <w:color w:val="002554"/>
        </w:rPr>
      </w:pPr>
      <w:bookmarkStart w:id="0" w:name="_GoBack"/>
      <w:bookmarkEnd w:id="0"/>
    </w:p>
    <w:p w14:paraId="06815631" w14:textId="77777777" w:rsidR="00852130" w:rsidRPr="00745196" w:rsidRDefault="00852130" w:rsidP="00852130">
      <w:pPr>
        <w:ind w:right="-46"/>
        <w:jc w:val="both"/>
        <w:rPr>
          <w:rFonts w:ascii="Arial" w:hAnsi="Arial" w:cs="Arial"/>
          <w:b/>
          <w:u w:val="single"/>
        </w:rPr>
      </w:pPr>
      <w:r w:rsidRPr="00745196">
        <w:rPr>
          <w:rFonts w:ascii="Arial" w:hAnsi="Arial" w:cs="Arial"/>
          <w:b/>
          <w:u w:val="single"/>
        </w:rPr>
        <w:t>Cefas</w:t>
      </w:r>
    </w:p>
    <w:p w14:paraId="2AD43B6B" w14:textId="77777777" w:rsidR="00852130" w:rsidRPr="00745196" w:rsidRDefault="00852130" w:rsidP="00852130">
      <w:pPr>
        <w:ind w:right="-46"/>
        <w:jc w:val="both"/>
        <w:rPr>
          <w:rFonts w:ascii="Arial" w:hAnsi="Arial" w:cs="Arial"/>
        </w:rPr>
      </w:pPr>
      <w:r w:rsidRPr="00745196">
        <w:rPr>
          <w:rFonts w:ascii="Arial" w:hAnsi="Arial" w:cs="Arial"/>
        </w:rPr>
        <w:t xml:space="preserve">The Centre for Environment, </w:t>
      </w:r>
      <w:proofErr w:type="gramStart"/>
      <w:r w:rsidRPr="00745196">
        <w:rPr>
          <w:rFonts w:ascii="Arial" w:hAnsi="Arial" w:cs="Arial"/>
        </w:rPr>
        <w:t>Fisheries</w:t>
      </w:r>
      <w:proofErr w:type="gramEnd"/>
      <w:r w:rsidRPr="00745196">
        <w:rPr>
          <w:rFonts w:ascii="Arial" w:hAnsi="Arial" w:cs="Arial"/>
        </w:rPr>
        <w:t xml:space="preserve"> and Aquaculture Science (Cefas) is an Executive Agency of the UK Government’s Department for Environment, Food and Rural Affairs (Defra). Cefas is the UK’s most diverse centre for applied marine and freshwater science. Our customers include the UK </w:t>
      </w:r>
      <w:r>
        <w:rPr>
          <w:rFonts w:ascii="Arial" w:hAnsi="Arial" w:cs="Arial"/>
        </w:rPr>
        <w:t>G</w:t>
      </w:r>
      <w:r w:rsidRPr="00745196">
        <w:rPr>
          <w:rFonts w:ascii="Arial" w:hAnsi="Arial" w:cs="Arial"/>
        </w:rPr>
        <w:t xml:space="preserve">overnment, international </w:t>
      </w:r>
      <w:r>
        <w:rPr>
          <w:rFonts w:ascii="Arial" w:hAnsi="Arial" w:cs="Arial"/>
        </w:rPr>
        <w:t>G</w:t>
      </w:r>
      <w:r w:rsidRPr="00745196">
        <w:rPr>
          <w:rFonts w:ascii="Arial" w:hAnsi="Arial" w:cs="Arial"/>
        </w:rPr>
        <w:t xml:space="preserve">overnments, public and private sector </w:t>
      </w:r>
      <w:proofErr w:type="gramStart"/>
      <w:r w:rsidRPr="00745196">
        <w:rPr>
          <w:rFonts w:ascii="Arial" w:hAnsi="Arial" w:cs="Arial"/>
        </w:rPr>
        <w:t>organisations</w:t>
      </w:r>
      <w:proofErr w:type="gramEnd"/>
      <w:r w:rsidRPr="00745196">
        <w:rPr>
          <w:rFonts w:ascii="Arial" w:hAnsi="Arial" w:cs="Arial"/>
        </w:rPr>
        <w:t xml:space="preserve"> and educational and research institutions. </w:t>
      </w:r>
    </w:p>
    <w:p w14:paraId="2AF83264" w14:textId="77777777" w:rsidR="00852130" w:rsidRPr="00745196" w:rsidRDefault="00852130" w:rsidP="00852130">
      <w:pPr>
        <w:ind w:right="-46"/>
        <w:jc w:val="both"/>
        <w:rPr>
          <w:rFonts w:ascii="Arial" w:hAnsi="Arial" w:cs="Arial"/>
        </w:rPr>
      </w:pPr>
      <w:r w:rsidRPr="00745196">
        <w:rPr>
          <w:rFonts w:ascii="Arial" w:hAnsi="Arial" w:cs="Arial"/>
        </w:rPr>
        <w:t xml:space="preserve">Cefas work and collaborate around the world to provide impartial research and advice to address the challenges and harness the opportunities relating to the marine and freshwater environment. </w:t>
      </w:r>
    </w:p>
    <w:p w14:paraId="0EB1FADA" w14:textId="77777777" w:rsidR="00852130" w:rsidRPr="00745196" w:rsidRDefault="00852130" w:rsidP="00852130">
      <w:pPr>
        <w:ind w:right="-46"/>
        <w:jc w:val="both"/>
        <w:rPr>
          <w:rFonts w:ascii="Arial" w:hAnsi="Arial" w:cs="Arial"/>
        </w:rPr>
      </w:pPr>
      <w:r w:rsidRPr="00745196">
        <w:rPr>
          <w:rFonts w:ascii="Arial" w:hAnsi="Arial" w:cs="Arial"/>
        </w:rPr>
        <w:t>Our work:</w:t>
      </w:r>
    </w:p>
    <w:p w14:paraId="5CF12C79" w14:textId="77777777" w:rsidR="00852130" w:rsidRPr="00745196" w:rsidRDefault="00852130" w:rsidP="00852130">
      <w:pPr>
        <w:pStyle w:val="ListParagraph"/>
        <w:numPr>
          <w:ilvl w:val="0"/>
          <w:numId w:val="1"/>
        </w:numPr>
        <w:spacing w:after="0" w:line="240" w:lineRule="auto"/>
        <w:ind w:right="-46"/>
        <w:jc w:val="both"/>
        <w:rPr>
          <w:rFonts w:ascii="Arial" w:hAnsi="Arial" w:cs="Arial"/>
        </w:rPr>
      </w:pPr>
      <w:r w:rsidRPr="00745196">
        <w:rPr>
          <w:rFonts w:ascii="Arial" w:hAnsi="Arial" w:cs="Arial"/>
        </w:rPr>
        <w:t xml:space="preserve">helps ensure thriving marine economies, </w:t>
      </w:r>
    </w:p>
    <w:p w14:paraId="2B440F66" w14:textId="77777777" w:rsidR="00852130" w:rsidRPr="00745196" w:rsidRDefault="00852130" w:rsidP="00852130">
      <w:pPr>
        <w:pStyle w:val="ListParagraph"/>
        <w:numPr>
          <w:ilvl w:val="0"/>
          <w:numId w:val="1"/>
        </w:numPr>
        <w:spacing w:after="0" w:line="240" w:lineRule="auto"/>
        <w:ind w:right="-46"/>
        <w:jc w:val="both"/>
        <w:rPr>
          <w:rFonts w:ascii="Arial" w:hAnsi="Arial" w:cs="Arial"/>
        </w:rPr>
      </w:pPr>
      <w:r w:rsidRPr="00745196">
        <w:rPr>
          <w:rFonts w:ascii="Arial" w:hAnsi="Arial" w:cs="Arial"/>
        </w:rPr>
        <w:t xml:space="preserve">enables sustainable fisheries and food safety, </w:t>
      </w:r>
    </w:p>
    <w:p w14:paraId="6D0F960B" w14:textId="77777777" w:rsidR="00852130" w:rsidRPr="00745196" w:rsidRDefault="00852130" w:rsidP="00852130">
      <w:pPr>
        <w:pStyle w:val="ListParagraph"/>
        <w:numPr>
          <w:ilvl w:val="0"/>
          <w:numId w:val="1"/>
        </w:numPr>
        <w:spacing w:after="0" w:line="240" w:lineRule="auto"/>
        <w:ind w:right="-46"/>
        <w:jc w:val="both"/>
        <w:rPr>
          <w:rFonts w:ascii="Arial" w:hAnsi="Arial" w:cs="Arial"/>
        </w:rPr>
      </w:pPr>
      <w:r w:rsidRPr="00745196">
        <w:rPr>
          <w:rFonts w:ascii="Arial" w:hAnsi="Arial" w:cs="Arial"/>
        </w:rPr>
        <w:t xml:space="preserve">protects biodiversity and </w:t>
      </w:r>
    </w:p>
    <w:p w14:paraId="09FC039C" w14:textId="77777777" w:rsidR="00852130" w:rsidRPr="00745196" w:rsidRDefault="00852130" w:rsidP="00852130">
      <w:pPr>
        <w:pStyle w:val="ListParagraph"/>
        <w:numPr>
          <w:ilvl w:val="0"/>
          <w:numId w:val="1"/>
        </w:numPr>
        <w:spacing w:after="0" w:line="240" w:lineRule="auto"/>
        <w:ind w:right="-46"/>
        <w:jc w:val="both"/>
        <w:rPr>
          <w:rFonts w:ascii="Arial" w:hAnsi="Arial" w:cs="Arial"/>
        </w:rPr>
      </w:pPr>
      <w:r w:rsidRPr="00745196">
        <w:rPr>
          <w:rFonts w:ascii="Arial" w:hAnsi="Arial" w:cs="Arial"/>
        </w:rPr>
        <w:t xml:space="preserve">addresses the serious threats of climate change, marine </w:t>
      </w:r>
      <w:proofErr w:type="gramStart"/>
      <w:r w:rsidRPr="00745196">
        <w:rPr>
          <w:rFonts w:ascii="Arial" w:hAnsi="Arial" w:cs="Arial"/>
        </w:rPr>
        <w:t>litter</w:t>
      </w:r>
      <w:proofErr w:type="gramEnd"/>
      <w:r w:rsidRPr="00745196">
        <w:rPr>
          <w:rFonts w:ascii="Arial" w:hAnsi="Arial" w:cs="Arial"/>
        </w:rPr>
        <w:t xml:space="preserve"> and pollution. </w:t>
      </w:r>
    </w:p>
    <w:p w14:paraId="24232275" w14:textId="77777777" w:rsidR="00852130" w:rsidRPr="00745196" w:rsidRDefault="00852130" w:rsidP="00852130">
      <w:pPr>
        <w:pStyle w:val="ListParagraph"/>
        <w:ind w:right="-46"/>
        <w:jc w:val="both"/>
        <w:rPr>
          <w:rFonts w:ascii="Arial" w:hAnsi="Arial" w:cs="Arial"/>
        </w:rPr>
      </w:pPr>
    </w:p>
    <w:p w14:paraId="72EDB17A" w14:textId="77777777" w:rsidR="00852130" w:rsidRPr="00745196" w:rsidRDefault="00852130" w:rsidP="00852130">
      <w:pPr>
        <w:ind w:right="-46"/>
        <w:jc w:val="both"/>
        <w:rPr>
          <w:rFonts w:ascii="Arial" w:eastAsia="Times New Roman" w:hAnsi="Arial" w:cs="Arial"/>
          <w:b/>
          <w:u w:val="single"/>
        </w:rPr>
      </w:pPr>
      <w:r w:rsidRPr="00745196">
        <w:rPr>
          <w:rFonts w:ascii="Arial" w:hAnsi="Arial" w:cs="Arial"/>
          <w:b/>
          <w:u w:val="single"/>
        </w:rPr>
        <w:t>Cefas in Kuwait</w:t>
      </w:r>
    </w:p>
    <w:p w14:paraId="23BE8065" w14:textId="77777777" w:rsidR="00852130" w:rsidRDefault="00852130" w:rsidP="00852130">
      <w:pPr>
        <w:ind w:right="-46"/>
        <w:jc w:val="both"/>
        <w:rPr>
          <w:rFonts w:ascii="Arial" w:hAnsi="Arial" w:cs="Arial"/>
        </w:rPr>
      </w:pPr>
      <w:r w:rsidRPr="00745196">
        <w:rPr>
          <w:rFonts w:ascii="Arial" w:hAnsi="Arial" w:cs="Arial"/>
        </w:rPr>
        <w:t>Cefas has an office in the British Embassy in Kuwait, and has been working in partnership with the Kuwait Environment Public Authority (KEPA) since 1999 to help the Kuwait Government initially build their</w:t>
      </w:r>
      <w:r>
        <w:rPr>
          <w:rFonts w:ascii="Arial" w:hAnsi="Arial" w:cs="Arial"/>
        </w:rPr>
        <w:t xml:space="preserve"> marine science</w:t>
      </w:r>
      <w:r w:rsidRPr="00745196">
        <w:rPr>
          <w:rFonts w:ascii="Arial" w:hAnsi="Arial" w:cs="Arial"/>
        </w:rPr>
        <w:t xml:space="preserve"> capacity</w:t>
      </w:r>
      <w:r>
        <w:rPr>
          <w:rFonts w:ascii="Arial" w:hAnsi="Arial" w:cs="Arial"/>
        </w:rPr>
        <w:t>,</w:t>
      </w:r>
      <w:r w:rsidRPr="00745196">
        <w:rPr>
          <w:rFonts w:ascii="Arial" w:hAnsi="Arial" w:cs="Arial"/>
        </w:rPr>
        <w:t xml:space="preserve"> and more recently</w:t>
      </w:r>
      <w:r>
        <w:rPr>
          <w:rFonts w:ascii="Arial" w:hAnsi="Arial" w:cs="Arial"/>
        </w:rPr>
        <w:t>,</w:t>
      </w:r>
      <w:r w:rsidRPr="00745196">
        <w:rPr>
          <w:rFonts w:ascii="Arial" w:hAnsi="Arial" w:cs="Arial"/>
        </w:rPr>
        <w:t xml:space="preserve"> </w:t>
      </w:r>
      <w:r>
        <w:rPr>
          <w:rFonts w:ascii="Arial" w:hAnsi="Arial" w:cs="Arial"/>
        </w:rPr>
        <w:t>interpret</w:t>
      </w:r>
      <w:r w:rsidRPr="00745196">
        <w:rPr>
          <w:rFonts w:ascii="Arial" w:hAnsi="Arial" w:cs="Arial"/>
        </w:rPr>
        <w:t xml:space="preserve"> and </w:t>
      </w:r>
      <w:r>
        <w:rPr>
          <w:rFonts w:ascii="Arial" w:hAnsi="Arial" w:cs="Arial"/>
        </w:rPr>
        <w:t xml:space="preserve">implement </w:t>
      </w:r>
      <w:r w:rsidRPr="00BA54BE">
        <w:rPr>
          <w:rFonts w:ascii="Arial" w:hAnsi="Arial" w:cs="Arial"/>
        </w:rPr>
        <w:t>requirements of the</w:t>
      </w:r>
      <w:r w:rsidRPr="00745196">
        <w:rPr>
          <w:rFonts w:ascii="Arial" w:hAnsi="Arial" w:cs="Arial"/>
        </w:rPr>
        <w:t>ir</w:t>
      </w:r>
      <w:r w:rsidRPr="00BA54BE">
        <w:rPr>
          <w:rFonts w:ascii="Arial" w:hAnsi="Arial" w:cs="Arial"/>
        </w:rPr>
        <w:t xml:space="preserve"> environment law </w:t>
      </w:r>
      <w:r>
        <w:rPr>
          <w:rFonts w:ascii="Arial" w:hAnsi="Arial" w:cs="Arial"/>
        </w:rPr>
        <w:t xml:space="preserve">into </w:t>
      </w:r>
      <w:r w:rsidRPr="00745196">
        <w:rPr>
          <w:rFonts w:ascii="Arial" w:hAnsi="Arial" w:cs="Arial"/>
        </w:rPr>
        <w:t>science-based protection of the</w:t>
      </w:r>
      <w:r w:rsidRPr="00BA54BE">
        <w:rPr>
          <w:rFonts w:ascii="Arial" w:hAnsi="Arial" w:cs="Arial"/>
        </w:rPr>
        <w:t xml:space="preserve"> marine environment.</w:t>
      </w:r>
      <w:r w:rsidRPr="00745196">
        <w:rPr>
          <w:rFonts w:ascii="Arial" w:hAnsi="Arial" w:cs="Arial"/>
        </w:rPr>
        <w:t xml:space="preserve"> </w:t>
      </w:r>
    </w:p>
    <w:p w14:paraId="5E506BE5" w14:textId="77777777" w:rsidR="00852130" w:rsidRPr="00745196" w:rsidRDefault="00852130" w:rsidP="00852130">
      <w:pPr>
        <w:ind w:right="-46"/>
        <w:jc w:val="both"/>
        <w:rPr>
          <w:rFonts w:ascii="Arial" w:hAnsi="Arial" w:cs="Arial"/>
        </w:rPr>
      </w:pPr>
      <w:r w:rsidRPr="00745196">
        <w:rPr>
          <w:rFonts w:ascii="Arial" w:hAnsi="Arial" w:cs="Arial"/>
        </w:rPr>
        <w:t>The Cefas partnership with KEPA is about to enter a new phase that will involve the collection of significant quantities of new marine data across all Kuwaiti waters, establish international-standard in-country laboratory facilities and develop a new Geo-environmental database.</w:t>
      </w:r>
    </w:p>
    <w:p w14:paraId="4E481BCA" w14:textId="77777777" w:rsidR="00852130" w:rsidRPr="00745196" w:rsidRDefault="00852130" w:rsidP="00852130">
      <w:pPr>
        <w:ind w:right="-46"/>
        <w:jc w:val="both"/>
        <w:rPr>
          <w:rFonts w:ascii="Arial" w:hAnsi="Arial" w:cs="Arial"/>
          <w:b/>
          <w:u w:val="single"/>
        </w:rPr>
      </w:pPr>
      <w:r w:rsidRPr="00745196">
        <w:rPr>
          <w:rFonts w:ascii="Arial" w:hAnsi="Arial" w:cs="Arial"/>
          <w:b/>
          <w:u w:val="single"/>
        </w:rPr>
        <w:t>Opportunities for partners</w:t>
      </w:r>
    </w:p>
    <w:p w14:paraId="3F5EE7EE" w14:textId="77777777" w:rsidR="00852130" w:rsidRPr="00745196" w:rsidRDefault="00852130" w:rsidP="00852130">
      <w:pPr>
        <w:ind w:right="-46"/>
        <w:jc w:val="both"/>
        <w:rPr>
          <w:rFonts w:ascii="Arial" w:hAnsi="Arial" w:cs="Arial"/>
        </w:rPr>
      </w:pPr>
      <w:r w:rsidRPr="00745196">
        <w:rPr>
          <w:rFonts w:ascii="Arial" w:hAnsi="Arial" w:cs="Arial"/>
        </w:rPr>
        <w:t xml:space="preserve">The broad scale and technically diverse nature of this programme of work will require Cefas to </w:t>
      </w:r>
      <w:proofErr w:type="gramStart"/>
      <w:r w:rsidRPr="00745196">
        <w:rPr>
          <w:rFonts w:ascii="Arial" w:hAnsi="Arial" w:cs="Arial"/>
        </w:rPr>
        <w:t>partner</w:t>
      </w:r>
      <w:proofErr w:type="gramEnd"/>
      <w:r w:rsidRPr="00745196">
        <w:rPr>
          <w:rFonts w:ascii="Arial" w:hAnsi="Arial" w:cs="Arial"/>
        </w:rPr>
        <w:t xml:space="preserve"> with SMEs and international </w:t>
      </w:r>
      <w:r>
        <w:rPr>
          <w:rFonts w:ascii="Arial" w:hAnsi="Arial" w:cs="Arial"/>
        </w:rPr>
        <w:t xml:space="preserve">companies </w:t>
      </w:r>
      <w:r w:rsidRPr="00745196">
        <w:rPr>
          <w:rFonts w:ascii="Arial" w:hAnsi="Arial" w:cs="Arial"/>
        </w:rPr>
        <w:t xml:space="preserve">to successfully meet the demanding requirements of the Kuwaiti Government. Therefore, a range of subcontracted products and services will be offered to the market via an open, </w:t>
      </w:r>
      <w:proofErr w:type="gramStart"/>
      <w:r w:rsidRPr="00745196">
        <w:rPr>
          <w:rFonts w:ascii="Arial" w:hAnsi="Arial" w:cs="Arial"/>
        </w:rPr>
        <w:t>transparent</w:t>
      </w:r>
      <w:proofErr w:type="gramEnd"/>
      <w:r w:rsidRPr="00745196">
        <w:rPr>
          <w:rFonts w:ascii="Arial" w:hAnsi="Arial" w:cs="Arial"/>
        </w:rPr>
        <w:t xml:space="preserve"> and competitive process. It is estimated that the total value of the subcontracted work will be in the region of </w:t>
      </w:r>
      <w:r w:rsidRPr="00745196">
        <w:rPr>
          <w:rFonts w:ascii="Arial" w:hAnsi="Arial" w:cs="Arial"/>
          <w:b/>
        </w:rPr>
        <w:t>£20M</w:t>
      </w:r>
      <w:r w:rsidRPr="00745196">
        <w:rPr>
          <w:rFonts w:ascii="Arial" w:hAnsi="Arial" w:cs="Arial"/>
        </w:rPr>
        <w:t>.</w:t>
      </w:r>
      <w:r w:rsidRPr="00745196">
        <w:rPr>
          <w:rFonts w:ascii="Arial" w:hAnsi="Arial" w:cs="Arial"/>
          <w:b/>
        </w:rPr>
        <w:t xml:space="preserve"> </w:t>
      </w:r>
      <w:r w:rsidRPr="00745196">
        <w:rPr>
          <w:rFonts w:ascii="Arial" w:hAnsi="Arial" w:cs="Arial"/>
        </w:rPr>
        <w:t xml:space="preserve">Opportunities will be advertised using the Delta e-Procurement system </w:t>
      </w:r>
      <w:hyperlink r:id="rId5" w:history="1">
        <w:r w:rsidRPr="00745196">
          <w:rPr>
            <w:rStyle w:val="Hyperlink"/>
            <w:rFonts w:ascii="Arial" w:hAnsi="Arial" w:cs="Arial"/>
          </w:rPr>
          <w:t>https://www.delta-esourcing.com/</w:t>
        </w:r>
      </w:hyperlink>
      <w:r>
        <w:rPr>
          <w:rFonts w:ascii="Arial" w:hAnsi="Arial" w:cs="Arial"/>
        </w:rPr>
        <w:t>.</w:t>
      </w:r>
      <w:r w:rsidRPr="00745196">
        <w:rPr>
          <w:rFonts w:ascii="Arial" w:hAnsi="Arial" w:cs="Arial"/>
        </w:rPr>
        <w:t xml:space="preserve"> </w:t>
      </w:r>
    </w:p>
    <w:p w14:paraId="36F45D3E" w14:textId="77777777" w:rsidR="00852130" w:rsidRPr="00745196" w:rsidRDefault="00852130" w:rsidP="00852130">
      <w:pPr>
        <w:ind w:right="-46"/>
        <w:rPr>
          <w:rFonts w:ascii="Arial" w:hAnsi="Arial" w:cs="Arial"/>
        </w:rPr>
      </w:pPr>
      <w:r w:rsidRPr="00745196">
        <w:rPr>
          <w:rFonts w:ascii="Arial" w:hAnsi="Arial" w:cs="Arial"/>
        </w:rPr>
        <w:t xml:space="preserve">As part of the procurement clarification process, </w:t>
      </w:r>
      <w:r>
        <w:rPr>
          <w:rFonts w:ascii="Arial" w:hAnsi="Arial" w:cs="Arial"/>
        </w:rPr>
        <w:t>s</w:t>
      </w:r>
      <w:r w:rsidRPr="00745196">
        <w:rPr>
          <w:rFonts w:ascii="Arial" w:hAnsi="Arial" w:cs="Arial"/>
        </w:rPr>
        <w:t xml:space="preserve">upplier </w:t>
      </w:r>
      <w:r>
        <w:rPr>
          <w:rFonts w:ascii="Arial" w:hAnsi="Arial" w:cs="Arial"/>
        </w:rPr>
        <w:t>e</w:t>
      </w:r>
      <w:r w:rsidRPr="00745196">
        <w:rPr>
          <w:rFonts w:ascii="Arial" w:hAnsi="Arial" w:cs="Arial"/>
        </w:rPr>
        <w:t xml:space="preserve">ngagement events will be held in Kuwait and London (dates to be confirmed). Although attendance to these events is not mandatory, interested parties are encouraged to attend at least one of the events which will be informative and provide opportunity to gain additional context to the procurements. Cefas representatives will be in attendance, providing a useful opportunity to ask clarifying questions on the technical content of the packs. The Kuwaiti event will also include site visits </w:t>
      </w:r>
      <w:r>
        <w:rPr>
          <w:rFonts w:ascii="Arial" w:hAnsi="Arial" w:cs="Arial"/>
        </w:rPr>
        <w:t>to</w:t>
      </w:r>
      <w:r w:rsidRPr="00745196">
        <w:rPr>
          <w:rFonts w:ascii="Arial" w:hAnsi="Arial" w:cs="Arial"/>
        </w:rPr>
        <w:t xml:space="preserve"> </w:t>
      </w:r>
      <w:r>
        <w:rPr>
          <w:rFonts w:ascii="Arial" w:hAnsi="Arial" w:cs="Arial"/>
        </w:rPr>
        <w:t>specific</w:t>
      </w:r>
      <w:r w:rsidRPr="00745196">
        <w:rPr>
          <w:rFonts w:ascii="Arial" w:hAnsi="Arial" w:cs="Arial"/>
        </w:rPr>
        <w:t xml:space="preserve"> areas of the EPA facility </w:t>
      </w:r>
      <w:r>
        <w:rPr>
          <w:rFonts w:ascii="Arial" w:hAnsi="Arial" w:cs="Arial"/>
        </w:rPr>
        <w:t>relevant to</w:t>
      </w:r>
      <w:r w:rsidRPr="00745196">
        <w:rPr>
          <w:rFonts w:ascii="Arial" w:hAnsi="Arial" w:cs="Arial"/>
        </w:rPr>
        <w:t xml:space="preserve"> some of the ITTs.</w:t>
      </w:r>
    </w:p>
    <w:p w14:paraId="57A9EDD0" w14:textId="77777777" w:rsidR="00852130" w:rsidRDefault="00852130" w:rsidP="00852130">
      <w:pPr>
        <w:ind w:right="-46"/>
        <w:jc w:val="both"/>
        <w:rPr>
          <w:rFonts w:ascii="Arial" w:hAnsi="Arial" w:cs="Arial"/>
        </w:rPr>
      </w:pPr>
      <w:r w:rsidRPr="00745196">
        <w:rPr>
          <w:rFonts w:ascii="Arial" w:hAnsi="Arial" w:cs="Arial"/>
        </w:rPr>
        <w:lastRenderedPageBreak/>
        <w:t xml:space="preserve">For interested parties that are unable to attend either </w:t>
      </w:r>
      <w:r>
        <w:rPr>
          <w:rFonts w:ascii="Arial" w:hAnsi="Arial" w:cs="Arial"/>
        </w:rPr>
        <w:t xml:space="preserve">of the Supplier Engagement </w:t>
      </w:r>
      <w:r w:rsidRPr="00745196">
        <w:rPr>
          <w:rFonts w:ascii="Arial" w:hAnsi="Arial" w:cs="Arial"/>
        </w:rPr>
        <w:t>event</w:t>
      </w:r>
      <w:r>
        <w:rPr>
          <w:rFonts w:ascii="Arial" w:hAnsi="Arial" w:cs="Arial"/>
        </w:rPr>
        <w:t>s,</w:t>
      </w:r>
      <w:r w:rsidRPr="00745196">
        <w:rPr>
          <w:rFonts w:ascii="Arial" w:hAnsi="Arial" w:cs="Arial"/>
        </w:rPr>
        <w:t xml:space="preserve"> a standard</w:t>
      </w:r>
      <w:r>
        <w:rPr>
          <w:rFonts w:ascii="Arial" w:hAnsi="Arial" w:cs="Arial"/>
        </w:rPr>
        <w:t xml:space="preserve"> ITT</w:t>
      </w:r>
      <w:r w:rsidRPr="00745196">
        <w:rPr>
          <w:rFonts w:ascii="Arial" w:hAnsi="Arial" w:cs="Arial"/>
        </w:rPr>
        <w:t xml:space="preserve"> clarification process will </w:t>
      </w:r>
      <w:r>
        <w:rPr>
          <w:rFonts w:ascii="Arial" w:hAnsi="Arial" w:cs="Arial"/>
        </w:rPr>
        <w:t xml:space="preserve">be </w:t>
      </w:r>
      <w:r w:rsidRPr="00745196">
        <w:rPr>
          <w:rFonts w:ascii="Arial" w:hAnsi="Arial" w:cs="Arial"/>
        </w:rPr>
        <w:t xml:space="preserve">in place. Parties will have </w:t>
      </w:r>
      <w:proofErr w:type="gramStart"/>
      <w:r>
        <w:rPr>
          <w:rFonts w:ascii="Arial" w:hAnsi="Arial" w:cs="Arial"/>
        </w:rPr>
        <w:t>ample</w:t>
      </w:r>
      <w:r w:rsidRPr="00745196">
        <w:rPr>
          <w:rFonts w:ascii="Arial" w:hAnsi="Arial" w:cs="Arial"/>
        </w:rPr>
        <w:t xml:space="preserve"> opportunity</w:t>
      </w:r>
      <w:proofErr w:type="gramEnd"/>
      <w:r w:rsidRPr="00745196">
        <w:rPr>
          <w:rFonts w:ascii="Arial" w:hAnsi="Arial" w:cs="Arial"/>
        </w:rPr>
        <w:t xml:space="preserve"> to submit </w:t>
      </w:r>
      <w:r>
        <w:rPr>
          <w:rFonts w:ascii="Arial" w:hAnsi="Arial" w:cs="Arial"/>
        </w:rPr>
        <w:t xml:space="preserve">their </w:t>
      </w:r>
      <w:r w:rsidRPr="00745196">
        <w:rPr>
          <w:rFonts w:ascii="Arial" w:hAnsi="Arial" w:cs="Arial"/>
        </w:rPr>
        <w:t xml:space="preserve">questions via electronic means </w:t>
      </w:r>
      <w:r>
        <w:rPr>
          <w:rFonts w:ascii="Arial" w:hAnsi="Arial" w:cs="Arial"/>
        </w:rPr>
        <w:t>(</w:t>
      </w:r>
      <w:r w:rsidRPr="00745196">
        <w:rPr>
          <w:rFonts w:ascii="Arial" w:hAnsi="Arial" w:cs="Arial"/>
        </w:rPr>
        <w:t>as detailed in the ITT packs upon release</w:t>
      </w:r>
      <w:r>
        <w:rPr>
          <w:rFonts w:ascii="Arial" w:hAnsi="Arial" w:cs="Arial"/>
        </w:rPr>
        <w:t>)</w:t>
      </w:r>
      <w:r w:rsidRPr="00745196">
        <w:rPr>
          <w:rFonts w:ascii="Arial" w:hAnsi="Arial" w:cs="Arial"/>
        </w:rPr>
        <w:t>.</w:t>
      </w:r>
    </w:p>
    <w:p w14:paraId="2D1519AF" w14:textId="77777777" w:rsidR="00852130" w:rsidRPr="00557E64" w:rsidRDefault="00852130" w:rsidP="00852130">
      <w:pPr>
        <w:ind w:right="-46"/>
        <w:jc w:val="both"/>
        <w:rPr>
          <w:rFonts w:ascii="Arial" w:hAnsi="Arial" w:cs="Arial"/>
        </w:rPr>
      </w:pPr>
      <w:r w:rsidRPr="00745196">
        <w:rPr>
          <w:rFonts w:ascii="Arial" w:hAnsi="Arial" w:cs="Arial"/>
        </w:rPr>
        <w:br/>
        <w:t xml:space="preserve">A summary of the Invitation to Tender (ITT) packs and the Lot structures are described in the table below. Potential suppliers interested in wishing </w:t>
      </w:r>
      <w:r>
        <w:rPr>
          <w:rFonts w:ascii="Arial" w:hAnsi="Arial" w:cs="Arial"/>
        </w:rPr>
        <w:t>to</w:t>
      </w:r>
      <w:r w:rsidRPr="00745196">
        <w:rPr>
          <w:rFonts w:ascii="Arial" w:hAnsi="Arial" w:cs="Arial"/>
        </w:rPr>
        <w:t xml:space="preserve"> register early interest can contact </w:t>
      </w:r>
      <w:hyperlink r:id="rId6" w:history="1">
        <w:r w:rsidRPr="00745196">
          <w:rPr>
            <w:rStyle w:val="Hyperlink"/>
            <w:rFonts w:ascii="Arial" w:hAnsi="Arial" w:cs="Arial"/>
          </w:rPr>
          <w:t>emisk@cefas.co.uk</w:t>
        </w:r>
      </w:hyperlink>
      <w:r w:rsidRPr="00745196">
        <w:rPr>
          <w:rFonts w:ascii="Arial" w:hAnsi="Arial" w:cs="Arial"/>
        </w:rPr>
        <w:t>.</w:t>
      </w:r>
    </w:p>
    <w:tbl>
      <w:tblPr>
        <w:tblpPr w:leftFromText="180" w:rightFromText="180" w:vertAnchor="text" w:tblpY="1"/>
        <w:tblOverlap w:val="never"/>
        <w:tblW w:w="9346" w:type="dxa"/>
        <w:tblCellMar>
          <w:left w:w="0" w:type="dxa"/>
          <w:right w:w="0" w:type="dxa"/>
        </w:tblCellMar>
        <w:tblLook w:val="04A0" w:firstRow="1" w:lastRow="0" w:firstColumn="1" w:lastColumn="0" w:noHBand="0" w:noVBand="1"/>
      </w:tblPr>
      <w:tblGrid>
        <w:gridCol w:w="3702"/>
        <w:gridCol w:w="5644"/>
      </w:tblGrid>
      <w:tr w:rsidR="00852130" w:rsidRPr="000173B6" w14:paraId="4A748ED6" w14:textId="77777777" w:rsidTr="00F07352">
        <w:trPr>
          <w:trHeight w:val="397"/>
        </w:trPr>
        <w:tc>
          <w:tcPr>
            <w:tcW w:w="3702" w:type="dxa"/>
            <w:tcBorders>
              <w:top w:val="single" w:sz="8" w:space="0" w:color="auto"/>
              <w:left w:val="single" w:sz="8" w:space="0" w:color="auto"/>
              <w:bottom w:val="single" w:sz="8" w:space="0" w:color="auto"/>
              <w:right w:val="single" w:sz="8" w:space="0" w:color="auto"/>
            </w:tcBorders>
            <w:shd w:val="clear" w:color="auto" w:fill="002060"/>
            <w:tcMar>
              <w:top w:w="15" w:type="dxa"/>
              <w:left w:w="108" w:type="dxa"/>
              <w:bottom w:w="15" w:type="dxa"/>
              <w:right w:w="108" w:type="dxa"/>
            </w:tcMar>
            <w:vAlign w:val="center"/>
            <w:hideMark/>
          </w:tcPr>
          <w:p w14:paraId="1D870F3D" w14:textId="77777777" w:rsidR="00852130" w:rsidRPr="000173B6" w:rsidRDefault="00852130" w:rsidP="00F07352">
            <w:pPr>
              <w:rPr>
                <w:rFonts w:ascii="Arial" w:hAnsi="Arial" w:cs="Arial"/>
                <w:b/>
                <w:bCs/>
                <w:color w:val="FFFFFF" w:themeColor="background1"/>
              </w:rPr>
            </w:pPr>
            <w:r w:rsidRPr="000173B6">
              <w:rPr>
                <w:rFonts w:ascii="Arial" w:hAnsi="Arial" w:cs="Arial"/>
                <w:b/>
                <w:bCs/>
                <w:color w:val="FFFFFF" w:themeColor="background1"/>
              </w:rPr>
              <w:t>ITT Pack</w:t>
            </w:r>
          </w:p>
        </w:tc>
        <w:tc>
          <w:tcPr>
            <w:tcW w:w="5644" w:type="dxa"/>
            <w:tcBorders>
              <w:top w:val="single" w:sz="8" w:space="0" w:color="auto"/>
              <w:left w:val="nil"/>
              <w:bottom w:val="single" w:sz="8" w:space="0" w:color="auto"/>
              <w:right w:val="single" w:sz="8" w:space="0" w:color="auto"/>
            </w:tcBorders>
            <w:shd w:val="clear" w:color="auto" w:fill="002060"/>
            <w:tcMar>
              <w:top w:w="15" w:type="dxa"/>
              <w:left w:w="108" w:type="dxa"/>
              <w:bottom w:w="15" w:type="dxa"/>
              <w:right w:w="108" w:type="dxa"/>
            </w:tcMar>
            <w:vAlign w:val="center"/>
            <w:hideMark/>
          </w:tcPr>
          <w:p w14:paraId="616067A2" w14:textId="77777777" w:rsidR="00852130" w:rsidRPr="000173B6" w:rsidRDefault="00852130" w:rsidP="00F07352">
            <w:pPr>
              <w:rPr>
                <w:rFonts w:ascii="Arial" w:hAnsi="Arial" w:cs="Arial"/>
                <w:b/>
                <w:bCs/>
                <w:color w:val="FFFFFF" w:themeColor="background1"/>
              </w:rPr>
            </w:pPr>
            <w:r w:rsidRPr="000173B6">
              <w:rPr>
                <w:rFonts w:ascii="Arial" w:hAnsi="Arial" w:cs="Arial"/>
                <w:b/>
                <w:bCs/>
                <w:color w:val="FFFFFF" w:themeColor="background1"/>
              </w:rPr>
              <w:t>ITT Pack Lots</w:t>
            </w:r>
          </w:p>
        </w:tc>
      </w:tr>
      <w:tr w:rsidR="00852130" w:rsidRPr="000173B6" w14:paraId="4AB4C692" w14:textId="77777777" w:rsidTr="00F07352">
        <w:trPr>
          <w:trHeight w:val="397"/>
        </w:trPr>
        <w:tc>
          <w:tcPr>
            <w:tcW w:w="3702" w:type="dxa"/>
            <w:vMerge w:val="restart"/>
            <w:tcBorders>
              <w:top w:val="single" w:sz="8" w:space="0" w:color="auto"/>
              <w:left w:val="single" w:sz="8" w:space="0" w:color="auto"/>
              <w:right w:val="single" w:sz="8" w:space="0" w:color="auto"/>
            </w:tcBorders>
            <w:shd w:val="clear" w:color="auto" w:fill="F2F2F2" w:themeFill="background1" w:themeFillShade="F2"/>
            <w:tcMar>
              <w:top w:w="15" w:type="dxa"/>
              <w:left w:w="108" w:type="dxa"/>
              <w:bottom w:w="15" w:type="dxa"/>
              <w:right w:w="108" w:type="dxa"/>
            </w:tcMar>
            <w:vAlign w:val="center"/>
          </w:tcPr>
          <w:p w14:paraId="7498918A"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1. General Services </w:t>
            </w:r>
          </w:p>
        </w:tc>
        <w:tc>
          <w:tcPr>
            <w:tcW w:w="5644" w:type="dxa"/>
            <w:tcBorders>
              <w:top w:val="single" w:sz="8" w:space="0" w:color="auto"/>
              <w:left w:val="nil"/>
              <w:bottom w:val="nil"/>
              <w:right w:val="single" w:sz="8" w:space="0" w:color="auto"/>
            </w:tcBorders>
            <w:shd w:val="clear" w:color="auto" w:fill="F2F2F2" w:themeFill="background1" w:themeFillShade="F2"/>
            <w:tcMar>
              <w:top w:w="15" w:type="dxa"/>
              <w:left w:w="108" w:type="dxa"/>
              <w:bottom w:w="15" w:type="dxa"/>
              <w:right w:w="108" w:type="dxa"/>
            </w:tcMar>
            <w:vAlign w:val="center"/>
          </w:tcPr>
          <w:p w14:paraId="1C144742"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1. Facilities management service</w:t>
            </w:r>
          </w:p>
          <w:p w14:paraId="50FE66A6"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2. Vehicle</w:t>
            </w:r>
          </w:p>
        </w:tc>
      </w:tr>
      <w:tr w:rsidR="00852130" w:rsidRPr="000173B6" w14:paraId="754E7810" w14:textId="77777777" w:rsidTr="00F07352">
        <w:trPr>
          <w:trHeight w:val="397"/>
        </w:trPr>
        <w:tc>
          <w:tcPr>
            <w:tcW w:w="3702" w:type="dxa"/>
            <w:vMerge/>
            <w:tcBorders>
              <w:left w:val="single" w:sz="8" w:space="0" w:color="auto"/>
              <w:right w:val="single" w:sz="8" w:space="0" w:color="auto"/>
            </w:tcBorders>
            <w:shd w:val="clear" w:color="auto" w:fill="F2F2F2" w:themeFill="background1" w:themeFillShade="F2"/>
            <w:tcMar>
              <w:top w:w="15" w:type="dxa"/>
              <w:left w:w="108" w:type="dxa"/>
              <w:bottom w:w="15" w:type="dxa"/>
              <w:right w:w="108" w:type="dxa"/>
            </w:tcMar>
            <w:vAlign w:val="center"/>
          </w:tcPr>
          <w:p w14:paraId="1432A7D5"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shd w:val="clear" w:color="auto" w:fill="F2F2F2" w:themeFill="background1" w:themeFillShade="F2"/>
            <w:tcMar>
              <w:top w:w="15" w:type="dxa"/>
              <w:left w:w="108" w:type="dxa"/>
              <w:bottom w:w="15" w:type="dxa"/>
              <w:right w:w="108" w:type="dxa"/>
            </w:tcMar>
            <w:vAlign w:val="center"/>
          </w:tcPr>
          <w:p w14:paraId="765D5338"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3. Logistical support services</w:t>
            </w:r>
          </w:p>
        </w:tc>
      </w:tr>
      <w:tr w:rsidR="00852130" w:rsidRPr="000173B6" w14:paraId="26E72A61" w14:textId="77777777" w:rsidTr="00F07352">
        <w:trPr>
          <w:trHeight w:val="397"/>
        </w:trPr>
        <w:tc>
          <w:tcPr>
            <w:tcW w:w="3702" w:type="dxa"/>
            <w:vMerge w:val="restart"/>
            <w:tcBorders>
              <w:top w:val="single" w:sz="4" w:space="0" w:color="auto"/>
              <w:left w:val="single" w:sz="8" w:space="0" w:color="auto"/>
              <w:bottom w:val="nil"/>
              <w:right w:val="single" w:sz="8" w:space="0" w:color="auto"/>
            </w:tcBorders>
            <w:tcMar>
              <w:top w:w="15" w:type="dxa"/>
              <w:left w:w="108" w:type="dxa"/>
              <w:bottom w:w="15" w:type="dxa"/>
              <w:right w:w="108" w:type="dxa"/>
            </w:tcMar>
            <w:vAlign w:val="center"/>
            <w:hideMark/>
          </w:tcPr>
          <w:p w14:paraId="5E60ED3B"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2. Survey Work</w:t>
            </w:r>
          </w:p>
        </w:tc>
        <w:tc>
          <w:tcPr>
            <w:tcW w:w="5644" w:type="dxa"/>
            <w:tcBorders>
              <w:top w:val="single" w:sz="4" w:space="0" w:color="auto"/>
              <w:left w:val="nil"/>
              <w:bottom w:val="nil"/>
              <w:right w:val="single" w:sz="8" w:space="0" w:color="auto"/>
            </w:tcBorders>
            <w:tcMar>
              <w:top w:w="15" w:type="dxa"/>
              <w:left w:w="108" w:type="dxa"/>
              <w:bottom w:w="15" w:type="dxa"/>
              <w:right w:w="108" w:type="dxa"/>
            </w:tcMar>
            <w:vAlign w:val="center"/>
            <w:hideMark/>
          </w:tcPr>
          <w:p w14:paraId="4779CE2B"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1. Inshore and offshore trawling surveys</w:t>
            </w:r>
          </w:p>
        </w:tc>
      </w:tr>
      <w:tr w:rsidR="00852130" w:rsidRPr="000173B6" w14:paraId="4F905B09" w14:textId="77777777" w:rsidTr="00F07352">
        <w:trPr>
          <w:trHeight w:val="397"/>
        </w:trPr>
        <w:tc>
          <w:tcPr>
            <w:tcW w:w="3702" w:type="dxa"/>
            <w:vMerge/>
            <w:tcBorders>
              <w:top w:val="nil"/>
              <w:left w:val="single" w:sz="8" w:space="0" w:color="auto"/>
              <w:bottom w:val="nil"/>
              <w:right w:val="single" w:sz="8" w:space="0" w:color="auto"/>
            </w:tcBorders>
            <w:vAlign w:val="center"/>
            <w:hideMark/>
          </w:tcPr>
          <w:p w14:paraId="0D518E27"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tcMar>
              <w:top w:w="15" w:type="dxa"/>
              <w:left w:w="108" w:type="dxa"/>
              <w:bottom w:w="15" w:type="dxa"/>
              <w:right w:w="108" w:type="dxa"/>
            </w:tcMar>
            <w:vAlign w:val="center"/>
            <w:hideMark/>
          </w:tcPr>
          <w:p w14:paraId="0CC72984"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2. Bird, </w:t>
            </w:r>
            <w:proofErr w:type="gramStart"/>
            <w:r w:rsidRPr="00A064A2">
              <w:rPr>
                <w:rFonts w:ascii="Arial" w:hAnsi="Arial" w:cs="Arial"/>
                <w:color w:val="000000"/>
              </w:rPr>
              <w:t>turtle</w:t>
            </w:r>
            <w:proofErr w:type="gramEnd"/>
            <w:r w:rsidRPr="00A064A2">
              <w:rPr>
                <w:rFonts w:ascii="Arial" w:hAnsi="Arial" w:cs="Arial"/>
                <w:color w:val="000000"/>
              </w:rPr>
              <w:t xml:space="preserve"> and cetacean surveys</w:t>
            </w:r>
          </w:p>
        </w:tc>
      </w:tr>
      <w:tr w:rsidR="00852130" w:rsidRPr="000173B6" w14:paraId="64887F39" w14:textId="77777777" w:rsidTr="00F07352">
        <w:trPr>
          <w:trHeight w:val="397"/>
        </w:trPr>
        <w:tc>
          <w:tcPr>
            <w:tcW w:w="3702" w:type="dxa"/>
            <w:vMerge/>
            <w:tcBorders>
              <w:top w:val="nil"/>
              <w:left w:val="single" w:sz="8" w:space="0" w:color="auto"/>
              <w:bottom w:val="nil"/>
              <w:right w:val="single" w:sz="8" w:space="0" w:color="auto"/>
            </w:tcBorders>
            <w:vAlign w:val="center"/>
            <w:hideMark/>
          </w:tcPr>
          <w:p w14:paraId="700136F1"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tcMar>
              <w:top w:w="15" w:type="dxa"/>
              <w:left w:w="108" w:type="dxa"/>
              <w:bottom w:w="15" w:type="dxa"/>
              <w:right w:w="108" w:type="dxa"/>
            </w:tcMar>
            <w:vAlign w:val="center"/>
            <w:hideMark/>
          </w:tcPr>
          <w:p w14:paraId="79A5B11C"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3. Habitat, </w:t>
            </w:r>
            <w:proofErr w:type="gramStart"/>
            <w:r w:rsidRPr="00A064A2">
              <w:rPr>
                <w:rFonts w:ascii="Arial" w:hAnsi="Arial" w:cs="Arial"/>
                <w:color w:val="000000"/>
              </w:rPr>
              <w:t>algae</w:t>
            </w:r>
            <w:proofErr w:type="gramEnd"/>
            <w:r w:rsidRPr="00A064A2">
              <w:rPr>
                <w:rFonts w:ascii="Arial" w:hAnsi="Arial" w:cs="Arial"/>
                <w:color w:val="000000"/>
              </w:rPr>
              <w:t xml:space="preserve"> and litter surveys</w:t>
            </w:r>
          </w:p>
        </w:tc>
      </w:tr>
      <w:tr w:rsidR="00852130" w:rsidRPr="000173B6" w14:paraId="542881F6" w14:textId="77777777" w:rsidTr="00F07352">
        <w:trPr>
          <w:trHeight w:val="397"/>
        </w:trPr>
        <w:tc>
          <w:tcPr>
            <w:tcW w:w="3702" w:type="dxa"/>
            <w:vMerge/>
            <w:tcBorders>
              <w:top w:val="nil"/>
              <w:left w:val="single" w:sz="8" w:space="0" w:color="auto"/>
              <w:bottom w:val="nil"/>
              <w:right w:val="single" w:sz="8" w:space="0" w:color="auto"/>
            </w:tcBorders>
            <w:vAlign w:val="center"/>
            <w:hideMark/>
          </w:tcPr>
          <w:p w14:paraId="638597E1"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tcMar>
              <w:top w:w="15" w:type="dxa"/>
              <w:left w:w="108" w:type="dxa"/>
              <w:bottom w:w="15" w:type="dxa"/>
              <w:right w:w="108" w:type="dxa"/>
            </w:tcMar>
            <w:vAlign w:val="center"/>
            <w:hideMark/>
          </w:tcPr>
          <w:p w14:paraId="17207B57"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4. Dive surveys </w:t>
            </w:r>
          </w:p>
        </w:tc>
      </w:tr>
      <w:tr w:rsidR="00852130" w:rsidRPr="000173B6" w14:paraId="63C23B37" w14:textId="77777777" w:rsidTr="00F07352">
        <w:trPr>
          <w:trHeight w:val="397"/>
        </w:trPr>
        <w:tc>
          <w:tcPr>
            <w:tcW w:w="3702" w:type="dxa"/>
            <w:vMerge/>
            <w:tcBorders>
              <w:top w:val="nil"/>
              <w:left w:val="single" w:sz="8" w:space="0" w:color="auto"/>
              <w:bottom w:val="nil"/>
              <w:right w:val="single" w:sz="8" w:space="0" w:color="auto"/>
            </w:tcBorders>
            <w:vAlign w:val="center"/>
            <w:hideMark/>
          </w:tcPr>
          <w:p w14:paraId="310E8D8A"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tcMar>
              <w:top w:w="15" w:type="dxa"/>
              <w:left w:w="108" w:type="dxa"/>
              <w:bottom w:w="15" w:type="dxa"/>
              <w:right w:w="108" w:type="dxa"/>
            </w:tcMar>
            <w:vAlign w:val="center"/>
            <w:hideMark/>
          </w:tcPr>
          <w:p w14:paraId="1658B270"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5. Water sampling</w:t>
            </w:r>
          </w:p>
        </w:tc>
      </w:tr>
      <w:tr w:rsidR="00852130" w:rsidRPr="000173B6" w14:paraId="022AD367" w14:textId="77777777" w:rsidTr="00F07352">
        <w:trPr>
          <w:trHeight w:val="397"/>
        </w:trPr>
        <w:tc>
          <w:tcPr>
            <w:tcW w:w="3702" w:type="dxa"/>
            <w:vMerge/>
            <w:tcBorders>
              <w:top w:val="nil"/>
              <w:left w:val="single" w:sz="8" w:space="0" w:color="auto"/>
              <w:bottom w:val="nil"/>
              <w:right w:val="single" w:sz="8" w:space="0" w:color="auto"/>
            </w:tcBorders>
            <w:vAlign w:val="center"/>
            <w:hideMark/>
          </w:tcPr>
          <w:p w14:paraId="2D66A697"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tcMar>
              <w:top w:w="15" w:type="dxa"/>
              <w:left w:w="108" w:type="dxa"/>
              <w:bottom w:w="15" w:type="dxa"/>
              <w:right w:w="108" w:type="dxa"/>
            </w:tcMar>
            <w:vAlign w:val="center"/>
            <w:hideMark/>
          </w:tcPr>
          <w:p w14:paraId="5611C120"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6. Fisheries observers</w:t>
            </w:r>
          </w:p>
        </w:tc>
      </w:tr>
      <w:tr w:rsidR="00852130" w:rsidRPr="000173B6" w14:paraId="0E63E4C2" w14:textId="77777777" w:rsidTr="00F07352">
        <w:trPr>
          <w:trHeight w:val="397"/>
        </w:trPr>
        <w:tc>
          <w:tcPr>
            <w:tcW w:w="3702" w:type="dxa"/>
            <w:vMerge/>
            <w:tcBorders>
              <w:top w:val="nil"/>
              <w:left w:val="single" w:sz="8" w:space="0" w:color="auto"/>
              <w:bottom w:val="nil"/>
              <w:right w:val="single" w:sz="8" w:space="0" w:color="auto"/>
            </w:tcBorders>
            <w:vAlign w:val="center"/>
            <w:hideMark/>
          </w:tcPr>
          <w:p w14:paraId="3FFCC3AD"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tcMar>
              <w:top w:w="15" w:type="dxa"/>
              <w:left w:w="108" w:type="dxa"/>
              <w:bottom w:w="15" w:type="dxa"/>
              <w:right w:w="108" w:type="dxa"/>
            </w:tcMar>
            <w:vAlign w:val="center"/>
            <w:hideMark/>
          </w:tcPr>
          <w:p w14:paraId="5EEB9299"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7. Human activities surveys</w:t>
            </w:r>
          </w:p>
        </w:tc>
      </w:tr>
      <w:tr w:rsidR="00852130" w:rsidRPr="000173B6" w14:paraId="18A98707" w14:textId="77777777" w:rsidTr="00F07352">
        <w:trPr>
          <w:trHeight w:val="397"/>
        </w:trPr>
        <w:tc>
          <w:tcPr>
            <w:tcW w:w="3702" w:type="dxa"/>
            <w:vMerge/>
            <w:tcBorders>
              <w:top w:val="nil"/>
              <w:left w:val="single" w:sz="8" w:space="0" w:color="auto"/>
              <w:bottom w:val="nil"/>
              <w:right w:val="single" w:sz="8" w:space="0" w:color="auto"/>
            </w:tcBorders>
            <w:vAlign w:val="center"/>
            <w:hideMark/>
          </w:tcPr>
          <w:p w14:paraId="294B8C8B"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tcMar>
              <w:top w:w="15" w:type="dxa"/>
              <w:left w:w="108" w:type="dxa"/>
              <w:bottom w:w="15" w:type="dxa"/>
              <w:right w:w="108" w:type="dxa"/>
            </w:tcMar>
            <w:vAlign w:val="center"/>
            <w:hideMark/>
          </w:tcPr>
          <w:p w14:paraId="525B6E76"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8. Aerial, hydrographic, sediment sampling and drop camera surveys</w:t>
            </w:r>
          </w:p>
        </w:tc>
      </w:tr>
      <w:tr w:rsidR="00852130" w:rsidRPr="000173B6" w14:paraId="15BFE3A5" w14:textId="77777777" w:rsidTr="00F07352">
        <w:trPr>
          <w:trHeight w:val="397"/>
        </w:trPr>
        <w:tc>
          <w:tcPr>
            <w:tcW w:w="3702" w:type="dxa"/>
            <w:vMerge w:val="restart"/>
            <w:tcBorders>
              <w:top w:val="single" w:sz="8" w:space="0" w:color="auto"/>
              <w:left w:val="single" w:sz="8" w:space="0" w:color="auto"/>
              <w:right w:val="single" w:sz="8" w:space="0" w:color="auto"/>
            </w:tcBorders>
            <w:shd w:val="clear" w:color="auto" w:fill="F2F2F2"/>
            <w:tcMar>
              <w:top w:w="15" w:type="dxa"/>
              <w:left w:w="108" w:type="dxa"/>
              <w:bottom w:w="15" w:type="dxa"/>
              <w:right w:w="108" w:type="dxa"/>
            </w:tcMar>
            <w:vAlign w:val="center"/>
          </w:tcPr>
          <w:p w14:paraId="3AADC912"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3. Sample Analysis Framework</w:t>
            </w:r>
          </w:p>
        </w:tc>
        <w:tc>
          <w:tcPr>
            <w:tcW w:w="5644" w:type="dxa"/>
            <w:tcBorders>
              <w:top w:val="single" w:sz="8" w:space="0" w:color="auto"/>
              <w:left w:val="nil"/>
              <w:right w:val="single" w:sz="8" w:space="0" w:color="auto"/>
            </w:tcBorders>
            <w:shd w:val="clear" w:color="auto" w:fill="F2F2F2"/>
            <w:tcMar>
              <w:top w:w="15" w:type="dxa"/>
              <w:left w:w="108" w:type="dxa"/>
              <w:bottom w:w="15" w:type="dxa"/>
              <w:right w:w="108" w:type="dxa"/>
            </w:tcMar>
            <w:vAlign w:val="center"/>
          </w:tcPr>
          <w:p w14:paraId="380793DA"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1. Contaminant Analysis of Sediment</w:t>
            </w:r>
          </w:p>
        </w:tc>
      </w:tr>
      <w:tr w:rsidR="00852130" w:rsidRPr="000173B6" w14:paraId="395BC924"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7D8CF56C" w14:textId="77777777" w:rsidR="00852130" w:rsidRPr="00A064A2" w:rsidRDefault="00852130" w:rsidP="00F07352">
            <w:pPr>
              <w:spacing w:after="0" w:line="240" w:lineRule="auto"/>
              <w:rPr>
                <w:rFonts w:ascii="Arial" w:hAnsi="Arial" w:cs="Arial"/>
                <w:color w:val="000000"/>
              </w:rPr>
            </w:pPr>
          </w:p>
        </w:tc>
        <w:tc>
          <w:tcPr>
            <w:tcW w:w="5644" w:type="dxa"/>
            <w:tcBorders>
              <w:left w:val="nil"/>
              <w:bottom w:val="nil"/>
              <w:right w:val="single" w:sz="8" w:space="0" w:color="auto"/>
            </w:tcBorders>
            <w:shd w:val="clear" w:color="auto" w:fill="F2F2F2"/>
            <w:tcMar>
              <w:top w:w="15" w:type="dxa"/>
              <w:left w:w="108" w:type="dxa"/>
              <w:bottom w:w="15" w:type="dxa"/>
              <w:right w:w="108" w:type="dxa"/>
            </w:tcMar>
            <w:vAlign w:val="center"/>
          </w:tcPr>
          <w:p w14:paraId="23B03130"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2. PSA and TOC Analysis of Sediment</w:t>
            </w:r>
          </w:p>
        </w:tc>
      </w:tr>
      <w:tr w:rsidR="00852130" w:rsidRPr="000173B6" w14:paraId="323DA407"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11404798" w14:textId="77777777" w:rsidR="00852130" w:rsidRPr="00A064A2" w:rsidRDefault="00852130" w:rsidP="00F07352">
            <w:pPr>
              <w:spacing w:after="0" w:line="240" w:lineRule="auto"/>
              <w:rPr>
                <w:rFonts w:ascii="Arial" w:hAnsi="Arial" w:cs="Arial"/>
                <w:color w:val="000000"/>
              </w:rPr>
            </w:pPr>
          </w:p>
        </w:tc>
        <w:tc>
          <w:tcPr>
            <w:tcW w:w="5644" w:type="dxa"/>
            <w:tcBorders>
              <w:left w:val="nil"/>
              <w:bottom w:val="nil"/>
              <w:right w:val="single" w:sz="8" w:space="0" w:color="auto"/>
            </w:tcBorders>
            <w:shd w:val="clear" w:color="auto" w:fill="F2F2F2"/>
            <w:tcMar>
              <w:top w:w="15" w:type="dxa"/>
              <w:left w:w="108" w:type="dxa"/>
              <w:bottom w:w="15" w:type="dxa"/>
              <w:right w:w="108" w:type="dxa"/>
            </w:tcMar>
            <w:vAlign w:val="center"/>
          </w:tcPr>
          <w:p w14:paraId="6A0739B4" w14:textId="77777777" w:rsidR="00852130" w:rsidRPr="00A064A2" w:rsidRDefault="00852130" w:rsidP="00F07352">
            <w:pPr>
              <w:pStyle w:val="SOWBodyText"/>
              <w:rPr>
                <w:rFonts w:eastAsia="Times New Roman"/>
                <w:lang w:eastAsia="en-GB"/>
              </w:rPr>
            </w:pPr>
            <w:r w:rsidRPr="00A064A2">
              <w:rPr>
                <w:rFonts w:eastAsia="Times New Roman"/>
                <w:lang w:eastAsia="en-GB"/>
              </w:rPr>
              <w:t>3. Macrofaunal and macroalgal analysis</w:t>
            </w:r>
          </w:p>
        </w:tc>
      </w:tr>
      <w:tr w:rsidR="00852130" w:rsidRPr="000173B6" w14:paraId="380837FB"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01CA8121" w14:textId="77777777" w:rsidR="00852130" w:rsidRPr="00A064A2" w:rsidRDefault="00852130" w:rsidP="00F07352">
            <w:pPr>
              <w:spacing w:after="0" w:line="240" w:lineRule="auto"/>
              <w:rPr>
                <w:rFonts w:ascii="Arial" w:hAnsi="Arial" w:cs="Arial"/>
                <w:color w:val="000000"/>
              </w:rPr>
            </w:pPr>
          </w:p>
        </w:tc>
        <w:tc>
          <w:tcPr>
            <w:tcW w:w="5644" w:type="dxa"/>
            <w:tcBorders>
              <w:left w:val="nil"/>
              <w:bottom w:val="nil"/>
              <w:right w:val="single" w:sz="8" w:space="0" w:color="auto"/>
            </w:tcBorders>
            <w:shd w:val="clear" w:color="auto" w:fill="F2F2F2"/>
            <w:tcMar>
              <w:top w:w="15" w:type="dxa"/>
              <w:left w:w="108" w:type="dxa"/>
              <w:bottom w:w="15" w:type="dxa"/>
              <w:right w:w="108" w:type="dxa"/>
            </w:tcMar>
            <w:vAlign w:val="center"/>
          </w:tcPr>
          <w:p w14:paraId="50C887A2" w14:textId="77777777" w:rsidR="00852130" w:rsidRPr="00A064A2" w:rsidRDefault="00852130" w:rsidP="00F07352">
            <w:pPr>
              <w:pStyle w:val="SOWBodyText"/>
              <w:rPr>
                <w:rFonts w:eastAsia="Times New Roman"/>
                <w:lang w:eastAsia="en-GB"/>
              </w:rPr>
            </w:pPr>
            <w:r w:rsidRPr="00A064A2">
              <w:rPr>
                <w:rFonts w:eastAsia="Times New Roman"/>
                <w:lang w:eastAsia="en-GB"/>
              </w:rPr>
              <w:t>4. Contaminant analysis of offshore water</w:t>
            </w:r>
          </w:p>
        </w:tc>
      </w:tr>
      <w:tr w:rsidR="00852130" w:rsidRPr="000173B6" w14:paraId="7AAFBBBE"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2E5878C4" w14:textId="77777777" w:rsidR="00852130" w:rsidRPr="00A064A2" w:rsidRDefault="00852130" w:rsidP="00F07352">
            <w:pPr>
              <w:spacing w:after="0" w:line="240" w:lineRule="auto"/>
              <w:rPr>
                <w:rFonts w:ascii="Arial" w:hAnsi="Arial" w:cs="Arial"/>
                <w:color w:val="000000"/>
              </w:rPr>
            </w:pPr>
          </w:p>
        </w:tc>
        <w:tc>
          <w:tcPr>
            <w:tcW w:w="5644" w:type="dxa"/>
            <w:tcBorders>
              <w:left w:val="nil"/>
              <w:bottom w:val="nil"/>
              <w:right w:val="single" w:sz="8" w:space="0" w:color="auto"/>
            </w:tcBorders>
            <w:shd w:val="clear" w:color="auto" w:fill="F2F2F2"/>
            <w:tcMar>
              <w:top w:w="15" w:type="dxa"/>
              <w:left w:w="108" w:type="dxa"/>
              <w:bottom w:w="15" w:type="dxa"/>
              <w:right w:w="108" w:type="dxa"/>
            </w:tcMar>
            <w:vAlign w:val="center"/>
          </w:tcPr>
          <w:p w14:paraId="131DD637" w14:textId="77777777" w:rsidR="00852130" w:rsidRPr="00A064A2" w:rsidRDefault="00852130" w:rsidP="00F07352">
            <w:pPr>
              <w:spacing w:after="0" w:line="240" w:lineRule="auto"/>
              <w:rPr>
                <w:rFonts w:ascii="Arial" w:hAnsi="Arial" w:cs="Arial"/>
                <w:color w:val="000000"/>
              </w:rPr>
            </w:pPr>
            <w:r w:rsidRPr="00A064A2">
              <w:rPr>
                <w:rFonts w:ascii="Arial" w:eastAsia="Times New Roman" w:hAnsi="Arial" w:cs="Arial"/>
              </w:rPr>
              <w:t>5. Contaminant analysis of outlet and coastal water</w:t>
            </w:r>
          </w:p>
        </w:tc>
      </w:tr>
      <w:tr w:rsidR="00852130" w:rsidRPr="000173B6" w14:paraId="330731E2"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42C257F7" w14:textId="77777777" w:rsidR="00852130" w:rsidRPr="00A064A2" w:rsidRDefault="00852130" w:rsidP="00F07352">
            <w:pPr>
              <w:spacing w:after="0" w:line="240" w:lineRule="auto"/>
              <w:rPr>
                <w:rFonts w:ascii="Arial" w:hAnsi="Arial" w:cs="Arial"/>
                <w:color w:val="000000"/>
              </w:rPr>
            </w:pPr>
          </w:p>
        </w:tc>
        <w:tc>
          <w:tcPr>
            <w:tcW w:w="5644" w:type="dxa"/>
            <w:tcBorders>
              <w:left w:val="nil"/>
              <w:right w:val="single" w:sz="8" w:space="0" w:color="auto"/>
            </w:tcBorders>
            <w:shd w:val="clear" w:color="auto" w:fill="F2F2F2" w:themeFill="background1" w:themeFillShade="F2"/>
            <w:tcMar>
              <w:top w:w="15" w:type="dxa"/>
              <w:left w:w="108" w:type="dxa"/>
              <w:bottom w:w="15" w:type="dxa"/>
              <w:right w:w="108" w:type="dxa"/>
            </w:tcMar>
            <w:vAlign w:val="center"/>
          </w:tcPr>
          <w:p w14:paraId="34B586F5"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6. </w:t>
            </w:r>
            <w:r w:rsidRPr="00A064A2">
              <w:rPr>
                <w:rFonts w:ascii="Arial" w:eastAsia="Times New Roman" w:hAnsi="Arial" w:cs="Arial"/>
              </w:rPr>
              <w:t xml:space="preserve"> Microbiological analysis of outlet and coastal water</w:t>
            </w:r>
          </w:p>
        </w:tc>
      </w:tr>
      <w:tr w:rsidR="00852130" w:rsidRPr="000173B6" w14:paraId="2FE002BE"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36116C84" w14:textId="77777777" w:rsidR="00852130" w:rsidRPr="00A064A2" w:rsidRDefault="00852130" w:rsidP="00F07352">
            <w:pPr>
              <w:spacing w:after="0" w:line="240" w:lineRule="auto"/>
              <w:rPr>
                <w:rFonts w:ascii="Arial" w:hAnsi="Arial" w:cs="Arial"/>
                <w:color w:val="000000"/>
              </w:rPr>
            </w:pPr>
          </w:p>
        </w:tc>
        <w:tc>
          <w:tcPr>
            <w:tcW w:w="5644" w:type="dxa"/>
            <w:tcBorders>
              <w:left w:val="nil"/>
              <w:right w:val="single" w:sz="8" w:space="0" w:color="auto"/>
            </w:tcBorders>
            <w:shd w:val="clear" w:color="auto" w:fill="F2F2F2" w:themeFill="background1" w:themeFillShade="F2"/>
            <w:tcMar>
              <w:top w:w="15" w:type="dxa"/>
              <w:left w:w="108" w:type="dxa"/>
              <w:bottom w:w="15" w:type="dxa"/>
              <w:right w:w="108" w:type="dxa"/>
            </w:tcMar>
            <w:vAlign w:val="center"/>
          </w:tcPr>
          <w:p w14:paraId="557CCD62"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7. Plankton Taxonomy</w:t>
            </w:r>
          </w:p>
        </w:tc>
      </w:tr>
      <w:tr w:rsidR="00852130" w:rsidRPr="000173B6" w14:paraId="23C9D09F"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3FD5FA35" w14:textId="77777777" w:rsidR="00852130" w:rsidRPr="00A064A2" w:rsidRDefault="00852130" w:rsidP="00F07352">
            <w:pPr>
              <w:spacing w:after="0" w:line="240" w:lineRule="auto"/>
              <w:rPr>
                <w:rFonts w:ascii="Arial" w:hAnsi="Arial" w:cs="Arial"/>
                <w:color w:val="000000"/>
              </w:rPr>
            </w:pPr>
          </w:p>
        </w:tc>
        <w:tc>
          <w:tcPr>
            <w:tcW w:w="5644" w:type="dxa"/>
            <w:tcBorders>
              <w:left w:val="nil"/>
              <w:bottom w:val="nil"/>
              <w:right w:val="single" w:sz="8" w:space="0" w:color="auto"/>
            </w:tcBorders>
            <w:shd w:val="clear" w:color="auto" w:fill="F2F2F2" w:themeFill="background1" w:themeFillShade="F2"/>
            <w:tcMar>
              <w:top w:w="15" w:type="dxa"/>
              <w:left w:w="108" w:type="dxa"/>
              <w:bottom w:w="15" w:type="dxa"/>
              <w:right w:w="108" w:type="dxa"/>
            </w:tcMar>
            <w:vAlign w:val="center"/>
          </w:tcPr>
          <w:p w14:paraId="0EEC8C2A"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8. </w:t>
            </w:r>
            <w:proofErr w:type="spellStart"/>
            <w:r w:rsidRPr="00A064A2">
              <w:rPr>
                <w:rFonts w:ascii="Arial" w:hAnsi="Arial" w:cs="Arial"/>
                <w:color w:val="000000"/>
              </w:rPr>
              <w:t>Physico</w:t>
            </w:r>
            <w:proofErr w:type="spellEnd"/>
            <w:r w:rsidRPr="00A064A2">
              <w:rPr>
                <w:rFonts w:ascii="Arial" w:hAnsi="Arial" w:cs="Arial"/>
                <w:color w:val="000000"/>
              </w:rPr>
              <w:t>-Chemical analysis of Water samples</w:t>
            </w:r>
          </w:p>
        </w:tc>
      </w:tr>
      <w:tr w:rsidR="00852130" w:rsidRPr="000173B6" w14:paraId="17B715E7"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1055216E" w14:textId="77777777" w:rsidR="00852130" w:rsidRPr="00A064A2" w:rsidRDefault="00852130" w:rsidP="00F07352">
            <w:pPr>
              <w:spacing w:after="0" w:line="240" w:lineRule="auto"/>
              <w:rPr>
                <w:rFonts w:ascii="Arial" w:hAnsi="Arial" w:cs="Arial"/>
                <w:color w:val="000000"/>
              </w:rPr>
            </w:pPr>
          </w:p>
        </w:tc>
        <w:tc>
          <w:tcPr>
            <w:tcW w:w="5644" w:type="dxa"/>
            <w:tcBorders>
              <w:left w:val="nil"/>
              <w:bottom w:val="nil"/>
              <w:right w:val="single" w:sz="8" w:space="0" w:color="auto"/>
            </w:tcBorders>
            <w:shd w:val="clear" w:color="auto" w:fill="F2F2F2"/>
            <w:tcMar>
              <w:top w:w="15" w:type="dxa"/>
              <w:left w:w="108" w:type="dxa"/>
              <w:bottom w:w="15" w:type="dxa"/>
              <w:right w:w="108" w:type="dxa"/>
            </w:tcMar>
            <w:vAlign w:val="center"/>
          </w:tcPr>
          <w:p w14:paraId="2CF03F3F"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9. Contaminant Analysis of Biota </w:t>
            </w:r>
          </w:p>
        </w:tc>
      </w:tr>
      <w:tr w:rsidR="00852130" w:rsidRPr="000173B6" w14:paraId="37FCCFC1"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65CFF35E" w14:textId="77777777" w:rsidR="00852130" w:rsidRPr="00A064A2" w:rsidRDefault="00852130" w:rsidP="00F07352">
            <w:pPr>
              <w:spacing w:after="0" w:line="240" w:lineRule="auto"/>
              <w:rPr>
                <w:rFonts w:ascii="Arial" w:hAnsi="Arial" w:cs="Arial"/>
                <w:color w:val="000000"/>
              </w:rPr>
            </w:pPr>
          </w:p>
        </w:tc>
        <w:tc>
          <w:tcPr>
            <w:tcW w:w="5644" w:type="dxa"/>
            <w:tcBorders>
              <w:left w:val="nil"/>
              <w:bottom w:val="nil"/>
              <w:right w:val="single" w:sz="8" w:space="0" w:color="auto"/>
            </w:tcBorders>
            <w:shd w:val="clear" w:color="auto" w:fill="F2F2F2"/>
            <w:tcMar>
              <w:top w:w="15" w:type="dxa"/>
              <w:left w:w="108" w:type="dxa"/>
              <w:bottom w:w="15" w:type="dxa"/>
              <w:right w:w="108" w:type="dxa"/>
            </w:tcMar>
            <w:vAlign w:val="center"/>
          </w:tcPr>
          <w:p w14:paraId="75B83CAE"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10. Contaminant Analysis of Seafood </w:t>
            </w:r>
          </w:p>
        </w:tc>
      </w:tr>
      <w:tr w:rsidR="00852130" w:rsidRPr="000173B6" w14:paraId="4445C239" w14:textId="77777777" w:rsidTr="00F07352">
        <w:trPr>
          <w:trHeight w:val="397"/>
        </w:trPr>
        <w:tc>
          <w:tcPr>
            <w:tcW w:w="3702" w:type="dxa"/>
            <w:vMerge/>
            <w:tcBorders>
              <w:left w:val="single" w:sz="8" w:space="0" w:color="auto"/>
              <w:right w:val="single" w:sz="8" w:space="0" w:color="auto"/>
            </w:tcBorders>
            <w:shd w:val="clear" w:color="auto" w:fill="F2F2F2"/>
            <w:tcMar>
              <w:top w:w="15" w:type="dxa"/>
              <w:left w:w="108" w:type="dxa"/>
              <w:bottom w:w="15" w:type="dxa"/>
              <w:right w:w="108" w:type="dxa"/>
            </w:tcMar>
            <w:vAlign w:val="center"/>
          </w:tcPr>
          <w:p w14:paraId="78BAF25B" w14:textId="77777777" w:rsidR="00852130" w:rsidRPr="00A064A2" w:rsidRDefault="00852130" w:rsidP="00F07352">
            <w:pPr>
              <w:spacing w:after="0" w:line="240" w:lineRule="auto"/>
              <w:rPr>
                <w:rFonts w:ascii="Arial" w:hAnsi="Arial" w:cs="Arial"/>
                <w:color w:val="000000"/>
              </w:rPr>
            </w:pPr>
          </w:p>
        </w:tc>
        <w:tc>
          <w:tcPr>
            <w:tcW w:w="5644" w:type="dxa"/>
            <w:tcBorders>
              <w:left w:val="nil"/>
              <w:right w:val="single" w:sz="8" w:space="0" w:color="auto"/>
            </w:tcBorders>
            <w:shd w:val="clear" w:color="auto" w:fill="F2F2F2"/>
            <w:tcMar>
              <w:top w:w="15" w:type="dxa"/>
              <w:left w:w="108" w:type="dxa"/>
              <w:bottom w:w="15" w:type="dxa"/>
              <w:right w:w="108" w:type="dxa"/>
            </w:tcMar>
            <w:vAlign w:val="center"/>
          </w:tcPr>
          <w:p w14:paraId="36F085B2"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11. Radiochemical analysis of Sediment, Biota, Water &amp; Seaweed</w:t>
            </w:r>
          </w:p>
        </w:tc>
      </w:tr>
      <w:tr w:rsidR="00852130" w:rsidRPr="000173B6" w14:paraId="3E913F89" w14:textId="77777777" w:rsidTr="00F07352">
        <w:trPr>
          <w:trHeight w:val="397"/>
        </w:trPr>
        <w:tc>
          <w:tcPr>
            <w:tcW w:w="3702" w:type="dxa"/>
            <w:vMerge/>
            <w:tcBorders>
              <w:left w:val="single" w:sz="8" w:space="0" w:color="auto"/>
              <w:bottom w:val="nil"/>
              <w:right w:val="single" w:sz="8" w:space="0" w:color="auto"/>
            </w:tcBorders>
            <w:shd w:val="clear" w:color="auto" w:fill="F2F2F2"/>
            <w:tcMar>
              <w:top w:w="15" w:type="dxa"/>
              <w:left w:w="108" w:type="dxa"/>
              <w:bottom w:w="15" w:type="dxa"/>
              <w:right w:w="108" w:type="dxa"/>
            </w:tcMar>
            <w:vAlign w:val="center"/>
          </w:tcPr>
          <w:p w14:paraId="4338E644" w14:textId="77777777" w:rsidR="00852130" w:rsidRPr="00A064A2" w:rsidRDefault="00852130" w:rsidP="00F07352">
            <w:pPr>
              <w:spacing w:after="0" w:line="240" w:lineRule="auto"/>
              <w:rPr>
                <w:rFonts w:ascii="Arial" w:hAnsi="Arial" w:cs="Arial"/>
                <w:color w:val="000000"/>
              </w:rPr>
            </w:pPr>
          </w:p>
        </w:tc>
        <w:tc>
          <w:tcPr>
            <w:tcW w:w="5644" w:type="dxa"/>
            <w:tcBorders>
              <w:left w:val="nil"/>
              <w:bottom w:val="single" w:sz="4" w:space="0" w:color="auto"/>
              <w:right w:val="single" w:sz="8" w:space="0" w:color="auto"/>
            </w:tcBorders>
            <w:shd w:val="clear" w:color="auto" w:fill="F2F2F2"/>
            <w:tcMar>
              <w:top w:w="15" w:type="dxa"/>
              <w:left w:w="108" w:type="dxa"/>
              <w:bottom w:w="15" w:type="dxa"/>
              <w:right w:w="108" w:type="dxa"/>
            </w:tcMar>
            <w:vAlign w:val="center"/>
          </w:tcPr>
          <w:p w14:paraId="78E68535"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12. Radiochemical analysis of Seafood</w:t>
            </w:r>
          </w:p>
        </w:tc>
      </w:tr>
      <w:tr w:rsidR="00852130" w:rsidRPr="000173B6" w14:paraId="4CBDB7FA" w14:textId="77777777" w:rsidTr="00F07352">
        <w:trPr>
          <w:trHeight w:val="397"/>
        </w:trPr>
        <w:tc>
          <w:tcPr>
            <w:tcW w:w="3702" w:type="dxa"/>
            <w:vMerge w:val="restart"/>
            <w:tcBorders>
              <w:top w:val="single" w:sz="8" w:space="0" w:color="auto"/>
              <w:left w:val="single" w:sz="8" w:space="0" w:color="auto"/>
              <w:bottom w:val="nil"/>
              <w:right w:val="single" w:sz="8" w:space="0" w:color="auto"/>
            </w:tcBorders>
            <w:tcMar>
              <w:top w:w="15" w:type="dxa"/>
              <w:left w:w="108" w:type="dxa"/>
              <w:bottom w:w="15" w:type="dxa"/>
              <w:right w:w="108" w:type="dxa"/>
            </w:tcMar>
            <w:vAlign w:val="center"/>
            <w:hideMark/>
          </w:tcPr>
          <w:p w14:paraId="653F3938"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4. Lab and Field Equipment </w:t>
            </w:r>
          </w:p>
        </w:tc>
        <w:tc>
          <w:tcPr>
            <w:tcW w:w="5644" w:type="dxa"/>
            <w:tcBorders>
              <w:top w:val="single" w:sz="4" w:space="0" w:color="auto"/>
              <w:left w:val="nil"/>
              <w:bottom w:val="dashSmallGap" w:sz="4" w:space="0" w:color="D0CECE" w:themeColor="background2" w:themeShade="E6"/>
              <w:right w:val="single" w:sz="8" w:space="0" w:color="auto"/>
            </w:tcBorders>
            <w:tcMar>
              <w:top w:w="15" w:type="dxa"/>
              <w:left w:w="108" w:type="dxa"/>
              <w:bottom w:w="15" w:type="dxa"/>
              <w:right w:w="108" w:type="dxa"/>
            </w:tcMar>
            <w:vAlign w:val="center"/>
            <w:hideMark/>
          </w:tcPr>
          <w:p w14:paraId="4582FA00"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1.  </w:t>
            </w:r>
            <w:r w:rsidRPr="00A064A2">
              <w:rPr>
                <w:rFonts w:ascii="Arial" w:hAnsi="Arial" w:cs="Arial"/>
                <w:b/>
              </w:rPr>
              <w:t xml:space="preserve"> </w:t>
            </w:r>
            <w:r w:rsidRPr="00A064A2">
              <w:rPr>
                <w:rFonts w:ascii="Arial" w:hAnsi="Arial" w:cs="Arial"/>
              </w:rPr>
              <w:t>Inshore Sampling and Surveying Vessel</w:t>
            </w:r>
          </w:p>
        </w:tc>
      </w:tr>
      <w:tr w:rsidR="00852130" w:rsidRPr="000173B6" w14:paraId="50A14FA6" w14:textId="77777777" w:rsidTr="00F07352">
        <w:trPr>
          <w:trHeight w:val="397"/>
        </w:trPr>
        <w:tc>
          <w:tcPr>
            <w:tcW w:w="3702" w:type="dxa"/>
            <w:vMerge/>
            <w:tcBorders>
              <w:top w:val="single" w:sz="8" w:space="0" w:color="auto"/>
              <w:left w:val="single" w:sz="8" w:space="0" w:color="auto"/>
              <w:bottom w:val="nil"/>
              <w:right w:val="single" w:sz="8" w:space="0" w:color="auto"/>
            </w:tcBorders>
            <w:tcMar>
              <w:top w:w="15" w:type="dxa"/>
              <w:left w:w="108" w:type="dxa"/>
              <w:bottom w:w="15" w:type="dxa"/>
              <w:right w:w="108" w:type="dxa"/>
            </w:tcMar>
            <w:vAlign w:val="center"/>
          </w:tcPr>
          <w:p w14:paraId="2547D3D4" w14:textId="77777777" w:rsidR="00852130" w:rsidRPr="00A064A2" w:rsidRDefault="00852130" w:rsidP="00F07352">
            <w:pPr>
              <w:spacing w:after="0" w:line="240" w:lineRule="auto"/>
              <w:rPr>
                <w:rFonts w:ascii="Arial" w:hAnsi="Arial" w:cs="Arial"/>
                <w:color w:val="000000"/>
              </w:rPr>
            </w:pPr>
          </w:p>
        </w:tc>
        <w:tc>
          <w:tcPr>
            <w:tcW w:w="5644" w:type="dxa"/>
            <w:tcBorders>
              <w:top w:val="dashSmallGap" w:sz="4" w:space="0" w:color="D0CECE" w:themeColor="background2" w:themeShade="E6"/>
              <w:left w:val="nil"/>
              <w:bottom w:val="nil"/>
              <w:right w:val="single" w:sz="8" w:space="0" w:color="auto"/>
            </w:tcBorders>
            <w:tcMar>
              <w:top w:w="15" w:type="dxa"/>
              <w:left w:w="108" w:type="dxa"/>
              <w:bottom w:w="15" w:type="dxa"/>
              <w:right w:w="108" w:type="dxa"/>
            </w:tcMar>
            <w:vAlign w:val="center"/>
          </w:tcPr>
          <w:p w14:paraId="4F9635F8"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2. Field sampling and surveying equipment</w:t>
            </w:r>
          </w:p>
        </w:tc>
      </w:tr>
      <w:tr w:rsidR="00852130" w:rsidRPr="000173B6" w14:paraId="43CC1944" w14:textId="77777777" w:rsidTr="00F07352">
        <w:trPr>
          <w:trHeight w:val="397"/>
        </w:trPr>
        <w:tc>
          <w:tcPr>
            <w:tcW w:w="3702" w:type="dxa"/>
            <w:vMerge/>
            <w:tcBorders>
              <w:top w:val="single" w:sz="8" w:space="0" w:color="auto"/>
              <w:left w:val="single" w:sz="8" w:space="0" w:color="auto"/>
              <w:bottom w:val="nil"/>
              <w:right w:val="single" w:sz="8" w:space="0" w:color="auto"/>
            </w:tcBorders>
            <w:vAlign w:val="center"/>
            <w:hideMark/>
          </w:tcPr>
          <w:p w14:paraId="57796400" w14:textId="77777777" w:rsidR="00852130" w:rsidRPr="00A064A2" w:rsidRDefault="00852130" w:rsidP="00F07352">
            <w:pPr>
              <w:spacing w:after="0" w:line="240" w:lineRule="auto"/>
              <w:rPr>
                <w:rFonts w:ascii="Arial" w:hAnsi="Arial" w:cs="Arial"/>
                <w:color w:val="000000"/>
              </w:rPr>
            </w:pPr>
          </w:p>
        </w:tc>
        <w:tc>
          <w:tcPr>
            <w:tcW w:w="5644" w:type="dxa"/>
            <w:tcBorders>
              <w:top w:val="nil"/>
              <w:left w:val="nil"/>
              <w:bottom w:val="nil"/>
              <w:right w:val="single" w:sz="8" w:space="0" w:color="auto"/>
            </w:tcBorders>
            <w:tcMar>
              <w:top w:w="15" w:type="dxa"/>
              <w:left w:w="108" w:type="dxa"/>
              <w:bottom w:w="15" w:type="dxa"/>
              <w:right w:w="108" w:type="dxa"/>
            </w:tcMar>
            <w:vAlign w:val="center"/>
            <w:hideMark/>
          </w:tcPr>
          <w:p w14:paraId="66FE45E4"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3. Laboratory equipment </w:t>
            </w:r>
          </w:p>
        </w:tc>
      </w:tr>
      <w:tr w:rsidR="00852130" w:rsidRPr="000173B6" w14:paraId="185749AD" w14:textId="77777777" w:rsidTr="00F07352">
        <w:trPr>
          <w:trHeight w:val="397"/>
        </w:trPr>
        <w:tc>
          <w:tcPr>
            <w:tcW w:w="3702" w:type="dxa"/>
            <w:tcBorders>
              <w:top w:val="single" w:sz="8" w:space="0" w:color="auto"/>
              <w:left w:val="single" w:sz="8" w:space="0" w:color="auto"/>
              <w:bottom w:val="nil"/>
              <w:right w:val="single" w:sz="8" w:space="0" w:color="auto"/>
            </w:tcBorders>
            <w:shd w:val="clear" w:color="auto" w:fill="FFFFFF" w:themeFill="background1"/>
            <w:tcMar>
              <w:top w:w="15" w:type="dxa"/>
              <w:left w:w="108" w:type="dxa"/>
              <w:bottom w:w="15" w:type="dxa"/>
              <w:right w:w="108" w:type="dxa"/>
            </w:tcMar>
            <w:vAlign w:val="center"/>
            <w:hideMark/>
          </w:tcPr>
          <w:p w14:paraId="07F20C97"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lastRenderedPageBreak/>
              <w:t xml:space="preserve">5. </w:t>
            </w:r>
            <w:proofErr w:type="spellStart"/>
            <w:r w:rsidRPr="00A064A2">
              <w:rPr>
                <w:rFonts w:ascii="Arial" w:hAnsi="Arial" w:cs="Arial"/>
                <w:color w:val="000000"/>
              </w:rPr>
              <w:t>Geoenvironmental</w:t>
            </w:r>
            <w:proofErr w:type="spellEnd"/>
            <w:r w:rsidRPr="00A064A2">
              <w:rPr>
                <w:rFonts w:ascii="Arial" w:hAnsi="Arial" w:cs="Arial"/>
                <w:color w:val="000000"/>
              </w:rPr>
              <w:t xml:space="preserve"> Database </w:t>
            </w:r>
          </w:p>
        </w:tc>
        <w:tc>
          <w:tcPr>
            <w:tcW w:w="5644" w:type="dxa"/>
            <w:tcBorders>
              <w:top w:val="single" w:sz="8" w:space="0" w:color="auto"/>
              <w:left w:val="nil"/>
              <w:bottom w:val="nil"/>
              <w:right w:val="single" w:sz="8" w:space="0" w:color="auto"/>
            </w:tcBorders>
            <w:shd w:val="clear" w:color="auto" w:fill="FFFFFF" w:themeFill="background1"/>
            <w:tcMar>
              <w:top w:w="15" w:type="dxa"/>
              <w:left w:w="108" w:type="dxa"/>
              <w:bottom w:w="15" w:type="dxa"/>
              <w:right w:w="108" w:type="dxa"/>
            </w:tcMar>
            <w:vAlign w:val="center"/>
            <w:hideMark/>
          </w:tcPr>
          <w:p w14:paraId="6BD9A9E3"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1. IT hardware, data migration and support services</w:t>
            </w:r>
          </w:p>
        </w:tc>
      </w:tr>
      <w:tr w:rsidR="00852130" w:rsidRPr="000173B6" w14:paraId="2FCE25BE" w14:textId="77777777" w:rsidTr="00F07352">
        <w:trPr>
          <w:trHeight w:val="397"/>
        </w:trPr>
        <w:tc>
          <w:tcPr>
            <w:tcW w:w="3702" w:type="dxa"/>
            <w:tcBorders>
              <w:top w:val="single" w:sz="4" w:space="0" w:color="auto"/>
              <w:left w:val="single" w:sz="8" w:space="0" w:color="auto"/>
              <w:bottom w:val="single" w:sz="4" w:space="0" w:color="auto"/>
              <w:right w:val="single" w:sz="8" w:space="0" w:color="auto"/>
            </w:tcBorders>
            <w:vAlign w:val="center"/>
          </w:tcPr>
          <w:p w14:paraId="67B22E03" w14:textId="77777777" w:rsidR="00852130" w:rsidRPr="00A064A2" w:rsidRDefault="00852130" w:rsidP="00F07352">
            <w:pPr>
              <w:spacing w:after="0" w:line="240" w:lineRule="auto"/>
              <w:rPr>
                <w:rFonts w:ascii="Arial" w:hAnsi="Arial" w:cs="Arial"/>
                <w:color w:val="000000"/>
              </w:rPr>
            </w:pPr>
            <w:r>
              <w:rPr>
                <w:rFonts w:ascii="Arial" w:hAnsi="Arial" w:cs="Arial"/>
                <w:color w:val="000000"/>
              </w:rPr>
              <w:t xml:space="preserve">  </w:t>
            </w:r>
            <w:r w:rsidRPr="00A064A2">
              <w:rPr>
                <w:rFonts w:ascii="Arial" w:hAnsi="Arial" w:cs="Arial"/>
                <w:color w:val="000000"/>
              </w:rPr>
              <w:t>6.  Website content development and public communications</w:t>
            </w:r>
          </w:p>
        </w:tc>
        <w:tc>
          <w:tcPr>
            <w:tcW w:w="5644" w:type="dxa"/>
            <w:tcBorders>
              <w:top w:val="single" w:sz="4" w:space="0" w:color="auto"/>
              <w:left w:val="nil"/>
              <w:bottom w:val="single" w:sz="4" w:space="0" w:color="auto"/>
              <w:right w:val="single" w:sz="8" w:space="0" w:color="auto"/>
            </w:tcBorders>
            <w:shd w:val="clear" w:color="auto" w:fill="auto"/>
            <w:tcMar>
              <w:top w:w="15" w:type="dxa"/>
              <w:left w:w="108" w:type="dxa"/>
              <w:bottom w:w="15" w:type="dxa"/>
              <w:right w:w="108" w:type="dxa"/>
            </w:tcMar>
            <w:vAlign w:val="center"/>
          </w:tcPr>
          <w:p w14:paraId="399C23D3"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1. Documentary and Media</w:t>
            </w:r>
          </w:p>
          <w:p w14:paraId="36171D5C" w14:textId="77777777" w:rsidR="00852130" w:rsidRPr="00A064A2" w:rsidRDefault="00852130" w:rsidP="00F07352">
            <w:pPr>
              <w:spacing w:after="0" w:line="240" w:lineRule="auto"/>
              <w:rPr>
                <w:rFonts w:ascii="Arial" w:hAnsi="Arial" w:cs="Arial"/>
                <w:color w:val="000000"/>
              </w:rPr>
            </w:pPr>
            <w:r w:rsidRPr="00A064A2">
              <w:rPr>
                <w:rFonts w:ascii="Arial" w:hAnsi="Arial" w:cs="Arial"/>
                <w:color w:val="000000"/>
              </w:rPr>
              <w:t xml:space="preserve">2. Public Relations and Outreach </w:t>
            </w:r>
          </w:p>
        </w:tc>
      </w:tr>
    </w:tbl>
    <w:p w14:paraId="128AC344" w14:textId="77777777" w:rsidR="00F5729E" w:rsidRDefault="00F5729E"/>
    <w:sectPr w:rsidR="00F57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63E4A"/>
    <w:multiLevelType w:val="hybridMultilevel"/>
    <w:tmpl w:val="A946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30"/>
    <w:rsid w:val="0041645F"/>
    <w:rsid w:val="00852130"/>
    <w:rsid w:val="00F5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F691"/>
  <w15:chartTrackingRefBased/>
  <w15:docId w15:val="{8B725E9D-7FC6-48B5-B06A-DC7FE6B1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130"/>
    <w:rPr>
      <w:color w:val="0563C1" w:themeColor="hyperlink"/>
      <w:u w:val="single"/>
    </w:rPr>
  </w:style>
  <w:style w:type="paragraph" w:styleId="ListParagraph">
    <w:name w:val="List Paragraph"/>
    <w:basedOn w:val="Normal"/>
    <w:uiPriority w:val="34"/>
    <w:qFormat/>
    <w:rsid w:val="00852130"/>
    <w:pPr>
      <w:ind w:left="720"/>
      <w:contextualSpacing/>
    </w:pPr>
  </w:style>
  <w:style w:type="paragraph" w:customStyle="1" w:styleId="SOWBodyText">
    <w:name w:val="SOW Body Text"/>
    <w:basedOn w:val="Normal"/>
    <w:qFormat/>
    <w:rsid w:val="00852130"/>
    <w:pPr>
      <w:tabs>
        <w:tab w:val="left" w:pos="0"/>
      </w:tabs>
      <w:autoSpaceDE w:val="0"/>
      <w:autoSpaceDN w:val="0"/>
      <w:adjustRightInd w:val="0"/>
      <w:spacing w:after="0" w:line="240" w:lineRule="auto"/>
      <w:jc w:val="both"/>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sk@cefas.co.uk" TargetMode="External"/><Relationship Id="rId5" Type="http://schemas.openxmlformats.org/officeDocument/2006/relationships/hyperlink" Target="https://www.delta-esourc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Limpenny (Cefas)</dc:creator>
  <cp:keywords/>
  <dc:description/>
  <cp:lastModifiedBy>David Limpenny (Cefas)</cp:lastModifiedBy>
  <cp:revision>1</cp:revision>
  <dcterms:created xsi:type="dcterms:W3CDTF">2017-12-07T09:12:00Z</dcterms:created>
  <dcterms:modified xsi:type="dcterms:W3CDTF">2017-12-07T09:14:00Z</dcterms:modified>
</cp:coreProperties>
</file>