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23261322" w14:textId="77777777" w:rsidR="00DA19A4" w:rsidRDefault="00AA1382" w:rsidP="00AA1382">
      <w:pPr>
        <w:spacing w:after="200" w:line="276" w:lineRule="auto"/>
        <w:rPr>
          <w:b/>
          <w:sz w:val="48"/>
          <w:szCs w:val="48"/>
        </w:rPr>
      </w:pPr>
      <w:r w:rsidRPr="00EE675A">
        <w:rPr>
          <w:b/>
          <w:sz w:val="48"/>
          <w:szCs w:val="48"/>
        </w:rPr>
        <w:t xml:space="preserve">Bid Pack </w:t>
      </w:r>
      <w:bookmarkStart w:id="0" w:name="_xraukwuezq6d" w:colFirst="0" w:colLast="0"/>
      <w:bookmarkEnd w:id="0"/>
    </w:p>
    <w:p w14:paraId="30B7DA56" w14:textId="51B4E0EF" w:rsidR="00AA1382" w:rsidRPr="00DA19A4" w:rsidRDefault="00AA1382" w:rsidP="00AA1382">
      <w:pPr>
        <w:spacing w:after="200" w:line="276" w:lineRule="auto"/>
        <w:rPr>
          <w:b/>
          <w:sz w:val="48"/>
          <w:szCs w:val="48"/>
        </w:rPr>
      </w:pPr>
      <w:r>
        <w:rPr>
          <w:b/>
          <w:sz w:val="36"/>
          <w:szCs w:val="36"/>
        </w:rPr>
        <w:t>Attachment 3 – Statement of Requirements</w:t>
      </w:r>
    </w:p>
    <w:p w14:paraId="56C177FD" w14:textId="52A406CD" w:rsidR="00DA19A4" w:rsidRPr="00DA19A4" w:rsidRDefault="00DA19A4" w:rsidP="00DA19A4">
      <w:pPr>
        <w:spacing w:before="120" w:after="120"/>
        <w:rPr>
          <w:rFonts w:eastAsia="Arial" w:cs="Arial"/>
          <w:sz w:val="32"/>
          <w:szCs w:val="32"/>
          <w:highlight w:val="white"/>
          <w:lang w:eastAsia="en-GB"/>
        </w:rPr>
      </w:pPr>
      <w:bookmarkStart w:id="1" w:name="_1fob9te" w:colFirst="0" w:colLast="0"/>
      <w:bookmarkEnd w:id="1"/>
      <w:r w:rsidRPr="00DA19A4">
        <w:rPr>
          <w:rFonts w:eastAsia="Arial" w:cs="Arial"/>
          <w:sz w:val="32"/>
          <w:szCs w:val="32"/>
          <w:lang w:eastAsia="en-GB"/>
        </w:rPr>
        <w:t>The Provision of Design</w:t>
      </w:r>
      <w:r w:rsidR="00B87EDB">
        <w:rPr>
          <w:rFonts w:eastAsia="Arial" w:cs="Arial"/>
          <w:sz w:val="32"/>
          <w:szCs w:val="32"/>
          <w:lang w:eastAsia="en-GB"/>
        </w:rPr>
        <w:t>,</w:t>
      </w:r>
      <w:r w:rsidRPr="00DA19A4">
        <w:rPr>
          <w:rFonts w:eastAsia="Arial" w:cs="Arial"/>
          <w:sz w:val="32"/>
          <w:szCs w:val="32"/>
          <w:lang w:eastAsia="en-GB"/>
        </w:rPr>
        <w:t xml:space="preserve"> Development and Delivery of a Diversity Leadership Course for the National Leadership Centre (NLC)</w:t>
      </w:r>
    </w:p>
    <w:p w14:paraId="57250A70" w14:textId="77777777" w:rsidR="00DA19A4" w:rsidRPr="00DA19A4" w:rsidRDefault="00DA19A4" w:rsidP="00DA19A4">
      <w:pPr>
        <w:spacing w:before="120" w:after="120"/>
        <w:ind w:left="2835" w:hanging="2835"/>
        <w:rPr>
          <w:rFonts w:eastAsia="Arial" w:cs="Arial"/>
          <w:szCs w:val="22"/>
          <w:lang w:eastAsia="en-GB"/>
        </w:rPr>
      </w:pPr>
      <w:r w:rsidRPr="00DA19A4">
        <w:rPr>
          <w:rFonts w:eastAsia="Arial" w:cs="Arial"/>
          <w:sz w:val="32"/>
          <w:szCs w:val="32"/>
          <w:highlight w:val="white"/>
          <w:lang w:eastAsia="en-GB"/>
        </w:rPr>
        <w:t>Contract Reference: CCHR20A06</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0FBDF565"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415146">
          <w:rPr>
            <w:noProof/>
            <w:webHidden/>
          </w:rPr>
          <w:t>3</w:t>
        </w:r>
        <w:r w:rsidR="00252FFC">
          <w:rPr>
            <w:noProof/>
            <w:webHidden/>
          </w:rPr>
          <w:fldChar w:fldCharType="end"/>
        </w:r>
      </w:hyperlink>
    </w:p>
    <w:p w14:paraId="77869DAC" w14:textId="11484969" w:rsidR="00252FFC" w:rsidRDefault="0025444F">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415146">
          <w:rPr>
            <w:noProof/>
            <w:webHidden/>
          </w:rPr>
          <w:t>3</w:t>
        </w:r>
        <w:r w:rsidR="00252FFC">
          <w:rPr>
            <w:noProof/>
            <w:webHidden/>
          </w:rPr>
          <w:fldChar w:fldCharType="end"/>
        </w:r>
      </w:hyperlink>
    </w:p>
    <w:p w14:paraId="025BB624" w14:textId="22222F47" w:rsidR="00252FFC" w:rsidRDefault="0025444F">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415146">
          <w:rPr>
            <w:noProof/>
            <w:webHidden/>
          </w:rPr>
          <w:t>3</w:t>
        </w:r>
        <w:r w:rsidR="00252FFC">
          <w:rPr>
            <w:noProof/>
            <w:webHidden/>
          </w:rPr>
          <w:fldChar w:fldCharType="end"/>
        </w:r>
      </w:hyperlink>
    </w:p>
    <w:p w14:paraId="136730DD" w14:textId="762181D0" w:rsidR="00252FFC" w:rsidRDefault="0025444F">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415146">
          <w:rPr>
            <w:noProof/>
            <w:webHidden/>
          </w:rPr>
          <w:t>5</w:t>
        </w:r>
        <w:r w:rsidR="00252FFC">
          <w:rPr>
            <w:noProof/>
            <w:webHidden/>
          </w:rPr>
          <w:fldChar w:fldCharType="end"/>
        </w:r>
      </w:hyperlink>
    </w:p>
    <w:p w14:paraId="78CA4116" w14:textId="1142C880" w:rsidR="00252FFC" w:rsidRDefault="0025444F">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415146">
          <w:rPr>
            <w:noProof/>
            <w:webHidden/>
          </w:rPr>
          <w:t>5</w:t>
        </w:r>
        <w:r w:rsidR="00252FFC">
          <w:rPr>
            <w:noProof/>
            <w:webHidden/>
          </w:rPr>
          <w:fldChar w:fldCharType="end"/>
        </w:r>
      </w:hyperlink>
    </w:p>
    <w:p w14:paraId="022FDFAF" w14:textId="0D8D23DF" w:rsidR="00252FFC" w:rsidRDefault="0025444F">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415146">
          <w:rPr>
            <w:noProof/>
            <w:webHidden/>
          </w:rPr>
          <w:t>7</w:t>
        </w:r>
        <w:r w:rsidR="00252FFC">
          <w:rPr>
            <w:noProof/>
            <w:webHidden/>
          </w:rPr>
          <w:fldChar w:fldCharType="end"/>
        </w:r>
      </w:hyperlink>
    </w:p>
    <w:p w14:paraId="01A4E544" w14:textId="4028C67C" w:rsidR="00252FFC" w:rsidRDefault="0025444F">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415146">
          <w:rPr>
            <w:noProof/>
            <w:webHidden/>
          </w:rPr>
          <w:t>9</w:t>
        </w:r>
        <w:r w:rsidR="00252FFC">
          <w:rPr>
            <w:noProof/>
            <w:webHidden/>
          </w:rPr>
          <w:fldChar w:fldCharType="end"/>
        </w:r>
      </w:hyperlink>
    </w:p>
    <w:p w14:paraId="2DFC0705" w14:textId="65A7547A" w:rsidR="00252FFC" w:rsidRDefault="0025444F">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415146">
          <w:rPr>
            <w:noProof/>
            <w:webHidden/>
          </w:rPr>
          <w:t>11</w:t>
        </w:r>
        <w:r w:rsidR="00252FFC">
          <w:rPr>
            <w:noProof/>
            <w:webHidden/>
          </w:rPr>
          <w:fldChar w:fldCharType="end"/>
        </w:r>
      </w:hyperlink>
    </w:p>
    <w:p w14:paraId="38A626D3" w14:textId="1913EE5A" w:rsidR="00252FFC" w:rsidRDefault="0025444F">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415146">
          <w:rPr>
            <w:noProof/>
            <w:webHidden/>
          </w:rPr>
          <w:t>11</w:t>
        </w:r>
        <w:r w:rsidR="00252FFC">
          <w:rPr>
            <w:noProof/>
            <w:webHidden/>
          </w:rPr>
          <w:fldChar w:fldCharType="end"/>
        </w:r>
      </w:hyperlink>
    </w:p>
    <w:p w14:paraId="592C3572" w14:textId="41AB83B5" w:rsidR="00252FFC" w:rsidRDefault="0025444F">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415146">
          <w:rPr>
            <w:noProof/>
            <w:webHidden/>
          </w:rPr>
          <w:t>11</w:t>
        </w:r>
        <w:r w:rsidR="00252FFC">
          <w:rPr>
            <w:noProof/>
            <w:webHidden/>
          </w:rPr>
          <w:fldChar w:fldCharType="end"/>
        </w:r>
      </w:hyperlink>
    </w:p>
    <w:p w14:paraId="100B2ED5" w14:textId="34EB72A9" w:rsidR="00252FFC" w:rsidRDefault="0025444F">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415146">
          <w:rPr>
            <w:noProof/>
            <w:webHidden/>
          </w:rPr>
          <w:t>11</w:t>
        </w:r>
        <w:r w:rsidR="00252FFC">
          <w:rPr>
            <w:noProof/>
            <w:webHidden/>
          </w:rPr>
          <w:fldChar w:fldCharType="end"/>
        </w:r>
      </w:hyperlink>
    </w:p>
    <w:p w14:paraId="181061BF" w14:textId="6195218C" w:rsidR="00252FFC" w:rsidRDefault="0025444F">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415146">
          <w:rPr>
            <w:noProof/>
            <w:webHidden/>
          </w:rPr>
          <w:t>12</w:t>
        </w:r>
        <w:r w:rsidR="00252FFC">
          <w:rPr>
            <w:noProof/>
            <w:webHidden/>
          </w:rPr>
          <w:fldChar w:fldCharType="end"/>
        </w:r>
      </w:hyperlink>
    </w:p>
    <w:p w14:paraId="478290FC" w14:textId="491F1143" w:rsidR="00252FFC" w:rsidRDefault="0025444F">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415146">
          <w:rPr>
            <w:noProof/>
            <w:webHidden/>
          </w:rPr>
          <w:t>12</w:t>
        </w:r>
        <w:r w:rsidR="00252FFC">
          <w:rPr>
            <w:noProof/>
            <w:webHidden/>
          </w:rPr>
          <w:fldChar w:fldCharType="end"/>
        </w:r>
      </w:hyperlink>
    </w:p>
    <w:p w14:paraId="77010104" w14:textId="6F197A29" w:rsidR="00252FFC" w:rsidRDefault="0025444F">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415146">
          <w:rPr>
            <w:noProof/>
            <w:webHidden/>
          </w:rPr>
          <w:t>12</w:t>
        </w:r>
        <w:r w:rsidR="00252FFC">
          <w:rPr>
            <w:noProof/>
            <w:webHidden/>
          </w:rPr>
          <w:fldChar w:fldCharType="end"/>
        </w:r>
      </w:hyperlink>
    </w:p>
    <w:p w14:paraId="7C90DEC0" w14:textId="2339AA30" w:rsidR="00252FFC" w:rsidRDefault="0025444F">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415146">
          <w:rPr>
            <w:noProof/>
            <w:webHidden/>
          </w:rPr>
          <w:t>12</w:t>
        </w:r>
        <w:r w:rsidR="00252FFC">
          <w:rPr>
            <w:noProof/>
            <w:webHidden/>
          </w:rPr>
          <w:fldChar w:fldCharType="end"/>
        </w:r>
      </w:hyperlink>
    </w:p>
    <w:p w14:paraId="5CBE65F5" w14:textId="2A8CA4A6" w:rsidR="00252FFC" w:rsidRDefault="0025444F">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415146">
          <w:rPr>
            <w:noProof/>
            <w:webHidden/>
          </w:rPr>
          <w:t>13</w:t>
        </w:r>
        <w:r w:rsidR="00252FFC">
          <w:rPr>
            <w:noProof/>
            <w:webHidden/>
          </w:rPr>
          <w:fldChar w:fldCharType="end"/>
        </w:r>
      </w:hyperlink>
    </w:p>
    <w:p w14:paraId="0F5A4BBD" w14:textId="478BCE11" w:rsidR="00252FFC" w:rsidRDefault="0025444F">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415146">
          <w:rPr>
            <w:noProof/>
            <w:webHidden/>
          </w:rPr>
          <w:t>14</w:t>
        </w:r>
        <w:r w:rsidR="00252FFC">
          <w:rPr>
            <w:noProof/>
            <w:webHidden/>
          </w:rPr>
          <w:fldChar w:fldCharType="end"/>
        </w:r>
      </w:hyperlink>
    </w:p>
    <w:p w14:paraId="16183C13" w14:textId="7904EBA0" w:rsidR="00252FFC" w:rsidRDefault="0025444F">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415146">
          <w:rPr>
            <w:noProof/>
            <w:webHidden/>
          </w:rPr>
          <w:t>14</w:t>
        </w:r>
        <w:r w:rsidR="00252FFC">
          <w:rPr>
            <w:noProof/>
            <w:webHidden/>
          </w:rPr>
          <w:fldChar w:fldCharType="end"/>
        </w:r>
      </w:hyperlink>
    </w:p>
    <w:p w14:paraId="3AC55109" w14:textId="0C3D28B2" w:rsidR="00252FFC" w:rsidRDefault="0025444F">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415146">
          <w:rPr>
            <w:noProof/>
            <w:webHidden/>
          </w:rPr>
          <w:t>14</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522714834"/>
      <w:r w:rsidRPr="001A45DF">
        <w:rPr>
          <w:caps w:val="0"/>
          <w:sz w:val="32"/>
          <w:szCs w:val="32"/>
        </w:rPr>
        <w:lastRenderedPageBreak/>
        <w:t>PURPOSE</w:t>
      </w:r>
      <w:bookmarkEnd w:id="2"/>
      <w:bookmarkEnd w:id="3"/>
      <w:bookmarkEnd w:id="4"/>
    </w:p>
    <w:p w14:paraId="3BDB92AC" w14:textId="3C59E6CB" w:rsidR="00FE18AC" w:rsidRPr="000D23F0" w:rsidRDefault="00DA19A4" w:rsidP="008F3470">
      <w:pPr>
        <w:pStyle w:val="Heading2"/>
        <w:tabs>
          <w:tab w:val="clear" w:pos="720"/>
          <w:tab w:val="num" w:pos="709"/>
        </w:tabs>
        <w:overflowPunct w:val="0"/>
        <w:autoSpaceDE w:val="0"/>
        <w:autoSpaceDN w:val="0"/>
        <w:spacing w:after="120"/>
        <w:ind w:left="709" w:hanging="709"/>
        <w:textAlignment w:val="baseline"/>
        <w:rPr>
          <w:sz w:val="24"/>
          <w:szCs w:val="24"/>
        </w:rPr>
      </w:pPr>
      <w:bookmarkStart w:id="5" w:name="_Toc296415791"/>
      <w:r w:rsidRPr="000D23F0">
        <w:rPr>
          <w:sz w:val="24"/>
          <w:szCs w:val="24"/>
        </w:rPr>
        <w:t>This Statement of Requirements is for the design</w:t>
      </w:r>
      <w:r w:rsidR="00B87EDB">
        <w:rPr>
          <w:sz w:val="24"/>
          <w:szCs w:val="24"/>
        </w:rPr>
        <w:t>,</w:t>
      </w:r>
      <w:r w:rsidRPr="000D23F0">
        <w:rPr>
          <w:sz w:val="24"/>
          <w:szCs w:val="24"/>
        </w:rPr>
        <w:t xml:space="preserve"> development and delivery of a leadership course for public service leaders with protected characteristics who are underrepresented at the Chief-Executive level.</w:t>
      </w:r>
    </w:p>
    <w:p w14:paraId="7196B137" w14:textId="77777777" w:rsidR="00671798" w:rsidRPr="000D23F0"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22714835"/>
      <w:bookmarkStart w:id="8" w:name="_Toc297554773"/>
      <w:bookmarkStart w:id="9" w:name="_Toc296415805"/>
      <w:bookmarkStart w:id="10" w:name="_Toc296415793"/>
      <w:bookmarkEnd w:id="5"/>
      <w:r w:rsidRPr="000D23F0">
        <w:rPr>
          <w:sz w:val="32"/>
          <w:szCs w:val="32"/>
        </w:rPr>
        <w:t>BACKGROUND TO THE CONTRACTING aUTHORITY</w:t>
      </w:r>
      <w:bookmarkEnd w:id="6"/>
      <w:bookmarkEnd w:id="7"/>
    </w:p>
    <w:p w14:paraId="3D1977ED" w14:textId="4CE5E704" w:rsidR="00671798" w:rsidRPr="000D23F0" w:rsidRDefault="00DA19A4">
      <w:pPr>
        <w:pStyle w:val="Heading2"/>
        <w:tabs>
          <w:tab w:val="clear" w:pos="720"/>
          <w:tab w:val="num" w:pos="709"/>
        </w:tabs>
        <w:spacing w:after="120"/>
        <w:ind w:left="709" w:hanging="709"/>
        <w:rPr>
          <w:sz w:val="24"/>
          <w:szCs w:val="24"/>
        </w:rPr>
      </w:pPr>
      <w:r w:rsidRPr="000D23F0">
        <w:rPr>
          <w:sz w:val="24"/>
          <w:szCs w:val="24"/>
        </w:rPr>
        <w:t>The National Leadership Centre is an initiative to support the most senior leaders in public services across England in order to increase public sector productivity and social and economic wellbeing. The Centre has three key pillars of work: a flagship residential programme for public servants entering CEO-level roles; a digitally enabled network bringing together 1,500 of the most senior public service leaders; and cutting-edge research in public sector leadership and its link to productivity.</w:t>
      </w:r>
    </w:p>
    <w:p w14:paraId="151A9D23" w14:textId="77777777" w:rsidR="00FE18AC" w:rsidRPr="000D23F0"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22714836"/>
      <w:r w:rsidRPr="000D23F0">
        <w:rPr>
          <w:sz w:val="32"/>
          <w:szCs w:val="32"/>
        </w:rPr>
        <w:t>Background to requirement/OVERVIEW</w:t>
      </w:r>
      <w:bookmarkEnd w:id="8"/>
      <w:r w:rsidRPr="000D23F0">
        <w:rPr>
          <w:sz w:val="32"/>
          <w:szCs w:val="32"/>
        </w:rPr>
        <w:t xml:space="preserve"> of requirement</w:t>
      </w:r>
      <w:bookmarkEnd w:id="11"/>
      <w:bookmarkEnd w:id="12"/>
    </w:p>
    <w:p w14:paraId="02C6A202" w14:textId="77777777" w:rsidR="00DA19A4" w:rsidRPr="000D23F0" w:rsidRDefault="00DA19A4" w:rsidP="00DA19A4">
      <w:pPr>
        <w:pStyle w:val="Heading2"/>
        <w:rPr>
          <w:sz w:val="24"/>
        </w:rPr>
      </w:pPr>
      <w:bookmarkStart w:id="13" w:name="_Toc297554774"/>
      <w:bookmarkEnd w:id="9"/>
      <w:r w:rsidRPr="000D23F0">
        <w:rPr>
          <w:sz w:val="24"/>
        </w:rPr>
        <w:t>In the 2017 Budget, the Chancellor of the Exchequer announced that the Government would set up a taskforce to explore what a new public body might offer leaders so they can be as effective as possible in the complex and challenging environment in which they operate.</w:t>
      </w:r>
    </w:p>
    <w:p w14:paraId="1941E286" w14:textId="77777777" w:rsidR="00DA19A4" w:rsidRPr="000D23F0" w:rsidRDefault="00DA19A4" w:rsidP="00DA19A4">
      <w:pPr>
        <w:pStyle w:val="Heading2"/>
        <w:rPr>
          <w:sz w:val="24"/>
        </w:rPr>
      </w:pPr>
      <w:bookmarkStart w:id="14" w:name="_bfrp3mo71uil" w:colFirst="0" w:colLast="0"/>
      <w:bookmarkEnd w:id="14"/>
      <w:r w:rsidRPr="000D23F0">
        <w:rPr>
          <w:sz w:val="24"/>
        </w:rPr>
        <w:t xml:space="preserve">The Public Service Leadership Taskforce concluded that public service leaders need more support. Their full report can be read on gov.uk: </w:t>
      </w:r>
      <w:hyperlink r:id="rId9">
        <w:r w:rsidRPr="000D23F0">
          <w:rPr>
            <w:color w:val="1155CC"/>
            <w:sz w:val="24"/>
            <w:u w:val="single"/>
          </w:rPr>
          <w:t>https://assets.publishing.service.gov.uk/government/uploads/system/uploads/attachment_data/file/752064/6.4846_CO_CPSL-Report_A4-P_WEB_NoLogo__002_.pdf</w:t>
        </w:r>
      </w:hyperlink>
    </w:p>
    <w:p w14:paraId="0F9BE037" w14:textId="77777777" w:rsidR="00DA19A4" w:rsidRPr="000D23F0" w:rsidRDefault="00DA19A4" w:rsidP="00DA19A4">
      <w:pPr>
        <w:pStyle w:val="Heading2"/>
        <w:rPr>
          <w:sz w:val="24"/>
        </w:rPr>
      </w:pPr>
      <w:bookmarkStart w:id="15" w:name="_5f8d1onn0ros" w:colFirst="0" w:colLast="0"/>
      <w:bookmarkEnd w:id="15"/>
      <w:r w:rsidRPr="000D23F0">
        <w:rPr>
          <w:sz w:val="24"/>
        </w:rPr>
        <w:t>Recent years have seen weak productivity growth in UK public services. Leaders say the scale of decisions, changing technology, demands for efficiency, growing demand for better services and the pressures of an aging population are placing them under significant stress.  The Taskforce conducted detailed research to understand the challenges faced by the most senior leaders across each of England’s public services.</w:t>
      </w:r>
    </w:p>
    <w:p w14:paraId="69F54491" w14:textId="77777777" w:rsidR="00DA19A4" w:rsidRPr="000D23F0" w:rsidRDefault="00DA19A4" w:rsidP="00DA19A4">
      <w:pPr>
        <w:pStyle w:val="Heading2"/>
        <w:rPr>
          <w:sz w:val="24"/>
        </w:rPr>
      </w:pPr>
      <w:bookmarkStart w:id="16" w:name="_px0fwz5wunu4" w:colFirst="0" w:colLast="0"/>
      <w:bookmarkEnd w:id="16"/>
      <w:r w:rsidRPr="000D23F0">
        <w:rPr>
          <w:sz w:val="24"/>
        </w:rPr>
        <w:t xml:space="preserve">The National Leadership Centre was created as a result of the recommendations of this Taskforce and was announced by the Chancellor at Spring Statement 2019. </w:t>
      </w:r>
    </w:p>
    <w:p w14:paraId="0BBC1860" w14:textId="77777777" w:rsidR="00DA19A4" w:rsidRPr="000D23F0" w:rsidRDefault="00DA19A4" w:rsidP="00DA19A4">
      <w:pPr>
        <w:pStyle w:val="Heading2"/>
        <w:rPr>
          <w:sz w:val="24"/>
        </w:rPr>
      </w:pPr>
      <w:r w:rsidRPr="000D23F0">
        <w:rPr>
          <w:sz w:val="24"/>
        </w:rPr>
        <w:t xml:space="preserve">The NLC’s mission is to help public service </w:t>
      </w:r>
      <w:proofErr w:type="gramStart"/>
      <w:r w:rsidRPr="000D23F0">
        <w:rPr>
          <w:sz w:val="24"/>
        </w:rPr>
        <w:t>leaders</w:t>
      </w:r>
      <w:proofErr w:type="gramEnd"/>
      <w:r w:rsidRPr="000D23F0">
        <w:rPr>
          <w:sz w:val="24"/>
        </w:rPr>
        <w:t xml:space="preserve"> work together to improve public services. This can be broken down to the following core objectives: </w:t>
      </w:r>
    </w:p>
    <w:p w14:paraId="49FFD5FE" w14:textId="77777777" w:rsidR="00DA19A4" w:rsidRPr="000D23F0" w:rsidRDefault="00DA19A4" w:rsidP="00DA19A4">
      <w:pPr>
        <w:pStyle w:val="Heading3"/>
        <w:rPr>
          <w:sz w:val="24"/>
        </w:rPr>
      </w:pPr>
      <w:r w:rsidRPr="000D23F0">
        <w:rPr>
          <w:sz w:val="24"/>
        </w:rPr>
        <w:t>Demonstrably improve the quality of public service leadership;</w:t>
      </w:r>
    </w:p>
    <w:p w14:paraId="76C1572C" w14:textId="77777777" w:rsidR="00DA19A4" w:rsidRPr="000D23F0" w:rsidRDefault="00DA19A4" w:rsidP="00DA19A4">
      <w:pPr>
        <w:pStyle w:val="Heading3"/>
        <w:rPr>
          <w:sz w:val="24"/>
        </w:rPr>
      </w:pPr>
      <w:r w:rsidRPr="000D23F0">
        <w:rPr>
          <w:sz w:val="24"/>
        </w:rPr>
        <w:t>Facilitate wider and more effective collaboration among public service leaders;</w:t>
      </w:r>
    </w:p>
    <w:p w14:paraId="723A3462" w14:textId="77777777" w:rsidR="00DA19A4" w:rsidRPr="000D23F0" w:rsidRDefault="00DA19A4" w:rsidP="00DA19A4">
      <w:pPr>
        <w:pStyle w:val="Heading3"/>
        <w:rPr>
          <w:sz w:val="24"/>
        </w:rPr>
      </w:pPr>
      <w:r w:rsidRPr="000D23F0">
        <w:rPr>
          <w:sz w:val="24"/>
        </w:rPr>
        <w:lastRenderedPageBreak/>
        <w:t>Help public service leaders to become more empathetic and resilient, more adaptive to change and more innovative;</w:t>
      </w:r>
    </w:p>
    <w:p w14:paraId="3DF8881E" w14:textId="77777777" w:rsidR="00DA19A4" w:rsidRPr="000D23F0" w:rsidRDefault="00DA19A4" w:rsidP="00DA19A4">
      <w:pPr>
        <w:pStyle w:val="Heading3"/>
        <w:rPr>
          <w:sz w:val="24"/>
        </w:rPr>
      </w:pPr>
      <w:r w:rsidRPr="000D23F0">
        <w:rPr>
          <w:sz w:val="24"/>
        </w:rPr>
        <w:t>Through research, improve the understanding of public service leadership and its relationship with social and economic well-being.</w:t>
      </w:r>
    </w:p>
    <w:p w14:paraId="028AABC3" w14:textId="77777777" w:rsidR="00DA19A4" w:rsidRPr="000D23F0" w:rsidRDefault="00DA19A4" w:rsidP="00DA19A4">
      <w:pPr>
        <w:spacing w:before="120" w:after="120"/>
        <w:jc w:val="both"/>
        <w:rPr>
          <w:color w:val="222222"/>
          <w:sz w:val="24"/>
        </w:rPr>
      </w:pPr>
    </w:p>
    <w:tbl>
      <w:tblPr>
        <w:tblpPr w:leftFromText="180" w:rightFromText="180" w:vertAnchor="text" w:horzAnchor="margin" w:tblpXSpec="center" w:tblpY="632"/>
        <w:tblW w:w="824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317"/>
        <w:gridCol w:w="5931"/>
      </w:tblGrid>
      <w:tr w:rsidR="00C7132A" w:rsidRPr="00C7132A" w14:paraId="475871A2" w14:textId="77777777" w:rsidTr="00C7132A">
        <w:trPr>
          <w:trHeight w:val="514"/>
        </w:trPr>
        <w:tc>
          <w:tcPr>
            <w:tcW w:w="2317" w:type="dxa"/>
          </w:tcPr>
          <w:p w14:paraId="13ECE5F8" w14:textId="77777777" w:rsidR="00C7132A" w:rsidRPr="00C7132A" w:rsidRDefault="00C7132A" w:rsidP="00C7132A">
            <w:pPr>
              <w:numPr>
                <w:ilvl w:val="0"/>
                <w:numId w:val="35"/>
              </w:numPr>
              <w:pBdr>
                <w:top w:val="nil"/>
                <w:left w:val="nil"/>
                <w:bottom w:val="nil"/>
                <w:right w:val="nil"/>
                <w:between w:val="nil"/>
              </w:pBdr>
              <w:spacing w:before="120" w:after="120"/>
              <w:ind w:left="0"/>
              <w:outlineLvl w:val="1"/>
              <w:rPr>
                <w:rFonts w:eastAsia="Arial" w:cs="Arial"/>
                <w:b/>
                <w:color w:val="000000"/>
                <w:sz w:val="24"/>
                <w:lang w:eastAsia="en-GB"/>
              </w:rPr>
            </w:pPr>
            <w:r w:rsidRPr="00C7132A">
              <w:rPr>
                <w:rFonts w:eastAsia="Arial" w:cs="Arial"/>
                <w:b/>
                <w:color w:val="000000"/>
                <w:sz w:val="24"/>
                <w:lang w:eastAsia="en-GB"/>
              </w:rPr>
              <w:t xml:space="preserve">Pillar </w:t>
            </w:r>
          </w:p>
        </w:tc>
        <w:tc>
          <w:tcPr>
            <w:tcW w:w="5931" w:type="dxa"/>
          </w:tcPr>
          <w:p w14:paraId="023F0967" w14:textId="77777777" w:rsidR="00C7132A" w:rsidRPr="00C7132A" w:rsidRDefault="00C7132A" w:rsidP="00C7132A">
            <w:pPr>
              <w:pBdr>
                <w:top w:val="nil"/>
                <w:left w:val="nil"/>
                <w:bottom w:val="nil"/>
                <w:right w:val="nil"/>
                <w:between w:val="nil"/>
              </w:pBdr>
              <w:spacing w:before="120" w:after="120"/>
              <w:outlineLvl w:val="1"/>
              <w:rPr>
                <w:rFonts w:eastAsia="Arial" w:cs="Arial"/>
                <w:b/>
                <w:color w:val="000000"/>
                <w:sz w:val="24"/>
                <w:lang w:eastAsia="en-GB"/>
              </w:rPr>
            </w:pPr>
            <w:r w:rsidRPr="00C7132A">
              <w:rPr>
                <w:rFonts w:eastAsia="Arial" w:cs="Arial"/>
                <w:b/>
                <w:color w:val="000000"/>
                <w:sz w:val="24"/>
                <w:lang w:eastAsia="en-GB"/>
              </w:rPr>
              <w:t xml:space="preserve">Activity and Purpose </w:t>
            </w:r>
          </w:p>
        </w:tc>
      </w:tr>
      <w:tr w:rsidR="00C7132A" w:rsidRPr="00C7132A" w14:paraId="748C9E0E" w14:textId="77777777" w:rsidTr="00C7132A">
        <w:trPr>
          <w:trHeight w:val="1631"/>
        </w:trPr>
        <w:tc>
          <w:tcPr>
            <w:tcW w:w="2317" w:type="dxa"/>
          </w:tcPr>
          <w:p w14:paraId="270C3D0E" w14:textId="77777777" w:rsidR="00C7132A" w:rsidRPr="00C7132A" w:rsidRDefault="00C7132A" w:rsidP="00C7132A">
            <w:pPr>
              <w:pBdr>
                <w:top w:val="nil"/>
                <w:left w:val="nil"/>
                <w:bottom w:val="nil"/>
                <w:right w:val="nil"/>
                <w:between w:val="nil"/>
              </w:pBdr>
              <w:spacing w:before="120" w:after="120"/>
              <w:outlineLvl w:val="1"/>
              <w:rPr>
                <w:rFonts w:eastAsia="Arial" w:cs="Arial"/>
                <w:b/>
                <w:color w:val="000000"/>
                <w:sz w:val="24"/>
                <w:lang w:eastAsia="en-GB"/>
              </w:rPr>
            </w:pPr>
            <w:r w:rsidRPr="00C7132A">
              <w:rPr>
                <w:rFonts w:eastAsia="Arial" w:cs="Arial"/>
                <w:b/>
                <w:color w:val="000000"/>
                <w:sz w:val="24"/>
                <w:lang w:eastAsia="en-GB"/>
              </w:rPr>
              <w:t>Programme</w:t>
            </w:r>
          </w:p>
        </w:tc>
        <w:tc>
          <w:tcPr>
            <w:tcW w:w="5931" w:type="dxa"/>
          </w:tcPr>
          <w:p w14:paraId="1B8F0D77" w14:textId="77777777" w:rsidR="00C7132A" w:rsidRPr="00C7132A" w:rsidRDefault="00C7132A" w:rsidP="00C7132A">
            <w:pPr>
              <w:spacing w:before="120" w:after="120"/>
              <w:rPr>
                <w:rFonts w:eastAsia="Arial" w:cs="Arial"/>
                <w:color w:val="000000"/>
                <w:sz w:val="24"/>
                <w:lang w:eastAsia="en-GB"/>
              </w:rPr>
            </w:pPr>
            <w:r w:rsidRPr="00C7132A">
              <w:rPr>
                <w:rFonts w:eastAsia="Arial" w:cs="Arial"/>
                <w:color w:val="000000"/>
                <w:sz w:val="24"/>
                <w:lang w:eastAsia="en-GB"/>
              </w:rPr>
              <w:t>A core leadership programme delivered to up to 100 of the most senior public sector leaders each year. Content to be co-designed with leading experts, with the first phase exploring topics such as state-of-the-art technology, ethical responsibilities, and sustainability.</w:t>
            </w:r>
          </w:p>
          <w:p w14:paraId="5A045DBA" w14:textId="77777777" w:rsidR="00C7132A" w:rsidRPr="00C7132A" w:rsidRDefault="00C7132A" w:rsidP="00C7132A">
            <w:pPr>
              <w:spacing w:before="120" w:after="120"/>
              <w:rPr>
                <w:rFonts w:eastAsia="Arial" w:cs="Arial"/>
                <w:color w:val="000000"/>
                <w:sz w:val="24"/>
                <w:lang w:eastAsia="en-GB"/>
              </w:rPr>
            </w:pPr>
          </w:p>
        </w:tc>
      </w:tr>
      <w:tr w:rsidR="00C7132A" w:rsidRPr="00C7132A" w14:paraId="0C5B4A59" w14:textId="77777777" w:rsidTr="00C7132A">
        <w:trPr>
          <w:trHeight w:val="1354"/>
        </w:trPr>
        <w:tc>
          <w:tcPr>
            <w:tcW w:w="2317" w:type="dxa"/>
          </w:tcPr>
          <w:p w14:paraId="51987818" w14:textId="77777777" w:rsidR="00C7132A" w:rsidRPr="00C7132A" w:rsidRDefault="00C7132A" w:rsidP="00C7132A">
            <w:pPr>
              <w:pBdr>
                <w:top w:val="nil"/>
                <w:left w:val="nil"/>
                <w:bottom w:val="nil"/>
                <w:right w:val="nil"/>
                <w:between w:val="nil"/>
              </w:pBdr>
              <w:spacing w:before="120" w:after="120"/>
              <w:outlineLvl w:val="1"/>
              <w:rPr>
                <w:rFonts w:eastAsia="Arial" w:cs="Arial"/>
                <w:b/>
                <w:color w:val="000000"/>
                <w:sz w:val="24"/>
                <w:lang w:eastAsia="en-GB"/>
              </w:rPr>
            </w:pPr>
            <w:r w:rsidRPr="00C7132A">
              <w:rPr>
                <w:rFonts w:eastAsia="Arial" w:cs="Arial"/>
                <w:b/>
                <w:color w:val="000000"/>
                <w:sz w:val="24"/>
                <w:lang w:eastAsia="en-GB"/>
              </w:rPr>
              <w:t>Network</w:t>
            </w:r>
          </w:p>
        </w:tc>
        <w:tc>
          <w:tcPr>
            <w:tcW w:w="5931" w:type="dxa"/>
          </w:tcPr>
          <w:p w14:paraId="6144180B" w14:textId="77777777" w:rsidR="00C7132A" w:rsidRPr="00C7132A" w:rsidRDefault="00C7132A" w:rsidP="00C7132A">
            <w:pPr>
              <w:spacing w:before="120" w:after="120"/>
              <w:rPr>
                <w:rFonts w:eastAsia="Arial" w:cs="Arial"/>
                <w:color w:val="000000"/>
                <w:sz w:val="24"/>
                <w:lang w:eastAsia="en-GB"/>
              </w:rPr>
            </w:pPr>
            <w:r w:rsidRPr="00C7132A">
              <w:rPr>
                <w:rFonts w:eastAsia="Arial" w:cs="Arial"/>
                <w:color w:val="000000"/>
                <w:sz w:val="24"/>
                <w:lang w:eastAsia="en-GB"/>
              </w:rPr>
              <w:t>A digitally-enabled network that builds a community among the wider audience of around 1,500 senior public sector leaders, supported by a schedule of regional and national events. The network aims to enable knowledge-sharing across services while also helping to tackle the isolation that many senior leaders face.</w:t>
            </w:r>
          </w:p>
        </w:tc>
      </w:tr>
      <w:tr w:rsidR="00C7132A" w:rsidRPr="00C7132A" w14:paraId="1397E4DE" w14:textId="77777777" w:rsidTr="00C7132A">
        <w:trPr>
          <w:trHeight w:val="810"/>
        </w:trPr>
        <w:tc>
          <w:tcPr>
            <w:tcW w:w="2317" w:type="dxa"/>
          </w:tcPr>
          <w:p w14:paraId="253FDE79" w14:textId="77777777" w:rsidR="00C7132A" w:rsidRPr="00C7132A" w:rsidRDefault="00C7132A" w:rsidP="00C7132A">
            <w:pPr>
              <w:pBdr>
                <w:top w:val="nil"/>
                <w:left w:val="nil"/>
                <w:bottom w:val="nil"/>
                <w:right w:val="nil"/>
                <w:between w:val="nil"/>
              </w:pBdr>
              <w:spacing w:before="120" w:after="120"/>
              <w:outlineLvl w:val="1"/>
              <w:rPr>
                <w:rFonts w:eastAsia="Arial" w:cs="Arial"/>
                <w:b/>
                <w:color w:val="000000"/>
                <w:sz w:val="24"/>
                <w:lang w:eastAsia="en-GB"/>
              </w:rPr>
            </w:pPr>
            <w:bookmarkStart w:id="17" w:name="_bc4f3bvlcrv7" w:colFirst="0" w:colLast="0"/>
            <w:bookmarkEnd w:id="17"/>
            <w:r w:rsidRPr="00C7132A">
              <w:rPr>
                <w:rFonts w:eastAsia="Arial" w:cs="Arial"/>
                <w:b/>
                <w:color w:val="000000"/>
                <w:sz w:val="24"/>
                <w:lang w:eastAsia="en-GB"/>
              </w:rPr>
              <w:t>Research</w:t>
            </w:r>
          </w:p>
        </w:tc>
        <w:tc>
          <w:tcPr>
            <w:tcW w:w="5931" w:type="dxa"/>
          </w:tcPr>
          <w:p w14:paraId="1E468CE5" w14:textId="77777777" w:rsidR="00C7132A" w:rsidRPr="00C7132A" w:rsidRDefault="00C7132A" w:rsidP="00C7132A">
            <w:pPr>
              <w:spacing w:before="120" w:after="120"/>
              <w:rPr>
                <w:rFonts w:eastAsia="Arial" w:cs="Arial"/>
                <w:b/>
                <w:color w:val="FFFFFF"/>
                <w:sz w:val="24"/>
                <w:lang w:eastAsia="en-GB"/>
              </w:rPr>
            </w:pPr>
            <w:r w:rsidRPr="00C7132A">
              <w:rPr>
                <w:rFonts w:eastAsia="Arial" w:cs="Arial"/>
                <w:color w:val="000000"/>
                <w:sz w:val="24"/>
                <w:lang w:eastAsia="en-GB"/>
              </w:rPr>
              <w:t>Original research and experimental intervention pilots aiming to build the evidence base around leadership and its impact on public services.</w:t>
            </w:r>
          </w:p>
        </w:tc>
      </w:tr>
    </w:tbl>
    <w:p w14:paraId="2A1A8879" w14:textId="77777777" w:rsidR="00C7132A" w:rsidRPr="000D23F0" w:rsidRDefault="00DA19A4" w:rsidP="00DA19A4">
      <w:pPr>
        <w:pStyle w:val="Heading2"/>
        <w:rPr>
          <w:sz w:val="24"/>
        </w:rPr>
      </w:pPr>
      <w:r w:rsidRPr="000D23F0">
        <w:rPr>
          <w:sz w:val="24"/>
        </w:rPr>
        <w:t>To achieve this, the NLC carries out three pillars of work outlined below:</w:t>
      </w:r>
      <w:r w:rsidR="00C7132A" w:rsidRPr="000D23F0">
        <w:rPr>
          <w:sz w:val="24"/>
        </w:rPr>
        <w:br/>
      </w:r>
      <w:r w:rsidR="00C7132A" w:rsidRPr="000D23F0">
        <w:rPr>
          <w:sz w:val="24"/>
        </w:rPr>
        <w:br/>
      </w:r>
    </w:p>
    <w:p w14:paraId="6B922BA3" w14:textId="77777777" w:rsidR="00C7132A" w:rsidRPr="000D23F0" w:rsidRDefault="00C7132A" w:rsidP="00DA19A4">
      <w:pPr>
        <w:pStyle w:val="Heading2"/>
        <w:rPr>
          <w:sz w:val="24"/>
        </w:rPr>
      </w:pPr>
      <w:r w:rsidRPr="000D23F0">
        <w:rPr>
          <w:sz w:val="24"/>
        </w:rPr>
        <w:t xml:space="preserve">The </w:t>
      </w:r>
      <w:r w:rsidRPr="000D23F0">
        <w:rPr>
          <w:sz w:val="24"/>
          <w:szCs w:val="24"/>
        </w:rPr>
        <w:t xml:space="preserve">NLC’s remit is leaders at Chief Executive </w:t>
      </w:r>
      <w:proofErr w:type="gramStart"/>
      <w:r w:rsidRPr="000D23F0">
        <w:rPr>
          <w:sz w:val="24"/>
          <w:szCs w:val="24"/>
        </w:rPr>
        <w:t>level</w:t>
      </w:r>
      <w:proofErr w:type="gramEnd"/>
      <w:r w:rsidRPr="000D23F0">
        <w:rPr>
          <w:sz w:val="24"/>
          <w:szCs w:val="24"/>
        </w:rPr>
        <w:t xml:space="preserve"> of all public services across England, which includes Chief Constables, Permanent Secretaries, Fire Chiefs, Heads of NHS Trusts and Three Star Officers. Our research has shown this is approximately 1,500 public service leaders.</w:t>
      </w:r>
    </w:p>
    <w:p w14:paraId="5D1E94A3" w14:textId="77777777" w:rsidR="00C7132A" w:rsidRPr="000D23F0" w:rsidRDefault="00C7132A" w:rsidP="00C7132A">
      <w:pPr>
        <w:pStyle w:val="Heading2"/>
        <w:rPr>
          <w:sz w:val="24"/>
        </w:rPr>
      </w:pPr>
      <w:r w:rsidRPr="000D23F0">
        <w:rPr>
          <w:sz w:val="24"/>
        </w:rPr>
        <w:t xml:space="preserve">There currently exists a number of service-specific public service leadership academies (Service Academies) which provide sector-specific leadership support to a range of seniority. These bodies include: the College of Policing, the Civil Service Leadership Academy (CSLA), the NHS Leadership Academy, the Defence Leadership Centre and the Local Government Association (LGA) Leadership Academy. The purpose of each of these respective academies is to make the best possible senior leader within their specific sector (such as health, policing, or fire). The purpose of the NLC is to take these leaders in </w:t>
      </w:r>
      <w:r w:rsidRPr="000D23F0">
        <w:rPr>
          <w:sz w:val="24"/>
        </w:rPr>
        <w:lastRenderedPageBreak/>
        <w:t xml:space="preserve">England and to help them become the best possible systems leaders across the entire public sector.   </w:t>
      </w:r>
    </w:p>
    <w:p w14:paraId="79392A4C" w14:textId="77777777" w:rsidR="00C7132A" w:rsidRPr="000D23F0" w:rsidRDefault="00C7132A" w:rsidP="00C7132A">
      <w:pPr>
        <w:pStyle w:val="Heading2"/>
        <w:rPr>
          <w:sz w:val="24"/>
        </w:rPr>
      </w:pPr>
      <w:bookmarkStart w:id="18" w:name="_fu6wupbi7e3" w:colFirst="0" w:colLast="0"/>
      <w:bookmarkEnd w:id="18"/>
      <w:r w:rsidRPr="000D23F0">
        <w:rPr>
          <w:sz w:val="24"/>
        </w:rPr>
        <w:t xml:space="preserve">The Pubic Service Leadership Taskforce advised that “achieving diversity is an important part of the centre’s public service ethos. Our programme must have roots in the communities it serves. We recognise that outreach work may be required to bring people on to the programme from a wide range of backgrounds”. </w:t>
      </w:r>
    </w:p>
    <w:p w14:paraId="211893D5" w14:textId="77777777" w:rsidR="00C7132A" w:rsidRPr="000D23F0" w:rsidRDefault="00C7132A" w:rsidP="00C7132A">
      <w:pPr>
        <w:pStyle w:val="Heading2"/>
        <w:rPr>
          <w:sz w:val="24"/>
        </w:rPr>
      </w:pPr>
      <w:bookmarkStart w:id="19" w:name="_7lp349d9eer9" w:colFirst="0" w:colLast="0"/>
      <w:bookmarkEnd w:id="19"/>
      <w:r w:rsidRPr="000D23F0">
        <w:rPr>
          <w:sz w:val="24"/>
        </w:rPr>
        <w:t xml:space="preserve">It is the NLC’s ambition to provide training and support for underrepresented leaders with protected characteristics in line with this Taskforce recommendation. It is important that senior leaders of public services represent the populations they serve and for there to be a strong pipeline of diverse senior leaders, which is currently lacking. </w:t>
      </w:r>
    </w:p>
    <w:p w14:paraId="46EC0D59" w14:textId="77777777" w:rsidR="00C7132A" w:rsidRPr="000D23F0" w:rsidRDefault="00C7132A" w:rsidP="00C7132A">
      <w:pPr>
        <w:pStyle w:val="Heading2"/>
        <w:rPr>
          <w:sz w:val="24"/>
        </w:rPr>
      </w:pPr>
      <w:bookmarkStart w:id="20" w:name="_uv7nme1n9eeb" w:colFirst="0" w:colLast="0"/>
      <w:bookmarkEnd w:id="20"/>
      <w:r w:rsidRPr="000D23F0">
        <w:rPr>
          <w:sz w:val="24"/>
        </w:rPr>
        <w:t xml:space="preserve">The NLC is in the process of separately procuring a supplier to investigate user needs and the current provision of support for diverse senior leaders. It is crucial that this research will be embedded in the design of our diversity programme for </w:t>
      </w:r>
      <w:proofErr w:type="gramStart"/>
      <w:r w:rsidRPr="000D23F0">
        <w:rPr>
          <w:sz w:val="24"/>
        </w:rPr>
        <w:t>Summer</w:t>
      </w:r>
      <w:proofErr w:type="gramEnd"/>
      <w:r w:rsidRPr="000D23F0">
        <w:rPr>
          <w:sz w:val="24"/>
        </w:rPr>
        <w:t xml:space="preserve"> 2020 so that it is backed by evidence. </w:t>
      </w:r>
    </w:p>
    <w:p w14:paraId="481E59A7" w14:textId="18E4547D" w:rsidR="00DA19A4" w:rsidRPr="000D23F0" w:rsidRDefault="00C7132A" w:rsidP="00C7132A">
      <w:pPr>
        <w:pStyle w:val="Heading2"/>
        <w:rPr>
          <w:sz w:val="24"/>
        </w:rPr>
      </w:pPr>
      <w:bookmarkStart w:id="21" w:name="_wld7r7lawqtz" w:colFirst="0" w:colLast="0"/>
      <w:bookmarkEnd w:id="21"/>
      <w:r w:rsidRPr="000D23F0">
        <w:rPr>
          <w:sz w:val="24"/>
        </w:rPr>
        <w:t xml:space="preserve">The NLC requires the successful supplier to take on board the data, feedback and suggested design </w:t>
      </w:r>
      <w:r w:rsidR="00B87EDB">
        <w:rPr>
          <w:sz w:val="24"/>
        </w:rPr>
        <w:t>of the programme outlined in 3.11</w:t>
      </w:r>
      <w:r w:rsidRPr="000D23F0">
        <w:rPr>
          <w:sz w:val="24"/>
        </w:rPr>
        <w:t xml:space="preserve"> to deliver this diversity programme in </w:t>
      </w:r>
      <w:proofErr w:type="gramStart"/>
      <w:r w:rsidRPr="000D23F0">
        <w:rPr>
          <w:sz w:val="24"/>
        </w:rPr>
        <w:t>Summer</w:t>
      </w:r>
      <w:proofErr w:type="gramEnd"/>
      <w:r w:rsidRPr="000D23F0">
        <w:rPr>
          <w:sz w:val="24"/>
        </w:rPr>
        <w:t xml:space="preserve"> 2020. </w:t>
      </w:r>
    </w:p>
    <w:p w14:paraId="081CFAE7" w14:textId="4404AA16" w:rsidR="00C4233A" w:rsidRPr="000D23F0" w:rsidRDefault="00106F24">
      <w:pPr>
        <w:pStyle w:val="Heading1"/>
        <w:tabs>
          <w:tab w:val="clear" w:pos="720"/>
        </w:tabs>
        <w:overflowPunct w:val="0"/>
        <w:autoSpaceDE w:val="0"/>
        <w:autoSpaceDN w:val="0"/>
        <w:spacing w:after="120"/>
        <w:textAlignment w:val="baseline"/>
        <w:rPr>
          <w:sz w:val="32"/>
          <w:szCs w:val="32"/>
        </w:rPr>
      </w:pPr>
      <w:bookmarkStart w:id="22" w:name="_Toc522714837"/>
      <w:bookmarkStart w:id="23" w:name="_Toc368573030"/>
      <w:r w:rsidRPr="000D23F0">
        <w:rPr>
          <w:sz w:val="32"/>
          <w:szCs w:val="32"/>
        </w:rPr>
        <w:t>definitions</w:t>
      </w:r>
      <w:bookmarkEnd w:id="22"/>
      <w:r w:rsidRPr="000D23F0">
        <w:rPr>
          <w:sz w:val="32"/>
          <w:szCs w:val="32"/>
        </w:rPr>
        <w:t xml:space="preserve"> </w:t>
      </w:r>
    </w:p>
    <w:tbl>
      <w:tblPr>
        <w:tblStyle w:val="TableGrid"/>
        <w:tblW w:w="0" w:type="auto"/>
        <w:tblInd w:w="720" w:type="dxa"/>
        <w:tblLook w:val="04A0" w:firstRow="1" w:lastRow="0" w:firstColumn="1" w:lastColumn="0" w:noHBand="0" w:noVBand="1"/>
      </w:tblPr>
      <w:tblGrid>
        <w:gridCol w:w="2070"/>
        <w:gridCol w:w="6229"/>
      </w:tblGrid>
      <w:tr w:rsidR="00106F24" w:rsidRPr="000D23F0" w14:paraId="553CCD95" w14:textId="77777777" w:rsidTr="00C7132A">
        <w:tc>
          <w:tcPr>
            <w:tcW w:w="2070" w:type="dxa"/>
            <w:shd w:val="clear" w:color="auto" w:fill="B8CCE4" w:themeFill="accent1" w:themeFillTint="66"/>
          </w:tcPr>
          <w:p w14:paraId="2E04E555" w14:textId="1E410DA5" w:rsidR="00106F24" w:rsidRPr="000D23F0" w:rsidRDefault="00106F24" w:rsidP="0081061A">
            <w:pPr>
              <w:pStyle w:val="Heading2"/>
              <w:numPr>
                <w:ilvl w:val="0"/>
                <w:numId w:val="0"/>
              </w:numPr>
              <w:spacing w:after="120"/>
              <w:ind w:left="18" w:hanging="18"/>
              <w:jc w:val="left"/>
              <w:outlineLvl w:val="1"/>
              <w:rPr>
                <w:b/>
                <w:sz w:val="24"/>
                <w:szCs w:val="24"/>
              </w:rPr>
            </w:pPr>
            <w:r w:rsidRPr="000D23F0">
              <w:rPr>
                <w:b/>
                <w:sz w:val="24"/>
                <w:szCs w:val="24"/>
              </w:rPr>
              <w:t>Expression</w:t>
            </w:r>
            <w:r w:rsidR="0081061A" w:rsidRPr="000D23F0">
              <w:rPr>
                <w:b/>
                <w:sz w:val="24"/>
                <w:szCs w:val="24"/>
              </w:rPr>
              <w:t xml:space="preserve"> or </w:t>
            </w:r>
            <w:r w:rsidRPr="000D23F0">
              <w:rPr>
                <w:b/>
                <w:sz w:val="24"/>
                <w:szCs w:val="24"/>
              </w:rPr>
              <w:t>Acronym</w:t>
            </w:r>
          </w:p>
        </w:tc>
        <w:tc>
          <w:tcPr>
            <w:tcW w:w="6229" w:type="dxa"/>
            <w:shd w:val="clear" w:color="auto" w:fill="B8CCE4" w:themeFill="accent1" w:themeFillTint="66"/>
          </w:tcPr>
          <w:p w14:paraId="0CDEAA6D" w14:textId="00739683" w:rsidR="00106F24" w:rsidRPr="000D23F0" w:rsidRDefault="00106F24" w:rsidP="0081061A">
            <w:pPr>
              <w:pStyle w:val="Heading2"/>
              <w:numPr>
                <w:ilvl w:val="0"/>
                <w:numId w:val="0"/>
              </w:numPr>
              <w:spacing w:after="120"/>
              <w:ind w:left="720" w:hanging="720"/>
              <w:outlineLvl w:val="1"/>
              <w:rPr>
                <w:b/>
                <w:sz w:val="24"/>
                <w:szCs w:val="24"/>
              </w:rPr>
            </w:pPr>
            <w:r w:rsidRPr="000D23F0">
              <w:rPr>
                <w:b/>
                <w:sz w:val="24"/>
                <w:szCs w:val="24"/>
              </w:rPr>
              <w:t>Definition</w:t>
            </w:r>
          </w:p>
        </w:tc>
      </w:tr>
      <w:tr w:rsidR="00106F24" w:rsidRPr="000D23F0" w14:paraId="722819D3" w14:textId="77777777" w:rsidTr="00C7132A">
        <w:tc>
          <w:tcPr>
            <w:tcW w:w="2070" w:type="dxa"/>
          </w:tcPr>
          <w:p w14:paraId="18A7B53F" w14:textId="1D44BD6D" w:rsidR="00106F24" w:rsidRPr="000D23F0" w:rsidRDefault="00C7132A" w:rsidP="0081061A">
            <w:pPr>
              <w:pStyle w:val="Heading2"/>
              <w:numPr>
                <w:ilvl w:val="0"/>
                <w:numId w:val="0"/>
              </w:numPr>
              <w:spacing w:after="120"/>
              <w:ind w:left="720" w:hanging="720"/>
              <w:outlineLvl w:val="1"/>
              <w:rPr>
                <w:b/>
                <w:sz w:val="24"/>
                <w:szCs w:val="24"/>
              </w:rPr>
            </w:pPr>
            <w:r w:rsidRPr="000D23F0">
              <w:rPr>
                <w:b/>
                <w:sz w:val="24"/>
                <w:szCs w:val="24"/>
              </w:rPr>
              <w:t>NLC</w:t>
            </w:r>
          </w:p>
        </w:tc>
        <w:tc>
          <w:tcPr>
            <w:tcW w:w="6229" w:type="dxa"/>
          </w:tcPr>
          <w:p w14:paraId="74E0E117" w14:textId="389DF698" w:rsidR="00106F24" w:rsidRPr="000D23F0" w:rsidRDefault="00C7132A" w:rsidP="00E24EE7">
            <w:pPr>
              <w:pStyle w:val="Heading2"/>
              <w:numPr>
                <w:ilvl w:val="0"/>
                <w:numId w:val="0"/>
              </w:numPr>
              <w:spacing w:after="120"/>
              <w:outlineLvl w:val="1"/>
              <w:rPr>
                <w:sz w:val="24"/>
                <w:szCs w:val="24"/>
              </w:rPr>
            </w:pPr>
            <w:proofErr w:type="gramStart"/>
            <w:r w:rsidRPr="000D23F0">
              <w:rPr>
                <w:sz w:val="24"/>
                <w:szCs w:val="24"/>
              </w:rPr>
              <w:t>refers</w:t>
            </w:r>
            <w:proofErr w:type="gramEnd"/>
            <w:r w:rsidRPr="000D23F0">
              <w:rPr>
                <w:sz w:val="24"/>
                <w:szCs w:val="24"/>
              </w:rPr>
              <w:t xml:space="preserve"> to the National Leadership Centre.</w:t>
            </w:r>
          </w:p>
        </w:tc>
      </w:tr>
      <w:tr w:rsidR="00106F24" w:rsidRPr="000D23F0" w14:paraId="0ED1505B" w14:textId="77777777" w:rsidTr="00C7132A">
        <w:tc>
          <w:tcPr>
            <w:tcW w:w="2070" w:type="dxa"/>
          </w:tcPr>
          <w:p w14:paraId="0773B834" w14:textId="6C0BA38C" w:rsidR="00106F24" w:rsidRPr="000D23F0" w:rsidRDefault="00C7132A" w:rsidP="0081061A">
            <w:pPr>
              <w:pStyle w:val="Heading2"/>
              <w:numPr>
                <w:ilvl w:val="0"/>
                <w:numId w:val="0"/>
              </w:numPr>
              <w:spacing w:after="120"/>
              <w:ind w:left="720" w:hanging="720"/>
              <w:outlineLvl w:val="1"/>
              <w:rPr>
                <w:b/>
                <w:sz w:val="24"/>
                <w:szCs w:val="24"/>
              </w:rPr>
            </w:pPr>
            <w:r w:rsidRPr="000D23F0">
              <w:rPr>
                <w:b/>
                <w:sz w:val="24"/>
                <w:szCs w:val="24"/>
              </w:rPr>
              <w:t>The Taskforce</w:t>
            </w:r>
          </w:p>
        </w:tc>
        <w:tc>
          <w:tcPr>
            <w:tcW w:w="6229" w:type="dxa"/>
          </w:tcPr>
          <w:p w14:paraId="7D6E62CD" w14:textId="4FD2B0AC" w:rsidR="00106F24" w:rsidRPr="000D23F0" w:rsidRDefault="00C7132A" w:rsidP="00E24EE7">
            <w:pPr>
              <w:pStyle w:val="Heading2"/>
              <w:numPr>
                <w:ilvl w:val="0"/>
                <w:numId w:val="0"/>
              </w:numPr>
              <w:spacing w:after="120"/>
              <w:ind w:left="720" w:hanging="720"/>
              <w:outlineLvl w:val="1"/>
              <w:rPr>
                <w:sz w:val="24"/>
                <w:szCs w:val="24"/>
              </w:rPr>
            </w:pPr>
            <w:proofErr w:type="gramStart"/>
            <w:r w:rsidRPr="000D23F0">
              <w:rPr>
                <w:sz w:val="24"/>
                <w:szCs w:val="24"/>
              </w:rPr>
              <w:t>refers</w:t>
            </w:r>
            <w:proofErr w:type="gramEnd"/>
            <w:r w:rsidRPr="000D23F0">
              <w:rPr>
                <w:sz w:val="24"/>
                <w:szCs w:val="24"/>
              </w:rPr>
              <w:t xml:space="preserve"> to the Public Services Leadership Taskforce.</w:t>
            </w:r>
          </w:p>
        </w:tc>
      </w:tr>
      <w:tr w:rsidR="00106F24" w:rsidRPr="000D23F0" w14:paraId="03344AB3" w14:textId="77777777" w:rsidTr="00C7132A">
        <w:tc>
          <w:tcPr>
            <w:tcW w:w="2070" w:type="dxa"/>
          </w:tcPr>
          <w:p w14:paraId="0F046C88" w14:textId="373749B4" w:rsidR="00106F24" w:rsidRPr="000D23F0" w:rsidRDefault="00C7132A" w:rsidP="0081061A">
            <w:pPr>
              <w:pStyle w:val="Heading2"/>
              <w:numPr>
                <w:ilvl w:val="0"/>
                <w:numId w:val="0"/>
              </w:numPr>
              <w:spacing w:after="120"/>
              <w:ind w:left="720" w:hanging="720"/>
              <w:outlineLvl w:val="1"/>
              <w:rPr>
                <w:b/>
                <w:sz w:val="24"/>
                <w:szCs w:val="24"/>
              </w:rPr>
            </w:pPr>
            <w:r w:rsidRPr="000D23F0">
              <w:rPr>
                <w:b/>
                <w:sz w:val="24"/>
                <w:szCs w:val="24"/>
              </w:rPr>
              <w:t>GDPR</w:t>
            </w:r>
          </w:p>
        </w:tc>
        <w:tc>
          <w:tcPr>
            <w:tcW w:w="6229" w:type="dxa"/>
          </w:tcPr>
          <w:p w14:paraId="37C45D19" w14:textId="71409B1C" w:rsidR="00106F24" w:rsidRPr="000D23F0" w:rsidRDefault="00C7132A" w:rsidP="00E24EE7">
            <w:pPr>
              <w:pStyle w:val="Heading2"/>
              <w:numPr>
                <w:ilvl w:val="0"/>
                <w:numId w:val="0"/>
              </w:numPr>
              <w:spacing w:after="120"/>
              <w:outlineLvl w:val="1"/>
              <w:rPr>
                <w:sz w:val="24"/>
                <w:szCs w:val="24"/>
              </w:rPr>
            </w:pPr>
            <w:proofErr w:type="gramStart"/>
            <w:r w:rsidRPr="000D23F0">
              <w:rPr>
                <w:sz w:val="24"/>
                <w:szCs w:val="24"/>
              </w:rPr>
              <w:t>refers</w:t>
            </w:r>
            <w:proofErr w:type="gramEnd"/>
            <w:r w:rsidRPr="000D23F0">
              <w:rPr>
                <w:sz w:val="24"/>
                <w:szCs w:val="24"/>
              </w:rPr>
              <w:t xml:space="preserve"> to the General Data Protection Regulation.</w:t>
            </w:r>
          </w:p>
        </w:tc>
      </w:tr>
      <w:tr w:rsidR="00C7132A" w:rsidRPr="000D23F0" w14:paraId="1C798F35" w14:textId="77777777" w:rsidTr="00C7132A">
        <w:tc>
          <w:tcPr>
            <w:tcW w:w="2070" w:type="dxa"/>
          </w:tcPr>
          <w:p w14:paraId="09463897" w14:textId="789327CF" w:rsidR="00C7132A" w:rsidRPr="000D23F0" w:rsidRDefault="00C7132A" w:rsidP="0081061A">
            <w:pPr>
              <w:pStyle w:val="Heading2"/>
              <w:numPr>
                <w:ilvl w:val="0"/>
                <w:numId w:val="0"/>
              </w:numPr>
              <w:spacing w:after="120"/>
              <w:ind w:left="720" w:hanging="720"/>
              <w:outlineLvl w:val="1"/>
              <w:rPr>
                <w:b/>
                <w:sz w:val="24"/>
                <w:szCs w:val="24"/>
              </w:rPr>
            </w:pPr>
            <w:r w:rsidRPr="000D23F0">
              <w:rPr>
                <w:b/>
                <w:sz w:val="24"/>
                <w:szCs w:val="24"/>
              </w:rPr>
              <w:t>DPA</w:t>
            </w:r>
          </w:p>
        </w:tc>
        <w:tc>
          <w:tcPr>
            <w:tcW w:w="6229" w:type="dxa"/>
          </w:tcPr>
          <w:p w14:paraId="65F5A9A2" w14:textId="5105D6D4" w:rsidR="00C7132A" w:rsidRPr="000D23F0" w:rsidRDefault="00C7132A" w:rsidP="00E24EE7">
            <w:pPr>
              <w:pStyle w:val="Heading2"/>
              <w:numPr>
                <w:ilvl w:val="0"/>
                <w:numId w:val="0"/>
              </w:numPr>
              <w:spacing w:after="120"/>
              <w:outlineLvl w:val="1"/>
              <w:rPr>
                <w:sz w:val="24"/>
                <w:szCs w:val="24"/>
              </w:rPr>
            </w:pPr>
            <w:proofErr w:type="gramStart"/>
            <w:r w:rsidRPr="000D23F0">
              <w:rPr>
                <w:sz w:val="24"/>
                <w:szCs w:val="24"/>
              </w:rPr>
              <w:t>refers</w:t>
            </w:r>
            <w:proofErr w:type="gramEnd"/>
            <w:r w:rsidRPr="000D23F0">
              <w:rPr>
                <w:sz w:val="24"/>
                <w:szCs w:val="24"/>
              </w:rPr>
              <w:t xml:space="preserve"> to the Data Protection Act 2018.</w:t>
            </w:r>
          </w:p>
        </w:tc>
      </w:tr>
      <w:tr w:rsidR="00C7132A" w:rsidRPr="000D23F0" w14:paraId="7D1E198D" w14:textId="77777777" w:rsidTr="00C7132A">
        <w:tc>
          <w:tcPr>
            <w:tcW w:w="2070" w:type="dxa"/>
          </w:tcPr>
          <w:p w14:paraId="33A023D5" w14:textId="358DDF4B" w:rsidR="00C7132A" w:rsidRPr="000D23F0" w:rsidRDefault="00C7132A" w:rsidP="0081061A">
            <w:pPr>
              <w:pStyle w:val="Heading2"/>
              <w:numPr>
                <w:ilvl w:val="0"/>
                <w:numId w:val="0"/>
              </w:numPr>
              <w:spacing w:after="120"/>
              <w:ind w:left="720" w:hanging="720"/>
              <w:outlineLvl w:val="1"/>
              <w:rPr>
                <w:b/>
                <w:sz w:val="24"/>
                <w:szCs w:val="24"/>
              </w:rPr>
            </w:pPr>
            <w:r w:rsidRPr="000D23F0">
              <w:rPr>
                <w:b/>
                <w:sz w:val="24"/>
                <w:szCs w:val="24"/>
              </w:rPr>
              <w:t>ICO</w:t>
            </w:r>
          </w:p>
        </w:tc>
        <w:tc>
          <w:tcPr>
            <w:tcW w:w="6229" w:type="dxa"/>
          </w:tcPr>
          <w:p w14:paraId="218B6E95" w14:textId="5112EC39" w:rsidR="00C7132A" w:rsidRPr="000D23F0" w:rsidRDefault="00C7132A" w:rsidP="00C7132A">
            <w:pPr>
              <w:pStyle w:val="Heading2"/>
              <w:numPr>
                <w:ilvl w:val="0"/>
                <w:numId w:val="0"/>
              </w:numPr>
              <w:tabs>
                <w:tab w:val="left" w:pos="1550"/>
              </w:tabs>
              <w:spacing w:after="120"/>
              <w:outlineLvl w:val="1"/>
              <w:rPr>
                <w:sz w:val="24"/>
                <w:szCs w:val="24"/>
              </w:rPr>
            </w:pPr>
            <w:proofErr w:type="gramStart"/>
            <w:r w:rsidRPr="000D23F0">
              <w:rPr>
                <w:sz w:val="24"/>
                <w:szCs w:val="24"/>
              </w:rPr>
              <w:t>refers</w:t>
            </w:r>
            <w:proofErr w:type="gramEnd"/>
            <w:r w:rsidRPr="000D23F0">
              <w:rPr>
                <w:sz w:val="24"/>
                <w:szCs w:val="24"/>
              </w:rPr>
              <w:t xml:space="preserve"> to the Information Commissioner’s Office.</w:t>
            </w:r>
          </w:p>
        </w:tc>
      </w:tr>
      <w:tr w:rsidR="00C7132A" w:rsidRPr="000D23F0" w14:paraId="480D94EB" w14:textId="77777777" w:rsidTr="00C7132A">
        <w:tc>
          <w:tcPr>
            <w:tcW w:w="2070" w:type="dxa"/>
          </w:tcPr>
          <w:p w14:paraId="6D18E066" w14:textId="1A9B54D8" w:rsidR="00C7132A" w:rsidRPr="000D23F0" w:rsidRDefault="00C7132A" w:rsidP="0081061A">
            <w:pPr>
              <w:pStyle w:val="Heading2"/>
              <w:numPr>
                <w:ilvl w:val="0"/>
                <w:numId w:val="0"/>
              </w:numPr>
              <w:spacing w:after="120"/>
              <w:ind w:left="720" w:hanging="720"/>
              <w:outlineLvl w:val="1"/>
              <w:rPr>
                <w:b/>
                <w:sz w:val="24"/>
                <w:szCs w:val="24"/>
              </w:rPr>
            </w:pPr>
            <w:r w:rsidRPr="000D23F0">
              <w:rPr>
                <w:b/>
                <w:sz w:val="24"/>
                <w:szCs w:val="24"/>
              </w:rPr>
              <w:t>DPIA</w:t>
            </w:r>
          </w:p>
        </w:tc>
        <w:tc>
          <w:tcPr>
            <w:tcW w:w="6229" w:type="dxa"/>
          </w:tcPr>
          <w:p w14:paraId="6E658789" w14:textId="257F4050" w:rsidR="00C7132A" w:rsidRPr="000D23F0" w:rsidRDefault="00C7132A" w:rsidP="00C7132A">
            <w:pPr>
              <w:pStyle w:val="Heading2"/>
              <w:numPr>
                <w:ilvl w:val="0"/>
                <w:numId w:val="0"/>
              </w:numPr>
              <w:tabs>
                <w:tab w:val="left" w:pos="1550"/>
              </w:tabs>
              <w:spacing w:after="120"/>
              <w:outlineLvl w:val="1"/>
              <w:rPr>
                <w:sz w:val="24"/>
                <w:szCs w:val="24"/>
              </w:rPr>
            </w:pPr>
            <w:proofErr w:type="gramStart"/>
            <w:r w:rsidRPr="000D23F0">
              <w:rPr>
                <w:sz w:val="24"/>
                <w:szCs w:val="24"/>
              </w:rPr>
              <w:t>refers</w:t>
            </w:r>
            <w:proofErr w:type="gramEnd"/>
            <w:r w:rsidRPr="000D23F0">
              <w:rPr>
                <w:sz w:val="24"/>
                <w:szCs w:val="24"/>
              </w:rPr>
              <w:t xml:space="preserve"> to the Data Protection Impact Assessment.</w:t>
            </w:r>
          </w:p>
        </w:tc>
      </w:tr>
    </w:tbl>
    <w:p w14:paraId="0DAF43A5" w14:textId="77777777" w:rsidR="00671798" w:rsidRPr="000D23F0" w:rsidRDefault="00FE18AC" w:rsidP="00106F24">
      <w:pPr>
        <w:pStyle w:val="Heading1"/>
        <w:tabs>
          <w:tab w:val="clear" w:pos="720"/>
        </w:tabs>
        <w:overflowPunct w:val="0"/>
        <w:autoSpaceDE w:val="0"/>
        <w:autoSpaceDN w:val="0"/>
        <w:spacing w:before="240" w:after="120"/>
        <w:textAlignment w:val="baseline"/>
        <w:rPr>
          <w:sz w:val="32"/>
          <w:szCs w:val="32"/>
        </w:rPr>
      </w:pPr>
      <w:bookmarkStart w:id="24" w:name="_Toc522714838"/>
      <w:r w:rsidRPr="000D23F0">
        <w:rPr>
          <w:sz w:val="32"/>
          <w:szCs w:val="32"/>
        </w:rPr>
        <w:t>scope of requirement</w:t>
      </w:r>
      <w:bookmarkEnd w:id="13"/>
      <w:bookmarkEnd w:id="23"/>
      <w:bookmarkEnd w:id="24"/>
      <w:r w:rsidRPr="000D23F0">
        <w:rPr>
          <w:sz w:val="32"/>
          <w:szCs w:val="32"/>
        </w:rPr>
        <w:t xml:space="preserve"> </w:t>
      </w:r>
    </w:p>
    <w:bookmarkEnd w:id="10"/>
    <w:p w14:paraId="1E4B3604" w14:textId="77777777" w:rsidR="00C7132A" w:rsidRPr="000D23F0" w:rsidRDefault="00C7132A" w:rsidP="00C7132A">
      <w:pPr>
        <w:pStyle w:val="Heading2"/>
        <w:rPr>
          <w:sz w:val="24"/>
        </w:rPr>
      </w:pPr>
      <w:r w:rsidRPr="000D23F0">
        <w:rPr>
          <w:sz w:val="24"/>
        </w:rPr>
        <w:t xml:space="preserve">The objective of this programme is to support the development and progression of ethnic minority senior leaders and to develop a pipeline of leaders to Chief Executive </w:t>
      </w:r>
      <w:proofErr w:type="gramStart"/>
      <w:r w:rsidRPr="000D23F0">
        <w:rPr>
          <w:sz w:val="24"/>
        </w:rPr>
        <w:t>level</w:t>
      </w:r>
      <w:proofErr w:type="gramEnd"/>
      <w:r w:rsidRPr="000D23F0">
        <w:rPr>
          <w:sz w:val="24"/>
        </w:rPr>
        <w:t xml:space="preserve"> where there is currently under representation. Ethnicity will be the only characteristic that is the focus of this programme.</w:t>
      </w:r>
    </w:p>
    <w:p w14:paraId="4663E9CE" w14:textId="09068829" w:rsidR="00C7132A" w:rsidRPr="000D23F0" w:rsidRDefault="00C7132A" w:rsidP="00C7132A">
      <w:pPr>
        <w:pStyle w:val="Heading2"/>
        <w:rPr>
          <w:sz w:val="24"/>
        </w:rPr>
      </w:pPr>
      <w:r w:rsidRPr="000D23F0">
        <w:rPr>
          <w:sz w:val="24"/>
        </w:rPr>
        <w:t>The requirement is for the design, delivery and full oversight of a diversity leadership course for 30 senior eth</w:t>
      </w:r>
      <w:r w:rsidR="000D23F0" w:rsidRPr="000D23F0">
        <w:rPr>
          <w:sz w:val="24"/>
        </w:rPr>
        <w:t>n</w:t>
      </w:r>
      <w:r w:rsidRPr="000D23F0">
        <w:rPr>
          <w:sz w:val="24"/>
        </w:rPr>
        <w:t>ic minority public sector leaders working at Director/Deputy Chief Executive level and equivalent;</w:t>
      </w:r>
    </w:p>
    <w:p w14:paraId="020D6014" w14:textId="77777777" w:rsidR="00C7132A" w:rsidRPr="000D23F0" w:rsidRDefault="00C7132A" w:rsidP="00C7132A">
      <w:pPr>
        <w:pStyle w:val="Heading3"/>
        <w:rPr>
          <w:sz w:val="24"/>
        </w:rPr>
      </w:pPr>
      <w:r w:rsidRPr="000D23F0">
        <w:rPr>
          <w:sz w:val="24"/>
        </w:rPr>
        <w:lastRenderedPageBreak/>
        <w:t>The course must stimulate, stretch and enable senior leaders to develop their skills and empower them to pursue more senior leadership roles.</w:t>
      </w:r>
    </w:p>
    <w:p w14:paraId="562B8361" w14:textId="77777777" w:rsidR="00C7132A" w:rsidRPr="000D23F0" w:rsidRDefault="00C7132A" w:rsidP="00C7132A">
      <w:pPr>
        <w:pStyle w:val="Heading3"/>
        <w:rPr>
          <w:sz w:val="24"/>
        </w:rPr>
      </w:pPr>
      <w:bookmarkStart w:id="25" w:name="_t15r12sr8p8y" w:colFirst="0" w:colLast="0"/>
      <w:bookmarkEnd w:id="25"/>
      <w:r w:rsidRPr="000D23F0">
        <w:rPr>
          <w:sz w:val="24"/>
        </w:rPr>
        <w:t xml:space="preserve">The course must be bespoke to the requirements of ethnic minority leaders who are underrepresented in the current senior leadership landscape in public services. </w:t>
      </w:r>
    </w:p>
    <w:p w14:paraId="5E5C0F35" w14:textId="77777777" w:rsidR="00C7132A" w:rsidRPr="000D23F0" w:rsidRDefault="00C7132A" w:rsidP="00C7132A">
      <w:pPr>
        <w:pStyle w:val="Heading3"/>
        <w:rPr>
          <w:sz w:val="24"/>
        </w:rPr>
      </w:pPr>
      <w:r w:rsidRPr="000D23F0">
        <w:rPr>
          <w:sz w:val="24"/>
        </w:rPr>
        <w:t xml:space="preserve">The course must align to the NLC’s mission and core objectives outlined in 3.5. </w:t>
      </w:r>
      <w:r w:rsidRPr="000D23F0">
        <w:rPr>
          <w:sz w:val="24"/>
        </w:rPr>
        <w:br/>
        <w:t xml:space="preserve"> </w:t>
      </w:r>
    </w:p>
    <w:p w14:paraId="0CC05579" w14:textId="77777777" w:rsidR="00C7132A" w:rsidRPr="000D23F0" w:rsidRDefault="00C7132A" w:rsidP="00C7132A">
      <w:pPr>
        <w:pStyle w:val="Heading3"/>
        <w:rPr>
          <w:sz w:val="24"/>
        </w:rPr>
      </w:pPr>
      <w:r w:rsidRPr="000D23F0">
        <w:rPr>
          <w:sz w:val="24"/>
        </w:rPr>
        <w:t>The senior public sector leaders will be at Director/Deputy Chief Executive level or equivalent, including but not exclusively, the following positions:</w:t>
      </w:r>
      <w:r w:rsidRPr="000D23F0">
        <w:rPr>
          <w:sz w:val="24"/>
        </w:rPr>
        <w:br/>
      </w:r>
    </w:p>
    <w:p w14:paraId="499BC80A" w14:textId="77777777" w:rsidR="00C7132A" w:rsidRPr="000D23F0" w:rsidRDefault="00C7132A" w:rsidP="00C7132A">
      <w:pPr>
        <w:pStyle w:val="Heading4"/>
        <w:rPr>
          <w:sz w:val="24"/>
        </w:rPr>
      </w:pPr>
      <w:r w:rsidRPr="000D23F0">
        <w:rPr>
          <w:sz w:val="24"/>
        </w:rPr>
        <w:t>Deputy Ambulance Trusts, Further Education Colleges, and Multi-Academy Trusts Chief Executives of Local Authorities, NHS Trusts</w:t>
      </w:r>
      <w:r w:rsidRPr="000D23F0">
        <w:rPr>
          <w:sz w:val="24"/>
        </w:rPr>
        <w:br/>
      </w:r>
    </w:p>
    <w:p w14:paraId="7856139A" w14:textId="77777777" w:rsidR="00C7132A" w:rsidRPr="000D23F0" w:rsidRDefault="00C7132A" w:rsidP="00C7132A">
      <w:pPr>
        <w:pStyle w:val="Heading4"/>
        <w:rPr>
          <w:sz w:val="24"/>
        </w:rPr>
      </w:pPr>
      <w:r w:rsidRPr="000D23F0">
        <w:rPr>
          <w:sz w:val="24"/>
        </w:rPr>
        <w:t>Pro-Vice-Chancellors / Deputy Vice-Chancellors of Universities</w:t>
      </w:r>
      <w:r w:rsidRPr="000D23F0">
        <w:rPr>
          <w:sz w:val="24"/>
        </w:rPr>
        <w:br/>
      </w:r>
    </w:p>
    <w:p w14:paraId="193AF156" w14:textId="77777777" w:rsidR="00C7132A" w:rsidRPr="000D23F0" w:rsidRDefault="00C7132A" w:rsidP="00C7132A">
      <w:pPr>
        <w:pStyle w:val="Heading4"/>
        <w:rPr>
          <w:sz w:val="24"/>
        </w:rPr>
      </w:pPr>
      <w:r w:rsidRPr="000D23F0">
        <w:rPr>
          <w:sz w:val="24"/>
        </w:rPr>
        <w:t>Deputy Chief Constables of Police Services</w:t>
      </w:r>
      <w:r w:rsidRPr="000D23F0">
        <w:rPr>
          <w:sz w:val="24"/>
        </w:rPr>
        <w:br/>
      </w:r>
    </w:p>
    <w:p w14:paraId="0549236C" w14:textId="77777777" w:rsidR="00C7132A" w:rsidRPr="000D23F0" w:rsidRDefault="00C7132A" w:rsidP="00C7132A">
      <w:pPr>
        <w:pStyle w:val="Heading4"/>
        <w:rPr>
          <w:sz w:val="24"/>
        </w:rPr>
      </w:pPr>
      <w:r w:rsidRPr="000D23F0">
        <w:rPr>
          <w:sz w:val="24"/>
        </w:rPr>
        <w:t>Deputy Fire Officers of Fire and Rescue Services</w:t>
      </w:r>
      <w:r w:rsidRPr="000D23F0">
        <w:rPr>
          <w:sz w:val="24"/>
        </w:rPr>
        <w:br/>
      </w:r>
    </w:p>
    <w:p w14:paraId="61E09C08" w14:textId="77777777" w:rsidR="00C7132A" w:rsidRPr="000D23F0" w:rsidRDefault="00C7132A" w:rsidP="00C7132A">
      <w:pPr>
        <w:pStyle w:val="Heading4"/>
        <w:rPr>
          <w:sz w:val="24"/>
        </w:rPr>
      </w:pPr>
      <w:r w:rsidRPr="000D23F0">
        <w:rPr>
          <w:sz w:val="24"/>
        </w:rPr>
        <w:t>Directors across the Civil Service</w:t>
      </w:r>
      <w:r w:rsidRPr="000D23F0">
        <w:rPr>
          <w:sz w:val="24"/>
        </w:rPr>
        <w:br/>
      </w:r>
    </w:p>
    <w:p w14:paraId="00CEC8C9" w14:textId="77777777" w:rsidR="00C7132A" w:rsidRPr="000D23F0" w:rsidRDefault="00C7132A" w:rsidP="00C7132A">
      <w:pPr>
        <w:pStyle w:val="Heading4"/>
        <w:rPr>
          <w:sz w:val="24"/>
        </w:rPr>
      </w:pPr>
      <w:r w:rsidRPr="000D23F0">
        <w:rPr>
          <w:sz w:val="24"/>
        </w:rPr>
        <w:t xml:space="preserve">Directors / Deputy Chief Executives of </w:t>
      </w:r>
      <w:proofErr w:type="spellStart"/>
      <w:r w:rsidRPr="000D23F0">
        <w:rPr>
          <w:sz w:val="24"/>
        </w:rPr>
        <w:t>Arms Length</w:t>
      </w:r>
      <w:proofErr w:type="spellEnd"/>
      <w:r w:rsidRPr="000D23F0">
        <w:rPr>
          <w:sz w:val="24"/>
        </w:rPr>
        <w:t xml:space="preserve"> Bodies</w:t>
      </w:r>
      <w:r w:rsidRPr="000D23F0">
        <w:rPr>
          <w:sz w:val="24"/>
        </w:rPr>
        <w:br/>
      </w:r>
    </w:p>
    <w:p w14:paraId="17F96D63" w14:textId="77777777" w:rsidR="00C7132A" w:rsidRPr="000D23F0" w:rsidRDefault="00C7132A" w:rsidP="00C7132A">
      <w:pPr>
        <w:pStyle w:val="Heading4"/>
        <w:rPr>
          <w:sz w:val="24"/>
        </w:rPr>
      </w:pPr>
      <w:r w:rsidRPr="000D23F0">
        <w:rPr>
          <w:sz w:val="24"/>
        </w:rPr>
        <w:t>2* Military Officers</w:t>
      </w:r>
      <w:r w:rsidRPr="000D23F0">
        <w:rPr>
          <w:sz w:val="24"/>
        </w:rPr>
        <w:br/>
      </w:r>
    </w:p>
    <w:p w14:paraId="56E62271" w14:textId="77777777" w:rsidR="00C7132A" w:rsidRPr="000D23F0" w:rsidRDefault="00C7132A" w:rsidP="00C7132A">
      <w:pPr>
        <w:pStyle w:val="Heading3"/>
        <w:rPr>
          <w:sz w:val="24"/>
        </w:rPr>
      </w:pPr>
      <w:r w:rsidRPr="000D23F0">
        <w:rPr>
          <w:sz w:val="24"/>
        </w:rPr>
        <w:t>The senior public sector leaders chosen for the diversity leadership course must belong to an organisation already part of the NLC’s Network, which will be shared with the Supplier during the design stage of the course.</w:t>
      </w:r>
      <w:r w:rsidRPr="000D23F0">
        <w:rPr>
          <w:sz w:val="24"/>
        </w:rPr>
        <w:br/>
      </w:r>
    </w:p>
    <w:p w14:paraId="55C42639" w14:textId="77777777" w:rsidR="00C7132A" w:rsidRPr="000D23F0" w:rsidRDefault="00C7132A" w:rsidP="00C7132A">
      <w:pPr>
        <w:pStyle w:val="Heading3"/>
        <w:rPr>
          <w:sz w:val="24"/>
        </w:rPr>
      </w:pPr>
      <w:r w:rsidRPr="000D23F0">
        <w:rPr>
          <w:sz w:val="24"/>
        </w:rPr>
        <w:t xml:space="preserve">The Supplier shall work with the NLC to identify a senior sponsor for each programme delegate for the duration of the programme. This </w:t>
      </w:r>
      <w:r w:rsidRPr="000D23F0">
        <w:rPr>
          <w:sz w:val="24"/>
        </w:rPr>
        <w:lastRenderedPageBreak/>
        <w:t>senior sponsor should be an existing delegate from our Chief Executive Leadership Programme, and must be a Chief Executive-equivalent leader of a public sector organisation that is already part of the NLC’s Network as a minimum.</w:t>
      </w:r>
      <w:r w:rsidRPr="000D23F0">
        <w:rPr>
          <w:sz w:val="24"/>
        </w:rPr>
        <w:br/>
      </w:r>
    </w:p>
    <w:p w14:paraId="60FB40B5" w14:textId="77777777" w:rsidR="00C7132A" w:rsidRPr="000D23F0" w:rsidRDefault="00C7132A" w:rsidP="00C7132A">
      <w:pPr>
        <w:pStyle w:val="Heading2"/>
        <w:rPr>
          <w:sz w:val="24"/>
        </w:rPr>
      </w:pPr>
      <w:r w:rsidRPr="000D23F0">
        <w:rPr>
          <w:sz w:val="24"/>
        </w:rPr>
        <w:t xml:space="preserve">The Supplier shall work with the NLC to develop and transform the research, recommendation and feedback from the prior diversity research and design into a complete programme that can be delivered. </w:t>
      </w:r>
    </w:p>
    <w:p w14:paraId="21EE3E17" w14:textId="77777777" w:rsidR="00C7132A" w:rsidRPr="000D23F0" w:rsidRDefault="00C7132A" w:rsidP="00C7132A">
      <w:pPr>
        <w:pStyle w:val="Heading2"/>
        <w:rPr>
          <w:sz w:val="24"/>
        </w:rPr>
      </w:pPr>
      <w:r w:rsidRPr="000D23F0">
        <w:rPr>
          <w:sz w:val="24"/>
        </w:rPr>
        <w:t>The Supplier must find and secure all personnel required for delivery of the designed programme.</w:t>
      </w:r>
    </w:p>
    <w:p w14:paraId="4BD0C621" w14:textId="77777777" w:rsidR="00C7132A" w:rsidRPr="000D23F0" w:rsidRDefault="00C7132A" w:rsidP="00C7132A">
      <w:pPr>
        <w:pStyle w:val="Heading2"/>
        <w:rPr>
          <w:sz w:val="24"/>
        </w:rPr>
      </w:pPr>
      <w:r w:rsidRPr="000D23F0">
        <w:rPr>
          <w:sz w:val="24"/>
        </w:rPr>
        <w:t>The Supplier must manage and deliver the full logistical requirements of the programme throughout its lifecycle i.e. beginning with the selection of participants and up to and including participant feedback and its analysis. This includes but is not exclusive to:</w:t>
      </w:r>
    </w:p>
    <w:p w14:paraId="234DCEA9" w14:textId="77777777" w:rsidR="00C7132A" w:rsidRPr="000D23F0" w:rsidRDefault="00C7132A" w:rsidP="00C7132A">
      <w:pPr>
        <w:pStyle w:val="Heading3"/>
        <w:rPr>
          <w:sz w:val="24"/>
        </w:rPr>
      </w:pPr>
      <w:r w:rsidRPr="000D23F0">
        <w:rPr>
          <w:sz w:val="24"/>
        </w:rPr>
        <w:t>Organising and booking the venue, accommodation, catering and all other hospitality requirements.</w:t>
      </w:r>
    </w:p>
    <w:p w14:paraId="1DBE9CCA" w14:textId="232527C0" w:rsidR="00671798" w:rsidRPr="000D23F0" w:rsidRDefault="00C7132A" w:rsidP="00C7132A">
      <w:pPr>
        <w:pStyle w:val="Heading3"/>
        <w:rPr>
          <w:sz w:val="24"/>
        </w:rPr>
      </w:pPr>
      <w:r w:rsidRPr="000D23F0">
        <w:rPr>
          <w:sz w:val="24"/>
        </w:rPr>
        <w:t xml:space="preserve">It is important to note that the leaders attending our diversity programme will be recommended by their respective Service Academies (outlined in 3.8) but the NLC expects that the Supplier supports them in the final selection of participants and all communication with them. </w:t>
      </w:r>
      <w:r w:rsidRPr="000D23F0">
        <w:rPr>
          <w:sz w:val="24"/>
        </w:rPr>
        <w:br/>
      </w:r>
    </w:p>
    <w:p w14:paraId="3491B80B" w14:textId="77777777" w:rsidR="00671798" w:rsidRPr="000D23F0" w:rsidRDefault="00FE18AC">
      <w:pPr>
        <w:pStyle w:val="Heading1"/>
        <w:spacing w:after="120"/>
        <w:rPr>
          <w:sz w:val="32"/>
          <w:szCs w:val="32"/>
        </w:rPr>
      </w:pPr>
      <w:bookmarkStart w:id="26" w:name="_Toc368573031"/>
      <w:bookmarkStart w:id="27" w:name="_Toc522714839"/>
      <w:r w:rsidRPr="000D23F0">
        <w:rPr>
          <w:sz w:val="32"/>
          <w:szCs w:val="32"/>
        </w:rPr>
        <w:t>The requirement</w:t>
      </w:r>
      <w:bookmarkEnd w:id="26"/>
      <w:bookmarkEnd w:id="27"/>
    </w:p>
    <w:p w14:paraId="44953581" w14:textId="77777777" w:rsidR="00C7132A" w:rsidRPr="000D23F0" w:rsidRDefault="00C7132A" w:rsidP="00C7132A">
      <w:pPr>
        <w:pStyle w:val="Heading2"/>
        <w:rPr>
          <w:sz w:val="24"/>
        </w:rPr>
      </w:pPr>
      <w:r w:rsidRPr="000D23F0">
        <w:rPr>
          <w:sz w:val="24"/>
        </w:rPr>
        <w:t xml:space="preserve">The Supplier must use the feedback and recommendations provided by the NLC’s research into diversity leadership programmes to develop a residential course on leadership development for 30 senior ethnic minority leaders. The Supplier will also consider research undertaken by other external organisations to develop the course. The Supplier will develop the existing designs and recommendations to create a full schedule of activities which may include but is not exclusive to: </w:t>
      </w:r>
    </w:p>
    <w:p w14:paraId="2B325F12" w14:textId="77777777" w:rsidR="00C7132A" w:rsidRPr="000D23F0" w:rsidRDefault="00C7132A" w:rsidP="00C7132A">
      <w:pPr>
        <w:pStyle w:val="Heading3"/>
        <w:rPr>
          <w:sz w:val="24"/>
        </w:rPr>
      </w:pPr>
      <w:r w:rsidRPr="000D23F0">
        <w:rPr>
          <w:sz w:val="24"/>
        </w:rPr>
        <w:t>Speakers, interactive workshops, panel discussions, peer learning sessions, coaching, senior sponsorship and informative visits.</w:t>
      </w:r>
    </w:p>
    <w:p w14:paraId="4675FAC6" w14:textId="77777777" w:rsidR="00C7132A" w:rsidRPr="000D23F0" w:rsidRDefault="00C7132A" w:rsidP="00C7132A">
      <w:pPr>
        <w:ind w:left="1800"/>
        <w:rPr>
          <w:sz w:val="24"/>
        </w:rPr>
      </w:pPr>
    </w:p>
    <w:p w14:paraId="3722517A" w14:textId="77777777" w:rsidR="00C7132A" w:rsidRPr="000D23F0" w:rsidRDefault="00C7132A" w:rsidP="00C7132A">
      <w:pPr>
        <w:pStyle w:val="Heading3"/>
        <w:rPr>
          <w:sz w:val="24"/>
        </w:rPr>
      </w:pPr>
      <w:r w:rsidRPr="000D23F0">
        <w:rPr>
          <w:sz w:val="24"/>
        </w:rPr>
        <w:t>A 5 day programme, with a residential element lasting a minimum of 3 days, 2 nights. The programme may be delivered in one 5 day residential programme, or staggered as a 1 day opening session, 3 day residential, and a 1 day closing session. This is to be agreed with the NLC at the design stage of the project.</w:t>
      </w:r>
    </w:p>
    <w:p w14:paraId="3A9C7D1A" w14:textId="77777777" w:rsidR="00C7132A" w:rsidRPr="000D23F0" w:rsidRDefault="00C7132A" w:rsidP="00C7132A">
      <w:pPr>
        <w:ind w:left="1800"/>
        <w:rPr>
          <w:sz w:val="28"/>
        </w:rPr>
      </w:pPr>
    </w:p>
    <w:p w14:paraId="3CBF896A" w14:textId="5BB606F8" w:rsidR="00C7132A" w:rsidRPr="000D23F0" w:rsidRDefault="00C7132A" w:rsidP="00437226">
      <w:pPr>
        <w:pStyle w:val="Heading3"/>
        <w:rPr>
          <w:sz w:val="24"/>
        </w:rPr>
      </w:pPr>
      <w:r w:rsidRPr="000D23F0">
        <w:rPr>
          <w:sz w:val="24"/>
        </w:rPr>
        <w:lastRenderedPageBreak/>
        <w:t>A diagnostic element to identify the delegates’ needs, which can then be used to shape the programme to meet the needs of the cohort of senior leaders.</w:t>
      </w:r>
    </w:p>
    <w:p w14:paraId="1B078E89" w14:textId="77777777" w:rsidR="00C7132A" w:rsidRPr="000D23F0" w:rsidRDefault="00C7132A" w:rsidP="00C7132A">
      <w:pPr>
        <w:pStyle w:val="Heading3"/>
        <w:rPr>
          <w:sz w:val="24"/>
        </w:rPr>
      </w:pPr>
      <w:r w:rsidRPr="000D23F0">
        <w:rPr>
          <w:sz w:val="24"/>
        </w:rPr>
        <w:t xml:space="preserve">The course content and final design must be agreed upon with the NLC. </w:t>
      </w:r>
    </w:p>
    <w:p w14:paraId="0BF3EE3F" w14:textId="77777777" w:rsidR="00C7132A" w:rsidRPr="000D23F0" w:rsidRDefault="00C7132A" w:rsidP="00C7132A">
      <w:pPr>
        <w:ind w:left="1800"/>
        <w:rPr>
          <w:sz w:val="28"/>
        </w:rPr>
      </w:pPr>
    </w:p>
    <w:p w14:paraId="28079D83" w14:textId="77777777" w:rsidR="00C7132A" w:rsidRPr="000D23F0" w:rsidRDefault="00C7132A" w:rsidP="00C7132A">
      <w:pPr>
        <w:pStyle w:val="Heading2"/>
        <w:rPr>
          <w:sz w:val="24"/>
        </w:rPr>
      </w:pPr>
      <w:bookmarkStart w:id="28" w:name="_j2je6xinu4ww" w:colFirst="0" w:colLast="0"/>
      <w:bookmarkEnd w:id="28"/>
      <w:r w:rsidRPr="000D23F0">
        <w:rPr>
          <w:sz w:val="24"/>
        </w:rPr>
        <w:t xml:space="preserve">The Supplier will seek, secure and manage all personnel required for the delivery of the course that is agreed upon with the NLC. This is subject to the recommendations of the NLC’s research and includes but is not exclusive to: </w:t>
      </w:r>
    </w:p>
    <w:p w14:paraId="47326E06" w14:textId="77777777" w:rsidR="00C7132A" w:rsidRPr="000D23F0" w:rsidRDefault="00C7132A" w:rsidP="00C7132A">
      <w:pPr>
        <w:pStyle w:val="Heading3"/>
        <w:rPr>
          <w:sz w:val="24"/>
        </w:rPr>
      </w:pPr>
      <w:r w:rsidRPr="000D23F0">
        <w:rPr>
          <w:sz w:val="24"/>
        </w:rPr>
        <w:t xml:space="preserve">Finding and securing the speakers, facilitators, mentors and coaches, as required for the delivery of the programme; </w:t>
      </w:r>
    </w:p>
    <w:p w14:paraId="74B3C84C" w14:textId="77777777" w:rsidR="00C7132A" w:rsidRPr="000D23F0" w:rsidRDefault="00C7132A" w:rsidP="00C7132A">
      <w:pPr>
        <w:pStyle w:val="Heading3"/>
        <w:rPr>
          <w:sz w:val="24"/>
        </w:rPr>
      </w:pPr>
      <w:r w:rsidRPr="000D23F0">
        <w:rPr>
          <w:sz w:val="24"/>
        </w:rPr>
        <w:t>Leading on all sub-contracting requirements and;</w:t>
      </w:r>
    </w:p>
    <w:p w14:paraId="30180FEF" w14:textId="77777777" w:rsidR="00C7132A" w:rsidRPr="000D23F0" w:rsidRDefault="00C7132A" w:rsidP="00C7132A">
      <w:pPr>
        <w:pStyle w:val="Heading3"/>
        <w:rPr>
          <w:sz w:val="24"/>
        </w:rPr>
      </w:pPr>
      <w:bookmarkStart w:id="29" w:name="_yp652atzu30k" w:colFirst="0" w:colLast="0"/>
      <w:bookmarkEnd w:id="29"/>
      <w:r w:rsidRPr="000D23F0">
        <w:rPr>
          <w:sz w:val="24"/>
        </w:rPr>
        <w:t>To liaise with and manage the relationships with all sub-contracted personnel.</w:t>
      </w:r>
    </w:p>
    <w:p w14:paraId="26281546" w14:textId="77777777" w:rsidR="00C7132A" w:rsidRPr="000D23F0" w:rsidRDefault="00C7132A" w:rsidP="00C7132A">
      <w:pPr>
        <w:pStyle w:val="Heading2"/>
        <w:rPr>
          <w:sz w:val="24"/>
        </w:rPr>
      </w:pPr>
      <w:r w:rsidRPr="000D23F0">
        <w:rPr>
          <w:sz w:val="24"/>
        </w:rPr>
        <w:t xml:space="preserve">The Supplier must manage and lead on all logistical concerns for the duration of the diversity leadership programme’s life-cycle. This includes but is not exclusive to: </w:t>
      </w:r>
    </w:p>
    <w:p w14:paraId="6AC4E2E9" w14:textId="77777777" w:rsidR="00C7132A" w:rsidRPr="000D23F0" w:rsidRDefault="00C7132A" w:rsidP="00C7132A">
      <w:pPr>
        <w:pStyle w:val="Heading3"/>
        <w:rPr>
          <w:sz w:val="24"/>
        </w:rPr>
      </w:pPr>
      <w:r w:rsidRPr="000D23F0">
        <w:rPr>
          <w:sz w:val="24"/>
        </w:rPr>
        <w:t>Creation of all branding and advertising materials related to the programme for circulation to sector leadership academies</w:t>
      </w:r>
    </w:p>
    <w:p w14:paraId="1E420599" w14:textId="77777777" w:rsidR="00C7132A" w:rsidRPr="000D23F0" w:rsidRDefault="00C7132A" w:rsidP="00C7132A">
      <w:pPr>
        <w:ind w:left="1800"/>
        <w:rPr>
          <w:sz w:val="28"/>
        </w:rPr>
      </w:pPr>
    </w:p>
    <w:p w14:paraId="65DD8949" w14:textId="16663FBA" w:rsidR="00C7132A" w:rsidRPr="000D23F0" w:rsidRDefault="00B87EDB" w:rsidP="00C7132A">
      <w:pPr>
        <w:pStyle w:val="Heading3"/>
        <w:rPr>
          <w:sz w:val="24"/>
        </w:rPr>
      </w:pPr>
      <w:r>
        <w:rPr>
          <w:sz w:val="24"/>
        </w:rPr>
        <w:t>Supporting</w:t>
      </w:r>
      <w:r w:rsidR="00C7132A" w:rsidRPr="000D23F0">
        <w:rPr>
          <w:sz w:val="24"/>
        </w:rPr>
        <w:t xml:space="preserve"> the selection of participants and manage communication with them in concert with the NLC; </w:t>
      </w:r>
    </w:p>
    <w:p w14:paraId="7EE89307" w14:textId="77777777" w:rsidR="00C7132A" w:rsidRPr="000D23F0" w:rsidRDefault="00C7132A" w:rsidP="00C7132A">
      <w:pPr>
        <w:ind w:left="1800"/>
        <w:rPr>
          <w:sz w:val="28"/>
        </w:rPr>
      </w:pPr>
    </w:p>
    <w:p w14:paraId="3B5D67C2" w14:textId="77777777" w:rsidR="00C7132A" w:rsidRPr="000D23F0" w:rsidRDefault="00C7132A" w:rsidP="00C7132A">
      <w:pPr>
        <w:pStyle w:val="Heading3"/>
        <w:rPr>
          <w:sz w:val="24"/>
        </w:rPr>
      </w:pPr>
      <w:r w:rsidRPr="000D23F0">
        <w:rPr>
          <w:sz w:val="24"/>
        </w:rPr>
        <w:t>Securing and booking the venue and accommodation for the conference;</w:t>
      </w:r>
    </w:p>
    <w:p w14:paraId="09624CD4" w14:textId="77777777" w:rsidR="00C7132A" w:rsidRPr="000D23F0" w:rsidRDefault="00C7132A" w:rsidP="00C7132A">
      <w:pPr>
        <w:ind w:left="1800"/>
        <w:rPr>
          <w:sz w:val="28"/>
        </w:rPr>
      </w:pPr>
    </w:p>
    <w:p w14:paraId="1B2A2235" w14:textId="60BC6AC9" w:rsidR="00C7132A" w:rsidRPr="000D23F0" w:rsidRDefault="00C7132A" w:rsidP="00C7132A">
      <w:pPr>
        <w:pStyle w:val="Heading3"/>
        <w:rPr>
          <w:sz w:val="24"/>
        </w:rPr>
      </w:pPr>
      <w:r w:rsidRPr="000D23F0">
        <w:rPr>
          <w:sz w:val="24"/>
        </w:rPr>
        <w:t>Commissi</w:t>
      </w:r>
      <w:r w:rsidR="00B87EDB">
        <w:rPr>
          <w:sz w:val="24"/>
        </w:rPr>
        <w:t xml:space="preserve">oning </w:t>
      </w:r>
      <w:r w:rsidRPr="000D23F0">
        <w:rPr>
          <w:sz w:val="24"/>
        </w:rPr>
        <w:t xml:space="preserve">and leading on the branding of the programme, including event collateral and; </w:t>
      </w:r>
    </w:p>
    <w:p w14:paraId="3A6EFFC8" w14:textId="77777777" w:rsidR="00C7132A" w:rsidRPr="000D23F0" w:rsidRDefault="00C7132A" w:rsidP="00C7132A">
      <w:pPr>
        <w:ind w:left="1800"/>
        <w:rPr>
          <w:sz w:val="28"/>
        </w:rPr>
      </w:pPr>
    </w:p>
    <w:p w14:paraId="4F575BCB" w14:textId="77777777" w:rsidR="00C7132A" w:rsidRPr="000D23F0" w:rsidRDefault="00C7132A" w:rsidP="00C7132A">
      <w:pPr>
        <w:pStyle w:val="Heading3"/>
        <w:rPr>
          <w:sz w:val="24"/>
        </w:rPr>
      </w:pPr>
      <w:r w:rsidRPr="000D23F0">
        <w:rPr>
          <w:sz w:val="24"/>
        </w:rPr>
        <w:t>Managing relationships with multiple suppliers for the conference. This includes but is not exclusive to the venue, AV, catering and any further hospitality requirements.</w:t>
      </w:r>
    </w:p>
    <w:p w14:paraId="6569672A" w14:textId="77777777" w:rsidR="00C7132A" w:rsidRPr="000D23F0" w:rsidRDefault="00C7132A" w:rsidP="00C7132A">
      <w:pPr>
        <w:ind w:left="1800"/>
        <w:rPr>
          <w:sz w:val="28"/>
        </w:rPr>
      </w:pPr>
    </w:p>
    <w:p w14:paraId="17A7B018" w14:textId="77777777" w:rsidR="00C7132A" w:rsidRPr="000D23F0" w:rsidRDefault="00C7132A" w:rsidP="00C7132A">
      <w:pPr>
        <w:pStyle w:val="Heading3"/>
        <w:rPr>
          <w:sz w:val="24"/>
        </w:rPr>
      </w:pPr>
      <w:r w:rsidRPr="000D23F0">
        <w:rPr>
          <w:sz w:val="24"/>
        </w:rPr>
        <w:t xml:space="preserve">Managing all reasonable adjustments for disabled participants, as well as any other adjustments that may be a barrier to learning, including accessibility and dietary requirements. </w:t>
      </w:r>
    </w:p>
    <w:p w14:paraId="171B4989" w14:textId="77777777" w:rsidR="00C7132A" w:rsidRPr="000D23F0" w:rsidRDefault="00C7132A" w:rsidP="00C7132A">
      <w:pPr>
        <w:ind w:left="1800"/>
        <w:rPr>
          <w:sz w:val="28"/>
        </w:rPr>
      </w:pPr>
    </w:p>
    <w:p w14:paraId="0CE0C4D2" w14:textId="77777777" w:rsidR="00C7132A" w:rsidRPr="000D23F0" w:rsidRDefault="00C7132A" w:rsidP="00C7132A">
      <w:pPr>
        <w:pStyle w:val="Heading2"/>
        <w:rPr>
          <w:sz w:val="24"/>
        </w:rPr>
      </w:pPr>
      <w:r w:rsidRPr="000D23F0">
        <w:rPr>
          <w:sz w:val="24"/>
        </w:rPr>
        <w:t>The Supplier must design and deliver a mechanism to capture immediate feedback from the participants. This may be a mechanism offered as part of an event app which will be decided in consultation with the NLC.</w:t>
      </w:r>
    </w:p>
    <w:p w14:paraId="25EB5AAC" w14:textId="77777777" w:rsidR="00C7132A" w:rsidRPr="000D23F0" w:rsidRDefault="00C7132A" w:rsidP="00C7132A">
      <w:pPr>
        <w:pStyle w:val="Heading3"/>
        <w:rPr>
          <w:sz w:val="24"/>
        </w:rPr>
      </w:pPr>
      <w:r w:rsidRPr="000D23F0">
        <w:rPr>
          <w:sz w:val="24"/>
        </w:rPr>
        <w:t>The Supplier will work closely with our independent evaluator (who is evaluating the impact of the NLC for the duration of our pilot) to ensure the feedback mechanism is consistent with the longer-term evaluation they are carrying out. The feedback data the Supplier collects will be made available to our independent evaluator for analysis.</w:t>
      </w:r>
    </w:p>
    <w:p w14:paraId="51023CAB" w14:textId="77777777" w:rsidR="00C7132A" w:rsidRPr="000D23F0" w:rsidRDefault="00C7132A" w:rsidP="00C7132A">
      <w:pPr>
        <w:ind w:left="1800"/>
        <w:rPr>
          <w:color w:val="222222"/>
          <w:sz w:val="28"/>
        </w:rPr>
      </w:pPr>
    </w:p>
    <w:p w14:paraId="5DDE5133" w14:textId="77777777" w:rsidR="00C7132A" w:rsidRPr="000D23F0" w:rsidRDefault="00C7132A" w:rsidP="00C7132A">
      <w:pPr>
        <w:pStyle w:val="Heading3"/>
        <w:rPr>
          <w:sz w:val="24"/>
        </w:rPr>
      </w:pPr>
      <w:r w:rsidRPr="000D23F0">
        <w:rPr>
          <w:sz w:val="24"/>
        </w:rPr>
        <w:t xml:space="preserve">The Supplier will present raw material from the feedback in addition to an analysis of the feedback to the NLC. </w:t>
      </w:r>
    </w:p>
    <w:p w14:paraId="34DDECA4" w14:textId="77777777" w:rsidR="00C7132A" w:rsidRPr="000D23F0" w:rsidRDefault="00C7132A" w:rsidP="00C7132A">
      <w:pPr>
        <w:pStyle w:val="Heading4"/>
        <w:rPr>
          <w:sz w:val="24"/>
        </w:rPr>
      </w:pPr>
      <w:r w:rsidRPr="000D23F0">
        <w:rPr>
          <w:sz w:val="24"/>
        </w:rPr>
        <w:t xml:space="preserve">This data should be anonymised, with individual responses given a personal ID so they can be linked to all the feedback and data each participant provides.  </w:t>
      </w:r>
    </w:p>
    <w:p w14:paraId="40CC249F" w14:textId="77777777" w:rsidR="00C7132A" w:rsidRPr="000D23F0" w:rsidRDefault="00C7132A" w:rsidP="00C7132A">
      <w:pPr>
        <w:ind w:left="2880"/>
        <w:rPr>
          <w:sz w:val="28"/>
        </w:rPr>
      </w:pPr>
    </w:p>
    <w:p w14:paraId="72A5C7D1" w14:textId="77777777" w:rsidR="00C7132A" w:rsidRPr="000D23F0" w:rsidRDefault="00C7132A" w:rsidP="00C7132A">
      <w:pPr>
        <w:pStyle w:val="Heading2"/>
        <w:rPr>
          <w:sz w:val="24"/>
        </w:rPr>
      </w:pPr>
      <w:r w:rsidRPr="000D23F0">
        <w:rPr>
          <w:sz w:val="24"/>
        </w:rPr>
        <w:t xml:space="preserve">The Supplier should be familiar with the delivery of training programmes for senior leaders (ideally both the private and public sector), diversity programmes, and have at minimum: </w:t>
      </w:r>
    </w:p>
    <w:p w14:paraId="5CEF97E2" w14:textId="77777777" w:rsidR="00C7132A" w:rsidRPr="000D23F0" w:rsidRDefault="00C7132A" w:rsidP="00C7132A">
      <w:pPr>
        <w:pStyle w:val="Heading3"/>
        <w:rPr>
          <w:sz w:val="24"/>
        </w:rPr>
      </w:pPr>
      <w:r w:rsidRPr="000D23F0">
        <w:rPr>
          <w:sz w:val="24"/>
        </w:rPr>
        <w:t xml:space="preserve">Experience in delivering a residential training course; </w:t>
      </w:r>
    </w:p>
    <w:p w14:paraId="6EA295C9" w14:textId="77777777" w:rsidR="00C7132A" w:rsidRPr="000D23F0" w:rsidRDefault="00C7132A" w:rsidP="00C7132A">
      <w:pPr>
        <w:ind w:left="1800"/>
        <w:rPr>
          <w:sz w:val="28"/>
        </w:rPr>
      </w:pPr>
    </w:p>
    <w:p w14:paraId="6E59344E" w14:textId="77777777" w:rsidR="00C7132A" w:rsidRPr="000D23F0" w:rsidRDefault="00C7132A" w:rsidP="00C7132A">
      <w:pPr>
        <w:pStyle w:val="Heading3"/>
        <w:rPr>
          <w:sz w:val="24"/>
        </w:rPr>
      </w:pPr>
      <w:r w:rsidRPr="000D23F0">
        <w:rPr>
          <w:sz w:val="24"/>
        </w:rPr>
        <w:t xml:space="preserve">Working knowledge in best practices in training and development for senior public service leaders and; </w:t>
      </w:r>
    </w:p>
    <w:p w14:paraId="6F3890F0" w14:textId="77777777" w:rsidR="00C7132A" w:rsidRPr="000D23F0" w:rsidRDefault="00C7132A" w:rsidP="00C7132A">
      <w:pPr>
        <w:ind w:left="1800"/>
        <w:rPr>
          <w:sz w:val="28"/>
        </w:rPr>
      </w:pPr>
    </w:p>
    <w:p w14:paraId="1CA751A1" w14:textId="681D4A16" w:rsidR="00D551DF" w:rsidRPr="000D23F0" w:rsidRDefault="00C7132A" w:rsidP="00C7132A">
      <w:pPr>
        <w:pStyle w:val="Heading2"/>
        <w:rPr>
          <w:sz w:val="24"/>
        </w:rPr>
      </w:pPr>
      <w:r w:rsidRPr="000D23F0">
        <w:rPr>
          <w:sz w:val="24"/>
        </w:rPr>
        <w:t>Working knowledge in best practices in training for underrepresented senior ethnic minority individuals.</w:t>
      </w:r>
    </w:p>
    <w:p w14:paraId="6EE7C8C4" w14:textId="54CADB05" w:rsidR="00671798" w:rsidRPr="000D23F0" w:rsidRDefault="00FE18AC" w:rsidP="00437226">
      <w:pPr>
        <w:pStyle w:val="Heading1"/>
        <w:spacing w:after="120"/>
        <w:rPr>
          <w:sz w:val="32"/>
          <w:szCs w:val="32"/>
        </w:rPr>
      </w:pPr>
      <w:bookmarkStart w:id="30" w:name="_Toc368573032"/>
      <w:bookmarkStart w:id="31" w:name="_Toc522714840"/>
      <w:r w:rsidRPr="000D23F0">
        <w:rPr>
          <w:sz w:val="32"/>
          <w:szCs w:val="32"/>
        </w:rPr>
        <w:t>key milestones</w:t>
      </w:r>
      <w:bookmarkEnd w:id="30"/>
      <w:r w:rsidR="00F0311A" w:rsidRPr="000D23F0">
        <w:rPr>
          <w:sz w:val="32"/>
          <w:szCs w:val="32"/>
        </w:rPr>
        <w:t xml:space="preserve"> and Deliverables</w:t>
      </w:r>
      <w:bookmarkEnd w:id="31"/>
    </w:p>
    <w:p w14:paraId="4D0E0CBA" w14:textId="18CAC30E" w:rsidR="00FE18AC" w:rsidRPr="000D23F0"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0D23F0">
        <w:rPr>
          <w:rFonts w:cs="Arial"/>
          <w:sz w:val="24"/>
          <w:szCs w:val="24"/>
        </w:rPr>
        <w:t>The following Contract</w:t>
      </w:r>
      <w:r w:rsidR="00A57B4E" w:rsidRPr="000D23F0">
        <w:rPr>
          <w:rFonts w:cs="Arial"/>
          <w:sz w:val="24"/>
          <w:szCs w:val="24"/>
        </w:rPr>
        <w:t xml:space="preserve"> milestones</w:t>
      </w:r>
      <w:r w:rsidR="00F0311A" w:rsidRPr="000D23F0">
        <w:rPr>
          <w:rFonts w:cs="Arial"/>
          <w:sz w:val="24"/>
          <w:szCs w:val="24"/>
        </w:rPr>
        <w:t>/deliverables</w:t>
      </w:r>
      <w:r w:rsidRPr="000D23F0">
        <w:rPr>
          <w:rFonts w:cs="Arial"/>
          <w:sz w:val="24"/>
          <w:szCs w:val="24"/>
        </w:rPr>
        <w:t xml:space="preserve"> shall apply</w:t>
      </w:r>
      <w:r w:rsidR="00D17764" w:rsidRPr="000D23F0">
        <w:rPr>
          <w:rFonts w:cs="Arial"/>
          <w:sz w:val="24"/>
          <w:szCs w:val="24"/>
        </w:rPr>
        <w:t>:</w:t>
      </w:r>
    </w:p>
    <w:tbl>
      <w:tblPr>
        <w:tblStyle w:val="TableGrid10"/>
        <w:tblW w:w="5000" w:type="pct"/>
        <w:tblLayout w:type="fixed"/>
        <w:tblLook w:val="04A0" w:firstRow="1" w:lastRow="0" w:firstColumn="1" w:lastColumn="0" w:noHBand="0" w:noVBand="1"/>
      </w:tblPr>
      <w:tblGrid>
        <w:gridCol w:w="1555"/>
        <w:gridCol w:w="5590"/>
        <w:gridCol w:w="1874"/>
      </w:tblGrid>
      <w:tr w:rsidR="00437226" w:rsidRPr="000D23F0" w14:paraId="1DFF813F" w14:textId="77777777" w:rsidTr="00A93279">
        <w:tc>
          <w:tcPr>
            <w:tcW w:w="862" w:type="pct"/>
            <w:shd w:val="clear" w:color="auto" w:fill="B8CCE4"/>
            <w:vAlign w:val="center"/>
          </w:tcPr>
          <w:p w14:paraId="1032282F" w14:textId="77777777" w:rsidR="00437226" w:rsidRPr="000D23F0" w:rsidRDefault="00437226" w:rsidP="00A93279">
            <w:pPr>
              <w:spacing w:before="120" w:after="120"/>
              <w:jc w:val="center"/>
              <w:outlineLvl w:val="2"/>
              <w:rPr>
                <w:rFonts w:eastAsia="STZhongsong" w:cs="Arial"/>
                <w:b/>
                <w:sz w:val="24"/>
              </w:rPr>
            </w:pPr>
            <w:r w:rsidRPr="000D23F0">
              <w:rPr>
                <w:rFonts w:eastAsia="STZhongsong" w:cs="Arial"/>
                <w:b/>
                <w:sz w:val="24"/>
              </w:rPr>
              <w:t>Milestone/Deliverable</w:t>
            </w:r>
          </w:p>
        </w:tc>
        <w:tc>
          <w:tcPr>
            <w:tcW w:w="3099" w:type="pct"/>
            <w:shd w:val="clear" w:color="auto" w:fill="B8CCE4"/>
            <w:vAlign w:val="center"/>
          </w:tcPr>
          <w:p w14:paraId="6F3C4FB0" w14:textId="77777777" w:rsidR="00437226" w:rsidRPr="000D23F0" w:rsidRDefault="00437226" w:rsidP="00A93279">
            <w:pPr>
              <w:spacing w:before="120" w:after="120"/>
              <w:jc w:val="center"/>
              <w:outlineLvl w:val="2"/>
              <w:rPr>
                <w:rFonts w:eastAsia="STZhongsong" w:cs="Arial"/>
                <w:b/>
                <w:sz w:val="24"/>
              </w:rPr>
            </w:pPr>
            <w:r w:rsidRPr="000D23F0">
              <w:rPr>
                <w:rFonts w:eastAsia="STZhongsong" w:cs="Arial"/>
                <w:b/>
                <w:sz w:val="24"/>
              </w:rPr>
              <w:t>Description</w:t>
            </w:r>
          </w:p>
        </w:tc>
        <w:tc>
          <w:tcPr>
            <w:tcW w:w="1039" w:type="pct"/>
            <w:shd w:val="clear" w:color="auto" w:fill="B8CCE4"/>
            <w:vAlign w:val="center"/>
          </w:tcPr>
          <w:p w14:paraId="77CA111D" w14:textId="77777777" w:rsidR="00437226" w:rsidRPr="000D23F0" w:rsidRDefault="00437226" w:rsidP="00A93279">
            <w:pPr>
              <w:spacing w:before="120" w:after="120"/>
              <w:jc w:val="center"/>
              <w:outlineLvl w:val="2"/>
              <w:rPr>
                <w:rFonts w:eastAsia="STZhongsong" w:cs="Arial"/>
                <w:b/>
                <w:sz w:val="24"/>
              </w:rPr>
            </w:pPr>
            <w:r w:rsidRPr="000D23F0">
              <w:rPr>
                <w:rFonts w:eastAsia="STZhongsong" w:cs="Arial"/>
                <w:b/>
                <w:sz w:val="24"/>
              </w:rPr>
              <w:t>Timeframe or  Delivery Date</w:t>
            </w:r>
          </w:p>
        </w:tc>
      </w:tr>
      <w:tr w:rsidR="00437226" w:rsidRPr="000D23F0" w14:paraId="307F1ECE" w14:textId="77777777" w:rsidTr="00A93279">
        <w:tc>
          <w:tcPr>
            <w:tcW w:w="862" w:type="pct"/>
          </w:tcPr>
          <w:p w14:paraId="6E0DFD2A"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1</w:t>
            </w:r>
          </w:p>
        </w:tc>
        <w:tc>
          <w:tcPr>
            <w:tcW w:w="3099" w:type="pct"/>
          </w:tcPr>
          <w:p w14:paraId="29B625B3" w14:textId="77777777" w:rsidR="00437226" w:rsidRPr="000D23F0" w:rsidRDefault="00437226" w:rsidP="00A93279">
            <w:pPr>
              <w:spacing w:before="120" w:after="120"/>
              <w:outlineLvl w:val="2"/>
              <w:rPr>
                <w:rFonts w:eastAsia="STZhongsong" w:cs="Arial"/>
                <w:sz w:val="24"/>
              </w:rPr>
            </w:pPr>
            <w:r w:rsidRPr="000D23F0">
              <w:rPr>
                <w:rFonts w:cs="Arial"/>
                <w:sz w:val="24"/>
              </w:rPr>
              <w:t>Kick-off meeting with the Supplier and the NLC to discuss the requirement, NLC’s research findings, design principles and delivery process.</w:t>
            </w:r>
          </w:p>
        </w:tc>
        <w:tc>
          <w:tcPr>
            <w:tcW w:w="1039" w:type="pct"/>
          </w:tcPr>
          <w:p w14:paraId="4BD11E2A"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Within week 1 of Contract Award.</w:t>
            </w:r>
          </w:p>
        </w:tc>
      </w:tr>
      <w:tr w:rsidR="00437226" w:rsidRPr="000D23F0" w14:paraId="3366541B" w14:textId="77777777" w:rsidTr="00A93279">
        <w:tc>
          <w:tcPr>
            <w:tcW w:w="862" w:type="pct"/>
          </w:tcPr>
          <w:p w14:paraId="17CD8DBE"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2</w:t>
            </w:r>
          </w:p>
        </w:tc>
        <w:tc>
          <w:tcPr>
            <w:tcW w:w="3099" w:type="pct"/>
          </w:tcPr>
          <w:p w14:paraId="43C381BF" w14:textId="77777777" w:rsidR="00437226" w:rsidRPr="000D23F0" w:rsidRDefault="00437226" w:rsidP="00437226">
            <w:pPr>
              <w:pStyle w:val="Heading3"/>
              <w:numPr>
                <w:ilvl w:val="0"/>
                <w:numId w:val="0"/>
              </w:numPr>
              <w:spacing w:after="120"/>
              <w:jc w:val="left"/>
              <w:outlineLvl w:val="2"/>
              <w:rPr>
                <w:rFonts w:cs="Arial"/>
                <w:sz w:val="24"/>
                <w:szCs w:val="24"/>
              </w:rPr>
            </w:pPr>
            <w:r w:rsidRPr="000D23F0">
              <w:rPr>
                <w:rFonts w:cs="Arial"/>
                <w:sz w:val="24"/>
                <w:szCs w:val="24"/>
              </w:rPr>
              <w:t>Design principles and proposed content (including recommended speakers)</w:t>
            </w:r>
          </w:p>
          <w:p w14:paraId="3E55606B" w14:textId="77777777" w:rsidR="00437226" w:rsidRPr="000D23F0" w:rsidRDefault="00437226" w:rsidP="00437226">
            <w:pPr>
              <w:pStyle w:val="Heading3"/>
              <w:numPr>
                <w:ilvl w:val="0"/>
                <w:numId w:val="0"/>
              </w:numPr>
              <w:spacing w:after="120"/>
              <w:jc w:val="left"/>
              <w:outlineLvl w:val="2"/>
              <w:rPr>
                <w:rFonts w:cs="Arial"/>
                <w:sz w:val="24"/>
                <w:szCs w:val="24"/>
              </w:rPr>
            </w:pPr>
            <w:bookmarkStart w:id="32" w:name="_6zbd939e29z3" w:colFirst="0" w:colLast="0"/>
            <w:bookmarkEnd w:id="32"/>
            <w:r w:rsidRPr="000D23F0">
              <w:rPr>
                <w:rFonts w:cs="Arial"/>
                <w:sz w:val="24"/>
                <w:szCs w:val="24"/>
              </w:rPr>
              <w:lastRenderedPageBreak/>
              <w:t>Proposed delivery and recommended logistics of programme</w:t>
            </w:r>
          </w:p>
          <w:p w14:paraId="6C60AF27" w14:textId="77777777" w:rsidR="00437226" w:rsidRPr="000D23F0" w:rsidRDefault="00437226" w:rsidP="00437226">
            <w:pPr>
              <w:pStyle w:val="Heading3"/>
              <w:numPr>
                <w:ilvl w:val="0"/>
                <w:numId w:val="0"/>
              </w:numPr>
              <w:spacing w:after="120"/>
              <w:jc w:val="left"/>
              <w:outlineLvl w:val="2"/>
              <w:rPr>
                <w:rFonts w:cs="Arial"/>
                <w:sz w:val="24"/>
                <w:szCs w:val="24"/>
              </w:rPr>
            </w:pPr>
            <w:bookmarkStart w:id="33" w:name="_uikws2mzmrh0" w:colFirst="0" w:colLast="0"/>
            <w:bookmarkEnd w:id="33"/>
            <w:r w:rsidRPr="000D23F0">
              <w:rPr>
                <w:rFonts w:cs="Arial"/>
                <w:sz w:val="24"/>
                <w:szCs w:val="24"/>
              </w:rPr>
              <w:t>Proposed delivery plan/timeline presented by the Supplier and agreed by the Customer</w:t>
            </w:r>
          </w:p>
          <w:p w14:paraId="542C538B" w14:textId="77777777" w:rsidR="00437226" w:rsidRPr="000D23F0" w:rsidRDefault="00437226" w:rsidP="00A93279">
            <w:pPr>
              <w:spacing w:before="120" w:after="120"/>
              <w:outlineLvl w:val="2"/>
              <w:rPr>
                <w:rFonts w:eastAsia="STZhongsong" w:cs="Arial"/>
                <w:sz w:val="24"/>
              </w:rPr>
            </w:pPr>
            <w:bookmarkStart w:id="34" w:name="_94nqdxgiu1ig" w:colFirst="0" w:colLast="0"/>
            <w:bookmarkEnd w:id="34"/>
            <w:r w:rsidRPr="000D23F0">
              <w:rPr>
                <w:rFonts w:cs="Arial"/>
                <w:sz w:val="24"/>
              </w:rPr>
              <w:t>Design of branding and advertising materials for circulation to sector leadership academies.</w:t>
            </w:r>
          </w:p>
        </w:tc>
        <w:tc>
          <w:tcPr>
            <w:tcW w:w="1039" w:type="pct"/>
          </w:tcPr>
          <w:p w14:paraId="438DD662"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lastRenderedPageBreak/>
              <w:t>By 30</w:t>
            </w:r>
            <w:r w:rsidRPr="000D23F0">
              <w:rPr>
                <w:rFonts w:eastAsia="STZhongsong" w:cs="Arial"/>
                <w:sz w:val="24"/>
                <w:vertAlign w:val="superscript"/>
              </w:rPr>
              <w:t>th</w:t>
            </w:r>
            <w:r w:rsidRPr="000D23F0">
              <w:rPr>
                <w:rFonts w:eastAsia="STZhongsong" w:cs="Arial"/>
                <w:sz w:val="24"/>
              </w:rPr>
              <w:t xml:space="preserve"> April 2020</w:t>
            </w:r>
          </w:p>
        </w:tc>
      </w:tr>
      <w:tr w:rsidR="00437226" w:rsidRPr="000D23F0" w14:paraId="5C67060E" w14:textId="77777777" w:rsidTr="00A93279">
        <w:tc>
          <w:tcPr>
            <w:tcW w:w="862" w:type="pct"/>
          </w:tcPr>
          <w:p w14:paraId="77B555DD"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3</w:t>
            </w:r>
          </w:p>
        </w:tc>
        <w:tc>
          <w:tcPr>
            <w:tcW w:w="3099" w:type="pct"/>
          </w:tcPr>
          <w:p w14:paraId="02ABF91F" w14:textId="77777777" w:rsidR="00437226" w:rsidRPr="000D23F0" w:rsidRDefault="00437226" w:rsidP="00A93279">
            <w:pPr>
              <w:spacing w:before="120" w:after="120"/>
              <w:outlineLvl w:val="2"/>
              <w:rPr>
                <w:rFonts w:eastAsia="STZhongsong" w:cs="Arial"/>
                <w:sz w:val="24"/>
              </w:rPr>
            </w:pPr>
            <w:r w:rsidRPr="000D23F0">
              <w:rPr>
                <w:rFonts w:cs="Arial"/>
                <w:sz w:val="24"/>
              </w:rPr>
              <w:t>Second iteration of programme content and timetable presented by the Supplier and iterations agreed by the NLC.</w:t>
            </w:r>
          </w:p>
        </w:tc>
        <w:tc>
          <w:tcPr>
            <w:tcW w:w="1039" w:type="pct"/>
          </w:tcPr>
          <w:p w14:paraId="1A80DB3A"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By 30</w:t>
            </w:r>
            <w:r w:rsidRPr="000D23F0">
              <w:rPr>
                <w:rFonts w:eastAsia="STZhongsong" w:cs="Arial"/>
                <w:sz w:val="24"/>
                <w:vertAlign w:val="superscript"/>
              </w:rPr>
              <w:t>th</w:t>
            </w:r>
            <w:r w:rsidRPr="000D23F0">
              <w:rPr>
                <w:rFonts w:eastAsia="STZhongsong" w:cs="Arial"/>
                <w:sz w:val="24"/>
              </w:rPr>
              <w:t xml:space="preserve"> April 2020</w:t>
            </w:r>
          </w:p>
        </w:tc>
      </w:tr>
      <w:tr w:rsidR="00437226" w:rsidRPr="000D23F0" w14:paraId="2D955242" w14:textId="77777777" w:rsidTr="00A93279">
        <w:tc>
          <w:tcPr>
            <w:tcW w:w="862" w:type="pct"/>
          </w:tcPr>
          <w:p w14:paraId="77602A96"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 xml:space="preserve">4 </w:t>
            </w:r>
          </w:p>
        </w:tc>
        <w:tc>
          <w:tcPr>
            <w:tcW w:w="3099" w:type="pct"/>
          </w:tcPr>
          <w:p w14:paraId="3F4EC516" w14:textId="77777777" w:rsidR="00437226" w:rsidRPr="000D23F0" w:rsidRDefault="00437226" w:rsidP="00A93279">
            <w:pPr>
              <w:spacing w:before="120" w:after="120"/>
              <w:outlineLvl w:val="2"/>
              <w:rPr>
                <w:rFonts w:eastAsia="STZhongsong" w:cs="Arial"/>
                <w:sz w:val="24"/>
              </w:rPr>
            </w:pPr>
            <w:r w:rsidRPr="000D23F0">
              <w:rPr>
                <w:rFonts w:cs="Arial"/>
                <w:sz w:val="24"/>
              </w:rPr>
              <w:t>Finalised programme and timetable presented by the Supplier.</w:t>
            </w:r>
          </w:p>
        </w:tc>
        <w:tc>
          <w:tcPr>
            <w:tcW w:w="1039" w:type="pct"/>
          </w:tcPr>
          <w:p w14:paraId="4BEBBBED"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By 15th May 2020.</w:t>
            </w:r>
          </w:p>
        </w:tc>
      </w:tr>
      <w:tr w:rsidR="00437226" w:rsidRPr="000D23F0" w14:paraId="55C869D5" w14:textId="77777777" w:rsidTr="00A93279">
        <w:tc>
          <w:tcPr>
            <w:tcW w:w="862" w:type="pct"/>
          </w:tcPr>
          <w:p w14:paraId="54817BAD"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5</w:t>
            </w:r>
          </w:p>
        </w:tc>
        <w:tc>
          <w:tcPr>
            <w:tcW w:w="3099" w:type="pct"/>
          </w:tcPr>
          <w:p w14:paraId="0672838D" w14:textId="77777777" w:rsidR="00437226" w:rsidRPr="000D23F0" w:rsidRDefault="00437226" w:rsidP="00A93279">
            <w:pPr>
              <w:spacing w:before="120" w:after="120"/>
              <w:outlineLvl w:val="2"/>
              <w:rPr>
                <w:rFonts w:eastAsia="STZhongsong" w:cs="Arial"/>
                <w:sz w:val="24"/>
              </w:rPr>
            </w:pPr>
            <w:r w:rsidRPr="000D23F0">
              <w:rPr>
                <w:rFonts w:cs="Arial"/>
                <w:sz w:val="24"/>
              </w:rPr>
              <w:t>Venue and hospitality requirements of programme secured and booked.</w:t>
            </w:r>
          </w:p>
        </w:tc>
        <w:tc>
          <w:tcPr>
            <w:tcW w:w="1039" w:type="pct"/>
          </w:tcPr>
          <w:p w14:paraId="722D7AAE"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By 15th May 2020.</w:t>
            </w:r>
          </w:p>
        </w:tc>
      </w:tr>
      <w:tr w:rsidR="00437226" w:rsidRPr="000D23F0" w14:paraId="29A7036A" w14:textId="77777777" w:rsidTr="00A93279">
        <w:tc>
          <w:tcPr>
            <w:tcW w:w="862" w:type="pct"/>
          </w:tcPr>
          <w:p w14:paraId="0490FDB4"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6</w:t>
            </w:r>
          </w:p>
        </w:tc>
        <w:tc>
          <w:tcPr>
            <w:tcW w:w="3099" w:type="pct"/>
          </w:tcPr>
          <w:p w14:paraId="49619664" w14:textId="77777777" w:rsidR="00437226" w:rsidRPr="000D23F0" w:rsidRDefault="00437226" w:rsidP="00A93279">
            <w:pPr>
              <w:spacing w:before="120" w:after="120"/>
              <w:outlineLvl w:val="2"/>
              <w:rPr>
                <w:rFonts w:eastAsia="STZhongsong" w:cs="Arial"/>
                <w:sz w:val="24"/>
              </w:rPr>
            </w:pPr>
            <w:r w:rsidRPr="000D23F0">
              <w:rPr>
                <w:rFonts w:cs="Arial"/>
                <w:sz w:val="24"/>
              </w:rPr>
              <w:t>Initial list of 30 senior leader delegates agreed (as stated in point 5.5.2).</w:t>
            </w:r>
          </w:p>
        </w:tc>
        <w:tc>
          <w:tcPr>
            <w:tcW w:w="1039" w:type="pct"/>
          </w:tcPr>
          <w:p w14:paraId="3FD3566A"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By 31</w:t>
            </w:r>
            <w:r w:rsidRPr="000D23F0">
              <w:rPr>
                <w:rFonts w:eastAsia="STZhongsong" w:cs="Arial"/>
                <w:sz w:val="24"/>
                <w:vertAlign w:val="superscript"/>
              </w:rPr>
              <w:t>st</w:t>
            </w:r>
            <w:r w:rsidRPr="000D23F0">
              <w:rPr>
                <w:rFonts w:eastAsia="STZhongsong" w:cs="Arial"/>
                <w:sz w:val="24"/>
              </w:rPr>
              <w:t xml:space="preserve"> May 2020.</w:t>
            </w:r>
          </w:p>
        </w:tc>
      </w:tr>
      <w:tr w:rsidR="00437226" w:rsidRPr="000D23F0" w14:paraId="42064C15" w14:textId="77777777" w:rsidTr="00A93279">
        <w:tc>
          <w:tcPr>
            <w:tcW w:w="862" w:type="pct"/>
          </w:tcPr>
          <w:p w14:paraId="073ACA5C"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7</w:t>
            </w:r>
          </w:p>
        </w:tc>
        <w:tc>
          <w:tcPr>
            <w:tcW w:w="3099" w:type="pct"/>
          </w:tcPr>
          <w:p w14:paraId="7571DE85" w14:textId="77777777" w:rsidR="00437226" w:rsidRPr="000D23F0" w:rsidRDefault="00437226" w:rsidP="00A93279">
            <w:pPr>
              <w:spacing w:before="120" w:after="120"/>
              <w:outlineLvl w:val="2"/>
              <w:rPr>
                <w:rFonts w:eastAsia="STZhongsong" w:cs="Arial"/>
                <w:sz w:val="24"/>
              </w:rPr>
            </w:pPr>
            <w:r w:rsidRPr="000D23F0">
              <w:rPr>
                <w:rFonts w:cs="Arial"/>
                <w:sz w:val="24"/>
              </w:rPr>
              <w:t>Speakers, coaches and workshops booked and finalised.</w:t>
            </w:r>
          </w:p>
        </w:tc>
        <w:tc>
          <w:tcPr>
            <w:tcW w:w="1039" w:type="pct"/>
          </w:tcPr>
          <w:p w14:paraId="2C728FE0"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By 30</w:t>
            </w:r>
            <w:r w:rsidRPr="000D23F0">
              <w:rPr>
                <w:rFonts w:eastAsia="STZhongsong" w:cs="Arial"/>
                <w:sz w:val="24"/>
                <w:vertAlign w:val="superscript"/>
              </w:rPr>
              <w:t>th</w:t>
            </w:r>
            <w:r w:rsidRPr="000D23F0">
              <w:rPr>
                <w:rFonts w:eastAsia="STZhongsong" w:cs="Arial"/>
                <w:sz w:val="24"/>
              </w:rPr>
              <w:t xml:space="preserve"> June 2020</w:t>
            </w:r>
          </w:p>
        </w:tc>
      </w:tr>
      <w:tr w:rsidR="00437226" w:rsidRPr="000D23F0" w14:paraId="5DC3C374" w14:textId="77777777" w:rsidTr="00A93279">
        <w:tc>
          <w:tcPr>
            <w:tcW w:w="862" w:type="pct"/>
          </w:tcPr>
          <w:p w14:paraId="06A194F4"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8</w:t>
            </w:r>
          </w:p>
        </w:tc>
        <w:tc>
          <w:tcPr>
            <w:tcW w:w="3099" w:type="pct"/>
          </w:tcPr>
          <w:p w14:paraId="7FDC0783" w14:textId="77777777" w:rsidR="00437226" w:rsidRPr="000D23F0" w:rsidRDefault="00437226" w:rsidP="00A93279">
            <w:pPr>
              <w:spacing w:before="120" w:after="120"/>
              <w:outlineLvl w:val="2"/>
              <w:rPr>
                <w:rFonts w:eastAsia="STZhongsong" w:cs="Arial"/>
                <w:sz w:val="24"/>
              </w:rPr>
            </w:pPr>
            <w:r w:rsidRPr="000D23F0">
              <w:rPr>
                <w:rFonts w:cs="Arial"/>
                <w:sz w:val="24"/>
              </w:rPr>
              <w:t>Final list of 30 senior leader delegates agreed, with all leaders registered to attend, with Chief Executive-equivalent sponsors identified for each delegate.</w:t>
            </w:r>
          </w:p>
        </w:tc>
        <w:tc>
          <w:tcPr>
            <w:tcW w:w="1039" w:type="pct"/>
          </w:tcPr>
          <w:p w14:paraId="3719399B"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By 30</w:t>
            </w:r>
            <w:r w:rsidRPr="000D23F0">
              <w:rPr>
                <w:rFonts w:eastAsia="STZhongsong" w:cs="Arial"/>
                <w:sz w:val="24"/>
                <w:vertAlign w:val="superscript"/>
              </w:rPr>
              <w:t>th</w:t>
            </w:r>
            <w:r w:rsidRPr="000D23F0">
              <w:rPr>
                <w:rFonts w:eastAsia="STZhongsong" w:cs="Arial"/>
                <w:sz w:val="24"/>
              </w:rPr>
              <w:t xml:space="preserve"> June 2020</w:t>
            </w:r>
          </w:p>
        </w:tc>
      </w:tr>
      <w:tr w:rsidR="00437226" w:rsidRPr="000D23F0" w14:paraId="4319E0AD" w14:textId="77777777" w:rsidTr="00A93279">
        <w:tc>
          <w:tcPr>
            <w:tcW w:w="862" w:type="pct"/>
          </w:tcPr>
          <w:p w14:paraId="3A2E124E"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9</w:t>
            </w:r>
          </w:p>
        </w:tc>
        <w:tc>
          <w:tcPr>
            <w:tcW w:w="3099" w:type="pct"/>
          </w:tcPr>
          <w:p w14:paraId="14811A06" w14:textId="77777777" w:rsidR="00437226" w:rsidRPr="000D23F0" w:rsidRDefault="00437226" w:rsidP="00A93279">
            <w:pPr>
              <w:spacing w:before="120" w:after="120"/>
              <w:outlineLvl w:val="2"/>
              <w:rPr>
                <w:rFonts w:eastAsia="STZhongsong" w:cs="Arial"/>
                <w:sz w:val="24"/>
              </w:rPr>
            </w:pPr>
            <w:r w:rsidRPr="000D23F0">
              <w:rPr>
                <w:rFonts w:cs="Arial"/>
                <w:sz w:val="24"/>
              </w:rPr>
              <w:t>Weekly review and discussion meetings (via teleconference where necessary) with the Customer – light touch conversations to check in on progress and blockers.</w:t>
            </w:r>
          </w:p>
        </w:tc>
        <w:tc>
          <w:tcPr>
            <w:tcW w:w="1039" w:type="pct"/>
          </w:tcPr>
          <w:p w14:paraId="37D009EF"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Fortnightly for the duration of the contract.</w:t>
            </w:r>
          </w:p>
        </w:tc>
      </w:tr>
      <w:tr w:rsidR="00437226" w:rsidRPr="000D23F0" w14:paraId="64861CB0" w14:textId="77777777" w:rsidTr="00A93279">
        <w:tc>
          <w:tcPr>
            <w:tcW w:w="862" w:type="pct"/>
          </w:tcPr>
          <w:p w14:paraId="52CD384B"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10</w:t>
            </w:r>
          </w:p>
        </w:tc>
        <w:tc>
          <w:tcPr>
            <w:tcW w:w="3099" w:type="pct"/>
          </w:tcPr>
          <w:p w14:paraId="25F58138" w14:textId="77777777" w:rsidR="00437226" w:rsidRPr="000D23F0" w:rsidRDefault="00437226" w:rsidP="00A93279">
            <w:pPr>
              <w:spacing w:before="120" w:after="120"/>
              <w:outlineLvl w:val="2"/>
              <w:rPr>
                <w:rFonts w:cs="Arial"/>
                <w:sz w:val="24"/>
              </w:rPr>
            </w:pPr>
            <w:r w:rsidRPr="000D23F0">
              <w:rPr>
                <w:rFonts w:cs="Arial"/>
                <w:sz w:val="24"/>
              </w:rPr>
              <w:t>Residential course delivered.</w:t>
            </w:r>
          </w:p>
        </w:tc>
        <w:tc>
          <w:tcPr>
            <w:tcW w:w="1039" w:type="pct"/>
          </w:tcPr>
          <w:p w14:paraId="566B115E"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Provisionally during the week of Monday 7th September (date to be finalised in consultation with the NLC)</w:t>
            </w:r>
          </w:p>
        </w:tc>
      </w:tr>
      <w:tr w:rsidR="00437226" w:rsidRPr="000D23F0" w14:paraId="631866C5" w14:textId="77777777" w:rsidTr="00A93279">
        <w:tc>
          <w:tcPr>
            <w:tcW w:w="862" w:type="pct"/>
          </w:tcPr>
          <w:p w14:paraId="0807681A"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11</w:t>
            </w:r>
          </w:p>
        </w:tc>
        <w:tc>
          <w:tcPr>
            <w:tcW w:w="3099" w:type="pct"/>
          </w:tcPr>
          <w:p w14:paraId="1F3170F5" w14:textId="77777777" w:rsidR="00437226" w:rsidRPr="000D23F0" w:rsidRDefault="00437226" w:rsidP="00A93279">
            <w:pPr>
              <w:spacing w:before="120" w:after="120"/>
              <w:outlineLvl w:val="2"/>
              <w:rPr>
                <w:rFonts w:cs="Arial"/>
                <w:sz w:val="24"/>
              </w:rPr>
            </w:pPr>
            <w:r w:rsidRPr="000D23F0">
              <w:rPr>
                <w:rFonts w:cs="Arial"/>
                <w:sz w:val="24"/>
              </w:rPr>
              <w:t>Feedback from the course is collected, analysed and presented to the NLC.</w:t>
            </w:r>
          </w:p>
        </w:tc>
        <w:tc>
          <w:tcPr>
            <w:tcW w:w="1039" w:type="pct"/>
          </w:tcPr>
          <w:p w14:paraId="46C733BB" w14:textId="77777777" w:rsidR="00437226" w:rsidRPr="000D23F0" w:rsidRDefault="00437226" w:rsidP="00A93279">
            <w:pPr>
              <w:spacing w:before="120" w:after="120"/>
              <w:jc w:val="center"/>
              <w:outlineLvl w:val="2"/>
              <w:rPr>
                <w:rFonts w:eastAsia="STZhongsong" w:cs="Arial"/>
                <w:sz w:val="24"/>
              </w:rPr>
            </w:pPr>
            <w:r w:rsidRPr="000D23F0">
              <w:rPr>
                <w:rFonts w:eastAsia="STZhongsong" w:cs="Arial"/>
                <w:sz w:val="24"/>
              </w:rPr>
              <w:t>Within 3 weeks after delivery of the course.</w:t>
            </w:r>
          </w:p>
        </w:tc>
      </w:tr>
    </w:tbl>
    <w:p w14:paraId="228D428C" w14:textId="77777777" w:rsidR="00FE18AC" w:rsidRPr="000D23F0" w:rsidRDefault="00FE18AC" w:rsidP="00F44D62">
      <w:pPr>
        <w:pStyle w:val="Heading1"/>
        <w:numPr>
          <w:ilvl w:val="0"/>
          <w:numId w:val="0"/>
        </w:numPr>
        <w:overflowPunct w:val="0"/>
        <w:autoSpaceDE w:val="0"/>
        <w:autoSpaceDN w:val="0"/>
        <w:spacing w:after="120"/>
        <w:textAlignment w:val="baseline"/>
        <w:rPr>
          <w:rFonts w:cs="Arial"/>
          <w:szCs w:val="22"/>
        </w:rPr>
      </w:pPr>
      <w:bookmarkStart w:id="35" w:name="_Toc302637211"/>
    </w:p>
    <w:p w14:paraId="203EC2B6" w14:textId="6BC3F211" w:rsidR="00671798" w:rsidRPr="000D23F0"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3"/>
      <w:bookmarkStart w:id="37" w:name="_Toc522714841"/>
      <w:r w:rsidRPr="000D23F0">
        <w:rPr>
          <w:rFonts w:cs="Arial"/>
          <w:sz w:val="32"/>
          <w:szCs w:val="32"/>
        </w:rPr>
        <w:t>MANAGEMENT INFORMATION/</w:t>
      </w:r>
      <w:r w:rsidR="00FE18AC" w:rsidRPr="000D23F0">
        <w:rPr>
          <w:rFonts w:cs="Arial"/>
          <w:sz w:val="32"/>
          <w:szCs w:val="32"/>
        </w:rPr>
        <w:t>reporting</w:t>
      </w:r>
      <w:bookmarkEnd w:id="36"/>
      <w:bookmarkEnd w:id="37"/>
    </w:p>
    <w:p w14:paraId="48B24F38" w14:textId="05822C73" w:rsidR="008E3ADB" w:rsidRPr="008E3ADB" w:rsidRDefault="00437226" w:rsidP="008E3ADB">
      <w:pPr>
        <w:pStyle w:val="Heading2"/>
        <w:rPr>
          <w:sz w:val="24"/>
          <w:szCs w:val="24"/>
        </w:rPr>
      </w:pPr>
      <w:r w:rsidRPr="000D23F0">
        <w:rPr>
          <w:sz w:val="24"/>
        </w:rPr>
        <w:t>During the initial design phase of the contract, the Supplier an</w:t>
      </w:r>
      <w:r w:rsidR="008E3ADB">
        <w:rPr>
          <w:sz w:val="24"/>
        </w:rPr>
        <w:t>d the NLC shall agree light-touc</w:t>
      </w:r>
      <w:r w:rsidRPr="000D23F0">
        <w:rPr>
          <w:sz w:val="24"/>
        </w:rPr>
        <w:t xml:space="preserve">h progress updates on a regular basis in addition to </w:t>
      </w:r>
      <w:r w:rsidR="008E3ADB">
        <w:rPr>
          <w:sz w:val="24"/>
        </w:rPr>
        <w:t>weekly</w:t>
      </w:r>
      <w:r w:rsidRPr="000D23F0">
        <w:rPr>
          <w:sz w:val="24"/>
        </w:rPr>
        <w:t xml:space="preserve"> progress meetings, to ensure progress is shared in a timely way. </w:t>
      </w:r>
    </w:p>
    <w:p w14:paraId="7E2FD676" w14:textId="4CC8A6C2" w:rsidR="008E3ADB" w:rsidRDefault="008E3ADB" w:rsidP="008E3ADB">
      <w:pPr>
        <w:pStyle w:val="Heading2"/>
        <w:rPr>
          <w:sz w:val="24"/>
          <w:szCs w:val="24"/>
        </w:rPr>
      </w:pPr>
      <w:r w:rsidRPr="00161D68">
        <w:rPr>
          <w:sz w:val="24"/>
          <w:szCs w:val="24"/>
        </w:rPr>
        <w:t>The Successful Supplier shall attend:</w:t>
      </w:r>
    </w:p>
    <w:p w14:paraId="0C43764A" w14:textId="77777777" w:rsidR="008E3ADB" w:rsidRPr="00415146" w:rsidRDefault="008E3ADB" w:rsidP="008E3ADB">
      <w:pPr>
        <w:pStyle w:val="Heading3"/>
        <w:rPr>
          <w:sz w:val="24"/>
        </w:rPr>
      </w:pPr>
      <w:r w:rsidRPr="00415146">
        <w:rPr>
          <w:sz w:val="24"/>
        </w:rPr>
        <w:t>A kick-off meeting with the Customer, which shall ideally be face-to-face.</w:t>
      </w:r>
    </w:p>
    <w:p w14:paraId="131DAD75" w14:textId="6601538C" w:rsidR="008E3ADB" w:rsidRPr="00415146" w:rsidRDefault="008E3ADB" w:rsidP="008E3ADB">
      <w:pPr>
        <w:pStyle w:val="Heading3"/>
        <w:rPr>
          <w:sz w:val="24"/>
        </w:rPr>
      </w:pPr>
      <w:r w:rsidRPr="00415146">
        <w:rPr>
          <w:sz w:val="24"/>
        </w:rPr>
        <w:t>A workshop with the Customer to discuss design principles and delivery process, which shall ideally be face-to-face.</w:t>
      </w:r>
    </w:p>
    <w:p w14:paraId="70C1C9AC" w14:textId="77777777" w:rsidR="008E3ADB" w:rsidRPr="00415146" w:rsidRDefault="008E3ADB" w:rsidP="008E3ADB">
      <w:pPr>
        <w:pStyle w:val="Heading3"/>
        <w:rPr>
          <w:sz w:val="24"/>
        </w:rPr>
      </w:pPr>
      <w:r w:rsidRPr="00415146">
        <w:rPr>
          <w:sz w:val="24"/>
        </w:rPr>
        <w:t>Weekly progress meetings, which shall ideally be face-to-face, though teleconferencing is available where necessary.</w:t>
      </w:r>
    </w:p>
    <w:p w14:paraId="5562B342" w14:textId="22F61A2C" w:rsidR="008E3ADB" w:rsidRPr="00415146" w:rsidRDefault="008E3ADB" w:rsidP="008E3ADB">
      <w:pPr>
        <w:pStyle w:val="Heading3"/>
        <w:rPr>
          <w:sz w:val="24"/>
        </w:rPr>
      </w:pPr>
      <w:r w:rsidRPr="00415146">
        <w:rPr>
          <w:sz w:val="24"/>
        </w:rPr>
        <w:t>The Supplier shall send weekly progress reports to the Customer at least twenty-four hours in a</w:t>
      </w:r>
      <w:bookmarkStart w:id="38" w:name="_GoBack"/>
      <w:bookmarkEnd w:id="38"/>
      <w:r w:rsidRPr="00415146">
        <w:rPr>
          <w:sz w:val="24"/>
        </w:rPr>
        <w:t>dvance of weekly progress meetings.</w:t>
      </w:r>
    </w:p>
    <w:p w14:paraId="4683DAD8" w14:textId="11EDC2DF" w:rsidR="008E3ADB" w:rsidRPr="00415146" w:rsidRDefault="008E3ADB" w:rsidP="008E3ADB">
      <w:pPr>
        <w:pStyle w:val="Heading3"/>
        <w:rPr>
          <w:sz w:val="24"/>
        </w:rPr>
      </w:pPr>
      <w:r w:rsidRPr="00415146">
        <w:rPr>
          <w:sz w:val="24"/>
        </w:rPr>
        <w:t>Additional light-touch meetings as needed, on an ad-hoc basis. These can be via teleconference.</w:t>
      </w:r>
    </w:p>
    <w:p w14:paraId="1BF86343" w14:textId="0542EEA4" w:rsidR="008E3ADB" w:rsidRPr="00415146" w:rsidRDefault="008E3ADB" w:rsidP="008E3ADB">
      <w:pPr>
        <w:pStyle w:val="Heading3"/>
        <w:rPr>
          <w:sz w:val="24"/>
        </w:rPr>
      </w:pPr>
      <w:r w:rsidRPr="00415146">
        <w:rPr>
          <w:sz w:val="24"/>
        </w:rPr>
        <w:t>Quarterly contract review meetings, which can be via teleconference.</w:t>
      </w:r>
    </w:p>
    <w:p w14:paraId="40219839" w14:textId="77777777" w:rsidR="00E24EE7" w:rsidRPr="000D23F0"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368573034"/>
      <w:bookmarkStart w:id="40" w:name="_Toc522714842"/>
      <w:r w:rsidRPr="000D23F0">
        <w:rPr>
          <w:rFonts w:cs="Arial"/>
          <w:sz w:val="32"/>
          <w:szCs w:val="32"/>
        </w:rPr>
        <w:t>volumes</w:t>
      </w:r>
      <w:bookmarkEnd w:id="39"/>
      <w:bookmarkEnd w:id="40"/>
    </w:p>
    <w:p w14:paraId="3AB9FCA7" w14:textId="2AD16FA4" w:rsidR="00671798" w:rsidRPr="006855EE" w:rsidRDefault="006855EE" w:rsidP="00E24EE7">
      <w:pPr>
        <w:pStyle w:val="Heading2"/>
        <w:rPr>
          <w:rFonts w:cs="Arial"/>
          <w:sz w:val="24"/>
          <w:szCs w:val="24"/>
        </w:rPr>
      </w:pPr>
      <w:r>
        <w:rPr>
          <w:sz w:val="24"/>
          <w:szCs w:val="24"/>
        </w:rPr>
        <w:t>Provision of a leadership programme to 30 ethnic minority leaders at Deputy Chief Executive Level from organisations currently part of the NLC’s existing network.</w:t>
      </w:r>
    </w:p>
    <w:p w14:paraId="06E67C2F" w14:textId="3F328194" w:rsidR="006855EE" w:rsidRPr="000D23F0" w:rsidRDefault="006855EE" w:rsidP="00E24EE7">
      <w:pPr>
        <w:pStyle w:val="Heading2"/>
        <w:rPr>
          <w:rFonts w:cs="Arial"/>
          <w:sz w:val="24"/>
          <w:szCs w:val="24"/>
        </w:rPr>
      </w:pPr>
      <w:r>
        <w:rPr>
          <w:rFonts w:cs="Arial"/>
          <w:sz w:val="24"/>
          <w:szCs w:val="24"/>
        </w:rPr>
        <w:t xml:space="preserve">A five day leadership programme with a residential element of a minimum of three days and two nights. </w:t>
      </w:r>
    </w:p>
    <w:p w14:paraId="0C1E78CC" w14:textId="77777777" w:rsidR="00FE18AC" w:rsidRPr="000D23F0"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1" w:name="_Toc368573035"/>
      <w:bookmarkStart w:id="42" w:name="_Toc522714843"/>
      <w:r w:rsidRPr="000D23F0">
        <w:rPr>
          <w:rFonts w:cs="Arial"/>
          <w:sz w:val="32"/>
          <w:szCs w:val="32"/>
        </w:rPr>
        <w:t>continuous improvement</w:t>
      </w:r>
      <w:bookmarkEnd w:id="41"/>
      <w:bookmarkEnd w:id="42"/>
    </w:p>
    <w:p w14:paraId="00843F37" w14:textId="77777777" w:rsidR="00437226" w:rsidRPr="000D23F0" w:rsidRDefault="00437226" w:rsidP="00437226">
      <w:pPr>
        <w:pStyle w:val="Heading2"/>
        <w:rPr>
          <w:sz w:val="24"/>
        </w:rPr>
      </w:pPr>
      <w:r w:rsidRPr="000D23F0">
        <w:rPr>
          <w:sz w:val="24"/>
        </w:rPr>
        <w:t>The Supplier will be expected to continually improve the way in which the required Services are to be delivered throughout the Contract duration.</w:t>
      </w:r>
    </w:p>
    <w:p w14:paraId="031D2B5A" w14:textId="70B7DBBF" w:rsidR="00671798" w:rsidRPr="000D23F0" w:rsidRDefault="00437226" w:rsidP="00437226">
      <w:pPr>
        <w:pStyle w:val="Heading2"/>
        <w:rPr>
          <w:sz w:val="24"/>
        </w:rPr>
      </w:pPr>
      <w:r w:rsidRPr="000D23F0">
        <w:rPr>
          <w:sz w:val="24"/>
        </w:rPr>
        <w:t>Changes to the way in which the Services are to be delivered must be brought to the Authority’s attention and agreed prior to any changes being implemented.</w:t>
      </w:r>
    </w:p>
    <w:p w14:paraId="7CC141C7" w14:textId="3806E783" w:rsidR="004E78BC" w:rsidRPr="000D23F0" w:rsidRDefault="004E78BC" w:rsidP="004E78BC">
      <w:pPr>
        <w:pStyle w:val="Heading1"/>
        <w:rPr>
          <w:sz w:val="32"/>
          <w:szCs w:val="32"/>
        </w:rPr>
      </w:pPr>
      <w:bookmarkStart w:id="43" w:name="_Toc522714844"/>
      <w:r w:rsidRPr="000D23F0">
        <w:rPr>
          <w:sz w:val="32"/>
          <w:szCs w:val="32"/>
        </w:rPr>
        <w:t>Sustainability</w:t>
      </w:r>
      <w:bookmarkEnd w:id="43"/>
    </w:p>
    <w:p w14:paraId="2E637186" w14:textId="055EBE9B" w:rsidR="004E78BC" w:rsidRPr="000D23F0" w:rsidRDefault="00437226" w:rsidP="00437226">
      <w:pPr>
        <w:pStyle w:val="Heading2"/>
        <w:rPr>
          <w:sz w:val="24"/>
        </w:rPr>
      </w:pPr>
      <w:r w:rsidRPr="000D23F0">
        <w:rPr>
          <w:sz w:val="24"/>
        </w:rPr>
        <w:t>Suppliers should demonstrate how they plan to maximise the sustainability of the course delivery, through measures including reducing printing to a bare minimum, holding meetings virtually to minimise travel and through a plan for ensuring knowledge transfer at the end of the contract.</w:t>
      </w:r>
    </w:p>
    <w:p w14:paraId="1114BE17" w14:textId="77777777" w:rsidR="00FE18AC" w:rsidRPr="000D23F0"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4" w:name="_Toc368573036"/>
      <w:bookmarkStart w:id="45" w:name="_Toc522714845"/>
      <w:r w:rsidRPr="000D23F0">
        <w:rPr>
          <w:rFonts w:cs="Arial"/>
          <w:sz w:val="32"/>
          <w:szCs w:val="32"/>
        </w:rPr>
        <w:lastRenderedPageBreak/>
        <w:t>quality</w:t>
      </w:r>
      <w:bookmarkEnd w:id="44"/>
      <w:bookmarkEnd w:id="45"/>
    </w:p>
    <w:p w14:paraId="263BDDF6" w14:textId="77777777" w:rsidR="00437226" w:rsidRPr="000D23F0" w:rsidRDefault="00437226" w:rsidP="00437226">
      <w:pPr>
        <w:pStyle w:val="Heading2"/>
        <w:rPr>
          <w:sz w:val="24"/>
        </w:rPr>
      </w:pPr>
      <w:r w:rsidRPr="000D23F0">
        <w:rPr>
          <w:sz w:val="24"/>
        </w:rPr>
        <w:t>The delivery of the diversity leadership programme must be of a world-class standard that is appropriate for some of the most senior leaders of UK public services.</w:t>
      </w:r>
    </w:p>
    <w:p w14:paraId="3E8C5B44" w14:textId="56AD3404" w:rsidR="005C2A84" w:rsidRPr="000D23F0" w:rsidRDefault="00437226" w:rsidP="00437226">
      <w:pPr>
        <w:pStyle w:val="Heading2"/>
        <w:rPr>
          <w:sz w:val="24"/>
        </w:rPr>
      </w:pPr>
      <w:bookmarkStart w:id="46" w:name="_2odyh8z4sfra" w:colFirst="0" w:colLast="0"/>
      <w:bookmarkEnd w:id="46"/>
      <w:r w:rsidRPr="000D23F0">
        <w:rPr>
          <w:sz w:val="24"/>
        </w:rPr>
        <w:t>We expect bids to include information about the Supplier’s quality assurance procedures, and any arrangements for sub-contracting parts of the programme.</w:t>
      </w:r>
    </w:p>
    <w:p w14:paraId="533C7A5A" w14:textId="77777777" w:rsidR="00FE18AC" w:rsidRPr="000D23F0"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7" w:name="_Toc368573037"/>
      <w:bookmarkStart w:id="48" w:name="_Toc522714846"/>
      <w:r w:rsidRPr="000D23F0">
        <w:rPr>
          <w:rFonts w:cs="Arial"/>
          <w:sz w:val="32"/>
          <w:szCs w:val="32"/>
        </w:rPr>
        <w:t>PRICE</w:t>
      </w:r>
      <w:bookmarkEnd w:id="47"/>
      <w:bookmarkEnd w:id="48"/>
    </w:p>
    <w:p w14:paraId="0E9B8580" w14:textId="1F5DD2E8" w:rsidR="00437226" w:rsidRPr="000D23F0" w:rsidRDefault="00437226" w:rsidP="00437226">
      <w:pPr>
        <w:pStyle w:val="Heading2"/>
        <w:rPr>
          <w:sz w:val="24"/>
        </w:rPr>
      </w:pPr>
      <w:r w:rsidRPr="000D23F0">
        <w:rPr>
          <w:sz w:val="24"/>
        </w:rPr>
        <w:t>The maximum budget for this contract is £120,000</w:t>
      </w:r>
      <w:r w:rsidR="00B87EDB">
        <w:rPr>
          <w:sz w:val="24"/>
        </w:rPr>
        <w:t>.00 ex</w:t>
      </w:r>
      <w:r w:rsidRPr="000D23F0">
        <w:rPr>
          <w:sz w:val="24"/>
        </w:rPr>
        <w:t xml:space="preserve">cluding VAT. </w:t>
      </w:r>
    </w:p>
    <w:p w14:paraId="7F5D3F09" w14:textId="77777777" w:rsidR="00437226" w:rsidRPr="000D23F0" w:rsidRDefault="00437226" w:rsidP="00437226">
      <w:pPr>
        <w:pStyle w:val="Heading2"/>
        <w:rPr>
          <w:sz w:val="24"/>
        </w:rPr>
      </w:pPr>
      <w:bookmarkStart w:id="49" w:name="_g84l6milw9hc" w:colFirst="0" w:colLast="0"/>
      <w:bookmarkEnd w:id="49"/>
      <w:r w:rsidRPr="000D23F0">
        <w:rPr>
          <w:sz w:val="24"/>
        </w:rPr>
        <w:t>Like all public sector organisations we must provide detailed justification of discretionary spending. We will be looking for suggestions on how we achieve our aims whilst keeping costs in check. Value for money will be one of the criteria for judging bids.</w:t>
      </w:r>
    </w:p>
    <w:p w14:paraId="645D51EC" w14:textId="4053F045" w:rsidR="00671798" w:rsidRPr="000D23F0" w:rsidRDefault="00437226" w:rsidP="00437226">
      <w:pPr>
        <w:pStyle w:val="Heading2"/>
        <w:rPr>
          <w:sz w:val="24"/>
        </w:rPr>
      </w:pPr>
      <w:r w:rsidRPr="000D23F0">
        <w:rPr>
          <w:sz w:val="24"/>
        </w:rPr>
        <w:t>Prices are to be submitted via the e-Sourcing Suite Attachment 4 – Price Schedule excluding VAT and including all other expenses relating to Contract delivery.</w:t>
      </w:r>
    </w:p>
    <w:p w14:paraId="6B1CA851" w14:textId="77777777" w:rsidR="00FE18AC" w:rsidRPr="000D23F0"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0" w:name="_Toc368573038"/>
      <w:bookmarkStart w:id="51" w:name="_Toc522714847"/>
      <w:r w:rsidRPr="000D23F0">
        <w:rPr>
          <w:rFonts w:cs="Arial"/>
          <w:sz w:val="32"/>
          <w:szCs w:val="32"/>
        </w:rPr>
        <w:t>STAFF AND CUSTOMER SERVICE</w:t>
      </w:r>
      <w:bookmarkEnd w:id="50"/>
      <w:bookmarkEnd w:id="51"/>
    </w:p>
    <w:p w14:paraId="473FF9D3" w14:textId="319E8519" w:rsidR="00671798" w:rsidRPr="000D23F0" w:rsidRDefault="00FE18AC">
      <w:pPr>
        <w:pStyle w:val="Heading2"/>
        <w:tabs>
          <w:tab w:val="clear" w:pos="720"/>
          <w:tab w:val="num" w:pos="709"/>
        </w:tabs>
        <w:spacing w:after="120"/>
        <w:ind w:left="709" w:hanging="709"/>
        <w:rPr>
          <w:sz w:val="24"/>
          <w:szCs w:val="24"/>
        </w:rPr>
      </w:pPr>
      <w:r w:rsidRPr="000D23F0">
        <w:rPr>
          <w:sz w:val="24"/>
          <w:szCs w:val="24"/>
        </w:rPr>
        <w:t xml:space="preserve">The </w:t>
      </w:r>
      <w:r w:rsidR="008E77CC" w:rsidRPr="000D23F0">
        <w:rPr>
          <w:sz w:val="24"/>
          <w:szCs w:val="24"/>
        </w:rPr>
        <w:t xml:space="preserve">Supplier shall </w:t>
      </w:r>
      <w:r w:rsidRPr="000D23F0">
        <w:rPr>
          <w:sz w:val="24"/>
          <w:szCs w:val="24"/>
        </w:rPr>
        <w:t>provide a sufficient level of resource</w:t>
      </w:r>
      <w:r w:rsidR="00A27147" w:rsidRPr="000D23F0">
        <w:rPr>
          <w:sz w:val="24"/>
          <w:szCs w:val="24"/>
        </w:rPr>
        <w:t xml:space="preserve"> throughout the duration of the</w:t>
      </w:r>
      <w:r w:rsidRPr="000D23F0">
        <w:rPr>
          <w:sz w:val="24"/>
          <w:szCs w:val="24"/>
        </w:rPr>
        <w:t xml:space="preserve"> Contract in order to consiste</w:t>
      </w:r>
      <w:r w:rsidR="00A27147" w:rsidRPr="000D23F0">
        <w:rPr>
          <w:sz w:val="24"/>
          <w:szCs w:val="24"/>
        </w:rPr>
        <w:t>ntly deliver a quality service</w:t>
      </w:r>
      <w:r w:rsidRPr="000D23F0">
        <w:rPr>
          <w:sz w:val="24"/>
          <w:szCs w:val="24"/>
        </w:rPr>
        <w:t>.</w:t>
      </w:r>
    </w:p>
    <w:p w14:paraId="7C5FF49B" w14:textId="5A52A6F5" w:rsidR="00671798" w:rsidRPr="000D23F0" w:rsidRDefault="008E77CC">
      <w:pPr>
        <w:pStyle w:val="Heading2"/>
        <w:tabs>
          <w:tab w:val="clear" w:pos="720"/>
          <w:tab w:val="num" w:pos="709"/>
        </w:tabs>
        <w:spacing w:after="120"/>
        <w:ind w:left="709" w:hanging="709"/>
        <w:rPr>
          <w:sz w:val="24"/>
          <w:szCs w:val="24"/>
        </w:rPr>
      </w:pPr>
      <w:r w:rsidRPr="000D23F0">
        <w:rPr>
          <w:sz w:val="24"/>
          <w:szCs w:val="24"/>
        </w:rPr>
        <w:t>The Supplier’s</w:t>
      </w:r>
      <w:r w:rsidR="00A27147" w:rsidRPr="000D23F0">
        <w:rPr>
          <w:sz w:val="24"/>
          <w:szCs w:val="24"/>
        </w:rPr>
        <w:t xml:space="preserve"> staff assigned to the </w:t>
      </w:r>
      <w:r w:rsidR="00FE18AC" w:rsidRPr="000D23F0">
        <w:rPr>
          <w:sz w:val="24"/>
          <w:szCs w:val="24"/>
        </w:rPr>
        <w:t xml:space="preserve">Contract shall have </w:t>
      </w:r>
      <w:r w:rsidR="00E63412" w:rsidRPr="000D23F0">
        <w:rPr>
          <w:sz w:val="24"/>
          <w:szCs w:val="24"/>
        </w:rPr>
        <w:t xml:space="preserve">the </w:t>
      </w:r>
      <w:r w:rsidR="00FE18AC" w:rsidRPr="000D23F0">
        <w:rPr>
          <w:sz w:val="24"/>
          <w:szCs w:val="24"/>
        </w:rPr>
        <w:t>relevant qualifications and experience to deliver</w:t>
      </w:r>
      <w:r w:rsidR="00E63412" w:rsidRPr="000D23F0">
        <w:rPr>
          <w:sz w:val="24"/>
          <w:szCs w:val="24"/>
        </w:rPr>
        <w:t xml:space="preserve"> the</w:t>
      </w:r>
      <w:r w:rsidR="00FE18AC" w:rsidRPr="000D23F0">
        <w:rPr>
          <w:sz w:val="24"/>
          <w:szCs w:val="24"/>
        </w:rPr>
        <w:t xml:space="preserve"> Contract</w:t>
      </w:r>
      <w:r w:rsidR="00C52C2C" w:rsidRPr="000D23F0">
        <w:rPr>
          <w:sz w:val="24"/>
          <w:szCs w:val="24"/>
        </w:rPr>
        <w:t xml:space="preserve"> to the required standard</w:t>
      </w:r>
      <w:r w:rsidR="00FE18AC" w:rsidRPr="000D23F0">
        <w:rPr>
          <w:sz w:val="24"/>
          <w:szCs w:val="24"/>
        </w:rPr>
        <w:t xml:space="preserve">. </w:t>
      </w:r>
    </w:p>
    <w:p w14:paraId="0837E02A" w14:textId="7E947517" w:rsidR="00671798" w:rsidRPr="000D23F0" w:rsidRDefault="00BE3468">
      <w:pPr>
        <w:pStyle w:val="Heading2"/>
        <w:tabs>
          <w:tab w:val="clear" w:pos="720"/>
          <w:tab w:val="num" w:pos="709"/>
        </w:tabs>
        <w:spacing w:after="120"/>
        <w:ind w:left="709" w:hanging="709"/>
        <w:rPr>
          <w:sz w:val="24"/>
          <w:szCs w:val="24"/>
        </w:rPr>
      </w:pPr>
      <w:r w:rsidRPr="000D23F0">
        <w:rPr>
          <w:sz w:val="24"/>
          <w:szCs w:val="24"/>
        </w:rPr>
        <w:t>The Supplier</w:t>
      </w:r>
      <w:r w:rsidR="00FE18AC" w:rsidRPr="000D23F0">
        <w:rPr>
          <w:sz w:val="24"/>
          <w:szCs w:val="24"/>
        </w:rPr>
        <w:t xml:space="preserve"> shall ensure that staff understand the Authority’s vision and objectives and </w:t>
      </w:r>
      <w:r w:rsidR="00E63412" w:rsidRPr="000D23F0">
        <w:rPr>
          <w:sz w:val="24"/>
          <w:szCs w:val="24"/>
        </w:rPr>
        <w:t xml:space="preserve">will </w:t>
      </w:r>
      <w:r w:rsidR="00FE18AC" w:rsidRPr="000D23F0">
        <w:rPr>
          <w:sz w:val="24"/>
          <w:szCs w:val="24"/>
        </w:rPr>
        <w:t xml:space="preserve">provide excellent customer service to the Authority throughout the duration of the Contract.  </w:t>
      </w:r>
    </w:p>
    <w:p w14:paraId="629F567D" w14:textId="77777777" w:rsidR="00FE18AC" w:rsidRPr="000D23F0"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2" w:name="_Toc368573039"/>
      <w:bookmarkStart w:id="53" w:name="_Toc522714848"/>
      <w:r w:rsidRPr="000D23F0">
        <w:rPr>
          <w:rFonts w:cs="Arial"/>
          <w:sz w:val="32"/>
          <w:szCs w:val="32"/>
        </w:rPr>
        <w:t>service levels and performance</w:t>
      </w:r>
      <w:bookmarkEnd w:id="52"/>
      <w:bookmarkEnd w:id="53"/>
    </w:p>
    <w:p w14:paraId="65E93A82" w14:textId="3B4F6A99" w:rsidR="00671798" w:rsidRPr="000D23F0" w:rsidRDefault="00FE18AC" w:rsidP="000D23F0">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0D23F0">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884"/>
        <w:gridCol w:w="3652"/>
        <w:gridCol w:w="1600"/>
      </w:tblGrid>
      <w:tr w:rsidR="00B13763" w:rsidRPr="000D23F0" w14:paraId="1D82B23D" w14:textId="77777777" w:rsidTr="00437226">
        <w:tc>
          <w:tcPr>
            <w:tcW w:w="1163" w:type="dxa"/>
            <w:shd w:val="clear" w:color="auto" w:fill="B8CCE4" w:themeFill="accent1" w:themeFillTint="66"/>
          </w:tcPr>
          <w:p w14:paraId="4E16E6B9" w14:textId="29E5F590" w:rsidR="00B13763" w:rsidRPr="000D23F0" w:rsidRDefault="00B13763" w:rsidP="00B13763">
            <w:pPr>
              <w:pStyle w:val="Heading2"/>
              <w:numPr>
                <w:ilvl w:val="0"/>
                <w:numId w:val="0"/>
              </w:numPr>
              <w:jc w:val="center"/>
              <w:outlineLvl w:val="1"/>
              <w:rPr>
                <w:b/>
                <w:sz w:val="24"/>
                <w:szCs w:val="24"/>
              </w:rPr>
            </w:pPr>
            <w:r w:rsidRPr="000D23F0">
              <w:rPr>
                <w:b/>
                <w:sz w:val="24"/>
                <w:szCs w:val="24"/>
              </w:rPr>
              <w:t>KPI/SLA</w:t>
            </w:r>
          </w:p>
        </w:tc>
        <w:tc>
          <w:tcPr>
            <w:tcW w:w="1884" w:type="dxa"/>
            <w:shd w:val="clear" w:color="auto" w:fill="B8CCE4" w:themeFill="accent1" w:themeFillTint="66"/>
          </w:tcPr>
          <w:p w14:paraId="5F9E1BA6" w14:textId="07EC3F76" w:rsidR="00B13763" w:rsidRPr="000D23F0" w:rsidRDefault="00B13763" w:rsidP="00B13763">
            <w:pPr>
              <w:pStyle w:val="Heading2"/>
              <w:numPr>
                <w:ilvl w:val="0"/>
                <w:numId w:val="0"/>
              </w:numPr>
              <w:jc w:val="center"/>
              <w:outlineLvl w:val="1"/>
              <w:rPr>
                <w:b/>
                <w:sz w:val="24"/>
                <w:szCs w:val="24"/>
              </w:rPr>
            </w:pPr>
            <w:r w:rsidRPr="000D23F0">
              <w:rPr>
                <w:b/>
                <w:sz w:val="24"/>
                <w:szCs w:val="24"/>
              </w:rPr>
              <w:t>Service Area</w:t>
            </w:r>
          </w:p>
        </w:tc>
        <w:tc>
          <w:tcPr>
            <w:tcW w:w="3652" w:type="dxa"/>
            <w:shd w:val="clear" w:color="auto" w:fill="B8CCE4" w:themeFill="accent1" w:themeFillTint="66"/>
          </w:tcPr>
          <w:p w14:paraId="4F97A458" w14:textId="14CFE965" w:rsidR="00B13763" w:rsidRPr="000D23F0" w:rsidRDefault="00B13763" w:rsidP="00B13763">
            <w:pPr>
              <w:pStyle w:val="Heading2"/>
              <w:numPr>
                <w:ilvl w:val="0"/>
                <w:numId w:val="0"/>
              </w:numPr>
              <w:jc w:val="center"/>
              <w:outlineLvl w:val="1"/>
              <w:rPr>
                <w:b/>
                <w:sz w:val="24"/>
                <w:szCs w:val="24"/>
              </w:rPr>
            </w:pPr>
            <w:r w:rsidRPr="000D23F0">
              <w:rPr>
                <w:b/>
                <w:sz w:val="24"/>
                <w:szCs w:val="24"/>
              </w:rPr>
              <w:t>KPI/SLA description</w:t>
            </w:r>
          </w:p>
        </w:tc>
        <w:tc>
          <w:tcPr>
            <w:tcW w:w="1600" w:type="dxa"/>
            <w:shd w:val="clear" w:color="auto" w:fill="B8CCE4" w:themeFill="accent1" w:themeFillTint="66"/>
          </w:tcPr>
          <w:p w14:paraId="0788932C" w14:textId="07398BA8" w:rsidR="00B13763" w:rsidRPr="000D23F0" w:rsidRDefault="00B13763" w:rsidP="00B13763">
            <w:pPr>
              <w:pStyle w:val="Heading2"/>
              <w:numPr>
                <w:ilvl w:val="0"/>
                <w:numId w:val="0"/>
              </w:numPr>
              <w:jc w:val="center"/>
              <w:outlineLvl w:val="1"/>
              <w:rPr>
                <w:b/>
                <w:sz w:val="24"/>
                <w:szCs w:val="24"/>
              </w:rPr>
            </w:pPr>
            <w:r w:rsidRPr="000D23F0">
              <w:rPr>
                <w:b/>
                <w:sz w:val="24"/>
                <w:szCs w:val="24"/>
              </w:rPr>
              <w:t>Target</w:t>
            </w:r>
          </w:p>
        </w:tc>
      </w:tr>
      <w:tr w:rsidR="00B13763" w:rsidRPr="000D23F0" w14:paraId="136B0B88" w14:textId="77777777" w:rsidTr="00437226">
        <w:tc>
          <w:tcPr>
            <w:tcW w:w="1163" w:type="dxa"/>
          </w:tcPr>
          <w:p w14:paraId="39FC8AED" w14:textId="303CF9DF" w:rsidR="00B13763" w:rsidRPr="000D23F0" w:rsidRDefault="00B13763" w:rsidP="00B13763">
            <w:pPr>
              <w:pStyle w:val="Heading2"/>
              <w:numPr>
                <w:ilvl w:val="0"/>
                <w:numId w:val="0"/>
              </w:numPr>
              <w:jc w:val="center"/>
              <w:outlineLvl w:val="1"/>
              <w:rPr>
                <w:sz w:val="24"/>
                <w:szCs w:val="24"/>
              </w:rPr>
            </w:pPr>
            <w:r w:rsidRPr="000D23F0">
              <w:rPr>
                <w:sz w:val="24"/>
                <w:szCs w:val="24"/>
              </w:rPr>
              <w:t>1</w:t>
            </w:r>
          </w:p>
        </w:tc>
        <w:tc>
          <w:tcPr>
            <w:tcW w:w="1884" w:type="dxa"/>
          </w:tcPr>
          <w:p w14:paraId="286A8BDA" w14:textId="1CFC229F" w:rsidR="00B13763" w:rsidRPr="000D23F0" w:rsidRDefault="00437226" w:rsidP="00B13763">
            <w:pPr>
              <w:pStyle w:val="Heading2"/>
              <w:numPr>
                <w:ilvl w:val="0"/>
                <w:numId w:val="0"/>
              </w:numPr>
              <w:jc w:val="left"/>
              <w:outlineLvl w:val="1"/>
              <w:rPr>
                <w:sz w:val="24"/>
                <w:szCs w:val="24"/>
              </w:rPr>
            </w:pPr>
            <w:r w:rsidRPr="000D23F0">
              <w:rPr>
                <w:sz w:val="24"/>
                <w:szCs w:val="24"/>
              </w:rPr>
              <w:t>Communication</w:t>
            </w:r>
          </w:p>
        </w:tc>
        <w:tc>
          <w:tcPr>
            <w:tcW w:w="3652" w:type="dxa"/>
          </w:tcPr>
          <w:p w14:paraId="1A83F74D" w14:textId="6E755082" w:rsidR="00B13763" w:rsidRPr="000D23F0" w:rsidRDefault="00437226" w:rsidP="00B13763">
            <w:pPr>
              <w:pStyle w:val="Heading2"/>
              <w:numPr>
                <w:ilvl w:val="0"/>
                <w:numId w:val="0"/>
              </w:numPr>
              <w:jc w:val="left"/>
              <w:outlineLvl w:val="1"/>
              <w:rPr>
                <w:sz w:val="24"/>
                <w:szCs w:val="24"/>
              </w:rPr>
            </w:pPr>
            <w:r w:rsidRPr="000D23F0">
              <w:rPr>
                <w:sz w:val="24"/>
                <w:szCs w:val="24"/>
              </w:rPr>
              <w:t>Brief progress report and supporting papers circulated to the NLC no later than one day before fortnightly review meetings. This shall highlight progress on milestones, resource burn, issues and risks for escalation.</w:t>
            </w:r>
          </w:p>
        </w:tc>
        <w:tc>
          <w:tcPr>
            <w:tcW w:w="1600" w:type="dxa"/>
          </w:tcPr>
          <w:p w14:paraId="53B2F4ED" w14:textId="0A33A118" w:rsidR="00B13763" w:rsidRPr="000D23F0" w:rsidRDefault="000D23F0" w:rsidP="00B13763">
            <w:pPr>
              <w:pStyle w:val="Heading2"/>
              <w:numPr>
                <w:ilvl w:val="0"/>
                <w:numId w:val="0"/>
              </w:numPr>
              <w:outlineLvl w:val="1"/>
              <w:rPr>
                <w:sz w:val="24"/>
                <w:szCs w:val="24"/>
              </w:rPr>
            </w:pPr>
            <w:r w:rsidRPr="000D23F0">
              <w:rPr>
                <w:sz w:val="24"/>
                <w:szCs w:val="24"/>
              </w:rPr>
              <w:t>100%</w:t>
            </w:r>
          </w:p>
        </w:tc>
      </w:tr>
      <w:tr w:rsidR="00B13763" w:rsidRPr="000D23F0" w14:paraId="611A7437" w14:textId="77777777" w:rsidTr="00437226">
        <w:tc>
          <w:tcPr>
            <w:tcW w:w="1163" w:type="dxa"/>
          </w:tcPr>
          <w:p w14:paraId="0CA6154F" w14:textId="2E4A9E81" w:rsidR="00B13763" w:rsidRPr="000D23F0" w:rsidRDefault="00B13763" w:rsidP="00B13763">
            <w:pPr>
              <w:pStyle w:val="Heading2"/>
              <w:numPr>
                <w:ilvl w:val="0"/>
                <w:numId w:val="0"/>
              </w:numPr>
              <w:jc w:val="center"/>
              <w:outlineLvl w:val="1"/>
              <w:rPr>
                <w:sz w:val="24"/>
                <w:szCs w:val="24"/>
              </w:rPr>
            </w:pPr>
            <w:r w:rsidRPr="000D23F0">
              <w:rPr>
                <w:sz w:val="24"/>
                <w:szCs w:val="24"/>
              </w:rPr>
              <w:t>2</w:t>
            </w:r>
          </w:p>
        </w:tc>
        <w:tc>
          <w:tcPr>
            <w:tcW w:w="1884" w:type="dxa"/>
          </w:tcPr>
          <w:p w14:paraId="5A8C3451" w14:textId="794F2F6E" w:rsidR="00B13763" w:rsidRPr="000D23F0" w:rsidRDefault="00437226" w:rsidP="00B13763">
            <w:pPr>
              <w:pStyle w:val="Heading2"/>
              <w:numPr>
                <w:ilvl w:val="0"/>
                <w:numId w:val="0"/>
              </w:numPr>
              <w:outlineLvl w:val="1"/>
              <w:rPr>
                <w:sz w:val="24"/>
                <w:szCs w:val="24"/>
              </w:rPr>
            </w:pPr>
            <w:r w:rsidRPr="000D23F0">
              <w:rPr>
                <w:sz w:val="24"/>
                <w:szCs w:val="24"/>
              </w:rPr>
              <w:t>Communication</w:t>
            </w:r>
          </w:p>
        </w:tc>
        <w:tc>
          <w:tcPr>
            <w:tcW w:w="3652" w:type="dxa"/>
          </w:tcPr>
          <w:p w14:paraId="4FBFDF3E" w14:textId="04406FCE" w:rsidR="00B13763" w:rsidRPr="000D23F0" w:rsidRDefault="00437226" w:rsidP="00B13763">
            <w:pPr>
              <w:pStyle w:val="Heading2"/>
              <w:numPr>
                <w:ilvl w:val="0"/>
                <w:numId w:val="0"/>
              </w:numPr>
              <w:outlineLvl w:val="1"/>
              <w:rPr>
                <w:sz w:val="24"/>
                <w:szCs w:val="24"/>
              </w:rPr>
            </w:pPr>
            <w:r w:rsidRPr="000D23F0">
              <w:rPr>
                <w:sz w:val="24"/>
                <w:szCs w:val="24"/>
              </w:rPr>
              <w:t xml:space="preserve">The Supplier shall provide a fortnightly progress report and maintain a flow of </w:t>
            </w:r>
            <w:r w:rsidRPr="000D23F0">
              <w:rPr>
                <w:sz w:val="24"/>
                <w:szCs w:val="24"/>
              </w:rPr>
              <w:lastRenderedPageBreak/>
              <w:t>communication and feedback for the duration of the project, in order to fulfil the requirement and expectations laid out, and avoid project creep</w:t>
            </w:r>
          </w:p>
        </w:tc>
        <w:tc>
          <w:tcPr>
            <w:tcW w:w="1600" w:type="dxa"/>
          </w:tcPr>
          <w:p w14:paraId="0EE422DF" w14:textId="5FB89E94" w:rsidR="00B13763" w:rsidRPr="000D23F0" w:rsidRDefault="000D23F0" w:rsidP="00B13763">
            <w:pPr>
              <w:pStyle w:val="Heading2"/>
              <w:numPr>
                <w:ilvl w:val="0"/>
                <w:numId w:val="0"/>
              </w:numPr>
              <w:outlineLvl w:val="1"/>
              <w:rPr>
                <w:sz w:val="24"/>
                <w:szCs w:val="24"/>
              </w:rPr>
            </w:pPr>
            <w:r w:rsidRPr="000D23F0">
              <w:rPr>
                <w:sz w:val="24"/>
                <w:szCs w:val="24"/>
              </w:rPr>
              <w:lastRenderedPageBreak/>
              <w:t>100%</w:t>
            </w:r>
          </w:p>
        </w:tc>
      </w:tr>
      <w:tr w:rsidR="00B13763" w:rsidRPr="000D23F0" w14:paraId="368A6710" w14:textId="77777777" w:rsidTr="00437226">
        <w:tc>
          <w:tcPr>
            <w:tcW w:w="1163" w:type="dxa"/>
          </w:tcPr>
          <w:p w14:paraId="4EE94C74" w14:textId="7FAF8111" w:rsidR="00B13763" w:rsidRPr="000D23F0" w:rsidRDefault="00B13763" w:rsidP="00B13763">
            <w:pPr>
              <w:pStyle w:val="Heading2"/>
              <w:numPr>
                <w:ilvl w:val="0"/>
                <w:numId w:val="0"/>
              </w:numPr>
              <w:jc w:val="center"/>
              <w:outlineLvl w:val="1"/>
              <w:rPr>
                <w:sz w:val="24"/>
                <w:szCs w:val="24"/>
              </w:rPr>
            </w:pPr>
            <w:r w:rsidRPr="000D23F0">
              <w:rPr>
                <w:sz w:val="24"/>
                <w:szCs w:val="24"/>
              </w:rPr>
              <w:t>3</w:t>
            </w:r>
          </w:p>
        </w:tc>
        <w:tc>
          <w:tcPr>
            <w:tcW w:w="1884" w:type="dxa"/>
          </w:tcPr>
          <w:p w14:paraId="6726DC40" w14:textId="47908AE7" w:rsidR="00B13763" w:rsidRPr="000D23F0" w:rsidRDefault="00437226" w:rsidP="00B13763">
            <w:pPr>
              <w:pStyle w:val="Heading2"/>
              <w:numPr>
                <w:ilvl w:val="0"/>
                <w:numId w:val="0"/>
              </w:numPr>
              <w:outlineLvl w:val="1"/>
              <w:rPr>
                <w:sz w:val="24"/>
                <w:szCs w:val="24"/>
              </w:rPr>
            </w:pPr>
            <w:r w:rsidRPr="000D23F0">
              <w:rPr>
                <w:sz w:val="24"/>
                <w:szCs w:val="24"/>
              </w:rPr>
              <w:t>Delivery Timescales</w:t>
            </w:r>
          </w:p>
        </w:tc>
        <w:tc>
          <w:tcPr>
            <w:tcW w:w="3652" w:type="dxa"/>
          </w:tcPr>
          <w:p w14:paraId="58DC627C" w14:textId="5938E016" w:rsidR="00B13763" w:rsidRPr="000D23F0" w:rsidRDefault="000D23F0" w:rsidP="00B13763">
            <w:pPr>
              <w:pStyle w:val="Heading2"/>
              <w:numPr>
                <w:ilvl w:val="0"/>
                <w:numId w:val="0"/>
              </w:numPr>
              <w:outlineLvl w:val="1"/>
              <w:rPr>
                <w:sz w:val="24"/>
                <w:szCs w:val="24"/>
              </w:rPr>
            </w:pPr>
            <w:r w:rsidRPr="000D23F0">
              <w:rPr>
                <w:sz w:val="24"/>
                <w:szCs w:val="24"/>
              </w:rPr>
              <w:t>All milestones completed to agreed timetable.</w:t>
            </w:r>
          </w:p>
        </w:tc>
        <w:tc>
          <w:tcPr>
            <w:tcW w:w="1600" w:type="dxa"/>
          </w:tcPr>
          <w:p w14:paraId="19BB03B8" w14:textId="50639CA2" w:rsidR="00B13763" w:rsidRPr="000D23F0" w:rsidRDefault="000D23F0" w:rsidP="00B13763">
            <w:pPr>
              <w:pStyle w:val="Heading2"/>
              <w:numPr>
                <w:ilvl w:val="0"/>
                <w:numId w:val="0"/>
              </w:numPr>
              <w:outlineLvl w:val="1"/>
              <w:rPr>
                <w:sz w:val="24"/>
                <w:szCs w:val="24"/>
              </w:rPr>
            </w:pPr>
            <w:r w:rsidRPr="000D23F0">
              <w:rPr>
                <w:sz w:val="24"/>
                <w:szCs w:val="24"/>
              </w:rPr>
              <w:t>100%</w:t>
            </w:r>
          </w:p>
        </w:tc>
      </w:tr>
      <w:tr w:rsidR="00B13763" w:rsidRPr="000D23F0" w14:paraId="69ECF5CB" w14:textId="77777777" w:rsidTr="00437226">
        <w:tc>
          <w:tcPr>
            <w:tcW w:w="1163" w:type="dxa"/>
          </w:tcPr>
          <w:p w14:paraId="76A093A5" w14:textId="0AF770F3" w:rsidR="00B13763" w:rsidRPr="000D23F0" w:rsidRDefault="00B13763" w:rsidP="00B13763">
            <w:pPr>
              <w:pStyle w:val="Heading2"/>
              <w:numPr>
                <w:ilvl w:val="0"/>
                <w:numId w:val="0"/>
              </w:numPr>
              <w:jc w:val="center"/>
              <w:outlineLvl w:val="1"/>
              <w:rPr>
                <w:sz w:val="24"/>
                <w:szCs w:val="24"/>
              </w:rPr>
            </w:pPr>
            <w:r w:rsidRPr="000D23F0">
              <w:rPr>
                <w:sz w:val="24"/>
                <w:szCs w:val="24"/>
              </w:rPr>
              <w:t>4</w:t>
            </w:r>
          </w:p>
        </w:tc>
        <w:tc>
          <w:tcPr>
            <w:tcW w:w="1884" w:type="dxa"/>
          </w:tcPr>
          <w:p w14:paraId="094D220C" w14:textId="53E8AFA4" w:rsidR="00B13763" w:rsidRPr="000D23F0" w:rsidRDefault="00437226" w:rsidP="00B13763">
            <w:pPr>
              <w:pStyle w:val="Heading2"/>
              <w:numPr>
                <w:ilvl w:val="0"/>
                <w:numId w:val="0"/>
              </w:numPr>
              <w:outlineLvl w:val="1"/>
              <w:rPr>
                <w:sz w:val="24"/>
                <w:szCs w:val="24"/>
              </w:rPr>
            </w:pPr>
            <w:r w:rsidRPr="000D23F0">
              <w:rPr>
                <w:sz w:val="24"/>
                <w:szCs w:val="24"/>
              </w:rPr>
              <w:t>Project Management</w:t>
            </w:r>
          </w:p>
        </w:tc>
        <w:tc>
          <w:tcPr>
            <w:tcW w:w="3652" w:type="dxa"/>
          </w:tcPr>
          <w:p w14:paraId="6F1FD8A2" w14:textId="01A6B6A9" w:rsidR="000D23F0" w:rsidRPr="000D23F0" w:rsidRDefault="000D23F0" w:rsidP="00B13763">
            <w:pPr>
              <w:pStyle w:val="Heading2"/>
              <w:numPr>
                <w:ilvl w:val="0"/>
                <w:numId w:val="0"/>
              </w:numPr>
              <w:outlineLvl w:val="1"/>
              <w:rPr>
                <w:sz w:val="24"/>
                <w:szCs w:val="24"/>
              </w:rPr>
            </w:pPr>
            <w:r w:rsidRPr="000D23F0">
              <w:rPr>
                <w:sz w:val="24"/>
                <w:szCs w:val="24"/>
              </w:rPr>
              <w:t>All blockers escalated and resolved to timescale agreed during design phase.</w:t>
            </w:r>
          </w:p>
          <w:p w14:paraId="7B38EB57" w14:textId="77777777" w:rsidR="00B13763" w:rsidRPr="000D23F0" w:rsidRDefault="00B13763" w:rsidP="000D23F0">
            <w:pPr>
              <w:ind w:firstLine="720"/>
            </w:pPr>
          </w:p>
        </w:tc>
        <w:tc>
          <w:tcPr>
            <w:tcW w:w="1600" w:type="dxa"/>
          </w:tcPr>
          <w:p w14:paraId="33C6BA7C" w14:textId="7AC43FBE" w:rsidR="00B13763" w:rsidRPr="000D23F0" w:rsidRDefault="000D23F0" w:rsidP="00B13763">
            <w:pPr>
              <w:pStyle w:val="Heading2"/>
              <w:numPr>
                <w:ilvl w:val="0"/>
                <w:numId w:val="0"/>
              </w:numPr>
              <w:outlineLvl w:val="1"/>
              <w:rPr>
                <w:sz w:val="24"/>
                <w:szCs w:val="24"/>
              </w:rPr>
            </w:pPr>
            <w:r w:rsidRPr="000D23F0">
              <w:rPr>
                <w:sz w:val="24"/>
                <w:szCs w:val="24"/>
              </w:rPr>
              <w:t>100%</w:t>
            </w:r>
          </w:p>
        </w:tc>
      </w:tr>
    </w:tbl>
    <w:p w14:paraId="2E373C90" w14:textId="77777777" w:rsidR="003F626A" w:rsidRPr="000D23F0" w:rsidRDefault="003F626A" w:rsidP="003F626A">
      <w:pPr>
        <w:pStyle w:val="Heading2"/>
        <w:numPr>
          <w:ilvl w:val="0"/>
          <w:numId w:val="0"/>
        </w:numPr>
        <w:ind w:left="720"/>
      </w:pPr>
    </w:p>
    <w:p w14:paraId="6051ED70" w14:textId="77777777" w:rsidR="000D23F0" w:rsidRPr="000D23F0" w:rsidRDefault="000D23F0" w:rsidP="000D23F0">
      <w:pPr>
        <w:pStyle w:val="Heading2"/>
        <w:rPr>
          <w:sz w:val="24"/>
        </w:rPr>
      </w:pPr>
      <w:bookmarkStart w:id="54" w:name="_Toc368573040"/>
      <w:r w:rsidRPr="000D23F0">
        <w:rPr>
          <w:sz w:val="24"/>
        </w:rPr>
        <w:t>Where the NLC identifies poor performance against the KPIs, the Supplier shall be required to attend a performance review meeting. The performance review meeting shall be at an agreed time no later than 5 working days from the date of notification at the Customer’s premises.</w:t>
      </w:r>
    </w:p>
    <w:p w14:paraId="778204F0" w14:textId="77777777" w:rsidR="000D23F0" w:rsidRPr="000D23F0" w:rsidRDefault="000D23F0" w:rsidP="000D23F0">
      <w:pPr>
        <w:pStyle w:val="Heading3"/>
        <w:rPr>
          <w:sz w:val="24"/>
        </w:rPr>
      </w:pPr>
      <w:r w:rsidRPr="000D23F0">
        <w:rPr>
          <w:sz w:val="24"/>
        </w:rPr>
        <w:t>The Supplier shall be required to provide a full incident report which describes the issues and identifies the causes of the poor performance. The Supplier shall also be required to prepare a full and robust ‘Service Improvement Plan’ which sets out its proposals to remedy the service failure. The Service Improvement Plan shall be subject to amendment following the performance review meeting and agreed by both parties prior to implementation.</w:t>
      </w:r>
    </w:p>
    <w:p w14:paraId="5204713C" w14:textId="77777777" w:rsidR="000D23F0" w:rsidRPr="000D23F0" w:rsidRDefault="000D23F0" w:rsidP="000D23F0">
      <w:pPr>
        <w:pStyle w:val="Heading2"/>
        <w:rPr>
          <w:sz w:val="24"/>
        </w:rPr>
      </w:pPr>
      <w:bookmarkStart w:id="55" w:name="_yvwg238r2llh" w:colFirst="0" w:colLast="0"/>
      <w:bookmarkEnd w:id="55"/>
      <w:r w:rsidRPr="000D23F0">
        <w:rPr>
          <w:sz w:val="24"/>
        </w:rPr>
        <w:t>The Supplier shall be responsible for the performance of the Contract by any sub-contractors or other agents working on their behalf. The Supplier shall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w:t>
      </w:r>
    </w:p>
    <w:p w14:paraId="789B15A4" w14:textId="4DC01951" w:rsidR="0081061A" w:rsidRPr="000D23F0" w:rsidRDefault="0081061A" w:rsidP="000D23F0">
      <w:pPr>
        <w:pStyle w:val="Heading3"/>
        <w:numPr>
          <w:ilvl w:val="0"/>
          <w:numId w:val="0"/>
        </w:numPr>
        <w:ind w:left="1800"/>
      </w:pPr>
    </w:p>
    <w:p w14:paraId="3F767EF8" w14:textId="77777777" w:rsidR="00671798" w:rsidRPr="000D23F0" w:rsidRDefault="00FE18AC">
      <w:pPr>
        <w:pStyle w:val="Heading1"/>
        <w:spacing w:after="120"/>
        <w:rPr>
          <w:sz w:val="32"/>
          <w:szCs w:val="32"/>
        </w:rPr>
      </w:pPr>
      <w:bookmarkStart w:id="56" w:name="_Toc522714849"/>
      <w:r w:rsidRPr="000D23F0">
        <w:rPr>
          <w:sz w:val="32"/>
          <w:szCs w:val="32"/>
        </w:rPr>
        <w:t xml:space="preserve">Security </w:t>
      </w:r>
      <w:r w:rsidR="00252FFC" w:rsidRPr="000D23F0">
        <w:rPr>
          <w:sz w:val="32"/>
          <w:szCs w:val="32"/>
        </w:rPr>
        <w:t>and CONFIDENTIA</w:t>
      </w:r>
      <w:r w:rsidR="00C52C2C" w:rsidRPr="000D23F0">
        <w:rPr>
          <w:sz w:val="32"/>
          <w:szCs w:val="32"/>
        </w:rPr>
        <w:t xml:space="preserve">LITY </w:t>
      </w:r>
      <w:r w:rsidRPr="000D23F0">
        <w:rPr>
          <w:sz w:val="32"/>
          <w:szCs w:val="32"/>
        </w:rPr>
        <w:t>requirements</w:t>
      </w:r>
      <w:bookmarkEnd w:id="54"/>
      <w:bookmarkEnd w:id="56"/>
    </w:p>
    <w:p w14:paraId="4F93FB88" w14:textId="1F74317E" w:rsidR="00D97628" w:rsidRDefault="00D97628" w:rsidP="000D23F0">
      <w:pPr>
        <w:pStyle w:val="Heading2"/>
        <w:rPr>
          <w:sz w:val="24"/>
        </w:rPr>
      </w:pPr>
      <w:r w:rsidRPr="00D97628">
        <w:rPr>
          <w:sz w:val="24"/>
        </w:rPr>
        <w:t>The Supplier shall be compliant with the Customer’s GDPR policy for the handling of the details of the public sector leaders tha</w:t>
      </w:r>
      <w:r>
        <w:rPr>
          <w:sz w:val="24"/>
        </w:rPr>
        <w:t xml:space="preserve">t they provide the service to. </w:t>
      </w:r>
    </w:p>
    <w:p w14:paraId="7F7FBEA0" w14:textId="0FF49711" w:rsidR="00D97628" w:rsidRPr="000D23F0" w:rsidRDefault="00D97628" w:rsidP="000D23F0">
      <w:pPr>
        <w:pStyle w:val="Heading2"/>
        <w:rPr>
          <w:sz w:val="24"/>
        </w:rPr>
      </w:pPr>
      <w:r>
        <w:rPr>
          <w:sz w:val="24"/>
        </w:rPr>
        <w:t>T</w:t>
      </w:r>
      <w:r w:rsidRPr="00D97628">
        <w:rPr>
          <w:sz w:val="24"/>
        </w:rPr>
        <w:t xml:space="preserve">he Supplier shall ensure that the content of the diversity programme and the discussions that take place within it are treated confidentially. No information shared in the diversity programme shall be repeated outside of the programme. </w:t>
      </w:r>
      <w:r w:rsidRPr="00D97628">
        <w:rPr>
          <w:sz w:val="24"/>
        </w:rPr>
        <w:lastRenderedPageBreak/>
        <w:t>This explicitly prohibits the use of any information for commercial or political means.</w:t>
      </w:r>
    </w:p>
    <w:p w14:paraId="65283656" w14:textId="368C7020" w:rsidR="0081061A" w:rsidRPr="000D23F0"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7" w:name="_Toc522714850"/>
      <w:bookmarkStart w:id="58" w:name="_Toc368573042"/>
      <w:r w:rsidRPr="000D23F0">
        <w:rPr>
          <w:rFonts w:cs="Arial"/>
          <w:sz w:val="32"/>
          <w:szCs w:val="32"/>
        </w:rPr>
        <w:t>payment</w:t>
      </w:r>
      <w:r w:rsidR="00ED2129" w:rsidRPr="000D23F0">
        <w:rPr>
          <w:rFonts w:cs="Arial"/>
          <w:sz w:val="32"/>
          <w:szCs w:val="32"/>
        </w:rPr>
        <w:t xml:space="preserve"> AND INVOICING</w:t>
      </w:r>
      <w:bookmarkEnd w:id="57"/>
      <w:r w:rsidR="00ED2129" w:rsidRPr="000D23F0">
        <w:rPr>
          <w:rFonts w:cs="Arial"/>
          <w:sz w:val="32"/>
          <w:szCs w:val="32"/>
        </w:rPr>
        <w:t xml:space="preserve"> </w:t>
      </w:r>
    </w:p>
    <w:p w14:paraId="4C582004" w14:textId="77777777" w:rsidR="000D23F0" w:rsidRPr="000D23F0" w:rsidRDefault="000D23F0" w:rsidP="000D23F0">
      <w:pPr>
        <w:pStyle w:val="Heading2"/>
        <w:rPr>
          <w:sz w:val="24"/>
          <w:szCs w:val="24"/>
        </w:rPr>
      </w:pPr>
      <w:r w:rsidRPr="000D23F0">
        <w:rPr>
          <w:sz w:val="24"/>
          <w:szCs w:val="24"/>
        </w:rPr>
        <w:t xml:space="preserve">The following payment schedule shall apply: </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4113"/>
        <w:gridCol w:w="1935"/>
      </w:tblGrid>
      <w:tr w:rsidR="000D23F0" w:rsidRPr="000D23F0" w14:paraId="4B547C82" w14:textId="77777777" w:rsidTr="00A93279">
        <w:tc>
          <w:tcPr>
            <w:tcW w:w="2967" w:type="dxa"/>
            <w:shd w:val="clear" w:color="auto" w:fill="B8CCE4"/>
            <w:tcMar>
              <w:top w:w="100" w:type="dxa"/>
              <w:left w:w="100" w:type="dxa"/>
              <w:bottom w:w="100" w:type="dxa"/>
              <w:right w:w="100" w:type="dxa"/>
            </w:tcMar>
          </w:tcPr>
          <w:p w14:paraId="6BD12832" w14:textId="77777777" w:rsidR="000D23F0" w:rsidRPr="000D23F0" w:rsidRDefault="000D23F0" w:rsidP="00A93279">
            <w:pPr>
              <w:widowControl w:val="0"/>
              <w:spacing w:before="120" w:after="120"/>
              <w:rPr>
                <w:b/>
                <w:sz w:val="24"/>
              </w:rPr>
            </w:pPr>
            <w:r w:rsidRPr="000D23F0">
              <w:rPr>
                <w:b/>
                <w:sz w:val="24"/>
              </w:rPr>
              <w:t xml:space="preserve">Date </w:t>
            </w:r>
          </w:p>
        </w:tc>
        <w:tc>
          <w:tcPr>
            <w:tcW w:w="4113" w:type="dxa"/>
            <w:shd w:val="clear" w:color="auto" w:fill="B8CCE4"/>
            <w:tcMar>
              <w:top w:w="100" w:type="dxa"/>
              <w:left w:w="100" w:type="dxa"/>
              <w:bottom w:w="100" w:type="dxa"/>
              <w:right w:w="100" w:type="dxa"/>
            </w:tcMar>
          </w:tcPr>
          <w:p w14:paraId="51FFF1D6" w14:textId="77777777" w:rsidR="000D23F0" w:rsidRPr="000D23F0" w:rsidRDefault="000D23F0" w:rsidP="00A93279">
            <w:pPr>
              <w:widowControl w:val="0"/>
              <w:spacing w:before="120" w:after="120"/>
              <w:rPr>
                <w:b/>
                <w:sz w:val="24"/>
              </w:rPr>
            </w:pPr>
            <w:r w:rsidRPr="000D23F0">
              <w:rPr>
                <w:b/>
                <w:sz w:val="24"/>
              </w:rPr>
              <w:t xml:space="preserve">Activity </w:t>
            </w:r>
          </w:p>
        </w:tc>
        <w:tc>
          <w:tcPr>
            <w:tcW w:w="1935" w:type="dxa"/>
            <w:shd w:val="clear" w:color="auto" w:fill="B8CCE4"/>
            <w:tcMar>
              <w:top w:w="100" w:type="dxa"/>
              <w:left w:w="100" w:type="dxa"/>
              <w:bottom w:w="100" w:type="dxa"/>
              <w:right w:w="100" w:type="dxa"/>
            </w:tcMar>
          </w:tcPr>
          <w:p w14:paraId="62ED7954" w14:textId="77777777" w:rsidR="000D23F0" w:rsidRPr="000D23F0" w:rsidRDefault="000D23F0" w:rsidP="00A93279">
            <w:pPr>
              <w:widowControl w:val="0"/>
              <w:spacing w:before="120" w:after="120"/>
              <w:rPr>
                <w:b/>
                <w:sz w:val="24"/>
              </w:rPr>
            </w:pPr>
            <w:r w:rsidRPr="000D23F0">
              <w:rPr>
                <w:b/>
                <w:sz w:val="24"/>
              </w:rPr>
              <w:t>Percentage of agreed price to be paid</w:t>
            </w:r>
          </w:p>
        </w:tc>
      </w:tr>
      <w:tr w:rsidR="000D23F0" w:rsidRPr="000D23F0" w14:paraId="7606B703" w14:textId="77777777" w:rsidTr="00A93279">
        <w:tc>
          <w:tcPr>
            <w:tcW w:w="2967" w:type="dxa"/>
            <w:shd w:val="clear" w:color="auto" w:fill="auto"/>
            <w:tcMar>
              <w:top w:w="100" w:type="dxa"/>
              <w:left w:w="100" w:type="dxa"/>
              <w:bottom w:w="100" w:type="dxa"/>
              <w:right w:w="100" w:type="dxa"/>
            </w:tcMar>
          </w:tcPr>
          <w:p w14:paraId="03395DC6" w14:textId="7238B59A" w:rsidR="000D23F0" w:rsidRPr="000D23F0" w:rsidRDefault="00D97628" w:rsidP="00A93279">
            <w:pPr>
              <w:widowControl w:val="0"/>
              <w:spacing w:before="120" w:after="120"/>
              <w:rPr>
                <w:sz w:val="24"/>
              </w:rPr>
            </w:pPr>
            <w:r>
              <w:rPr>
                <w:sz w:val="24"/>
              </w:rPr>
              <w:t>Upon Contract Award</w:t>
            </w:r>
          </w:p>
        </w:tc>
        <w:tc>
          <w:tcPr>
            <w:tcW w:w="4113" w:type="dxa"/>
            <w:shd w:val="clear" w:color="auto" w:fill="auto"/>
            <w:tcMar>
              <w:top w:w="100" w:type="dxa"/>
              <w:left w:w="100" w:type="dxa"/>
              <w:bottom w:w="100" w:type="dxa"/>
              <w:right w:w="100" w:type="dxa"/>
            </w:tcMar>
          </w:tcPr>
          <w:p w14:paraId="4ACF208A" w14:textId="632A7483" w:rsidR="000D23F0" w:rsidRPr="000D23F0" w:rsidRDefault="00D97628" w:rsidP="00A93279">
            <w:pPr>
              <w:widowControl w:val="0"/>
              <w:spacing w:before="120" w:after="120"/>
              <w:rPr>
                <w:sz w:val="24"/>
              </w:rPr>
            </w:pPr>
            <w:r>
              <w:rPr>
                <w:sz w:val="24"/>
              </w:rPr>
              <w:t>Contract awarded and first iteration of course design in consultation with the Customer.</w:t>
            </w:r>
          </w:p>
        </w:tc>
        <w:tc>
          <w:tcPr>
            <w:tcW w:w="1935" w:type="dxa"/>
            <w:shd w:val="clear" w:color="auto" w:fill="auto"/>
            <w:tcMar>
              <w:top w:w="100" w:type="dxa"/>
              <w:left w:w="100" w:type="dxa"/>
              <w:bottom w:w="100" w:type="dxa"/>
              <w:right w:w="100" w:type="dxa"/>
            </w:tcMar>
          </w:tcPr>
          <w:p w14:paraId="07201D0A" w14:textId="3A845362" w:rsidR="000D23F0" w:rsidRPr="000D23F0" w:rsidRDefault="00D97628" w:rsidP="00A93279">
            <w:pPr>
              <w:widowControl w:val="0"/>
              <w:spacing w:before="120" w:after="120"/>
              <w:rPr>
                <w:sz w:val="24"/>
              </w:rPr>
            </w:pPr>
            <w:r>
              <w:rPr>
                <w:sz w:val="24"/>
              </w:rPr>
              <w:t>25%</w:t>
            </w:r>
          </w:p>
        </w:tc>
      </w:tr>
      <w:tr w:rsidR="000D23F0" w:rsidRPr="000D23F0" w14:paraId="7CD9A41D" w14:textId="77777777" w:rsidTr="00A93279">
        <w:tc>
          <w:tcPr>
            <w:tcW w:w="2967" w:type="dxa"/>
            <w:shd w:val="clear" w:color="auto" w:fill="auto"/>
            <w:tcMar>
              <w:top w:w="100" w:type="dxa"/>
              <w:left w:w="100" w:type="dxa"/>
              <w:bottom w:w="100" w:type="dxa"/>
              <w:right w:w="100" w:type="dxa"/>
            </w:tcMar>
          </w:tcPr>
          <w:p w14:paraId="7AA7D8A2" w14:textId="5856FE84" w:rsidR="000D23F0" w:rsidRPr="000D23F0" w:rsidRDefault="00D97628" w:rsidP="00A93279">
            <w:pPr>
              <w:widowControl w:val="0"/>
              <w:spacing w:before="120" w:after="120"/>
              <w:rPr>
                <w:sz w:val="24"/>
              </w:rPr>
            </w:pPr>
            <w:r>
              <w:rPr>
                <w:sz w:val="24"/>
              </w:rPr>
              <w:t>30</w:t>
            </w:r>
            <w:r w:rsidRPr="00D97628">
              <w:rPr>
                <w:sz w:val="24"/>
                <w:vertAlign w:val="superscript"/>
              </w:rPr>
              <w:t>th</w:t>
            </w:r>
            <w:r>
              <w:rPr>
                <w:sz w:val="24"/>
              </w:rPr>
              <w:t xml:space="preserve"> April 2020</w:t>
            </w:r>
          </w:p>
        </w:tc>
        <w:tc>
          <w:tcPr>
            <w:tcW w:w="4113" w:type="dxa"/>
            <w:shd w:val="clear" w:color="auto" w:fill="auto"/>
            <w:tcMar>
              <w:top w:w="100" w:type="dxa"/>
              <w:left w:w="100" w:type="dxa"/>
              <w:bottom w:w="100" w:type="dxa"/>
              <w:right w:w="100" w:type="dxa"/>
            </w:tcMar>
          </w:tcPr>
          <w:p w14:paraId="142ECA72" w14:textId="71723714" w:rsidR="000D23F0" w:rsidRPr="000D23F0" w:rsidRDefault="00D97628" w:rsidP="00A93279">
            <w:pPr>
              <w:widowControl w:val="0"/>
              <w:spacing w:before="120" w:after="120"/>
              <w:rPr>
                <w:sz w:val="24"/>
              </w:rPr>
            </w:pPr>
            <w:r w:rsidRPr="00D97628">
              <w:rPr>
                <w:sz w:val="24"/>
              </w:rPr>
              <w:t>Second iteration of programme content and timetable presented by the Supplier and iterations agreed by the NLC.</w:t>
            </w:r>
          </w:p>
        </w:tc>
        <w:tc>
          <w:tcPr>
            <w:tcW w:w="1935" w:type="dxa"/>
            <w:shd w:val="clear" w:color="auto" w:fill="auto"/>
            <w:tcMar>
              <w:top w:w="100" w:type="dxa"/>
              <w:left w:w="100" w:type="dxa"/>
              <w:bottom w:w="100" w:type="dxa"/>
              <w:right w:w="100" w:type="dxa"/>
            </w:tcMar>
          </w:tcPr>
          <w:p w14:paraId="62193A2C" w14:textId="0357ABE2" w:rsidR="000D23F0" w:rsidRPr="000D23F0" w:rsidRDefault="00D97628" w:rsidP="00A93279">
            <w:pPr>
              <w:widowControl w:val="0"/>
              <w:spacing w:before="120" w:after="120"/>
              <w:rPr>
                <w:sz w:val="24"/>
              </w:rPr>
            </w:pPr>
            <w:r>
              <w:rPr>
                <w:sz w:val="24"/>
              </w:rPr>
              <w:t>25%</w:t>
            </w:r>
          </w:p>
        </w:tc>
      </w:tr>
      <w:tr w:rsidR="000D23F0" w:rsidRPr="000D23F0" w14:paraId="54E3D4E3" w14:textId="77777777" w:rsidTr="00A93279">
        <w:tc>
          <w:tcPr>
            <w:tcW w:w="2967" w:type="dxa"/>
            <w:shd w:val="clear" w:color="auto" w:fill="auto"/>
            <w:tcMar>
              <w:top w:w="100" w:type="dxa"/>
              <w:left w:w="100" w:type="dxa"/>
              <w:bottom w:w="100" w:type="dxa"/>
              <w:right w:w="100" w:type="dxa"/>
            </w:tcMar>
          </w:tcPr>
          <w:p w14:paraId="4479EF96" w14:textId="7D668C61" w:rsidR="000D23F0" w:rsidRPr="000D23F0" w:rsidRDefault="00D97628" w:rsidP="00A93279">
            <w:pPr>
              <w:widowControl w:val="0"/>
              <w:spacing w:before="120" w:after="120"/>
              <w:rPr>
                <w:sz w:val="24"/>
              </w:rPr>
            </w:pPr>
            <w:r>
              <w:rPr>
                <w:sz w:val="24"/>
              </w:rPr>
              <w:t>September 2020, date TBC</w:t>
            </w:r>
          </w:p>
        </w:tc>
        <w:tc>
          <w:tcPr>
            <w:tcW w:w="4113" w:type="dxa"/>
            <w:shd w:val="clear" w:color="auto" w:fill="auto"/>
            <w:tcMar>
              <w:top w:w="100" w:type="dxa"/>
              <w:left w:w="100" w:type="dxa"/>
              <w:bottom w:w="100" w:type="dxa"/>
              <w:right w:w="100" w:type="dxa"/>
            </w:tcMar>
          </w:tcPr>
          <w:p w14:paraId="14E91B7F" w14:textId="77777777" w:rsidR="000D23F0" w:rsidRPr="000D23F0" w:rsidRDefault="000D23F0" w:rsidP="00A93279">
            <w:pPr>
              <w:widowControl w:val="0"/>
              <w:spacing w:before="120" w:after="120"/>
              <w:rPr>
                <w:sz w:val="24"/>
              </w:rPr>
            </w:pPr>
            <w:r w:rsidRPr="000D23F0">
              <w:rPr>
                <w:sz w:val="24"/>
              </w:rPr>
              <w:t xml:space="preserve">Leadership course delivered. </w:t>
            </w:r>
          </w:p>
        </w:tc>
        <w:tc>
          <w:tcPr>
            <w:tcW w:w="1935" w:type="dxa"/>
            <w:shd w:val="clear" w:color="auto" w:fill="auto"/>
            <w:tcMar>
              <w:top w:w="100" w:type="dxa"/>
              <w:left w:w="100" w:type="dxa"/>
              <w:bottom w:w="100" w:type="dxa"/>
              <w:right w:w="100" w:type="dxa"/>
            </w:tcMar>
          </w:tcPr>
          <w:p w14:paraId="4DD08DFC" w14:textId="42BC4A65" w:rsidR="000D23F0" w:rsidRPr="000D23F0" w:rsidRDefault="00D97628" w:rsidP="00D97628">
            <w:pPr>
              <w:widowControl w:val="0"/>
              <w:spacing w:before="120" w:after="120"/>
              <w:rPr>
                <w:sz w:val="24"/>
              </w:rPr>
            </w:pPr>
            <w:r>
              <w:rPr>
                <w:sz w:val="24"/>
              </w:rPr>
              <w:t>25%</w:t>
            </w:r>
          </w:p>
        </w:tc>
      </w:tr>
      <w:tr w:rsidR="000D23F0" w:rsidRPr="000D23F0" w14:paraId="5AE75724" w14:textId="77777777" w:rsidTr="00A93279">
        <w:tc>
          <w:tcPr>
            <w:tcW w:w="2967" w:type="dxa"/>
            <w:shd w:val="clear" w:color="auto" w:fill="auto"/>
            <w:tcMar>
              <w:top w:w="100" w:type="dxa"/>
              <w:left w:w="100" w:type="dxa"/>
              <w:bottom w:w="100" w:type="dxa"/>
              <w:right w:w="100" w:type="dxa"/>
            </w:tcMar>
          </w:tcPr>
          <w:p w14:paraId="436AE839" w14:textId="40C10310" w:rsidR="000D23F0" w:rsidRPr="000D23F0" w:rsidRDefault="00D97628" w:rsidP="00A93279">
            <w:pPr>
              <w:widowControl w:val="0"/>
              <w:spacing w:before="120" w:after="120"/>
              <w:rPr>
                <w:sz w:val="24"/>
              </w:rPr>
            </w:pPr>
            <w:r w:rsidRPr="00D97628">
              <w:rPr>
                <w:sz w:val="24"/>
              </w:rPr>
              <w:t>Within 3 wee</w:t>
            </w:r>
            <w:r>
              <w:rPr>
                <w:sz w:val="24"/>
              </w:rPr>
              <w:t>ks after delivery of the course</w:t>
            </w:r>
          </w:p>
        </w:tc>
        <w:tc>
          <w:tcPr>
            <w:tcW w:w="4113" w:type="dxa"/>
            <w:shd w:val="clear" w:color="auto" w:fill="auto"/>
            <w:tcMar>
              <w:top w:w="100" w:type="dxa"/>
              <w:left w:w="100" w:type="dxa"/>
              <w:bottom w:w="100" w:type="dxa"/>
              <w:right w:w="100" w:type="dxa"/>
            </w:tcMar>
          </w:tcPr>
          <w:p w14:paraId="775BB1CA" w14:textId="77777777" w:rsidR="000D23F0" w:rsidRPr="000D23F0" w:rsidRDefault="000D23F0" w:rsidP="00A93279">
            <w:pPr>
              <w:widowControl w:val="0"/>
              <w:spacing w:before="120" w:after="120"/>
              <w:rPr>
                <w:sz w:val="24"/>
              </w:rPr>
            </w:pPr>
            <w:r w:rsidRPr="000D23F0">
              <w:rPr>
                <w:sz w:val="24"/>
              </w:rPr>
              <w:t xml:space="preserve">Feedback completed. </w:t>
            </w:r>
          </w:p>
        </w:tc>
        <w:tc>
          <w:tcPr>
            <w:tcW w:w="1935" w:type="dxa"/>
            <w:shd w:val="clear" w:color="auto" w:fill="auto"/>
            <w:tcMar>
              <w:top w:w="100" w:type="dxa"/>
              <w:left w:w="100" w:type="dxa"/>
              <w:bottom w:w="100" w:type="dxa"/>
              <w:right w:w="100" w:type="dxa"/>
            </w:tcMar>
          </w:tcPr>
          <w:p w14:paraId="13C07F7B" w14:textId="3BFB9C89" w:rsidR="000D23F0" w:rsidRPr="000D23F0" w:rsidRDefault="00D97628" w:rsidP="00A93279">
            <w:pPr>
              <w:widowControl w:val="0"/>
              <w:spacing w:before="120" w:after="120"/>
              <w:rPr>
                <w:sz w:val="24"/>
              </w:rPr>
            </w:pPr>
            <w:r>
              <w:rPr>
                <w:sz w:val="24"/>
              </w:rPr>
              <w:t>25</w:t>
            </w:r>
            <w:r w:rsidR="000D23F0" w:rsidRPr="000D23F0">
              <w:rPr>
                <w:sz w:val="24"/>
              </w:rPr>
              <w:t>%</w:t>
            </w:r>
          </w:p>
        </w:tc>
      </w:tr>
    </w:tbl>
    <w:p w14:paraId="7806E886" w14:textId="77777777" w:rsidR="000D23F0" w:rsidRPr="000D23F0" w:rsidRDefault="000D23F0" w:rsidP="000D23F0">
      <w:pPr>
        <w:pStyle w:val="Heading2"/>
        <w:rPr>
          <w:sz w:val="24"/>
          <w:szCs w:val="24"/>
        </w:rPr>
      </w:pPr>
      <w:r w:rsidRPr="000D23F0">
        <w:rPr>
          <w:sz w:val="24"/>
          <w:szCs w:val="24"/>
        </w:rPr>
        <w:t xml:space="preserve">Payment can only be made following satisfactory delivery of pre-agreed certified products and deliverables. </w:t>
      </w:r>
    </w:p>
    <w:p w14:paraId="3C1364D3" w14:textId="77777777" w:rsidR="000D23F0" w:rsidRPr="000D23F0" w:rsidRDefault="000D23F0" w:rsidP="000D23F0">
      <w:pPr>
        <w:pStyle w:val="Heading2"/>
        <w:rPr>
          <w:sz w:val="24"/>
          <w:szCs w:val="24"/>
        </w:rPr>
      </w:pPr>
      <w:r w:rsidRPr="000D23F0">
        <w:rPr>
          <w:sz w:val="24"/>
          <w:szCs w:val="24"/>
        </w:rPr>
        <w:t xml:space="preserve">Before payment can be considered, each invoice must include a detailed elemental breakdown of work completed and the associated costs. </w:t>
      </w:r>
    </w:p>
    <w:p w14:paraId="4A06E1B4" w14:textId="47F68085" w:rsidR="00ED2129" w:rsidRPr="000D23F0" w:rsidRDefault="000D23F0" w:rsidP="000D23F0">
      <w:pPr>
        <w:pStyle w:val="Heading2"/>
        <w:rPr>
          <w:sz w:val="24"/>
          <w:szCs w:val="24"/>
        </w:rPr>
      </w:pPr>
      <w:bookmarkStart w:id="59" w:name="_bamz0kpurs85" w:colFirst="0" w:colLast="0"/>
      <w:bookmarkEnd w:id="59"/>
      <w:r w:rsidRPr="000D23F0">
        <w:rPr>
          <w:sz w:val="24"/>
          <w:szCs w:val="24"/>
        </w:rPr>
        <w:t xml:space="preserve">Invoices should be submitted by post to 1 Horse Guards Road, Whitehall, Westminster, SW1A 2HQ, and also by email (contact details provided upon Contract Award).  </w:t>
      </w:r>
    </w:p>
    <w:p w14:paraId="6828E644" w14:textId="77777777" w:rsidR="00E24EE7" w:rsidRPr="000D23F0"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60" w:name="_Toc522714851"/>
      <w:bookmarkEnd w:id="58"/>
      <w:r w:rsidRPr="000D23F0">
        <w:rPr>
          <w:rFonts w:cs="Arial"/>
          <w:sz w:val="32"/>
          <w:szCs w:val="32"/>
        </w:rPr>
        <w:t>CONTRACT MANAGEMENT</w:t>
      </w:r>
      <w:bookmarkEnd w:id="60"/>
      <w:r w:rsidR="00FE18AC" w:rsidRPr="000D23F0">
        <w:rPr>
          <w:rFonts w:cs="Arial"/>
          <w:sz w:val="32"/>
          <w:szCs w:val="32"/>
        </w:rPr>
        <w:t xml:space="preserve"> </w:t>
      </w:r>
    </w:p>
    <w:p w14:paraId="788E4129" w14:textId="09AF3944" w:rsidR="00BE5FEF" w:rsidRPr="000D23F0" w:rsidRDefault="00BE5FEF" w:rsidP="00BE5FEF">
      <w:pPr>
        <w:pStyle w:val="Heading2"/>
        <w:spacing w:after="120"/>
        <w:ind w:left="709" w:hanging="709"/>
        <w:rPr>
          <w:sz w:val="24"/>
          <w:szCs w:val="24"/>
        </w:rPr>
      </w:pPr>
      <w:r w:rsidRPr="000D23F0">
        <w:rPr>
          <w:sz w:val="24"/>
          <w:szCs w:val="24"/>
        </w:rPr>
        <w:t>Attendance at Contract Review meetings shall be at the Supplier’s own expense.</w:t>
      </w:r>
    </w:p>
    <w:p w14:paraId="04BBE808" w14:textId="77777777" w:rsidR="00671798" w:rsidRPr="000D23F0" w:rsidRDefault="00FE18AC">
      <w:pPr>
        <w:pStyle w:val="Heading1"/>
        <w:spacing w:after="120"/>
        <w:rPr>
          <w:sz w:val="32"/>
          <w:szCs w:val="32"/>
        </w:rPr>
      </w:pPr>
      <w:bookmarkStart w:id="61" w:name="_Toc368573043"/>
      <w:bookmarkStart w:id="62" w:name="_Toc522714852"/>
      <w:bookmarkEnd w:id="35"/>
      <w:r w:rsidRPr="000D23F0">
        <w:rPr>
          <w:sz w:val="32"/>
          <w:szCs w:val="32"/>
        </w:rPr>
        <w:t>Location</w:t>
      </w:r>
      <w:bookmarkEnd w:id="61"/>
      <w:bookmarkEnd w:id="62"/>
      <w:r w:rsidRPr="000D23F0">
        <w:rPr>
          <w:sz w:val="32"/>
          <w:szCs w:val="32"/>
        </w:rPr>
        <w:t xml:space="preserve"> </w:t>
      </w:r>
    </w:p>
    <w:p w14:paraId="37C13A5F" w14:textId="23528226" w:rsidR="00671798" w:rsidRDefault="000D23F0" w:rsidP="000D23F0">
      <w:pPr>
        <w:pStyle w:val="Heading2"/>
        <w:rPr>
          <w:sz w:val="24"/>
        </w:rPr>
      </w:pPr>
      <w:r w:rsidRPr="000D23F0">
        <w:rPr>
          <w:sz w:val="24"/>
        </w:rPr>
        <w:t>Whilst the NLC is based at 1 Horse Guards Road, Whitehall, Westminster, SW1A 2HQ, most meetings can be done via teleconference where face-to-face is not possible. Likewise, the Supplier can work remotely.</w:t>
      </w:r>
    </w:p>
    <w:p w14:paraId="2F57A161" w14:textId="2F0DBAEB" w:rsidR="00D97628" w:rsidRPr="000D23F0" w:rsidRDefault="00D97628" w:rsidP="000D23F0">
      <w:pPr>
        <w:pStyle w:val="Heading2"/>
        <w:rPr>
          <w:sz w:val="24"/>
        </w:rPr>
      </w:pPr>
      <w:r>
        <w:rPr>
          <w:sz w:val="24"/>
        </w:rPr>
        <w:lastRenderedPageBreak/>
        <w:t>While the Customer is not specifying a location for the diversity programme, the venue provided must suit the travel and accessibility ne</w:t>
      </w:r>
      <w:r w:rsidR="004A298C">
        <w:rPr>
          <w:sz w:val="24"/>
        </w:rPr>
        <w:t xml:space="preserve">eds of all delegates attending. </w:t>
      </w:r>
      <w:r>
        <w:rPr>
          <w:sz w:val="24"/>
        </w:rPr>
        <w:t>The venue will only be confirmed following consultation with, and agreement of the Customer.</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13336" w14:textId="77777777" w:rsidR="0025444F" w:rsidRDefault="0025444F">
      <w:pPr>
        <w:spacing w:line="20" w:lineRule="exact"/>
      </w:pPr>
    </w:p>
  </w:endnote>
  <w:endnote w:type="continuationSeparator" w:id="0">
    <w:p w14:paraId="733202AC" w14:textId="77777777" w:rsidR="0025444F" w:rsidRDefault="0025444F">
      <w:pPr>
        <w:spacing w:line="20" w:lineRule="exact"/>
      </w:pPr>
      <w:r>
        <w:t xml:space="preserve"> </w:t>
      </w:r>
    </w:p>
  </w:endnote>
  <w:endnote w:type="continuationNotice" w:id="1">
    <w:p w14:paraId="113161CC" w14:textId="77777777" w:rsidR="0025444F" w:rsidRDefault="0025444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1FA10547" w14:textId="77777777" w:rsidR="00DA19A4" w:rsidRDefault="00DA19A4" w:rsidP="00DA19A4">
        <w:pPr>
          <w:pBdr>
            <w:top w:val="nil"/>
            <w:left w:val="nil"/>
            <w:bottom w:val="nil"/>
            <w:right w:val="nil"/>
            <w:between w:val="nil"/>
          </w:pBdr>
          <w:tabs>
            <w:tab w:val="center" w:pos="4153"/>
            <w:tab w:val="right" w:pos="8306"/>
          </w:tabs>
          <w:rPr>
            <w:color w:val="000000"/>
            <w:sz w:val="20"/>
            <w:szCs w:val="20"/>
          </w:rPr>
        </w:pPr>
        <w:r>
          <w:rPr>
            <w:color w:val="000000"/>
            <w:sz w:val="20"/>
            <w:szCs w:val="20"/>
          </w:rPr>
          <w:t xml:space="preserve">Attachment 3 – Statement of Requirements                                                      </w:t>
        </w:r>
        <w:r w:rsidRPr="00C92F61">
          <w:rPr>
            <w:color w:val="222222"/>
            <w:sz w:val="20"/>
            <w:szCs w:val="20"/>
          </w:rPr>
          <w:t>© Crown copyright 2018</w:t>
        </w:r>
      </w:p>
      <w:p w14:paraId="7F543920" w14:textId="211AEC48" w:rsidR="00DA19A4" w:rsidRDefault="00DA19A4" w:rsidP="00DA19A4">
        <w:pPr>
          <w:pBdr>
            <w:top w:val="nil"/>
            <w:left w:val="nil"/>
            <w:bottom w:val="nil"/>
            <w:right w:val="nil"/>
            <w:between w:val="nil"/>
          </w:pBdr>
          <w:tabs>
            <w:tab w:val="center" w:pos="4153"/>
            <w:tab w:val="right" w:pos="8306"/>
          </w:tabs>
          <w:rPr>
            <w:color w:val="000000"/>
            <w:sz w:val="20"/>
            <w:szCs w:val="20"/>
          </w:rPr>
        </w:pPr>
        <w:r w:rsidRPr="00C92F61">
          <w:rPr>
            <w:color w:val="000000"/>
            <w:sz w:val="20"/>
            <w:szCs w:val="20"/>
          </w:rPr>
          <w:t>Jack Lewis</w:t>
        </w:r>
        <w:r>
          <w:rPr>
            <w:color w:val="000000"/>
            <w:sz w:val="20"/>
            <w:szCs w:val="20"/>
          </w:rPr>
          <w:t xml:space="preserve">                                                                                 </w:t>
        </w:r>
        <w:r w:rsidR="00B87EDB">
          <w:rPr>
            <w:color w:val="000000"/>
            <w:sz w:val="20"/>
            <w:szCs w:val="20"/>
          </w:rPr>
          <w:t xml:space="preserve">                         V2.0 27</w:t>
        </w:r>
        <w:r>
          <w:rPr>
            <w:color w:val="000000"/>
            <w:sz w:val="20"/>
            <w:szCs w:val="20"/>
            <w:vertAlign w:val="superscript"/>
          </w:rPr>
          <w:t xml:space="preserve">th </w:t>
        </w:r>
        <w:r>
          <w:rPr>
            <w:color w:val="000000"/>
            <w:sz w:val="20"/>
            <w:szCs w:val="20"/>
          </w:rPr>
          <w:t>February 2020</w:t>
        </w:r>
      </w:p>
      <w:p w14:paraId="6318F05F" w14:textId="39855BD5" w:rsidR="00C52C2C" w:rsidRPr="00985B4D" w:rsidRDefault="00C52C2C" w:rsidP="00985B4D">
        <w:pPr>
          <w:pStyle w:val="Footer"/>
          <w:jc w:val="center"/>
          <w:rPr>
            <w:sz w:val="20"/>
            <w:szCs w:val="20"/>
          </w:rPr>
        </w:pPr>
        <w:r w:rsidRPr="00985B4D">
          <w:rPr>
            <w:sz w:val="20"/>
            <w:szCs w:val="20"/>
          </w:rPr>
          <w:t>OFFICIAL</w:t>
        </w:r>
      </w:p>
      <w:p w14:paraId="42D6E6E6" w14:textId="75F3515C" w:rsidR="00C52C2C" w:rsidRPr="00985B4D" w:rsidRDefault="00B574FD" w:rsidP="00B574FD">
        <w:pPr>
          <w:pStyle w:val="Footer"/>
          <w:rPr>
            <w:sz w:val="20"/>
            <w:szCs w:val="20"/>
          </w:rPr>
        </w:pPr>
        <w:r>
          <w:rPr>
            <w:sz w:val="20"/>
            <w:szCs w:val="20"/>
          </w:rPr>
          <w:tab/>
        </w:r>
      </w:p>
      <w:p w14:paraId="5214230D" w14:textId="5050B303"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415146">
          <w:rPr>
            <w:noProof/>
            <w:sz w:val="20"/>
            <w:szCs w:val="20"/>
          </w:rPr>
          <w:t>12</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C4256" w14:textId="77777777" w:rsidR="0025444F" w:rsidRDefault="0025444F">
      <w:r>
        <w:separator/>
      </w:r>
    </w:p>
  </w:footnote>
  <w:footnote w:type="continuationSeparator" w:id="0">
    <w:p w14:paraId="5B5DF4F1" w14:textId="77777777" w:rsidR="0025444F" w:rsidRDefault="0025444F">
      <w:r>
        <w:continuationSeparator/>
      </w:r>
    </w:p>
  </w:footnote>
  <w:footnote w:type="continuationNotice" w:id="1">
    <w:p w14:paraId="69F05509" w14:textId="77777777" w:rsidR="0025444F" w:rsidRDefault="002544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2473BD5"/>
    <w:multiLevelType w:val="multilevel"/>
    <w:tmpl w:val="18A245A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F521C"/>
    <w:multiLevelType w:val="multilevel"/>
    <w:tmpl w:val="9F809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6"/>
  </w:num>
  <w:num w:numId="3">
    <w:abstractNumId w:val="16"/>
  </w:num>
  <w:num w:numId="4">
    <w:abstractNumId w:val="17"/>
  </w:num>
  <w:num w:numId="5">
    <w:abstractNumId w:val="5"/>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1"/>
  </w:num>
  <w:num w:numId="17">
    <w:abstractNumId w:val="8"/>
  </w:num>
  <w:num w:numId="18">
    <w:abstractNumId w:val="20"/>
  </w:num>
  <w:num w:numId="19">
    <w:abstractNumId w:val="18"/>
  </w:num>
  <w:num w:numId="20">
    <w:abstractNumId w:val="29"/>
  </w:num>
  <w:num w:numId="21">
    <w:abstractNumId w:val="14"/>
  </w:num>
  <w:num w:numId="22">
    <w:abstractNumId w:val="33"/>
  </w:num>
  <w:num w:numId="23">
    <w:abstractNumId w:val="23"/>
  </w:num>
  <w:num w:numId="24">
    <w:abstractNumId w:val="12"/>
  </w:num>
  <w:num w:numId="25">
    <w:abstractNumId w:val="32"/>
  </w:num>
  <w:num w:numId="26">
    <w:abstractNumId w:val="7"/>
  </w:num>
  <w:num w:numId="27">
    <w:abstractNumId w:val="27"/>
  </w:num>
  <w:num w:numId="28">
    <w:abstractNumId w:val="21"/>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6"/>
  </w:num>
  <w:num w:numId="33">
    <w:abstractNumId w:val="11"/>
  </w:num>
  <w:num w:numId="34">
    <w:abstractNumId w:val="13"/>
  </w:num>
  <w:num w:numId="3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23F0"/>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444F"/>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146"/>
    <w:rsid w:val="0041576D"/>
    <w:rsid w:val="00416045"/>
    <w:rsid w:val="00422823"/>
    <w:rsid w:val="0042602C"/>
    <w:rsid w:val="00426AB4"/>
    <w:rsid w:val="00427A64"/>
    <w:rsid w:val="00430054"/>
    <w:rsid w:val="004300D8"/>
    <w:rsid w:val="0043067F"/>
    <w:rsid w:val="004324B4"/>
    <w:rsid w:val="00433761"/>
    <w:rsid w:val="00437226"/>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98C"/>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256"/>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709"/>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5EE"/>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B7F0C"/>
    <w:rsid w:val="007C33F9"/>
    <w:rsid w:val="007C389F"/>
    <w:rsid w:val="007C59BE"/>
    <w:rsid w:val="007C69BD"/>
    <w:rsid w:val="007C79FC"/>
    <w:rsid w:val="007D04CE"/>
    <w:rsid w:val="007D1C75"/>
    <w:rsid w:val="007D3B31"/>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3ADB"/>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3DB3"/>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7EDB"/>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4622E"/>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32A"/>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97628"/>
    <w:rsid w:val="00DA19A4"/>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TableGrid10">
    <w:name w:val="Table Grid1"/>
    <w:basedOn w:val="TableNormal"/>
    <w:next w:val="TableGrid"/>
    <w:uiPriority w:val="59"/>
    <w:rsid w:val="0043722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52064/6.4846_CO_CPSL-Report_A4-P_WEB_NoLogo__00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39B1-070E-42D5-8DF7-3D0EF0ED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3558</Words>
  <Characters>20286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4</cp:revision>
  <dcterms:created xsi:type="dcterms:W3CDTF">2020-02-27T14:01:00Z</dcterms:created>
  <dcterms:modified xsi:type="dcterms:W3CDTF">2020-02-27T14:10:00Z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