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B6" w:rsidRPr="00FC5AC6" w:rsidRDefault="00420BB6" w:rsidP="003A64EF">
      <w:pPr>
        <w:pStyle w:val="Heading1"/>
        <w:spacing w:line="240" w:lineRule="auto"/>
        <w:contextualSpacing/>
        <w:jc w:val="center"/>
      </w:pPr>
      <w:bookmarkStart w:id="0" w:name="_Toc343591381"/>
      <w:r w:rsidRPr="00FC5AC6">
        <w:t>SCHEDULE 2 – THE SERVICES</w:t>
      </w:r>
      <w:bookmarkEnd w:id="0"/>
    </w:p>
    <w:p w:rsidR="00420BB6" w:rsidRPr="006E67E3" w:rsidRDefault="00420BB6" w:rsidP="003A64EF">
      <w:pPr>
        <w:spacing w:after="0"/>
        <w:contextualSpacing/>
        <w:jc w:val="center"/>
        <w:rPr>
          <w:rFonts w:ascii="Arial" w:hAnsi="Arial" w:cs="Arial"/>
          <w:b/>
        </w:rPr>
      </w:pPr>
    </w:p>
    <w:p w:rsidR="00420BB6" w:rsidRPr="006E67E3" w:rsidRDefault="00420BB6" w:rsidP="003A64EF">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420BB6" w:rsidRDefault="00420BB6" w:rsidP="003A64EF">
      <w:pPr>
        <w:shd w:val="clear" w:color="auto" w:fill="FFFFFF"/>
        <w:spacing w:after="0"/>
        <w:contextualSpacing/>
        <w:jc w:val="both"/>
        <w:rPr>
          <w:rFonts w:ascii="Arial" w:hAnsi="Arial" w:cs="Arial"/>
          <w:sz w:val="20"/>
        </w:rPr>
      </w:pPr>
    </w:p>
    <w:p w:rsidR="00420BB6" w:rsidRDefault="00420BB6" w:rsidP="003A64EF">
      <w:pPr>
        <w:shd w:val="clear" w:color="auto" w:fill="FFFFFF"/>
        <w:spacing w:after="0"/>
        <w:contextualSpacing/>
        <w:jc w:val="both"/>
        <w:rPr>
          <w:rFonts w:ascii="Arial" w:hAnsi="Arial" w:cs="Arial"/>
          <w:sz w:val="20"/>
        </w:rPr>
      </w:pPr>
      <w:r>
        <w:rPr>
          <w:rFonts w:ascii="Arial" w:hAnsi="Arial" w:cs="Arial"/>
          <w:sz w:val="20"/>
        </w:rPr>
        <w:t>Mandatory headings 1 – 4.  Mandatory but detail for local determination and agreement</w:t>
      </w:r>
    </w:p>
    <w:p w:rsidR="00420BB6" w:rsidRDefault="00420BB6" w:rsidP="003A64EF">
      <w:pPr>
        <w:shd w:val="clear" w:color="auto" w:fill="FFFFFF"/>
        <w:spacing w:after="0"/>
        <w:contextualSpacing/>
        <w:jc w:val="both"/>
        <w:rPr>
          <w:rFonts w:ascii="Arial" w:hAnsi="Arial" w:cs="Arial"/>
          <w:sz w:val="20"/>
        </w:rPr>
      </w:pPr>
      <w:r>
        <w:rPr>
          <w:rFonts w:ascii="Arial" w:hAnsi="Arial" w:cs="Arial"/>
          <w:sz w:val="20"/>
        </w:rPr>
        <w:t>Optional headings 5-7.  Optional to use, detail for local determination and agreement.</w:t>
      </w:r>
    </w:p>
    <w:p w:rsidR="00420BB6" w:rsidRDefault="00420BB6" w:rsidP="003A64EF">
      <w:pPr>
        <w:spacing w:after="0"/>
        <w:contextualSpacing/>
        <w:jc w:val="both"/>
        <w:rPr>
          <w:rFonts w:ascii="Arial" w:hAnsi="Arial" w:cs="Arial"/>
          <w:sz w:val="20"/>
        </w:rPr>
      </w:pPr>
    </w:p>
    <w:p w:rsidR="00420BB6" w:rsidRDefault="00420BB6" w:rsidP="003A64EF">
      <w:pPr>
        <w:shd w:val="clear" w:color="auto" w:fill="FFFFFF"/>
        <w:spacing w:after="0"/>
        <w:contextualSpacing/>
        <w:jc w:val="both"/>
        <w:rPr>
          <w:rFonts w:ascii="Arial" w:hAnsi="Arial" w:cs="Arial"/>
          <w:sz w:val="20"/>
        </w:rPr>
      </w:pPr>
      <w:r>
        <w:rPr>
          <w:rFonts w:ascii="Arial" w:hAnsi="Arial" w:cs="Arial"/>
          <w:sz w:val="20"/>
        </w:rPr>
        <w:t>All subheadings for local determination and agreement</w:t>
      </w:r>
    </w:p>
    <w:p w:rsidR="00420BB6" w:rsidRDefault="00420BB6" w:rsidP="003A64EF">
      <w:pPr>
        <w:spacing w:after="0"/>
        <w:contextualSpacing/>
        <w:jc w:val="both"/>
        <w:rPr>
          <w:rFonts w:ascii="Arial" w:hAnsi="Arial" w:cs="Arial"/>
          <w:sz w:val="20"/>
        </w:rPr>
      </w:pPr>
    </w:p>
    <w:p w:rsidR="00420BB6" w:rsidRDefault="00420BB6" w:rsidP="003A64EF">
      <w:pPr>
        <w:spacing w:after="0"/>
        <w:contextualSpacing/>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420BB6" w:rsidRPr="00296DE0" w:rsidTr="004B479E">
        <w:tc>
          <w:tcPr>
            <w:tcW w:w="2970"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Service Specification No.</w:t>
            </w:r>
          </w:p>
        </w:tc>
        <w:tc>
          <w:tcPr>
            <w:tcW w:w="5444" w:type="dxa"/>
            <w:shd w:val="clear" w:color="auto" w:fill="auto"/>
          </w:tcPr>
          <w:p w:rsidR="00420BB6" w:rsidRPr="00296DE0" w:rsidRDefault="00624EA6" w:rsidP="003A64EF">
            <w:pPr>
              <w:spacing w:after="0"/>
              <w:contextualSpacing/>
              <w:rPr>
                <w:rFonts w:ascii="Arial" w:hAnsi="Arial" w:cs="Arial"/>
                <w:sz w:val="20"/>
              </w:rPr>
            </w:pPr>
            <w:r>
              <w:rPr>
                <w:rFonts w:ascii="Arial" w:hAnsi="Arial" w:cs="Arial"/>
                <w:sz w:val="20"/>
              </w:rPr>
              <w:t>TBC</w:t>
            </w:r>
          </w:p>
        </w:tc>
      </w:tr>
      <w:tr w:rsidR="00420BB6" w:rsidRPr="00296DE0" w:rsidTr="00420BB6">
        <w:tc>
          <w:tcPr>
            <w:tcW w:w="2970"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Service</w:t>
            </w:r>
          </w:p>
        </w:tc>
        <w:tc>
          <w:tcPr>
            <w:tcW w:w="5444" w:type="dxa"/>
            <w:shd w:val="clear" w:color="auto" w:fill="auto"/>
            <w:vAlign w:val="center"/>
          </w:tcPr>
          <w:p w:rsidR="000A1337" w:rsidRPr="000A1337" w:rsidRDefault="000A1337" w:rsidP="003A64EF">
            <w:pPr>
              <w:autoSpaceDE w:val="0"/>
              <w:autoSpaceDN w:val="0"/>
              <w:adjustRightInd w:val="0"/>
              <w:spacing w:after="0"/>
              <w:contextualSpacing/>
              <w:rPr>
                <w:rFonts w:ascii="Arial" w:eastAsia="Calibri" w:hAnsi="Arial" w:cs="Arial"/>
                <w:color w:val="000000"/>
                <w:sz w:val="22"/>
                <w:szCs w:val="22"/>
                <w:lang w:val="en-GB" w:eastAsia="en-GB"/>
              </w:rPr>
            </w:pPr>
            <w:r w:rsidRPr="000A1337">
              <w:rPr>
                <w:rFonts w:ascii="Arial" w:eastAsia="Calibri" w:hAnsi="Arial" w:cs="Arial"/>
                <w:color w:val="000000"/>
                <w:sz w:val="22"/>
                <w:szCs w:val="22"/>
                <w:lang w:val="en-GB" w:eastAsia="en-GB"/>
              </w:rPr>
              <w:t xml:space="preserve">Integrated Community Musculoskeletal </w:t>
            </w:r>
            <w:r w:rsidR="003A64EF">
              <w:rPr>
                <w:rFonts w:ascii="Arial" w:eastAsia="Calibri" w:hAnsi="Arial" w:cs="Arial"/>
                <w:color w:val="000000"/>
                <w:sz w:val="22"/>
                <w:szCs w:val="22"/>
                <w:lang w:val="en-GB" w:eastAsia="en-GB"/>
              </w:rPr>
              <w:t xml:space="preserve">and Pain </w:t>
            </w:r>
            <w:r w:rsidRPr="000A1337">
              <w:rPr>
                <w:rFonts w:ascii="Arial" w:eastAsia="Calibri" w:hAnsi="Arial" w:cs="Arial"/>
                <w:color w:val="000000"/>
                <w:sz w:val="22"/>
                <w:szCs w:val="22"/>
                <w:lang w:val="en-GB" w:eastAsia="en-GB"/>
              </w:rPr>
              <w:t xml:space="preserve">Service </w:t>
            </w:r>
          </w:p>
          <w:p w:rsidR="0066741D" w:rsidRPr="00296DE0" w:rsidRDefault="0066741D" w:rsidP="003A64EF">
            <w:pPr>
              <w:spacing w:after="0"/>
              <w:contextualSpacing/>
              <w:rPr>
                <w:rFonts w:ascii="Arial" w:hAnsi="Arial" w:cs="Arial"/>
                <w:sz w:val="20"/>
              </w:rPr>
            </w:pPr>
          </w:p>
        </w:tc>
      </w:tr>
      <w:tr w:rsidR="00420BB6" w:rsidRPr="00296DE0" w:rsidTr="00897D46">
        <w:tc>
          <w:tcPr>
            <w:tcW w:w="2970"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Commissioner Lead</w:t>
            </w:r>
          </w:p>
        </w:tc>
        <w:tc>
          <w:tcPr>
            <w:tcW w:w="5444" w:type="dxa"/>
            <w:shd w:val="clear" w:color="auto" w:fill="auto"/>
            <w:vAlign w:val="center"/>
          </w:tcPr>
          <w:p w:rsidR="00420BB6" w:rsidRPr="00897D46" w:rsidRDefault="000A1337" w:rsidP="003A64EF">
            <w:pPr>
              <w:pStyle w:val="BodyText"/>
              <w:contextualSpacing/>
              <w:rPr>
                <w:sz w:val="20"/>
              </w:rPr>
            </w:pPr>
            <w:r>
              <w:rPr>
                <w:sz w:val="20"/>
              </w:rPr>
              <w:t>NHS Tower Hamlets Clinical Commissioning Group (NHS Tower Hamlets CCG)</w:t>
            </w:r>
          </w:p>
        </w:tc>
      </w:tr>
      <w:tr w:rsidR="00420BB6" w:rsidRPr="00296DE0" w:rsidTr="00897D46">
        <w:tc>
          <w:tcPr>
            <w:tcW w:w="2970"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Provider Lead</w:t>
            </w:r>
          </w:p>
        </w:tc>
        <w:tc>
          <w:tcPr>
            <w:tcW w:w="5444" w:type="dxa"/>
            <w:shd w:val="clear" w:color="auto" w:fill="auto"/>
            <w:vAlign w:val="center"/>
          </w:tcPr>
          <w:p w:rsidR="00420BB6" w:rsidRPr="00897D46" w:rsidRDefault="000A1337" w:rsidP="003A64EF">
            <w:pPr>
              <w:pStyle w:val="BodyText"/>
              <w:contextualSpacing/>
              <w:rPr>
                <w:sz w:val="20"/>
              </w:rPr>
            </w:pPr>
            <w:r>
              <w:rPr>
                <w:sz w:val="20"/>
              </w:rPr>
              <w:t>TBC</w:t>
            </w:r>
          </w:p>
        </w:tc>
      </w:tr>
      <w:tr w:rsidR="00420BB6" w:rsidRPr="00296DE0" w:rsidTr="00897D46">
        <w:tc>
          <w:tcPr>
            <w:tcW w:w="2970"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Period</w:t>
            </w:r>
          </w:p>
        </w:tc>
        <w:tc>
          <w:tcPr>
            <w:tcW w:w="5444" w:type="dxa"/>
            <w:shd w:val="clear" w:color="auto" w:fill="auto"/>
            <w:vAlign w:val="center"/>
          </w:tcPr>
          <w:p w:rsidR="00420BB6" w:rsidRPr="00897D46" w:rsidRDefault="000A1337" w:rsidP="003A64EF">
            <w:pPr>
              <w:pStyle w:val="BodyText"/>
              <w:contextualSpacing/>
              <w:rPr>
                <w:sz w:val="20"/>
              </w:rPr>
            </w:pPr>
            <w:r w:rsidRPr="000A1337">
              <w:rPr>
                <w:sz w:val="20"/>
              </w:rPr>
              <w:t xml:space="preserve">36 months with opportunity to extend by </w:t>
            </w:r>
            <w:r w:rsidR="003A64EF">
              <w:rPr>
                <w:sz w:val="20"/>
              </w:rPr>
              <w:t>24 months</w:t>
            </w:r>
          </w:p>
        </w:tc>
      </w:tr>
      <w:tr w:rsidR="00420BB6" w:rsidRPr="00296DE0" w:rsidTr="004B479E">
        <w:tc>
          <w:tcPr>
            <w:tcW w:w="2970"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Date of Review</w:t>
            </w:r>
          </w:p>
        </w:tc>
        <w:tc>
          <w:tcPr>
            <w:tcW w:w="5444" w:type="dxa"/>
            <w:shd w:val="clear" w:color="auto" w:fill="auto"/>
          </w:tcPr>
          <w:p w:rsidR="00420BB6" w:rsidRPr="00296DE0" w:rsidRDefault="003A64EF" w:rsidP="003A64EF">
            <w:pPr>
              <w:spacing w:after="0"/>
              <w:contextualSpacing/>
              <w:rPr>
                <w:rFonts w:ascii="Arial" w:hAnsi="Arial" w:cs="Arial"/>
                <w:sz w:val="20"/>
              </w:rPr>
            </w:pPr>
            <w:r>
              <w:rPr>
                <w:rFonts w:ascii="Arial" w:hAnsi="Arial" w:cs="Arial"/>
                <w:sz w:val="20"/>
              </w:rPr>
              <w:t>TBC</w:t>
            </w:r>
          </w:p>
        </w:tc>
      </w:tr>
    </w:tbl>
    <w:p w:rsidR="00420BB6" w:rsidRPr="00E436D2" w:rsidRDefault="00420BB6" w:rsidP="003A64EF">
      <w:pPr>
        <w:spacing w:after="0"/>
        <w:contextualSpacing/>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420BB6" w:rsidRPr="00296DE0" w:rsidTr="004B479E">
        <w:tc>
          <w:tcPr>
            <w:tcW w:w="8414"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1.</w:t>
            </w:r>
            <w:r w:rsidRPr="00296DE0">
              <w:rPr>
                <w:rFonts w:ascii="Arial" w:hAnsi="Arial" w:cs="Arial"/>
                <w:b/>
                <w:color w:val="F79646"/>
              </w:rPr>
              <w:tab/>
              <w:t>Population Needs</w:t>
            </w:r>
          </w:p>
        </w:tc>
      </w:tr>
      <w:tr w:rsidR="00420BB6" w:rsidRPr="00296DE0" w:rsidTr="004B479E">
        <w:tc>
          <w:tcPr>
            <w:tcW w:w="8414" w:type="dxa"/>
            <w:shd w:val="clear" w:color="auto" w:fill="auto"/>
          </w:tcPr>
          <w:p w:rsidR="00420BB6" w:rsidRPr="00296DE0" w:rsidRDefault="00420BB6" w:rsidP="003A64EF">
            <w:pPr>
              <w:spacing w:after="0"/>
              <w:ind w:left="360"/>
              <w:contextualSpacing/>
              <w:rPr>
                <w:rFonts w:ascii="Arial" w:hAnsi="Arial" w:cs="Arial"/>
                <w:color w:val="009966"/>
                <w:sz w:val="20"/>
              </w:rPr>
            </w:pPr>
            <w:r w:rsidRPr="00296DE0">
              <w:rPr>
                <w:rFonts w:ascii="Arial" w:hAnsi="Arial" w:cs="Arial"/>
                <w:color w:val="009966"/>
                <w:sz w:val="20"/>
              </w:rPr>
              <w:tab/>
            </w:r>
          </w:p>
          <w:p w:rsidR="00420BB6" w:rsidRPr="00296DE0" w:rsidRDefault="00D74D8F" w:rsidP="00D74D8F">
            <w:pPr>
              <w:spacing w:after="0"/>
              <w:contextualSpacing/>
              <w:rPr>
                <w:rFonts w:ascii="Arial" w:hAnsi="Arial" w:cs="Arial"/>
                <w:b/>
                <w:color w:val="009966"/>
                <w:sz w:val="20"/>
              </w:rPr>
            </w:pPr>
            <w:r>
              <w:rPr>
                <w:rFonts w:ascii="Arial" w:hAnsi="Arial" w:cs="Arial"/>
                <w:b/>
                <w:color w:val="009966"/>
                <w:sz w:val="20"/>
              </w:rPr>
              <w:t>1.1</w:t>
            </w:r>
            <w:r w:rsidR="00420BB6" w:rsidRPr="00296DE0">
              <w:rPr>
                <w:rFonts w:ascii="Arial" w:hAnsi="Arial" w:cs="Arial"/>
                <w:b/>
                <w:color w:val="009966"/>
                <w:sz w:val="20"/>
              </w:rPr>
              <w:tab/>
              <w:t>National/local context and evidence base</w:t>
            </w:r>
          </w:p>
          <w:p w:rsidR="000A1337" w:rsidRDefault="000A1337" w:rsidP="003A64EF">
            <w:pPr>
              <w:pStyle w:val="Default"/>
              <w:contextualSpacing/>
            </w:pPr>
          </w:p>
          <w:p w:rsidR="000A1337" w:rsidRPr="003A64EF" w:rsidRDefault="000A1337" w:rsidP="003A64EF">
            <w:pPr>
              <w:pStyle w:val="Default"/>
              <w:contextualSpacing/>
              <w:rPr>
                <w:sz w:val="20"/>
                <w:szCs w:val="20"/>
              </w:rPr>
            </w:pPr>
            <w:r w:rsidRPr="003A64EF">
              <w:rPr>
                <w:b/>
                <w:bCs/>
                <w:sz w:val="20"/>
                <w:szCs w:val="20"/>
              </w:rPr>
              <w:t xml:space="preserve">1.1.1 Evidence Base and References </w:t>
            </w:r>
          </w:p>
          <w:p w:rsidR="000A1337" w:rsidRPr="003A64EF" w:rsidRDefault="000A1337" w:rsidP="00665FD4">
            <w:pPr>
              <w:pStyle w:val="Default"/>
              <w:numPr>
                <w:ilvl w:val="0"/>
                <w:numId w:val="3"/>
              </w:numPr>
              <w:contextualSpacing/>
              <w:rPr>
                <w:sz w:val="20"/>
                <w:szCs w:val="20"/>
              </w:rPr>
            </w:pPr>
            <w:r w:rsidRPr="003A64EF">
              <w:rPr>
                <w:sz w:val="20"/>
                <w:szCs w:val="20"/>
              </w:rPr>
              <w:t xml:space="preserve">The Musculoskeletal Services Framework, DH 2006 </w:t>
            </w:r>
          </w:p>
          <w:p w:rsidR="000A1337" w:rsidRPr="003A64EF" w:rsidRDefault="000A1337" w:rsidP="00665FD4">
            <w:pPr>
              <w:pStyle w:val="Default"/>
              <w:numPr>
                <w:ilvl w:val="0"/>
                <w:numId w:val="3"/>
              </w:numPr>
              <w:contextualSpacing/>
              <w:rPr>
                <w:sz w:val="20"/>
                <w:szCs w:val="20"/>
              </w:rPr>
            </w:pPr>
            <w:r w:rsidRPr="003A64EF">
              <w:rPr>
                <w:sz w:val="20"/>
                <w:szCs w:val="20"/>
              </w:rPr>
              <w:t xml:space="preserve">NICE Guidance, Osteoarthritis: The Care and Management of Osteoarthritis in Adults. Feb 2008 </w:t>
            </w:r>
          </w:p>
          <w:p w:rsidR="000A1337" w:rsidRPr="003A64EF" w:rsidRDefault="000A1337" w:rsidP="00665FD4">
            <w:pPr>
              <w:pStyle w:val="Default"/>
              <w:numPr>
                <w:ilvl w:val="0"/>
                <w:numId w:val="3"/>
              </w:numPr>
              <w:contextualSpacing/>
              <w:rPr>
                <w:sz w:val="20"/>
                <w:szCs w:val="20"/>
              </w:rPr>
            </w:pPr>
            <w:r w:rsidRPr="003A64EF">
              <w:rPr>
                <w:sz w:val="20"/>
                <w:szCs w:val="20"/>
              </w:rPr>
              <w:t xml:space="preserve">NICE Guidance, Rheumatoid Arthritis: The Management of Rheumatoid Arthritis in Adults. Feb 2009 </w:t>
            </w:r>
          </w:p>
          <w:p w:rsidR="000A1337" w:rsidRPr="003A64EF" w:rsidRDefault="000A1337" w:rsidP="00665FD4">
            <w:pPr>
              <w:pStyle w:val="Default"/>
              <w:numPr>
                <w:ilvl w:val="0"/>
                <w:numId w:val="3"/>
              </w:numPr>
              <w:contextualSpacing/>
              <w:rPr>
                <w:sz w:val="20"/>
                <w:szCs w:val="20"/>
              </w:rPr>
            </w:pPr>
            <w:r w:rsidRPr="003A64EF">
              <w:rPr>
                <w:sz w:val="20"/>
                <w:szCs w:val="20"/>
              </w:rPr>
              <w:t xml:space="preserve">NICE Guidance, Low Back Pain, Early Management of Persistent Non-specific Low Back Pain. May 2009 </w:t>
            </w:r>
          </w:p>
          <w:p w:rsidR="000A1337" w:rsidRPr="003A64EF" w:rsidRDefault="000A1337" w:rsidP="00665FD4">
            <w:pPr>
              <w:pStyle w:val="Default"/>
              <w:numPr>
                <w:ilvl w:val="0"/>
                <w:numId w:val="3"/>
              </w:numPr>
              <w:contextualSpacing/>
              <w:rPr>
                <w:sz w:val="20"/>
                <w:szCs w:val="20"/>
              </w:rPr>
            </w:pPr>
            <w:r w:rsidRPr="003A64EF">
              <w:rPr>
                <w:sz w:val="20"/>
                <w:szCs w:val="20"/>
              </w:rPr>
              <w:t xml:space="preserve">Department of Health. Self-referral pilots to musculoskeletal physiotherapy and the implications for improving access to other AHP services. London: Department of Health; 2008 </w:t>
            </w:r>
          </w:p>
          <w:p w:rsidR="000A1337" w:rsidRPr="003A64EF" w:rsidRDefault="000A1337" w:rsidP="00665FD4">
            <w:pPr>
              <w:pStyle w:val="Default"/>
              <w:numPr>
                <w:ilvl w:val="0"/>
                <w:numId w:val="3"/>
              </w:numPr>
              <w:contextualSpacing/>
              <w:rPr>
                <w:sz w:val="20"/>
                <w:szCs w:val="20"/>
              </w:rPr>
            </w:pPr>
            <w:r w:rsidRPr="003A64EF">
              <w:rPr>
                <w:sz w:val="20"/>
                <w:szCs w:val="20"/>
              </w:rPr>
              <w:t xml:space="preserve">Department for Work and Pensions 2005a; DH 2004; Health, Work and Wellbeing Programme 2008; Waddell and Burton 2006 </w:t>
            </w:r>
          </w:p>
          <w:p w:rsidR="000A1337" w:rsidRPr="003A64EF" w:rsidRDefault="000A1337" w:rsidP="00665FD4">
            <w:pPr>
              <w:pStyle w:val="Default"/>
              <w:numPr>
                <w:ilvl w:val="0"/>
                <w:numId w:val="3"/>
              </w:numPr>
              <w:contextualSpacing/>
              <w:rPr>
                <w:sz w:val="20"/>
                <w:szCs w:val="20"/>
              </w:rPr>
            </w:pPr>
            <w:r w:rsidRPr="003A64EF">
              <w:rPr>
                <w:sz w:val="20"/>
                <w:szCs w:val="20"/>
              </w:rPr>
              <w:t xml:space="preserve">NICE Public Health Guidance 19: Managing long-term sickness absence and incapacity for work. Mar 2009 </w:t>
            </w:r>
          </w:p>
          <w:p w:rsidR="000A1337" w:rsidRPr="003A64EF" w:rsidRDefault="000A1337" w:rsidP="00665FD4">
            <w:pPr>
              <w:pStyle w:val="Default"/>
              <w:numPr>
                <w:ilvl w:val="0"/>
                <w:numId w:val="3"/>
              </w:numPr>
              <w:contextualSpacing/>
              <w:rPr>
                <w:sz w:val="20"/>
                <w:szCs w:val="20"/>
              </w:rPr>
            </w:pPr>
            <w:r w:rsidRPr="003A64EF">
              <w:rPr>
                <w:sz w:val="20"/>
                <w:szCs w:val="20"/>
              </w:rPr>
              <w:t xml:space="preserve">National Services Frameworks (e.g. Long Term Conditions, Older People) </w:t>
            </w:r>
          </w:p>
          <w:p w:rsidR="000A1337" w:rsidRPr="003A64EF" w:rsidRDefault="000A1337" w:rsidP="00665FD4">
            <w:pPr>
              <w:pStyle w:val="Default"/>
              <w:numPr>
                <w:ilvl w:val="0"/>
                <w:numId w:val="3"/>
              </w:numPr>
              <w:contextualSpacing/>
              <w:rPr>
                <w:sz w:val="20"/>
                <w:szCs w:val="20"/>
              </w:rPr>
            </w:pPr>
            <w:r w:rsidRPr="003A64EF">
              <w:rPr>
                <w:sz w:val="20"/>
                <w:szCs w:val="20"/>
              </w:rPr>
              <w:t xml:space="preserve">Health and Social care Act (2008 &amp; 2012) </w:t>
            </w:r>
          </w:p>
          <w:p w:rsidR="000A1337" w:rsidRPr="003A64EF" w:rsidRDefault="000A1337" w:rsidP="00665FD4">
            <w:pPr>
              <w:pStyle w:val="Default"/>
              <w:numPr>
                <w:ilvl w:val="0"/>
                <w:numId w:val="3"/>
              </w:numPr>
              <w:contextualSpacing/>
              <w:rPr>
                <w:sz w:val="20"/>
                <w:szCs w:val="20"/>
              </w:rPr>
            </w:pPr>
            <w:r w:rsidRPr="003A64EF">
              <w:rPr>
                <w:sz w:val="20"/>
                <w:szCs w:val="20"/>
              </w:rPr>
              <w:t xml:space="preserve">Health Profession Council Standards </w:t>
            </w:r>
          </w:p>
          <w:p w:rsidR="000A1337" w:rsidRPr="003A64EF" w:rsidRDefault="000A1337" w:rsidP="00665FD4">
            <w:pPr>
              <w:pStyle w:val="Default"/>
              <w:numPr>
                <w:ilvl w:val="0"/>
                <w:numId w:val="3"/>
              </w:numPr>
              <w:contextualSpacing/>
              <w:rPr>
                <w:sz w:val="20"/>
                <w:szCs w:val="20"/>
              </w:rPr>
            </w:pPr>
            <w:r w:rsidRPr="003A64EF">
              <w:rPr>
                <w:sz w:val="20"/>
                <w:szCs w:val="20"/>
              </w:rPr>
              <w:t xml:space="preserve">The Chartered Society of Physiotherapy Quality Assurance Standard </w:t>
            </w:r>
          </w:p>
          <w:p w:rsidR="000A1337" w:rsidRPr="003A64EF" w:rsidRDefault="000A1337" w:rsidP="00665FD4">
            <w:pPr>
              <w:pStyle w:val="Default"/>
              <w:numPr>
                <w:ilvl w:val="0"/>
                <w:numId w:val="3"/>
              </w:numPr>
              <w:contextualSpacing/>
              <w:rPr>
                <w:sz w:val="20"/>
                <w:szCs w:val="20"/>
              </w:rPr>
            </w:pPr>
            <w:r w:rsidRPr="003A64EF">
              <w:rPr>
                <w:sz w:val="20"/>
                <w:szCs w:val="20"/>
              </w:rPr>
              <w:t xml:space="preserve">NHS Consultant led referral to treatment waiting time. Dept of Health 2013. </w:t>
            </w:r>
          </w:p>
          <w:p w:rsidR="000A1337" w:rsidRPr="003A64EF" w:rsidRDefault="000A1337" w:rsidP="00665FD4">
            <w:pPr>
              <w:pStyle w:val="Default"/>
              <w:numPr>
                <w:ilvl w:val="0"/>
                <w:numId w:val="3"/>
              </w:numPr>
              <w:contextualSpacing/>
              <w:rPr>
                <w:sz w:val="20"/>
                <w:szCs w:val="20"/>
              </w:rPr>
            </w:pPr>
            <w:r w:rsidRPr="003A64EF">
              <w:rPr>
                <w:sz w:val="20"/>
                <w:szCs w:val="20"/>
              </w:rPr>
              <w:t xml:space="preserve">Chartered Society of Physiotherapy: Physiotherapy Outpatient Services Survey 2012 (Mar 2013) </w:t>
            </w:r>
          </w:p>
          <w:p w:rsidR="000A1337" w:rsidRPr="003A64EF" w:rsidRDefault="000A1337" w:rsidP="00665FD4">
            <w:pPr>
              <w:pStyle w:val="Default"/>
              <w:numPr>
                <w:ilvl w:val="0"/>
                <w:numId w:val="3"/>
              </w:numPr>
              <w:contextualSpacing/>
              <w:rPr>
                <w:sz w:val="20"/>
                <w:szCs w:val="20"/>
              </w:rPr>
            </w:pPr>
            <w:r w:rsidRPr="003A64EF">
              <w:rPr>
                <w:sz w:val="20"/>
                <w:szCs w:val="20"/>
              </w:rPr>
              <w:t xml:space="preserve">NHS London: Allied Health Professionals MSK Toolkit (2011) </w:t>
            </w:r>
          </w:p>
          <w:p w:rsidR="00497EC7" w:rsidRPr="00497EC7" w:rsidRDefault="000A1337" w:rsidP="00665FD4">
            <w:pPr>
              <w:pStyle w:val="Default"/>
              <w:numPr>
                <w:ilvl w:val="0"/>
                <w:numId w:val="3"/>
              </w:numPr>
              <w:contextualSpacing/>
              <w:rPr>
                <w:sz w:val="20"/>
                <w:szCs w:val="20"/>
              </w:rPr>
            </w:pPr>
            <w:r w:rsidRPr="003A64EF">
              <w:rPr>
                <w:color w:val="auto"/>
                <w:sz w:val="20"/>
                <w:szCs w:val="20"/>
              </w:rPr>
              <w:t xml:space="preserve">Getting it Right First time: Improving the Quality of Orthopaedic Care within the National Health Service in England. Prof Timothy Briggs (Sept 2012) </w:t>
            </w:r>
          </w:p>
          <w:p w:rsidR="00497EC7" w:rsidRPr="00497EC7" w:rsidRDefault="00497EC7" w:rsidP="00665FD4">
            <w:pPr>
              <w:pStyle w:val="Default"/>
              <w:numPr>
                <w:ilvl w:val="0"/>
                <w:numId w:val="3"/>
              </w:numPr>
              <w:contextualSpacing/>
              <w:rPr>
                <w:sz w:val="20"/>
                <w:szCs w:val="20"/>
              </w:rPr>
            </w:pPr>
            <w:r>
              <w:rPr>
                <w:sz w:val="20"/>
              </w:rPr>
              <w:t xml:space="preserve">Effectiveness of </w:t>
            </w:r>
            <w:r w:rsidRPr="00497EC7">
              <w:rPr>
                <w:sz w:val="20"/>
              </w:rPr>
              <w:t xml:space="preserve">CBT, Behaviour Therapy and Mindfulness. Morley et al (1999) </w:t>
            </w:r>
          </w:p>
          <w:p w:rsidR="00497EC7" w:rsidRPr="00497EC7" w:rsidRDefault="00497EC7" w:rsidP="00665FD4">
            <w:pPr>
              <w:pStyle w:val="Default"/>
              <w:numPr>
                <w:ilvl w:val="0"/>
                <w:numId w:val="3"/>
              </w:numPr>
              <w:contextualSpacing/>
              <w:rPr>
                <w:sz w:val="20"/>
                <w:szCs w:val="20"/>
              </w:rPr>
            </w:pPr>
            <w:r>
              <w:rPr>
                <w:sz w:val="20"/>
              </w:rPr>
              <w:t>Effectiveness of a</w:t>
            </w:r>
            <w:r w:rsidRPr="00497EC7">
              <w:rPr>
                <w:sz w:val="20"/>
              </w:rPr>
              <w:t>cceptance based interventions</w:t>
            </w:r>
            <w:r>
              <w:rPr>
                <w:sz w:val="20"/>
              </w:rPr>
              <w:t xml:space="preserve"> – </w:t>
            </w:r>
            <w:r w:rsidRPr="00497EC7">
              <w:rPr>
                <w:sz w:val="20"/>
              </w:rPr>
              <w:t>mindfulness based cog</w:t>
            </w:r>
            <w:r>
              <w:rPr>
                <w:sz w:val="20"/>
              </w:rPr>
              <w:t xml:space="preserve">nitive therapy for chronic pain. </w:t>
            </w:r>
            <w:r w:rsidRPr="00497EC7">
              <w:rPr>
                <w:sz w:val="20"/>
              </w:rPr>
              <w:t>Veehof et al. (2011)</w:t>
            </w:r>
          </w:p>
          <w:p w:rsidR="00497EC7" w:rsidRPr="00EF29F6" w:rsidRDefault="00EF29F6" w:rsidP="00665FD4">
            <w:pPr>
              <w:pStyle w:val="Default"/>
              <w:numPr>
                <w:ilvl w:val="0"/>
                <w:numId w:val="3"/>
              </w:numPr>
              <w:contextualSpacing/>
              <w:rPr>
                <w:sz w:val="20"/>
                <w:szCs w:val="20"/>
              </w:rPr>
            </w:pPr>
            <w:r>
              <w:rPr>
                <w:sz w:val="20"/>
              </w:rPr>
              <w:t xml:space="preserve">Health trainers </w:t>
            </w:r>
            <w:r w:rsidR="00497EC7" w:rsidRPr="00012AE9">
              <w:rPr>
                <w:sz w:val="20"/>
              </w:rPr>
              <w:t>in ‘Choosing Health’ (DH 2004)</w:t>
            </w:r>
          </w:p>
          <w:p w:rsidR="00EF29F6" w:rsidRPr="00EF29F6" w:rsidRDefault="00EF29F6" w:rsidP="00665FD4">
            <w:pPr>
              <w:pStyle w:val="Default"/>
              <w:numPr>
                <w:ilvl w:val="0"/>
                <w:numId w:val="3"/>
              </w:numPr>
              <w:contextualSpacing/>
              <w:rPr>
                <w:sz w:val="20"/>
                <w:szCs w:val="20"/>
              </w:rPr>
            </w:pPr>
            <w:r>
              <w:rPr>
                <w:sz w:val="20"/>
                <w:szCs w:val="20"/>
              </w:rPr>
              <w:t xml:space="preserve">Health Trainers </w:t>
            </w:r>
            <w:r w:rsidRPr="00012AE9">
              <w:rPr>
                <w:sz w:val="20"/>
              </w:rPr>
              <w:t>‘make relationships with communities’ (DH 2008)</w:t>
            </w:r>
          </w:p>
          <w:p w:rsidR="00EF29F6" w:rsidRDefault="00EF29F6" w:rsidP="00665FD4">
            <w:pPr>
              <w:pStyle w:val="ListParagraph"/>
              <w:numPr>
                <w:ilvl w:val="0"/>
                <w:numId w:val="3"/>
              </w:numPr>
              <w:shd w:val="clear" w:color="auto" w:fill="FFFFFF"/>
              <w:autoSpaceDE w:val="0"/>
              <w:autoSpaceDN w:val="0"/>
              <w:adjustRightInd w:val="0"/>
              <w:spacing w:after="100" w:afterAutospacing="1"/>
              <w:contextualSpacing/>
              <w:rPr>
                <w:rFonts w:ascii="Arial" w:eastAsia="SymbolMT" w:hAnsi="Arial" w:cs="Arial"/>
                <w:sz w:val="20"/>
                <w:szCs w:val="20"/>
              </w:rPr>
            </w:pPr>
            <w:r>
              <w:rPr>
                <w:rFonts w:ascii="Arial" w:eastAsia="SymbolMT" w:hAnsi="Arial" w:cs="Arial"/>
                <w:sz w:val="20"/>
                <w:szCs w:val="20"/>
              </w:rPr>
              <w:t>Accompanying individuals/</w:t>
            </w:r>
            <w:r w:rsidRPr="00012AE9">
              <w:rPr>
                <w:rFonts w:ascii="Arial" w:eastAsia="SymbolMT" w:hAnsi="Arial" w:cs="Arial"/>
                <w:sz w:val="20"/>
                <w:szCs w:val="20"/>
              </w:rPr>
              <w:t xml:space="preserve">groups of clients to events and activities that promote their health and wellbeing </w:t>
            </w:r>
            <w:r w:rsidRPr="00EF29F6">
              <w:rPr>
                <w:rFonts w:ascii="Arial" w:eastAsia="SymbolMT" w:hAnsi="Arial" w:cs="Arial"/>
                <w:sz w:val="20"/>
                <w:szCs w:val="20"/>
              </w:rPr>
              <w:t>(Mitchell et al 2010</w:t>
            </w:r>
            <w:r>
              <w:rPr>
                <w:rFonts w:ascii="Arial" w:eastAsia="SymbolMT" w:hAnsi="Arial" w:cs="Arial"/>
                <w:sz w:val="20"/>
                <w:szCs w:val="20"/>
              </w:rPr>
              <w:t>, South et al 2006</w:t>
            </w:r>
            <w:r w:rsidRPr="00EF29F6">
              <w:rPr>
                <w:rFonts w:ascii="Arial" w:eastAsia="SymbolMT" w:hAnsi="Arial" w:cs="Arial"/>
                <w:sz w:val="20"/>
                <w:szCs w:val="20"/>
              </w:rPr>
              <w:t>)</w:t>
            </w:r>
          </w:p>
          <w:p w:rsidR="00EF29F6" w:rsidRPr="00EF29F6" w:rsidRDefault="00EF29F6" w:rsidP="00665FD4">
            <w:pPr>
              <w:pStyle w:val="ListParagraph"/>
              <w:numPr>
                <w:ilvl w:val="0"/>
                <w:numId w:val="3"/>
              </w:numPr>
              <w:shd w:val="clear" w:color="auto" w:fill="FFFFFF"/>
              <w:autoSpaceDE w:val="0"/>
              <w:autoSpaceDN w:val="0"/>
              <w:adjustRightInd w:val="0"/>
              <w:spacing w:after="100" w:afterAutospacing="1"/>
              <w:contextualSpacing/>
              <w:rPr>
                <w:rFonts w:ascii="Arial" w:eastAsia="SymbolMT" w:hAnsi="Arial" w:cs="Arial"/>
                <w:sz w:val="20"/>
                <w:szCs w:val="20"/>
              </w:rPr>
            </w:pPr>
            <w:r>
              <w:rPr>
                <w:rFonts w:ascii="Arial" w:eastAsia="SymbolMT" w:hAnsi="Arial" w:cs="Arial"/>
                <w:sz w:val="20"/>
                <w:szCs w:val="20"/>
              </w:rPr>
              <w:t xml:space="preserve">Effectiveness of Community Led Services that are Community Led. </w:t>
            </w:r>
            <w:r>
              <w:rPr>
                <w:rFonts w:ascii="Arial" w:eastAsia="SymbolMT" w:hAnsi="Arial" w:cs="Arial"/>
                <w:sz w:val="20"/>
              </w:rPr>
              <w:t xml:space="preserve">(BPCSSA 2011, </w:t>
            </w:r>
            <w:r w:rsidRPr="00012AE9">
              <w:rPr>
                <w:rFonts w:ascii="Arial" w:eastAsia="SymbolMT" w:hAnsi="Arial" w:cs="Arial"/>
                <w:sz w:val="20"/>
              </w:rPr>
              <w:t xml:space="preserve">Yorkshire </w:t>
            </w:r>
            <w:r>
              <w:rPr>
                <w:rFonts w:ascii="Arial" w:eastAsia="SymbolMT" w:hAnsi="Arial" w:cs="Arial"/>
                <w:sz w:val="20"/>
              </w:rPr>
              <w:t xml:space="preserve">and Humber Health Trainers 2011, </w:t>
            </w:r>
            <w:r w:rsidRPr="00012AE9">
              <w:rPr>
                <w:rFonts w:ascii="Arial" w:hAnsi="Arial" w:cs="Arial"/>
                <w:sz w:val="20"/>
              </w:rPr>
              <w:t>Bailey et al 2005, Brownstein 2007, South, Meah et al 2010</w:t>
            </w:r>
            <w:r w:rsidRPr="00012AE9">
              <w:rPr>
                <w:rFonts w:ascii="Arial" w:eastAsia="SymbolMT" w:hAnsi="Arial" w:cs="Arial"/>
                <w:sz w:val="20"/>
              </w:rPr>
              <w:t>)</w:t>
            </w:r>
          </w:p>
          <w:p w:rsidR="000A1337" w:rsidRPr="003A64EF" w:rsidRDefault="000A1337" w:rsidP="00665FD4">
            <w:pPr>
              <w:pStyle w:val="Default"/>
              <w:numPr>
                <w:ilvl w:val="0"/>
                <w:numId w:val="3"/>
              </w:numPr>
              <w:contextualSpacing/>
              <w:rPr>
                <w:sz w:val="20"/>
                <w:szCs w:val="20"/>
              </w:rPr>
            </w:pPr>
            <w:r w:rsidRPr="003A64EF">
              <w:rPr>
                <w:color w:val="auto"/>
                <w:sz w:val="20"/>
                <w:szCs w:val="20"/>
              </w:rPr>
              <w:t>Any o</w:t>
            </w:r>
            <w:r w:rsidR="00C02AF4">
              <w:rPr>
                <w:color w:val="auto"/>
                <w:sz w:val="20"/>
                <w:szCs w:val="20"/>
              </w:rPr>
              <w:t>ther quality standards that are agreed by provider and commissioner and become available</w:t>
            </w:r>
            <w:r w:rsidRPr="003A64EF">
              <w:rPr>
                <w:color w:val="auto"/>
                <w:sz w:val="20"/>
                <w:szCs w:val="20"/>
              </w:rPr>
              <w:t xml:space="preserve">. </w:t>
            </w:r>
          </w:p>
          <w:p w:rsidR="000A1337" w:rsidRPr="003A64EF" w:rsidRDefault="000A1337" w:rsidP="003A64EF">
            <w:pPr>
              <w:pStyle w:val="Default"/>
              <w:contextualSpacing/>
              <w:rPr>
                <w:color w:val="auto"/>
                <w:sz w:val="20"/>
                <w:szCs w:val="20"/>
              </w:rPr>
            </w:pPr>
          </w:p>
          <w:p w:rsidR="000A1337" w:rsidRPr="00D74D8F" w:rsidRDefault="000A1337" w:rsidP="003A64EF">
            <w:pPr>
              <w:pStyle w:val="Default"/>
              <w:contextualSpacing/>
              <w:rPr>
                <w:sz w:val="20"/>
                <w:szCs w:val="20"/>
              </w:rPr>
            </w:pPr>
            <w:r w:rsidRPr="00D74D8F">
              <w:rPr>
                <w:b/>
                <w:bCs/>
                <w:sz w:val="20"/>
                <w:szCs w:val="20"/>
              </w:rPr>
              <w:t xml:space="preserve">1.1.2 General Overview of Current Services / Local Context </w:t>
            </w:r>
          </w:p>
          <w:p w:rsidR="000A1337" w:rsidRPr="00D74D8F" w:rsidRDefault="000A1337" w:rsidP="003A64EF">
            <w:pPr>
              <w:pStyle w:val="Default"/>
              <w:contextualSpacing/>
              <w:rPr>
                <w:sz w:val="20"/>
                <w:szCs w:val="20"/>
              </w:rPr>
            </w:pPr>
            <w:r w:rsidRPr="00D74D8F">
              <w:rPr>
                <w:sz w:val="20"/>
                <w:szCs w:val="20"/>
              </w:rPr>
              <w:t xml:space="preserve">1.1.3 There are over 200 Musculoskeletal conditions (MSK) affecting millions of people, including all forms of arthritis, back pain, soft tissue injuries and osteoporosis. </w:t>
            </w:r>
          </w:p>
          <w:p w:rsidR="000A1337" w:rsidRPr="00D74D8F" w:rsidRDefault="000A1337" w:rsidP="003A64EF">
            <w:pPr>
              <w:pStyle w:val="Default"/>
              <w:contextualSpacing/>
              <w:rPr>
                <w:sz w:val="20"/>
                <w:szCs w:val="20"/>
              </w:rPr>
            </w:pPr>
          </w:p>
          <w:p w:rsidR="000A1337" w:rsidRPr="00D74D8F" w:rsidRDefault="000A1337" w:rsidP="003A64EF">
            <w:pPr>
              <w:pStyle w:val="Default"/>
              <w:contextualSpacing/>
              <w:rPr>
                <w:sz w:val="20"/>
                <w:szCs w:val="20"/>
              </w:rPr>
            </w:pPr>
            <w:r w:rsidRPr="00D74D8F">
              <w:rPr>
                <w:sz w:val="20"/>
                <w:szCs w:val="20"/>
              </w:rPr>
              <w:t xml:space="preserve">1.1.4 In </w:t>
            </w:r>
            <w:r w:rsidR="00C02AF4" w:rsidRPr="00D74D8F">
              <w:rPr>
                <w:sz w:val="20"/>
                <w:szCs w:val="20"/>
              </w:rPr>
              <w:t>Tower Hamlets, there are around 2</w:t>
            </w:r>
            <w:r w:rsidRPr="00D74D8F">
              <w:rPr>
                <w:sz w:val="20"/>
                <w:szCs w:val="20"/>
              </w:rPr>
              <w:t xml:space="preserve">80,000 people registered with General Practices. An NHS report (Prof Briggs, 2012) indicated that up to 30% of GP appointments are filled by patients seeking help for musculoskeletal disorders. In patients over the age of 75 this increases to more than 50%. Past studies have shown up to 43% of subsequent musculoskeletal referrals are low value. </w:t>
            </w:r>
          </w:p>
          <w:p w:rsidR="000A1337" w:rsidRPr="00D74D8F" w:rsidRDefault="000A1337" w:rsidP="003A64EF">
            <w:pPr>
              <w:pStyle w:val="Default"/>
              <w:contextualSpacing/>
              <w:rPr>
                <w:sz w:val="20"/>
                <w:szCs w:val="20"/>
              </w:rPr>
            </w:pPr>
          </w:p>
          <w:p w:rsidR="00D74D8F" w:rsidRPr="00D74D8F" w:rsidRDefault="00D74D8F" w:rsidP="003A64EF">
            <w:pPr>
              <w:pStyle w:val="Default"/>
              <w:contextualSpacing/>
              <w:rPr>
                <w:sz w:val="20"/>
                <w:szCs w:val="20"/>
              </w:rPr>
            </w:pPr>
            <w:r w:rsidRPr="00D74D8F">
              <w:rPr>
                <w:sz w:val="20"/>
                <w:szCs w:val="20"/>
                <w:lang w:eastAsia="en-US"/>
              </w:rPr>
              <w:t>Patients are currently referred by their GP to a number of different musculoskeletal services which tend to work in isolation from each other. The majority of MSK patients that are referred to specialist consultants within secondary care do not require surgical intervention (65% in Tower Hamlets).  Sometimes this means patients are not seen by the right service or could be receiving care from different professionals over the same period of time without a clear understanding of what treatment is offering the most benefit. If treatment offers little benefit, then patients are often required to go back to their GP for further referral. This can create unnecessary delays for patients in receiving the right care. Given the frequent nature of this type of patient feedback there is agreement within the NHS, that the NHS fails many of its patients because it fails to provide “joined up” or “integrated” care. This is not simply a failure in the care that most patients experience; it is a considerable waste of resources.</w:t>
            </w:r>
          </w:p>
          <w:p w:rsidR="00D74D8F" w:rsidRPr="00D74D8F" w:rsidRDefault="00D74D8F" w:rsidP="003A64EF">
            <w:pPr>
              <w:pStyle w:val="Default"/>
              <w:contextualSpacing/>
              <w:rPr>
                <w:sz w:val="20"/>
                <w:szCs w:val="20"/>
              </w:rPr>
            </w:pPr>
          </w:p>
          <w:p w:rsidR="000A1337" w:rsidRPr="00D74D8F" w:rsidRDefault="000A1337" w:rsidP="003A64EF">
            <w:pPr>
              <w:pStyle w:val="Default"/>
              <w:contextualSpacing/>
              <w:rPr>
                <w:sz w:val="20"/>
                <w:szCs w:val="20"/>
              </w:rPr>
            </w:pPr>
            <w:r w:rsidRPr="00D74D8F">
              <w:rPr>
                <w:sz w:val="20"/>
                <w:szCs w:val="20"/>
              </w:rPr>
              <w:t xml:space="preserve">1.1.5 The </w:t>
            </w:r>
            <w:r w:rsidR="007E1974">
              <w:rPr>
                <w:sz w:val="20"/>
                <w:szCs w:val="20"/>
              </w:rPr>
              <w:t xml:space="preserve">development of this service specification </w:t>
            </w:r>
            <w:r w:rsidRPr="00D74D8F">
              <w:rPr>
                <w:sz w:val="20"/>
                <w:szCs w:val="20"/>
              </w:rPr>
              <w:t xml:space="preserve">in </w:t>
            </w:r>
            <w:r w:rsidR="00C02AF4" w:rsidRPr="00D74D8F">
              <w:rPr>
                <w:sz w:val="20"/>
                <w:szCs w:val="20"/>
              </w:rPr>
              <w:t>Tower Hamlets</w:t>
            </w:r>
            <w:r w:rsidRPr="00D74D8F">
              <w:rPr>
                <w:sz w:val="20"/>
                <w:szCs w:val="20"/>
              </w:rPr>
              <w:t xml:space="preserve"> is led by </w:t>
            </w:r>
            <w:r w:rsidR="00C02AF4" w:rsidRPr="00D74D8F">
              <w:rPr>
                <w:sz w:val="20"/>
                <w:szCs w:val="20"/>
              </w:rPr>
              <w:t>the CCG Planned Care Board,</w:t>
            </w:r>
            <w:r w:rsidRPr="00D74D8F">
              <w:rPr>
                <w:sz w:val="20"/>
                <w:szCs w:val="20"/>
              </w:rPr>
              <w:t xml:space="preserve"> comprising of multi-professional Primary and Secondary Care Clinical Leads, </w:t>
            </w:r>
            <w:r w:rsidR="00C44880" w:rsidRPr="00D74D8F">
              <w:rPr>
                <w:sz w:val="20"/>
                <w:szCs w:val="20"/>
              </w:rPr>
              <w:t xml:space="preserve">Commissioning </w:t>
            </w:r>
            <w:r w:rsidRPr="00D74D8F">
              <w:rPr>
                <w:sz w:val="20"/>
                <w:szCs w:val="20"/>
              </w:rPr>
              <w:t>Managers,</w:t>
            </w:r>
            <w:r w:rsidR="00C02AF4" w:rsidRPr="00D74D8F">
              <w:rPr>
                <w:sz w:val="20"/>
                <w:szCs w:val="20"/>
              </w:rPr>
              <w:t xml:space="preserve"> as well as</w:t>
            </w:r>
            <w:r w:rsidR="00C44880" w:rsidRPr="00D74D8F">
              <w:rPr>
                <w:sz w:val="20"/>
                <w:szCs w:val="20"/>
              </w:rPr>
              <w:t xml:space="preserve"> </w:t>
            </w:r>
            <w:r w:rsidR="00C02AF4" w:rsidRPr="00D74D8F">
              <w:rPr>
                <w:sz w:val="20"/>
                <w:szCs w:val="20"/>
              </w:rPr>
              <w:t xml:space="preserve">a GPwSI. </w:t>
            </w:r>
            <w:r w:rsidR="00C44880" w:rsidRPr="00D74D8F">
              <w:rPr>
                <w:sz w:val="20"/>
                <w:szCs w:val="20"/>
              </w:rPr>
              <w:t xml:space="preserve">Tower Hamlets </w:t>
            </w:r>
            <w:r w:rsidRPr="00D74D8F">
              <w:rPr>
                <w:sz w:val="20"/>
                <w:szCs w:val="20"/>
              </w:rPr>
              <w:t>has driven forward significant improvements in the MSK pathway</w:t>
            </w:r>
            <w:r w:rsidR="00C44880" w:rsidRPr="00D74D8F">
              <w:rPr>
                <w:sz w:val="20"/>
                <w:szCs w:val="20"/>
              </w:rPr>
              <w:t>, including the implementation of the MSK and Pain Clinical Assessment Services in 200</w:t>
            </w:r>
            <w:r w:rsidR="00156B7A">
              <w:rPr>
                <w:sz w:val="20"/>
                <w:szCs w:val="20"/>
              </w:rPr>
              <w:t>6</w:t>
            </w:r>
          </w:p>
          <w:p w:rsidR="00C44880" w:rsidRPr="00C44880" w:rsidRDefault="00C44880" w:rsidP="003A64EF">
            <w:pPr>
              <w:pStyle w:val="Default"/>
              <w:contextualSpacing/>
              <w:rPr>
                <w:sz w:val="20"/>
                <w:szCs w:val="20"/>
              </w:rPr>
            </w:pPr>
          </w:p>
          <w:p w:rsidR="000A1337" w:rsidRPr="00C44880" w:rsidRDefault="000A1337" w:rsidP="003A64EF">
            <w:pPr>
              <w:pStyle w:val="Default"/>
              <w:contextualSpacing/>
              <w:rPr>
                <w:sz w:val="20"/>
                <w:szCs w:val="20"/>
              </w:rPr>
            </w:pPr>
            <w:r w:rsidRPr="00C44880">
              <w:rPr>
                <w:sz w:val="20"/>
                <w:szCs w:val="20"/>
              </w:rPr>
              <w:t xml:space="preserve">The achievements of the </w:t>
            </w:r>
            <w:r w:rsidR="00C44880">
              <w:rPr>
                <w:sz w:val="20"/>
                <w:szCs w:val="20"/>
              </w:rPr>
              <w:t>MSK and Pain CAS</w:t>
            </w:r>
            <w:r w:rsidRPr="00C44880">
              <w:rPr>
                <w:sz w:val="20"/>
                <w:szCs w:val="20"/>
              </w:rPr>
              <w:t xml:space="preserve"> have been: </w:t>
            </w:r>
          </w:p>
          <w:p w:rsidR="00C44880" w:rsidRDefault="00C44880" w:rsidP="00665FD4">
            <w:pPr>
              <w:pStyle w:val="Default"/>
              <w:numPr>
                <w:ilvl w:val="0"/>
                <w:numId w:val="3"/>
              </w:numPr>
              <w:contextualSpacing/>
              <w:rPr>
                <w:sz w:val="20"/>
                <w:szCs w:val="20"/>
              </w:rPr>
            </w:pPr>
            <w:r>
              <w:rPr>
                <w:sz w:val="20"/>
                <w:szCs w:val="20"/>
              </w:rPr>
              <w:t>Access to care closer to home for patients</w:t>
            </w:r>
          </w:p>
          <w:p w:rsidR="000A1337" w:rsidRPr="00C44880" w:rsidRDefault="000A1337" w:rsidP="00665FD4">
            <w:pPr>
              <w:pStyle w:val="Default"/>
              <w:numPr>
                <w:ilvl w:val="0"/>
                <w:numId w:val="3"/>
              </w:numPr>
              <w:contextualSpacing/>
              <w:rPr>
                <w:sz w:val="20"/>
                <w:szCs w:val="20"/>
              </w:rPr>
            </w:pPr>
            <w:r w:rsidRPr="00C44880">
              <w:rPr>
                <w:sz w:val="20"/>
                <w:szCs w:val="20"/>
              </w:rPr>
              <w:t>Redu</w:t>
            </w:r>
            <w:r w:rsidR="00C44880">
              <w:rPr>
                <w:sz w:val="20"/>
                <w:szCs w:val="20"/>
              </w:rPr>
              <w:t>ction</w:t>
            </w:r>
            <w:r w:rsidRPr="00C44880">
              <w:rPr>
                <w:sz w:val="20"/>
                <w:szCs w:val="20"/>
              </w:rPr>
              <w:t xml:space="preserve"> in </w:t>
            </w:r>
            <w:r w:rsidR="00C44880">
              <w:rPr>
                <w:sz w:val="20"/>
                <w:szCs w:val="20"/>
              </w:rPr>
              <w:t xml:space="preserve">waiting times to access </w:t>
            </w:r>
            <w:r w:rsidRPr="00C44880">
              <w:rPr>
                <w:sz w:val="20"/>
                <w:szCs w:val="20"/>
              </w:rPr>
              <w:t xml:space="preserve">orthopaedic </w:t>
            </w:r>
            <w:r w:rsidR="00C44880">
              <w:rPr>
                <w:sz w:val="20"/>
                <w:szCs w:val="20"/>
              </w:rPr>
              <w:t>and pain treatments in hospital</w:t>
            </w:r>
            <w:r w:rsidRPr="00C44880">
              <w:rPr>
                <w:sz w:val="20"/>
                <w:szCs w:val="20"/>
              </w:rPr>
              <w:t xml:space="preserve"> </w:t>
            </w:r>
          </w:p>
          <w:p w:rsidR="000A1337" w:rsidRPr="00C44880" w:rsidRDefault="000A1337" w:rsidP="003A64EF">
            <w:pPr>
              <w:pStyle w:val="Default"/>
              <w:contextualSpacing/>
              <w:rPr>
                <w:sz w:val="20"/>
                <w:szCs w:val="20"/>
              </w:rPr>
            </w:pPr>
          </w:p>
          <w:p w:rsidR="000A1337" w:rsidRPr="00C44880" w:rsidRDefault="000A1337" w:rsidP="003A64EF">
            <w:pPr>
              <w:pStyle w:val="Default"/>
              <w:contextualSpacing/>
              <w:rPr>
                <w:sz w:val="20"/>
                <w:szCs w:val="20"/>
              </w:rPr>
            </w:pPr>
            <w:r w:rsidRPr="00C44880">
              <w:rPr>
                <w:sz w:val="20"/>
                <w:szCs w:val="20"/>
              </w:rPr>
              <w:t xml:space="preserve">1.1.6 The </w:t>
            </w:r>
            <w:r w:rsidR="00C44880" w:rsidRPr="00C44880">
              <w:rPr>
                <w:sz w:val="20"/>
                <w:szCs w:val="20"/>
              </w:rPr>
              <w:t>Planned Care Board has also</w:t>
            </w:r>
            <w:r w:rsidRPr="00C44880">
              <w:rPr>
                <w:sz w:val="20"/>
                <w:szCs w:val="20"/>
              </w:rPr>
              <w:t xml:space="preserve"> </w:t>
            </w:r>
            <w:r w:rsidR="00497EC7">
              <w:rPr>
                <w:sz w:val="20"/>
                <w:szCs w:val="20"/>
              </w:rPr>
              <w:t>supported a back pain pilot to expand the community options available for patients suffering from MSK</w:t>
            </w:r>
            <w:r w:rsidR="00BF6647">
              <w:rPr>
                <w:sz w:val="20"/>
                <w:szCs w:val="20"/>
              </w:rPr>
              <w:t xml:space="preserve"> and Pain</w:t>
            </w:r>
            <w:r w:rsidR="00497EC7">
              <w:rPr>
                <w:sz w:val="20"/>
                <w:szCs w:val="20"/>
              </w:rPr>
              <w:t xml:space="preserve"> conditions in an aim to improve management of these conditions; the community options have brought about increased access to psychological interventions supported by lifestyle and behavioural changes which evidence suggests</w:t>
            </w:r>
            <w:r w:rsidR="00BF6647">
              <w:rPr>
                <w:sz w:val="20"/>
                <w:szCs w:val="20"/>
              </w:rPr>
              <w:t xml:space="preserve"> may have</w:t>
            </w:r>
            <w:r w:rsidR="00497EC7">
              <w:rPr>
                <w:sz w:val="20"/>
                <w:szCs w:val="20"/>
              </w:rPr>
              <w:t xml:space="preserve"> more significant impact on patients </w:t>
            </w:r>
            <w:r w:rsidR="00BF6647">
              <w:rPr>
                <w:sz w:val="20"/>
                <w:szCs w:val="20"/>
              </w:rPr>
              <w:t xml:space="preserve">long-term </w:t>
            </w:r>
            <w:r w:rsidR="00497EC7">
              <w:rPr>
                <w:sz w:val="20"/>
                <w:szCs w:val="20"/>
              </w:rPr>
              <w:t xml:space="preserve">wellbeing. </w:t>
            </w:r>
          </w:p>
          <w:p w:rsidR="00F24985" w:rsidRDefault="00F24985" w:rsidP="003A64EF">
            <w:pPr>
              <w:spacing w:after="0"/>
              <w:contextualSpacing/>
              <w:rPr>
                <w:rFonts w:ascii="Arial" w:eastAsia="Calibri" w:hAnsi="Arial" w:cs="Arial"/>
                <w:color w:val="000000"/>
                <w:sz w:val="22"/>
                <w:szCs w:val="22"/>
                <w:lang w:val="en-GB" w:eastAsia="en-GB"/>
              </w:rPr>
            </w:pPr>
          </w:p>
          <w:p w:rsidR="0001040C" w:rsidRPr="00B1410F" w:rsidRDefault="0001040C" w:rsidP="003A64EF">
            <w:pPr>
              <w:spacing w:after="0"/>
              <w:contextualSpacing/>
              <w:rPr>
                <w:b/>
                <w:bCs/>
                <w:i/>
                <w:iCs/>
                <w:sz w:val="20"/>
              </w:rPr>
            </w:pPr>
          </w:p>
          <w:p w:rsidR="00F24985" w:rsidRPr="00296DE0" w:rsidRDefault="00F24985" w:rsidP="00FA76D7">
            <w:pPr>
              <w:pStyle w:val="Default"/>
              <w:contextualSpacing/>
              <w:rPr>
                <w:color w:val="009966"/>
                <w:sz w:val="20"/>
              </w:rPr>
            </w:pPr>
          </w:p>
        </w:tc>
      </w:tr>
      <w:tr w:rsidR="00420BB6" w:rsidRPr="00296DE0" w:rsidTr="004B479E">
        <w:tc>
          <w:tcPr>
            <w:tcW w:w="8414"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2.</w:t>
            </w:r>
            <w:r w:rsidRPr="00296DE0">
              <w:rPr>
                <w:rFonts w:ascii="Arial" w:hAnsi="Arial" w:cs="Arial"/>
                <w:b/>
                <w:color w:val="F79646"/>
              </w:rPr>
              <w:tab/>
              <w:t>Outcomes</w:t>
            </w:r>
          </w:p>
        </w:tc>
      </w:tr>
      <w:tr w:rsidR="00420BB6" w:rsidRPr="00296DE0" w:rsidTr="004B479E">
        <w:tc>
          <w:tcPr>
            <w:tcW w:w="8414" w:type="dxa"/>
            <w:shd w:val="clear" w:color="auto" w:fill="FFFFFF"/>
          </w:tcPr>
          <w:p w:rsidR="00420BB6" w:rsidRPr="00296DE0" w:rsidRDefault="00420BB6" w:rsidP="003A64EF">
            <w:pPr>
              <w:spacing w:after="0"/>
              <w:contextualSpacing/>
              <w:rPr>
                <w:rFonts w:ascii="Arial" w:hAnsi="Arial" w:cs="Arial"/>
                <w:b/>
                <w:sz w:val="20"/>
              </w:rPr>
            </w:pPr>
          </w:p>
          <w:p w:rsidR="00420BB6" w:rsidRPr="00296DE0" w:rsidRDefault="00420BB6" w:rsidP="003A64EF">
            <w:pPr>
              <w:spacing w:after="0"/>
              <w:contextualSpacing/>
              <w:rPr>
                <w:rFonts w:ascii="Arial" w:hAnsi="Arial" w:cs="Arial"/>
                <w:b/>
                <w:color w:val="00B050"/>
                <w:sz w:val="20"/>
              </w:rPr>
            </w:pPr>
            <w:r w:rsidRPr="00296DE0">
              <w:rPr>
                <w:rFonts w:ascii="Arial" w:hAnsi="Arial" w:cs="Arial"/>
                <w:b/>
                <w:color w:val="00B050"/>
                <w:sz w:val="20"/>
              </w:rPr>
              <w:t>2.1</w:t>
            </w:r>
            <w:r w:rsidRPr="00296DE0">
              <w:rPr>
                <w:rFonts w:ascii="Arial" w:hAnsi="Arial" w:cs="Arial"/>
                <w:b/>
                <w:color w:val="00B050"/>
                <w:sz w:val="20"/>
              </w:rPr>
              <w:tab/>
            </w:r>
            <w:r w:rsidRPr="00296DE0">
              <w:rPr>
                <w:rFonts w:ascii="Arial" w:hAnsi="Arial" w:cs="Arial"/>
                <w:b/>
                <w:color w:val="00B050"/>
                <w:sz w:val="20"/>
                <w:u w:val="single"/>
              </w:rPr>
              <w:t>NHS Outcomes Framework Domains &amp; Indicators</w:t>
            </w:r>
          </w:p>
          <w:p w:rsidR="00420BB6" w:rsidRPr="00296DE0" w:rsidRDefault="00420BB6" w:rsidP="003A64EF">
            <w:pPr>
              <w:spacing w:after="0"/>
              <w:contextualSpacing/>
              <w:rPr>
                <w:rFonts w:ascii="Arial" w:hAnsi="Arial" w:cs="Arial"/>
                <w:b/>
                <w:color w:val="00B05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28"/>
              <w:gridCol w:w="641"/>
            </w:tblGrid>
            <w:tr w:rsidR="00420BB6" w:rsidRPr="00296DE0" w:rsidTr="004B479E">
              <w:tc>
                <w:tcPr>
                  <w:tcW w:w="1276"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Domain 1</w:t>
                  </w:r>
                </w:p>
              </w:tc>
              <w:tc>
                <w:tcPr>
                  <w:tcW w:w="5528"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Preventing people from dying prematurely</w:t>
                  </w:r>
                </w:p>
              </w:tc>
              <w:tc>
                <w:tcPr>
                  <w:tcW w:w="641" w:type="dxa"/>
                  <w:shd w:val="clear" w:color="auto" w:fill="auto"/>
                </w:tcPr>
                <w:p w:rsidR="00420BB6" w:rsidRPr="00296DE0" w:rsidRDefault="002F2327" w:rsidP="003A64EF">
                  <w:pPr>
                    <w:spacing w:after="0"/>
                    <w:contextualSpacing/>
                    <w:rPr>
                      <w:rFonts w:ascii="Arial" w:eastAsia="Times New Roman" w:hAnsi="Arial" w:cs="Arial"/>
                      <w:b/>
                      <w:color w:val="00B050"/>
                      <w:sz w:val="20"/>
                      <w:lang w:eastAsia="en-GB"/>
                    </w:rPr>
                  </w:pPr>
                  <w:r>
                    <w:rPr>
                      <w:rFonts w:ascii="Arial" w:eastAsia="Times New Roman" w:hAnsi="Arial" w:cs="Arial"/>
                      <w:b/>
                      <w:color w:val="00B050"/>
                      <w:sz w:val="20"/>
                      <w:lang w:eastAsia="en-GB"/>
                    </w:rPr>
                    <w:t>N</w:t>
                  </w:r>
                </w:p>
              </w:tc>
            </w:tr>
            <w:tr w:rsidR="00420BB6" w:rsidRPr="00296DE0" w:rsidTr="004B479E">
              <w:tc>
                <w:tcPr>
                  <w:tcW w:w="1276"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Domain 2</w:t>
                  </w:r>
                </w:p>
              </w:tc>
              <w:tc>
                <w:tcPr>
                  <w:tcW w:w="5528"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Enhancing quality of life for people with long-term conditions</w:t>
                  </w:r>
                </w:p>
              </w:tc>
              <w:tc>
                <w:tcPr>
                  <w:tcW w:w="641" w:type="dxa"/>
                  <w:shd w:val="clear" w:color="auto" w:fill="auto"/>
                </w:tcPr>
                <w:p w:rsidR="00420BB6" w:rsidRPr="00296DE0" w:rsidRDefault="002F2327" w:rsidP="003A64EF">
                  <w:pPr>
                    <w:spacing w:after="0"/>
                    <w:contextualSpacing/>
                    <w:rPr>
                      <w:rFonts w:ascii="Arial" w:eastAsia="Times New Roman" w:hAnsi="Arial" w:cs="Arial"/>
                      <w:b/>
                      <w:color w:val="00B050"/>
                      <w:sz w:val="20"/>
                      <w:lang w:eastAsia="en-GB"/>
                    </w:rPr>
                  </w:pPr>
                  <w:r>
                    <w:rPr>
                      <w:rFonts w:ascii="Arial" w:eastAsia="Times New Roman" w:hAnsi="Arial" w:cs="Arial"/>
                      <w:b/>
                      <w:color w:val="00B050"/>
                      <w:sz w:val="20"/>
                      <w:lang w:eastAsia="en-GB"/>
                    </w:rPr>
                    <w:t>Y</w:t>
                  </w:r>
                </w:p>
              </w:tc>
            </w:tr>
            <w:tr w:rsidR="00420BB6" w:rsidRPr="00296DE0" w:rsidTr="004B479E">
              <w:tc>
                <w:tcPr>
                  <w:tcW w:w="1276"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Domain 3</w:t>
                  </w:r>
                </w:p>
              </w:tc>
              <w:tc>
                <w:tcPr>
                  <w:tcW w:w="5528"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Helping people to recover from episodes of ill-health or following injury</w:t>
                  </w:r>
                </w:p>
              </w:tc>
              <w:tc>
                <w:tcPr>
                  <w:tcW w:w="641" w:type="dxa"/>
                  <w:shd w:val="clear" w:color="auto" w:fill="auto"/>
                </w:tcPr>
                <w:p w:rsidR="00420BB6" w:rsidRPr="00296DE0" w:rsidRDefault="002F2327" w:rsidP="003A64EF">
                  <w:pPr>
                    <w:spacing w:after="0"/>
                    <w:contextualSpacing/>
                    <w:rPr>
                      <w:rFonts w:ascii="Arial" w:eastAsia="Times New Roman" w:hAnsi="Arial" w:cs="Arial"/>
                      <w:b/>
                      <w:color w:val="00B050"/>
                      <w:sz w:val="20"/>
                      <w:lang w:eastAsia="en-GB"/>
                    </w:rPr>
                  </w:pPr>
                  <w:r>
                    <w:rPr>
                      <w:rFonts w:ascii="Arial" w:eastAsia="Times New Roman" w:hAnsi="Arial" w:cs="Arial"/>
                      <w:b/>
                      <w:color w:val="00B050"/>
                      <w:sz w:val="20"/>
                      <w:lang w:eastAsia="en-GB"/>
                    </w:rPr>
                    <w:t>Y</w:t>
                  </w:r>
                </w:p>
              </w:tc>
            </w:tr>
            <w:tr w:rsidR="00420BB6" w:rsidRPr="00296DE0" w:rsidTr="004B479E">
              <w:tc>
                <w:tcPr>
                  <w:tcW w:w="1276"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Domain 4</w:t>
                  </w:r>
                </w:p>
              </w:tc>
              <w:tc>
                <w:tcPr>
                  <w:tcW w:w="5528"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Ensuring people have a positive experience of care</w:t>
                  </w:r>
                </w:p>
              </w:tc>
              <w:tc>
                <w:tcPr>
                  <w:tcW w:w="641" w:type="dxa"/>
                  <w:shd w:val="clear" w:color="auto" w:fill="auto"/>
                </w:tcPr>
                <w:p w:rsidR="00420BB6" w:rsidRPr="00296DE0" w:rsidRDefault="002F2327" w:rsidP="003A64EF">
                  <w:pPr>
                    <w:spacing w:after="0"/>
                    <w:contextualSpacing/>
                    <w:rPr>
                      <w:rFonts w:ascii="Arial" w:eastAsia="Times New Roman" w:hAnsi="Arial" w:cs="Arial"/>
                      <w:b/>
                      <w:color w:val="00B050"/>
                      <w:sz w:val="20"/>
                      <w:lang w:eastAsia="en-GB"/>
                    </w:rPr>
                  </w:pPr>
                  <w:r>
                    <w:rPr>
                      <w:rFonts w:ascii="Arial" w:eastAsia="Times New Roman" w:hAnsi="Arial" w:cs="Arial"/>
                      <w:b/>
                      <w:color w:val="00B050"/>
                      <w:sz w:val="20"/>
                      <w:lang w:eastAsia="en-GB"/>
                    </w:rPr>
                    <w:t>Y</w:t>
                  </w:r>
                </w:p>
              </w:tc>
            </w:tr>
            <w:tr w:rsidR="00420BB6" w:rsidRPr="00296DE0" w:rsidTr="004B479E">
              <w:tc>
                <w:tcPr>
                  <w:tcW w:w="1276"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Domain 5</w:t>
                  </w:r>
                </w:p>
              </w:tc>
              <w:tc>
                <w:tcPr>
                  <w:tcW w:w="5528" w:type="dxa"/>
                  <w:shd w:val="clear" w:color="auto" w:fill="auto"/>
                </w:tcPr>
                <w:p w:rsidR="00420BB6" w:rsidRPr="00296DE0" w:rsidRDefault="00420BB6" w:rsidP="003A64EF">
                  <w:pPr>
                    <w:spacing w:after="0"/>
                    <w:contextualSpacing/>
                    <w:rPr>
                      <w:rFonts w:ascii="Arial" w:eastAsia="Times New Roman" w:hAnsi="Arial" w:cs="Arial"/>
                      <w:b/>
                      <w:color w:val="00B050"/>
                      <w:sz w:val="20"/>
                      <w:lang w:eastAsia="en-GB"/>
                    </w:rPr>
                  </w:pPr>
                  <w:r w:rsidRPr="00296DE0">
                    <w:rPr>
                      <w:rFonts w:ascii="Arial" w:eastAsia="Times New Roman" w:hAnsi="Arial" w:cs="Arial"/>
                      <w:b/>
                      <w:color w:val="00B050"/>
                      <w:sz w:val="20"/>
                      <w:lang w:eastAsia="en-GB"/>
                    </w:rPr>
                    <w:t>Treating and caring for people in safe environment and protecting them from avoidable harm</w:t>
                  </w:r>
                </w:p>
              </w:tc>
              <w:tc>
                <w:tcPr>
                  <w:tcW w:w="641" w:type="dxa"/>
                  <w:shd w:val="clear" w:color="auto" w:fill="auto"/>
                </w:tcPr>
                <w:p w:rsidR="00420BB6" w:rsidRPr="00296DE0" w:rsidRDefault="002F2327" w:rsidP="003A64EF">
                  <w:pPr>
                    <w:spacing w:after="0"/>
                    <w:contextualSpacing/>
                    <w:rPr>
                      <w:rFonts w:ascii="Arial" w:eastAsia="Times New Roman" w:hAnsi="Arial" w:cs="Arial"/>
                      <w:b/>
                      <w:color w:val="00B050"/>
                      <w:sz w:val="20"/>
                      <w:lang w:eastAsia="en-GB"/>
                    </w:rPr>
                  </w:pPr>
                  <w:r>
                    <w:rPr>
                      <w:rFonts w:ascii="Arial" w:eastAsia="Times New Roman" w:hAnsi="Arial" w:cs="Arial"/>
                      <w:b/>
                      <w:color w:val="00B050"/>
                      <w:sz w:val="20"/>
                      <w:lang w:eastAsia="en-GB"/>
                    </w:rPr>
                    <w:t>Y</w:t>
                  </w:r>
                </w:p>
              </w:tc>
            </w:tr>
          </w:tbl>
          <w:p w:rsidR="00420BB6" w:rsidRPr="00296DE0" w:rsidRDefault="00420BB6" w:rsidP="003A64EF">
            <w:pPr>
              <w:spacing w:after="0"/>
              <w:contextualSpacing/>
              <w:rPr>
                <w:rFonts w:ascii="Arial" w:hAnsi="Arial" w:cs="Arial"/>
                <w:b/>
                <w:color w:val="00B050"/>
                <w:sz w:val="20"/>
              </w:rPr>
            </w:pPr>
          </w:p>
          <w:p w:rsidR="00F24985" w:rsidRPr="00981E42" w:rsidRDefault="00420BB6" w:rsidP="00981E42">
            <w:pPr>
              <w:spacing w:after="0"/>
              <w:contextualSpacing/>
              <w:rPr>
                <w:rFonts w:ascii="Arial" w:hAnsi="Arial" w:cs="Arial"/>
                <w:b/>
                <w:color w:val="00B050"/>
                <w:sz w:val="20"/>
              </w:rPr>
            </w:pPr>
            <w:r w:rsidRPr="00296DE0">
              <w:rPr>
                <w:rFonts w:ascii="Arial" w:hAnsi="Arial" w:cs="Arial"/>
                <w:b/>
                <w:color w:val="00B050"/>
                <w:sz w:val="20"/>
              </w:rPr>
              <w:t>2.2</w:t>
            </w:r>
            <w:r w:rsidRPr="00296DE0">
              <w:rPr>
                <w:rFonts w:ascii="Arial" w:hAnsi="Arial" w:cs="Arial"/>
                <w:b/>
                <w:color w:val="00B050"/>
                <w:sz w:val="20"/>
              </w:rPr>
              <w:tab/>
              <w:t>Local defined outcomes</w:t>
            </w:r>
          </w:p>
          <w:p w:rsidR="00F24985" w:rsidRPr="002F2327" w:rsidRDefault="00F24985" w:rsidP="003A64EF">
            <w:pPr>
              <w:spacing w:after="0"/>
              <w:contextualSpacing/>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031"/>
            </w:tblGrid>
            <w:tr w:rsidR="00F24985" w:rsidRPr="00BA4B35" w:rsidTr="00240995">
              <w:tc>
                <w:tcPr>
                  <w:tcW w:w="1872" w:type="dxa"/>
                  <w:shd w:val="clear" w:color="auto" w:fill="D9D9D9"/>
                </w:tcPr>
                <w:p w:rsidR="00F24985" w:rsidRPr="00BA4B35" w:rsidRDefault="00F24985" w:rsidP="003A64EF">
                  <w:pPr>
                    <w:pStyle w:val="Default"/>
                    <w:contextualSpacing/>
                    <w:rPr>
                      <w:sz w:val="20"/>
                      <w:szCs w:val="20"/>
                    </w:rPr>
                  </w:pPr>
                  <w:r w:rsidRPr="00BA4B35">
                    <w:rPr>
                      <w:b/>
                      <w:bCs/>
                      <w:sz w:val="20"/>
                      <w:szCs w:val="20"/>
                    </w:rPr>
                    <w:t xml:space="preserve">Outcome </w:t>
                  </w:r>
                </w:p>
              </w:tc>
              <w:tc>
                <w:tcPr>
                  <w:tcW w:w="7031" w:type="dxa"/>
                  <w:shd w:val="clear" w:color="auto" w:fill="D9D9D9"/>
                </w:tcPr>
                <w:p w:rsidR="00F24985" w:rsidRPr="00BA4B35" w:rsidRDefault="00F24985" w:rsidP="003A64EF">
                  <w:pPr>
                    <w:pStyle w:val="Default"/>
                    <w:contextualSpacing/>
                    <w:rPr>
                      <w:sz w:val="20"/>
                      <w:szCs w:val="20"/>
                    </w:rPr>
                  </w:pPr>
                  <w:r w:rsidRPr="00BA4B35">
                    <w:rPr>
                      <w:b/>
                      <w:bCs/>
                      <w:sz w:val="20"/>
                      <w:szCs w:val="20"/>
                    </w:rPr>
                    <w:t xml:space="preserve">Performance indicators </w:t>
                  </w:r>
                </w:p>
              </w:tc>
            </w:tr>
            <w:tr w:rsidR="00F24985" w:rsidRPr="00BA4B35" w:rsidTr="00981E42">
              <w:tc>
                <w:tcPr>
                  <w:tcW w:w="1872" w:type="dxa"/>
                  <w:shd w:val="clear" w:color="auto" w:fill="auto"/>
                </w:tcPr>
                <w:p w:rsidR="00F24985" w:rsidRPr="001679EF" w:rsidRDefault="00F24985" w:rsidP="003A64EF">
                  <w:pPr>
                    <w:pStyle w:val="Default"/>
                    <w:contextualSpacing/>
                    <w:rPr>
                      <w:sz w:val="20"/>
                      <w:szCs w:val="20"/>
                    </w:rPr>
                  </w:pPr>
                  <w:r w:rsidRPr="001679EF">
                    <w:rPr>
                      <w:sz w:val="20"/>
                      <w:szCs w:val="20"/>
                    </w:rPr>
                    <w:t xml:space="preserve">Provision of high quality clinical outcomes for patients presenting with MSK conditions </w:t>
                  </w:r>
                </w:p>
              </w:tc>
              <w:tc>
                <w:tcPr>
                  <w:tcW w:w="7031" w:type="dxa"/>
                  <w:shd w:val="clear" w:color="auto" w:fill="auto"/>
                </w:tcPr>
                <w:p w:rsidR="00F24985" w:rsidRPr="001679EF" w:rsidRDefault="00F24985" w:rsidP="001679EF">
                  <w:pPr>
                    <w:pStyle w:val="Default"/>
                    <w:numPr>
                      <w:ilvl w:val="0"/>
                      <w:numId w:val="36"/>
                    </w:numPr>
                    <w:contextualSpacing/>
                    <w:rPr>
                      <w:sz w:val="20"/>
                      <w:szCs w:val="20"/>
                    </w:rPr>
                  </w:pPr>
                  <w:r w:rsidRPr="001679EF">
                    <w:rPr>
                      <w:bCs/>
                      <w:sz w:val="20"/>
                      <w:szCs w:val="20"/>
                    </w:rPr>
                    <w:t xml:space="preserve">Patient Related Outcome Measures: </w:t>
                  </w:r>
                  <w:r w:rsidRPr="001679EF">
                    <w:rPr>
                      <w:sz w:val="20"/>
                      <w:szCs w:val="20"/>
                    </w:rPr>
                    <w:t xml:space="preserve">(PROM, </w:t>
                  </w:r>
                  <w:r w:rsidR="00BA4B35" w:rsidRPr="001679EF">
                    <w:rPr>
                      <w:sz w:val="20"/>
                      <w:szCs w:val="20"/>
                    </w:rPr>
                    <w:t>i.e.</w:t>
                  </w:r>
                  <w:r w:rsidRPr="001679EF">
                    <w:rPr>
                      <w:sz w:val="20"/>
                      <w:szCs w:val="20"/>
                    </w:rPr>
                    <w:t xml:space="preserve"> EQ-5D</w:t>
                  </w:r>
                  <w:r w:rsidR="00D20E6B" w:rsidRPr="001679EF">
                    <w:rPr>
                      <w:sz w:val="20"/>
                      <w:szCs w:val="20"/>
                    </w:rPr>
                    <w:t xml:space="preserve"> wherever relevant, for example for people seen at the persistent pain clinic</w:t>
                  </w:r>
                  <w:r w:rsidRPr="001679EF">
                    <w:rPr>
                      <w:sz w:val="20"/>
                      <w:szCs w:val="20"/>
                    </w:rPr>
                    <w:t xml:space="preserve">) </w:t>
                  </w:r>
                </w:p>
                <w:p w:rsidR="00733050" w:rsidRPr="001679EF" w:rsidRDefault="00733050" w:rsidP="003A64EF">
                  <w:pPr>
                    <w:pStyle w:val="Default"/>
                    <w:contextualSpacing/>
                    <w:rPr>
                      <w:sz w:val="20"/>
                      <w:szCs w:val="20"/>
                    </w:rPr>
                  </w:pPr>
                </w:p>
                <w:p w:rsidR="001679EF" w:rsidRPr="008B7542" w:rsidRDefault="00E34D24" w:rsidP="001679EF">
                  <w:pPr>
                    <w:pStyle w:val="Default"/>
                    <w:numPr>
                      <w:ilvl w:val="0"/>
                      <w:numId w:val="36"/>
                    </w:numPr>
                    <w:contextualSpacing/>
                    <w:rPr>
                      <w:sz w:val="20"/>
                      <w:szCs w:val="20"/>
                    </w:rPr>
                  </w:pPr>
                  <w:r w:rsidRPr="001679EF">
                    <w:rPr>
                      <w:sz w:val="20"/>
                      <w:szCs w:val="20"/>
                    </w:rPr>
                    <w:t xml:space="preserve">Holistic approach to patients with MSK problems aiming to promote empowerment and self-management including: </w:t>
                  </w:r>
                </w:p>
                <w:p w:rsidR="008B7542" w:rsidRPr="008B7542" w:rsidRDefault="00E34D24" w:rsidP="008B7542">
                  <w:pPr>
                    <w:pStyle w:val="Default"/>
                    <w:numPr>
                      <w:ilvl w:val="0"/>
                      <w:numId w:val="37"/>
                    </w:numPr>
                    <w:contextualSpacing/>
                    <w:rPr>
                      <w:sz w:val="20"/>
                      <w:szCs w:val="20"/>
                    </w:rPr>
                  </w:pPr>
                  <w:r w:rsidRPr="001679EF">
                    <w:rPr>
                      <w:sz w:val="20"/>
                      <w:szCs w:val="20"/>
                    </w:rPr>
                    <w:t>patient education/access to educational resources and exercise sheets</w:t>
                  </w:r>
                </w:p>
                <w:p w:rsidR="008B7542" w:rsidRDefault="00E34D24" w:rsidP="008B7542">
                  <w:pPr>
                    <w:pStyle w:val="Default"/>
                    <w:numPr>
                      <w:ilvl w:val="0"/>
                      <w:numId w:val="37"/>
                    </w:numPr>
                    <w:contextualSpacing/>
                    <w:rPr>
                      <w:sz w:val="20"/>
                      <w:szCs w:val="20"/>
                    </w:rPr>
                  </w:pPr>
                  <w:r w:rsidRPr="001679EF">
                    <w:rPr>
                      <w:sz w:val="20"/>
                      <w:szCs w:val="20"/>
                    </w:rPr>
                    <w:t xml:space="preserve">Signposting and referral of patients to relevant community services including council funded services which can promote healthy lifestyles (such as gyms, weight reduction services etc). </w:t>
                  </w:r>
                </w:p>
                <w:p w:rsidR="006E13DA" w:rsidRDefault="006E13DA" w:rsidP="006E13DA">
                  <w:pPr>
                    <w:pStyle w:val="Default"/>
                    <w:contextualSpacing/>
                    <w:rPr>
                      <w:sz w:val="20"/>
                      <w:szCs w:val="20"/>
                    </w:rPr>
                  </w:pPr>
                </w:p>
                <w:p w:rsidR="007B24BC" w:rsidRDefault="006E13DA" w:rsidP="007B24BC">
                  <w:pPr>
                    <w:pStyle w:val="Default"/>
                    <w:numPr>
                      <w:ilvl w:val="0"/>
                      <w:numId w:val="39"/>
                    </w:numPr>
                    <w:contextualSpacing/>
                    <w:rPr>
                      <w:sz w:val="20"/>
                      <w:szCs w:val="20"/>
                    </w:rPr>
                  </w:pPr>
                  <w:r w:rsidRPr="002F2327">
                    <w:rPr>
                      <w:sz w:val="20"/>
                      <w:szCs w:val="20"/>
                    </w:rPr>
                    <w:t xml:space="preserve">Improve the mobility and symptomatology of patients with musculoskeletal problems, and improve quality of life. </w:t>
                  </w:r>
                </w:p>
                <w:p w:rsidR="007B24BC" w:rsidRDefault="007B24BC" w:rsidP="007B24BC">
                  <w:pPr>
                    <w:pStyle w:val="Default"/>
                    <w:ind w:left="360"/>
                    <w:contextualSpacing/>
                    <w:rPr>
                      <w:sz w:val="20"/>
                      <w:szCs w:val="20"/>
                    </w:rPr>
                  </w:pPr>
                </w:p>
                <w:p w:rsidR="005C596A" w:rsidRDefault="007B24BC" w:rsidP="005C596A">
                  <w:pPr>
                    <w:pStyle w:val="Default"/>
                    <w:numPr>
                      <w:ilvl w:val="0"/>
                      <w:numId w:val="39"/>
                    </w:numPr>
                    <w:contextualSpacing/>
                    <w:rPr>
                      <w:sz w:val="20"/>
                      <w:szCs w:val="20"/>
                    </w:rPr>
                  </w:pPr>
                  <w:r w:rsidRPr="007B24BC">
                    <w:rPr>
                      <w:sz w:val="20"/>
                      <w:szCs w:val="20"/>
                    </w:rPr>
                    <w:t>To operate well planned and clearly articulated care pathways, covering the defined presentations and conditions and deliv</w:t>
                  </w:r>
                  <w:r w:rsidR="005C596A">
                    <w:rPr>
                      <w:sz w:val="20"/>
                      <w:szCs w:val="20"/>
                    </w:rPr>
                    <w:t>ering safe, evidence-based care</w:t>
                  </w:r>
                </w:p>
                <w:p w:rsidR="005C596A" w:rsidRDefault="005C596A" w:rsidP="005C596A">
                  <w:pPr>
                    <w:pStyle w:val="ListParagraph"/>
                    <w:rPr>
                      <w:sz w:val="20"/>
                      <w:szCs w:val="20"/>
                    </w:rPr>
                  </w:pPr>
                </w:p>
                <w:p w:rsidR="005C596A" w:rsidRPr="005C596A" w:rsidRDefault="005C596A" w:rsidP="005C596A">
                  <w:pPr>
                    <w:pStyle w:val="Default"/>
                    <w:numPr>
                      <w:ilvl w:val="0"/>
                      <w:numId w:val="39"/>
                    </w:numPr>
                    <w:contextualSpacing/>
                    <w:rPr>
                      <w:sz w:val="20"/>
                      <w:szCs w:val="20"/>
                    </w:rPr>
                  </w:pPr>
                  <w:r w:rsidRPr="005C596A">
                    <w:rPr>
                      <w:sz w:val="20"/>
                      <w:szCs w:val="20"/>
                    </w:rPr>
                    <w:t xml:space="preserve">Innovate and commit to continuous improvement </w:t>
                  </w:r>
                </w:p>
                <w:p w:rsidR="00E34D24" w:rsidRPr="001679EF" w:rsidRDefault="00E34D24" w:rsidP="003A64EF">
                  <w:pPr>
                    <w:pStyle w:val="Default"/>
                    <w:contextualSpacing/>
                    <w:rPr>
                      <w:sz w:val="20"/>
                      <w:szCs w:val="20"/>
                    </w:rPr>
                  </w:pPr>
                </w:p>
              </w:tc>
            </w:tr>
            <w:tr w:rsidR="00F24985" w:rsidRPr="00BA4B35" w:rsidTr="00981E42">
              <w:tc>
                <w:tcPr>
                  <w:tcW w:w="1872" w:type="dxa"/>
                  <w:shd w:val="clear" w:color="auto" w:fill="auto"/>
                </w:tcPr>
                <w:p w:rsidR="00F24985" w:rsidRPr="001679EF" w:rsidRDefault="00F24985" w:rsidP="003A64EF">
                  <w:pPr>
                    <w:pStyle w:val="Default"/>
                    <w:contextualSpacing/>
                    <w:rPr>
                      <w:sz w:val="20"/>
                      <w:szCs w:val="20"/>
                    </w:rPr>
                  </w:pPr>
                  <w:r w:rsidRPr="001679EF">
                    <w:rPr>
                      <w:sz w:val="20"/>
                      <w:szCs w:val="20"/>
                    </w:rPr>
                    <w:t xml:space="preserve">Provision of a service that is responsive to the needs of patients </w:t>
                  </w:r>
                </w:p>
              </w:tc>
              <w:tc>
                <w:tcPr>
                  <w:tcW w:w="7031" w:type="dxa"/>
                  <w:shd w:val="clear" w:color="auto" w:fill="auto"/>
                </w:tcPr>
                <w:p w:rsidR="006E13DA" w:rsidRDefault="006E13DA" w:rsidP="005C596A">
                  <w:pPr>
                    <w:pStyle w:val="Default"/>
                    <w:numPr>
                      <w:ilvl w:val="0"/>
                      <w:numId w:val="38"/>
                    </w:numPr>
                    <w:contextualSpacing/>
                    <w:rPr>
                      <w:sz w:val="20"/>
                      <w:szCs w:val="20"/>
                    </w:rPr>
                  </w:pPr>
                  <w:r w:rsidRPr="002F2327">
                    <w:rPr>
                      <w:sz w:val="20"/>
                      <w:szCs w:val="20"/>
                    </w:rPr>
                    <w:t xml:space="preserve">Provide a patient centred service </w:t>
                  </w:r>
                </w:p>
                <w:p w:rsidR="006E13DA" w:rsidRDefault="006E13DA" w:rsidP="006E13DA">
                  <w:pPr>
                    <w:pStyle w:val="Default"/>
                    <w:ind w:left="360"/>
                    <w:contextualSpacing/>
                    <w:rPr>
                      <w:sz w:val="20"/>
                      <w:szCs w:val="20"/>
                    </w:rPr>
                  </w:pPr>
                </w:p>
                <w:p w:rsidR="007B24BC" w:rsidRDefault="006E13DA" w:rsidP="005C596A">
                  <w:pPr>
                    <w:pStyle w:val="Default"/>
                    <w:numPr>
                      <w:ilvl w:val="0"/>
                      <w:numId w:val="38"/>
                    </w:numPr>
                    <w:contextualSpacing/>
                    <w:rPr>
                      <w:sz w:val="20"/>
                      <w:szCs w:val="20"/>
                    </w:rPr>
                  </w:pPr>
                  <w:r w:rsidRPr="006E13DA">
                    <w:rPr>
                      <w:sz w:val="20"/>
                      <w:szCs w:val="20"/>
                    </w:rPr>
                    <w:t xml:space="preserve">To provide improved access to care closer to home </w:t>
                  </w:r>
                </w:p>
                <w:p w:rsidR="007B24BC" w:rsidRDefault="007B24BC" w:rsidP="007B24BC">
                  <w:pPr>
                    <w:pStyle w:val="ListParagraph"/>
                    <w:rPr>
                      <w:sz w:val="20"/>
                      <w:szCs w:val="20"/>
                    </w:rPr>
                  </w:pPr>
                </w:p>
                <w:p w:rsidR="007B24BC" w:rsidRDefault="007B24BC" w:rsidP="005C596A">
                  <w:pPr>
                    <w:pStyle w:val="Default"/>
                    <w:numPr>
                      <w:ilvl w:val="0"/>
                      <w:numId w:val="38"/>
                    </w:numPr>
                    <w:contextualSpacing/>
                    <w:rPr>
                      <w:sz w:val="20"/>
                      <w:szCs w:val="20"/>
                    </w:rPr>
                  </w:pPr>
                  <w:r w:rsidRPr="007B24BC">
                    <w:rPr>
                      <w:sz w:val="20"/>
                      <w:szCs w:val="20"/>
                    </w:rPr>
                    <w:t xml:space="preserve">Provide a holistic, one-stop (where appropriate) service for patients </w:t>
                  </w:r>
                </w:p>
                <w:p w:rsidR="005C596A" w:rsidRPr="007B24BC" w:rsidRDefault="005C596A" w:rsidP="005C596A">
                  <w:pPr>
                    <w:pStyle w:val="Default"/>
                    <w:contextualSpacing/>
                    <w:rPr>
                      <w:sz w:val="20"/>
                      <w:szCs w:val="20"/>
                    </w:rPr>
                  </w:pPr>
                </w:p>
                <w:p w:rsidR="005C596A" w:rsidRPr="002F2327" w:rsidRDefault="005C596A" w:rsidP="005C596A">
                  <w:pPr>
                    <w:pStyle w:val="Default"/>
                    <w:numPr>
                      <w:ilvl w:val="0"/>
                      <w:numId w:val="38"/>
                    </w:numPr>
                    <w:contextualSpacing/>
                    <w:rPr>
                      <w:sz w:val="20"/>
                      <w:szCs w:val="20"/>
                    </w:rPr>
                  </w:pPr>
                  <w:r w:rsidRPr="002F2327">
                    <w:rPr>
                      <w:sz w:val="20"/>
                      <w:szCs w:val="20"/>
                    </w:rPr>
                    <w:t xml:space="preserve">To ensure each patient sees a person with relevant skills, using the right equipment, in a suitable location </w:t>
                  </w:r>
                </w:p>
                <w:p w:rsidR="007B24BC" w:rsidRPr="006E13DA" w:rsidRDefault="007B24BC" w:rsidP="006E13DA">
                  <w:pPr>
                    <w:pStyle w:val="Default"/>
                    <w:contextualSpacing/>
                    <w:rPr>
                      <w:sz w:val="20"/>
                      <w:szCs w:val="20"/>
                    </w:rPr>
                  </w:pPr>
                </w:p>
                <w:p w:rsidR="00F24985" w:rsidRPr="001679EF" w:rsidRDefault="00F24985" w:rsidP="005C596A">
                  <w:pPr>
                    <w:pStyle w:val="Default"/>
                    <w:numPr>
                      <w:ilvl w:val="0"/>
                      <w:numId w:val="38"/>
                    </w:numPr>
                    <w:contextualSpacing/>
                    <w:rPr>
                      <w:sz w:val="20"/>
                      <w:szCs w:val="20"/>
                    </w:rPr>
                  </w:pPr>
                  <w:r w:rsidRPr="001679EF">
                    <w:rPr>
                      <w:bCs/>
                      <w:sz w:val="20"/>
                      <w:szCs w:val="20"/>
                    </w:rPr>
                    <w:t xml:space="preserve">Service User Experience </w:t>
                  </w:r>
                </w:p>
                <w:p w:rsidR="00F24985" w:rsidRPr="001679EF" w:rsidRDefault="00F24985" w:rsidP="008B7542">
                  <w:pPr>
                    <w:pStyle w:val="Default"/>
                    <w:ind w:left="360"/>
                    <w:contextualSpacing/>
                    <w:rPr>
                      <w:sz w:val="20"/>
                      <w:szCs w:val="20"/>
                    </w:rPr>
                  </w:pPr>
                  <w:r w:rsidRPr="001679EF">
                    <w:rPr>
                      <w:sz w:val="20"/>
                      <w:szCs w:val="20"/>
                    </w:rPr>
                    <w:t xml:space="preserve">a) Near time patient experience </w:t>
                  </w:r>
                </w:p>
                <w:p w:rsidR="00F24985" w:rsidRPr="001679EF" w:rsidRDefault="00F24985" w:rsidP="008B7542">
                  <w:pPr>
                    <w:pStyle w:val="Default"/>
                    <w:ind w:left="360"/>
                    <w:contextualSpacing/>
                    <w:rPr>
                      <w:sz w:val="20"/>
                      <w:szCs w:val="20"/>
                    </w:rPr>
                  </w:pPr>
                  <w:r w:rsidRPr="001679EF">
                    <w:rPr>
                      <w:sz w:val="20"/>
                      <w:szCs w:val="20"/>
                    </w:rPr>
                    <w:t xml:space="preserve">b) survey response rate </w:t>
                  </w:r>
                </w:p>
                <w:p w:rsidR="00F24985" w:rsidRPr="001679EF" w:rsidRDefault="00F24985" w:rsidP="008B7542">
                  <w:pPr>
                    <w:pStyle w:val="Default"/>
                    <w:ind w:left="360"/>
                    <w:contextualSpacing/>
                    <w:rPr>
                      <w:sz w:val="20"/>
                      <w:szCs w:val="20"/>
                    </w:rPr>
                  </w:pPr>
                  <w:r w:rsidRPr="001679EF">
                    <w:rPr>
                      <w:sz w:val="20"/>
                      <w:szCs w:val="20"/>
                    </w:rPr>
                    <w:t xml:space="preserve">c) positive rating </w:t>
                  </w:r>
                </w:p>
                <w:p w:rsidR="00F24985" w:rsidRPr="001679EF" w:rsidRDefault="00F24985" w:rsidP="008B7542">
                  <w:pPr>
                    <w:pStyle w:val="Default"/>
                    <w:ind w:left="360"/>
                    <w:contextualSpacing/>
                    <w:rPr>
                      <w:sz w:val="20"/>
                      <w:szCs w:val="20"/>
                    </w:rPr>
                  </w:pPr>
                  <w:r w:rsidRPr="001679EF">
                    <w:rPr>
                      <w:sz w:val="20"/>
                      <w:szCs w:val="20"/>
                    </w:rPr>
                    <w:t xml:space="preserve">d) capturing feedback from vulnerable groups. </w:t>
                  </w:r>
                </w:p>
                <w:p w:rsidR="00F24985" w:rsidRPr="001679EF" w:rsidRDefault="00F24985" w:rsidP="005C596A">
                  <w:pPr>
                    <w:pStyle w:val="Default"/>
                    <w:numPr>
                      <w:ilvl w:val="0"/>
                      <w:numId w:val="38"/>
                    </w:numPr>
                    <w:contextualSpacing/>
                    <w:rPr>
                      <w:bCs/>
                      <w:sz w:val="20"/>
                      <w:szCs w:val="20"/>
                    </w:rPr>
                  </w:pPr>
                  <w:r w:rsidRPr="001679EF">
                    <w:rPr>
                      <w:bCs/>
                      <w:sz w:val="20"/>
                      <w:szCs w:val="20"/>
                    </w:rPr>
                    <w:t xml:space="preserve">Complaints and Incidents monitoring </w:t>
                  </w:r>
                </w:p>
                <w:p w:rsidR="00733050" w:rsidRDefault="00733050" w:rsidP="003A64EF">
                  <w:pPr>
                    <w:pStyle w:val="Default"/>
                    <w:contextualSpacing/>
                    <w:rPr>
                      <w:sz w:val="20"/>
                      <w:szCs w:val="20"/>
                    </w:rPr>
                  </w:pPr>
                </w:p>
                <w:p w:rsidR="006E13DA" w:rsidRPr="001679EF" w:rsidRDefault="006E13DA" w:rsidP="003A64EF">
                  <w:pPr>
                    <w:pStyle w:val="Default"/>
                    <w:contextualSpacing/>
                    <w:rPr>
                      <w:sz w:val="20"/>
                      <w:szCs w:val="20"/>
                    </w:rPr>
                  </w:pPr>
                </w:p>
              </w:tc>
            </w:tr>
            <w:tr w:rsidR="00F24985" w:rsidRPr="00BA4B35" w:rsidTr="00981E42">
              <w:tc>
                <w:tcPr>
                  <w:tcW w:w="1872" w:type="dxa"/>
                  <w:shd w:val="clear" w:color="auto" w:fill="auto"/>
                </w:tcPr>
                <w:p w:rsidR="00F24985" w:rsidRPr="001679EF" w:rsidRDefault="00F24985" w:rsidP="003A64EF">
                  <w:pPr>
                    <w:pStyle w:val="Default"/>
                    <w:contextualSpacing/>
                    <w:rPr>
                      <w:sz w:val="20"/>
                      <w:szCs w:val="20"/>
                    </w:rPr>
                  </w:pPr>
                  <w:r w:rsidRPr="001679EF">
                    <w:rPr>
                      <w:sz w:val="20"/>
                      <w:szCs w:val="20"/>
                    </w:rPr>
                    <w:t xml:space="preserve">Reduce health inequalities by improving access to the service </w:t>
                  </w:r>
                </w:p>
              </w:tc>
              <w:tc>
                <w:tcPr>
                  <w:tcW w:w="7031" w:type="dxa"/>
                  <w:shd w:val="clear" w:color="auto" w:fill="auto"/>
                </w:tcPr>
                <w:p w:rsidR="00F24985" w:rsidRPr="001679EF" w:rsidRDefault="00F24985" w:rsidP="008B7542">
                  <w:pPr>
                    <w:pStyle w:val="Default"/>
                    <w:numPr>
                      <w:ilvl w:val="0"/>
                      <w:numId w:val="38"/>
                    </w:numPr>
                    <w:contextualSpacing/>
                    <w:rPr>
                      <w:sz w:val="20"/>
                      <w:szCs w:val="20"/>
                    </w:rPr>
                  </w:pPr>
                  <w:r w:rsidRPr="001679EF">
                    <w:rPr>
                      <w:bCs/>
                      <w:sz w:val="20"/>
                      <w:szCs w:val="20"/>
                    </w:rPr>
                    <w:t>Identification of patient demographics, with appropriate changes to the service</w:t>
                  </w:r>
                  <w:r w:rsidR="00D20E6B" w:rsidRPr="001679EF">
                    <w:rPr>
                      <w:bCs/>
                      <w:sz w:val="20"/>
                      <w:szCs w:val="20"/>
                    </w:rPr>
                    <w:t>.</w:t>
                  </w:r>
                  <w:r w:rsidRPr="001679EF">
                    <w:rPr>
                      <w:bCs/>
                      <w:sz w:val="20"/>
                      <w:szCs w:val="20"/>
                    </w:rPr>
                    <w:t xml:space="preserve"> </w:t>
                  </w:r>
                </w:p>
                <w:p w:rsidR="00B62BBB" w:rsidRPr="001679EF" w:rsidRDefault="00B62BBB" w:rsidP="00D20E6B">
                  <w:pPr>
                    <w:pStyle w:val="Default"/>
                    <w:contextualSpacing/>
                    <w:rPr>
                      <w:bCs/>
                      <w:sz w:val="20"/>
                      <w:szCs w:val="20"/>
                    </w:rPr>
                  </w:pPr>
                </w:p>
                <w:p w:rsidR="00B62BBB" w:rsidRPr="001679EF" w:rsidRDefault="00F24985" w:rsidP="008B7542">
                  <w:pPr>
                    <w:pStyle w:val="Default"/>
                    <w:numPr>
                      <w:ilvl w:val="0"/>
                      <w:numId w:val="38"/>
                    </w:numPr>
                    <w:contextualSpacing/>
                    <w:rPr>
                      <w:bCs/>
                      <w:sz w:val="20"/>
                      <w:szCs w:val="20"/>
                    </w:rPr>
                  </w:pPr>
                  <w:r w:rsidRPr="001679EF">
                    <w:rPr>
                      <w:bCs/>
                      <w:sz w:val="20"/>
                      <w:szCs w:val="20"/>
                    </w:rPr>
                    <w:t xml:space="preserve">Service offers range of appointments </w:t>
                  </w:r>
                  <w:r w:rsidR="00B62BBB" w:rsidRPr="001679EF">
                    <w:rPr>
                      <w:bCs/>
                      <w:sz w:val="20"/>
                      <w:szCs w:val="20"/>
                    </w:rPr>
                    <w:t xml:space="preserve">including options outside of core hours 9-5pm. </w:t>
                  </w:r>
                </w:p>
                <w:p w:rsidR="00B62BBB" w:rsidRPr="001679EF" w:rsidRDefault="00B62BBB" w:rsidP="00D20E6B">
                  <w:pPr>
                    <w:pStyle w:val="Default"/>
                    <w:contextualSpacing/>
                    <w:rPr>
                      <w:bCs/>
                      <w:sz w:val="20"/>
                      <w:szCs w:val="20"/>
                    </w:rPr>
                  </w:pPr>
                </w:p>
                <w:p w:rsidR="008B7542" w:rsidRDefault="00B62BBB" w:rsidP="008B7542">
                  <w:pPr>
                    <w:pStyle w:val="Default"/>
                    <w:numPr>
                      <w:ilvl w:val="0"/>
                      <w:numId w:val="38"/>
                    </w:numPr>
                    <w:contextualSpacing/>
                    <w:rPr>
                      <w:bCs/>
                      <w:sz w:val="20"/>
                      <w:szCs w:val="20"/>
                    </w:rPr>
                  </w:pPr>
                  <w:r w:rsidRPr="001679EF">
                    <w:rPr>
                      <w:bCs/>
                      <w:sz w:val="20"/>
                      <w:szCs w:val="20"/>
                    </w:rPr>
                    <w:t xml:space="preserve">Location of service to needs to match the needs of the population. The CCG wishes to commission a service providing a centralised point of access, avoiding multiple locations that have minimal gains for the patient. </w:t>
                  </w:r>
                </w:p>
                <w:p w:rsidR="008B7542" w:rsidRDefault="008B7542" w:rsidP="008B7542">
                  <w:pPr>
                    <w:pStyle w:val="ListParagraph"/>
                    <w:rPr>
                      <w:sz w:val="20"/>
                      <w:szCs w:val="20"/>
                    </w:rPr>
                  </w:pPr>
                </w:p>
                <w:p w:rsidR="001679EF" w:rsidRPr="008B7542" w:rsidRDefault="001679EF" w:rsidP="008B7542">
                  <w:pPr>
                    <w:pStyle w:val="Default"/>
                    <w:numPr>
                      <w:ilvl w:val="0"/>
                      <w:numId w:val="38"/>
                    </w:numPr>
                    <w:contextualSpacing/>
                    <w:rPr>
                      <w:bCs/>
                      <w:sz w:val="20"/>
                      <w:szCs w:val="20"/>
                    </w:rPr>
                  </w:pPr>
                  <w:r w:rsidRPr="008B7542">
                    <w:rPr>
                      <w:sz w:val="20"/>
                      <w:szCs w:val="20"/>
                    </w:rPr>
                    <w:t xml:space="preserve">Enable a single point of access for referral from GPs </w:t>
                  </w:r>
                </w:p>
                <w:p w:rsidR="001679EF" w:rsidRPr="001679EF" w:rsidRDefault="001679EF" w:rsidP="00D20E6B">
                  <w:pPr>
                    <w:pStyle w:val="Default"/>
                    <w:contextualSpacing/>
                    <w:rPr>
                      <w:sz w:val="20"/>
                      <w:szCs w:val="20"/>
                    </w:rPr>
                  </w:pPr>
                </w:p>
                <w:p w:rsidR="00F24985" w:rsidRPr="001679EF" w:rsidRDefault="00F24985" w:rsidP="00D20E6B">
                  <w:pPr>
                    <w:pStyle w:val="Default"/>
                    <w:contextualSpacing/>
                    <w:rPr>
                      <w:sz w:val="20"/>
                      <w:szCs w:val="20"/>
                    </w:rPr>
                  </w:pPr>
                </w:p>
              </w:tc>
            </w:tr>
            <w:tr w:rsidR="00F24985" w:rsidRPr="00BA4B35" w:rsidTr="00981E42">
              <w:tc>
                <w:tcPr>
                  <w:tcW w:w="1872" w:type="dxa"/>
                  <w:shd w:val="clear" w:color="auto" w:fill="auto"/>
                </w:tcPr>
                <w:p w:rsidR="00F24985" w:rsidRPr="001679EF" w:rsidRDefault="00F24985" w:rsidP="003A64EF">
                  <w:pPr>
                    <w:pStyle w:val="Default"/>
                    <w:contextualSpacing/>
                    <w:rPr>
                      <w:sz w:val="20"/>
                      <w:szCs w:val="20"/>
                    </w:rPr>
                  </w:pPr>
                  <w:r w:rsidRPr="001679EF">
                    <w:rPr>
                      <w:sz w:val="20"/>
                      <w:szCs w:val="20"/>
                    </w:rPr>
                    <w:t xml:space="preserve">Ensure waiting times for patients with musculoskeletal conditions are met </w:t>
                  </w:r>
                </w:p>
              </w:tc>
              <w:tc>
                <w:tcPr>
                  <w:tcW w:w="7031" w:type="dxa"/>
                  <w:shd w:val="clear" w:color="auto" w:fill="auto"/>
                </w:tcPr>
                <w:p w:rsidR="005C596A" w:rsidRPr="002F2327" w:rsidRDefault="005C596A" w:rsidP="005C596A">
                  <w:pPr>
                    <w:pStyle w:val="Default"/>
                    <w:numPr>
                      <w:ilvl w:val="0"/>
                      <w:numId w:val="41"/>
                    </w:numPr>
                    <w:contextualSpacing/>
                    <w:rPr>
                      <w:sz w:val="20"/>
                      <w:szCs w:val="20"/>
                    </w:rPr>
                  </w:pPr>
                  <w:r w:rsidRPr="002F2327">
                    <w:rPr>
                      <w:sz w:val="20"/>
                      <w:szCs w:val="20"/>
                    </w:rPr>
                    <w:t xml:space="preserve">To deliver the shortest pathway possible, compatible with best patient outcomes </w:t>
                  </w:r>
                </w:p>
                <w:p w:rsidR="005C596A" w:rsidRPr="005C596A" w:rsidRDefault="005C596A" w:rsidP="005C596A">
                  <w:pPr>
                    <w:pStyle w:val="Default"/>
                    <w:contextualSpacing/>
                    <w:rPr>
                      <w:sz w:val="20"/>
                      <w:szCs w:val="20"/>
                    </w:rPr>
                  </w:pPr>
                </w:p>
                <w:p w:rsidR="00F24985" w:rsidRPr="001679EF" w:rsidRDefault="00F24985" w:rsidP="005C596A">
                  <w:pPr>
                    <w:pStyle w:val="Default"/>
                    <w:numPr>
                      <w:ilvl w:val="0"/>
                      <w:numId w:val="41"/>
                    </w:numPr>
                    <w:contextualSpacing/>
                    <w:rPr>
                      <w:sz w:val="20"/>
                      <w:szCs w:val="20"/>
                    </w:rPr>
                  </w:pPr>
                  <w:r w:rsidRPr="001679EF">
                    <w:rPr>
                      <w:bCs/>
                      <w:sz w:val="20"/>
                      <w:szCs w:val="20"/>
                    </w:rPr>
                    <w:t xml:space="preserve">Sufficient appointment slots: </w:t>
                  </w:r>
                  <w:r w:rsidRPr="001679EF">
                    <w:rPr>
                      <w:sz w:val="20"/>
                      <w:szCs w:val="20"/>
                    </w:rPr>
                    <w:t xml:space="preserve">made available on the Choose and Book system </w:t>
                  </w:r>
                </w:p>
                <w:p w:rsidR="002C1817" w:rsidRDefault="002C1817" w:rsidP="003A64EF">
                  <w:pPr>
                    <w:pStyle w:val="Default"/>
                    <w:contextualSpacing/>
                    <w:rPr>
                      <w:sz w:val="20"/>
                      <w:szCs w:val="20"/>
                    </w:rPr>
                  </w:pPr>
                </w:p>
                <w:p w:rsidR="006E13DA" w:rsidRDefault="006E13DA" w:rsidP="005C596A">
                  <w:pPr>
                    <w:pStyle w:val="Default"/>
                    <w:numPr>
                      <w:ilvl w:val="0"/>
                      <w:numId w:val="41"/>
                    </w:numPr>
                    <w:contextualSpacing/>
                    <w:rPr>
                      <w:sz w:val="20"/>
                      <w:szCs w:val="20"/>
                    </w:rPr>
                  </w:pPr>
                  <w:r w:rsidRPr="002F2327">
                    <w:rPr>
                      <w:sz w:val="20"/>
                      <w:szCs w:val="20"/>
                    </w:rPr>
                    <w:t>To reduce waiting times to access the service and deliver treatment to enable patients to reach their individual treatment goals sooner. The service should aim to improve Patient Quality of Life, including the ability to return to work and improved pain</w:t>
                  </w:r>
                </w:p>
                <w:p w:rsidR="006E13DA" w:rsidRDefault="006E13DA" w:rsidP="003A64EF">
                  <w:pPr>
                    <w:pStyle w:val="Default"/>
                    <w:contextualSpacing/>
                    <w:rPr>
                      <w:sz w:val="20"/>
                      <w:szCs w:val="20"/>
                    </w:rPr>
                  </w:pPr>
                </w:p>
                <w:p w:rsidR="006E13DA" w:rsidRPr="001679EF" w:rsidRDefault="006E13DA" w:rsidP="003A64EF">
                  <w:pPr>
                    <w:pStyle w:val="Default"/>
                    <w:contextualSpacing/>
                    <w:rPr>
                      <w:sz w:val="20"/>
                      <w:szCs w:val="20"/>
                    </w:rPr>
                  </w:pPr>
                </w:p>
                <w:p w:rsidR="00F24985" w:rsidRPr="006E13DA" w:rsidRDefault="00156B7A" w:rsidP="005C596A">
                  <w:pPr>
                    <w:pStyle w:val="Default"/>
                    <w:numPr>
                      <w:ilvl w:val="0"/>
                      <w:numId w:val="41"/>
                    </w:numPr>
                    <w:contextualSpacing/>
                    <w:rPr>
                      <w:sz w:val="20"/>
                      <w:szCs w:val="20"/>
                    </w:rPr>
                  </w:pPr>
                  <w:r>
                    <w:rPr>
                      <w:sz w:val="20"/>
                      <w:szCs w:val="20"/>
                    </w:rPr>
                    <w:t>Paper triage within 2</w:t>
                  </w:r>
                  <w:r w:rsidR="00F24985" w:rsidRPr="001679EF">
                    <w:rPr>
                      <w:sz w:val="20"/>
                      <w:szCs w:val="20"/>
                    </w:rPr>
                    <w:t xml:space="preserve"> working days of</w:t>
                  </w:r>
                  <w:r w:rsidR="006E13DA">
                    <w:rPr>
                      <w:sz w:val="20"/>
                      <w:szCs w:val="20"/>
                    </w:rPr>
                    <w:t xml:space="preserve"> date of receipt of GP referral;</w:t>
                  </w:r>
                  <w:r w:rsidR="00F24985" w:rsidRPr="001679EF">
                    <w:rPr>
                      <w:sz w:val="20"/>
                      <w:szCs w:val="20"/>
                    </w:rPr>
                    <w:t xml:space="preserve"> </w:t>
                  </w:r>
                  <w:r w:rsidR="00F24985" w:rsidRPr="006E13DA">
                    <w:rPr>
                      <w:sz w:val="20"/>
                      <w:szCs w:val="20"/>
                    </w:rPr>
                    <w:t xml:space="preserve">Patient </w:t>
                  </w:r>
                  <w:r w:rsidR="00B62BBB" w:rsidRPr="006E13DA">
                    <w:rPr>
                      <w:sz w:val="20"/>
                      <w:szCs w:val="20"/>
                    </w:rPr>
                    <w:t xml:space="preserve">initial </w:t>
                  </w:r>
                  <w:r w:rsidR="00F24985" w:rsidRPr="006E13DA">
                    <w:rPr>
                      <w:sz w:val="20"/>
                      <w:szCs w:val="20"/>
                    </w:rPr>
                    <w:t xml:space="preserve">assessment </w:t>
                  </w:r>
                  <w:r w:rsidR="008F3814" w:rsidRPr="006E13DA">
                    <w:rPr>
                      <w:sz w:val="20"/>
                      <w:szCs w:val="20"/>
                    </w:rPr>
                    <w:t xml:space="preserve">(if needed) </w:t>
                  </w:r>
                  <w:r w:rsidR="00BA4B35" w:rsidRPr="006E13DA">
                    <w:rPr>
                      <w:sz w:val="20"/>
                      <w:szCs w:val="20"/>
                    </w:rPr>
                    <w:t>within</w:t>
                  </w:r>
                  <w:r>
                    <w:rPr>
                      <w:sz w:val="20"/>
                      <w:szCs w:val="20"/>
                    </w:rPr>
                    <w:t xml:space="preserve"> </w:t>
                  </w:r>
                  <w:r w:rsidR="008F3814" w:rsidRPr="006E13DA">
                    <w:rPr>
                      <w:sz w:val="20"/>
                      <w:szCs w:val="20"/>
                    </w:rPr>
                    <w:t xml:space="preserve">6 weeks of the date of the referral. </w:t>
                  </w:r>
                </w:p>
                <w:p w:rsidR="006E13DA" w:rsidRDefault="006E13DA" w:rsidP="008F3814">
                  <w:pPr>
                    <w:pStyle w:val="Default"/>
                    <w:contextualSpacing/>
                    <w:rPr>
                      <w:sz w:val="20"/>
                      <w:szCs w:val="20"/>
                    </w:rPr>
                  </w:pPr>
                </w:p>
                <w:p w:rsidR="006E13DA" w:rsidRDefault="006E13DA" w:rsidP="007B24BC">
                  <w:pPr>
                    <w:pStyle w:val="Default"/>
                    <w:contextualSpacing/>
                    <w:rPr>
                      <w:sz w:val="20"/>
                      <w:szCs w:val="20"/>
                    </w:rPr>
                  </w:pPr>
                </w:p>
                <w:p w:rsidR="007B24BC" w:rsidRDefault="007B24BC" w:rsidP="005C596A">
                  <w:pPr>
                    <w:pStyle w:val="Default"/>
                    <w:numPr>
                      <w:ilvl w:val="0"/>
                      <w:numId w:val="41"/>
                    </w:numPr>
                    <w:contextualSpacing/>
                    <w:rPr>
                      <w:sz w:val="20"/>
                      <w:szCs w:val="20"/>
                    </w:rPr>
                  </w:pPr>
                  <w:r w:rsidRPr="002F2327">
                    <w:rPr>
                      <w:sz w:val="20"/>
                      <w:szCs w:val="20"/>
                    </w:rPr>
                    <w:t xml:space="preserve">Assess clinically and refer onward patients who are not appropriate for treatment within the service </w:t>
                  </w:r>
                </w:p>
                <w:p w:rsidR="007B24BC" w:rsidRPr="007B24BC" w:rsidRDefault="007B24BC" w:rsidP="005C596A">
                  <w:pPr>
                    <w:pStyle w:val="Default"/>
                    <w:numPr>
                      <w:ilvl w:val="0"/>
                      <w:numId w:val="41"/>
                    </w:numPr>
                    <w:contextualSpacing/>
                    <w:rPr>
                      <w:sz w:val="20"/>
                      <w:szCs w:val="20"/>
                    </w:rPr>
                  </w:pPr>
                  <w:r w:rsidRPr="002F2327">
                    <w:rPr>
                      <w:sz w:val="20"/>
                      <w:szCs w:val="20"/>
                    </w:rPr>
                    <w:t xml:space="preserve">Assess clinically and refer backward patients who may be managed by their own GP practice in primary care </w:t>
                  </w:r>
                </w:p>
                <w:p w:rsidR="007B24BC" w:rsidRDefault="007B24BC" w:rsidP="007B24BC">
                  <w:pPr>
                    <w:pStyle w:val="Default"/>
                    <w:ind w:left="360"/>
                    <w:contextualSpacing/>
                    <w:rPr>
                      <w:sz w:val="20"/>
                      <w:szCs w:val="20"/>
                    </w:rPr>
                  </w:pPr>
                </w:p>
                <w:p w:rsidR="007B24BC" w:rsidRPr="002F2327" w:rsidRDefault="007B24BC" w:rsidP="005C596A">
                  <w:pPr>
                    <w:pStyle w:val="Default"/>
                    <w:numPr>
                      <w:ilvl w:val="0"/>
                      <w:numId w:val="41"/>
                    </w:numPr>
                    <w:contextualSpacing/>
                    <w:rPr>
                      <w:sz w:val="20"/>
                      <w:szCs w:val="20"/>
                    </w:rPr>
                  </w:pPr>
                  <w:r w:rsidRPr="002F2327">
                    <w:rPr>
                      <w:sz w:val="20"/>
                      <w:szCs w:val="20"/>
                    </w:rPr>
                    <w:t xml:space="preserve">To ensure that all patients receive treatment according to their clinical need with routine patients treated in chronological order, thereby minimising the time that the patient spends on the waiting list and thus improving the quality of their patient experience </w:t>
                  </w:r>
                </w:p>
                <w:p w:rsidR="007B24BC" w:rsidRPr="001679EF" w:rsidRDefault="007B24BC" w:rsidP="007B24BC">
                  <w:pPr>
                    <w:pStyle w:val="Default"/>
                    <w:contextualSpacing/>
                    <w:rPr>
                      <w:sz w:val="20"/>
                      <w:szCs w:val="20"/>
                    </w:rPr>
                  </w:pPr>
                </w:p>
              </w:tc>
            </w:tr>
            <w:tr w:rsidR="00F24985" w:rsidRPr="00BA4B35" w:rsidTr="00981E42">
              <w:tc>
                <w:tcPr>
                  <w:tcW w:w="1872" w:type="dxa"/>
                  <w:shd w:val="clear" w:color="auto" w:fill="auto"/>
                </w:tcPr>
                <w:p w:rsidR="00F24985" w:rsidRPr="001679EF" w:rsidRDefault="007B24BC" w:rsidP="003A64EF">
                  <w:pPr>
                    <w:pStyle w:val="Default"/>
                    <w:contextualSpacing/>
                    <w:rPr>
                      <w:sz w:val="20"/>
                      <w:szCs w:val="20"/>
                    </w:rPr>
                  </w:pPr>
                  <w:r>
                    <w:rPr>
                      <w:sz w:val="20"/>
                      <w:szCs w:val="20"/>
                    </w:rPr>
                    <w:t>Education and Training for patients and health professionals, r</w:t>
                  </w:r>
                  <w:r w:rsidR="00F24985" w:rsidRPr="001679EF">
                    <w:rPr>
                      <w:sz w:val="20"/>
                      <w:szCs w:val="20"/>
                    </w:rPr>
                    <w:t xml:space="preserve">eduction in referral variation from general practice and increased knowledge within general practice regarding MSK conditions </w:t>
                  </w:r>
                </w:p>
              </w:tc>
              <w:tc>
                <w:tcPr>
                  <w:tcW w:w="7031" w:type="dxa"/>
                  <w:shd w:val="clear" w:color="auto" w:fill="auto"/>
                </w:tcPr>
                <w:p w:rsidR="007B24BC" w:rsidRDefault="007B24BC" w:rsidP="007B24BC">
                  <w:pPr>
                    <w:pStyle w:val="Default"/>
                    <w:numPr>
                      <w:ilvl w:val="0"/>
                      <w:numId w:val="42"/>
                    </w:numPr>
                    <w:contextualSpacing/>
                    <w:rPr>
                      <w:sz w:val="20"/>
                      <w:szCs w:val="20"/>
                    </w:rPr>
                  </w:pPr>
                  <w:r w:rsidRPr="002F2327">
                    <w:rPr>
                      <w:sz w:val="20"/>
                      <w:szCs w:val="20"/>
                    </w:rPr>
                    <w:t xml:space="preserve">To provide community services that have a strong emphasis on patient education and self-management, thereby promoting active, healthy lifestyles and reducing recurrence of injury or illness </w:t>
                  </w:r>
                </w:p>
                <w:p w:rsidR="007B24BC" w:rsidRPr="002F2327" w:rsidRDefault="007B24BC" w:rsidP="007B24BC">
                  <w:pPr>
                    <w:pStyle w:val="Default"/>
                    <w:contextualSpacing/>
                    <w:rPr>
                      <w:sz w:val="20"/>
                      <w:szCs w:val="20"/>
                    </w:rPr>
                  </w:pPr>
                </w:p>
                <w:p w:rsidR="007B24BC" w:rsidRPr="002F2327" w:rsidRDefault="007B24BC" w:rsidP="007B24BC">
                  <w:pPr>
                    <w:pStyle w:val="Default"/>
                    <w:numPr>
                      <w:ilvl w:val="0"/>
                      <w:numId w:val="42"/>
                    </w:numPr>
                    <w:contextualSpacing/>
                    <w:rPr>
                      <w:sz w:val="20"/>
                      <w:szCs w:val="20"/>
                    </w:rPr>
                  </w:pPr>
                  <w:r w:rsidRPr="002F2327">
                    <w:rPr>
                      <w:sz w:val="20"/>
                      <w:szCs w:val="20"/>
                    </w:rPr>
                    <w:t xml:space="preserve">Facilitate a Primary Care workforce that is well educated regarding Musculoskeletal condition management </w:t>
                  </w:r>
                </w:p>
                <w:p w:rsidR="007B24BC" w:rsidRDefault="007B24BC" w:rsidP="007B24BC">
                  <w:pPr>
                    <w:pStyle w:val="Default"/>
                    <w:contextualSpacing/>
                    <w:rPr>
                      <w:bCs/>
                      <w:sz w:val="20"/>
                      <w:szCs w:val="20"/>
                    </w:rPr>
                  </w:pPr>
                </w:p>
                <w:p w:rsidR="007B24BC" w:rsidRDefault="007B24BC" w:rsidP="007B24BC">
                  <w:pPr>
                    <w:pStyle w:val="Default"/>
                    <w:numPr>
                      <w:ilvl w:val="0"/>
                      <w:numId w:val="42"/>
                    </w:numPr>
                    <w:contextualSpacing/>
                    <w:rPr>
                      <w:bCs/>
                      <w:sz w:val="20"/>
                      <w:szCs w:val="20"/>
                    </w:rPr>
                  </w:pPr>
                  <w:r w:rsidRPr="001679EF">
                    <w:rPr>
                      <w:bCs/>
                      <w:sz w:val="20"/>
                      <w:szCs w:val="20"/>
                    </w:rPr>
                    <w:t xml:space="preserve">Training sessions delivered to GPs </w:t>
                  </w:r>
                </w:p>
                <w:p w:rsidR="007B24BC" w:rsidRDefault="007B24BC" w:rsidP="007B24BC">
                  <w:pPr>
                    <w:pStyle w:val="Default"/>
                    <w:contextualSpacing/>
                    <w:rPr>
                      <w:bCs/>
                      <w:sz w:val="20"/>
                      <w:szCs w:val="20"/>
                    </w:rPr>
                  </w:pPr>
                </w:p>
                <w:p w:rsidR="00981E42" w:rsidRDefault="007B24BC" w:rsidP="003A64EF">
                  <w:pPr>
                    <w:pStyle w:val="Default"/>
                    <w:numPr>
                      <w:ilvl w:val="0"/>
                      <w:numId w:val="42"/>
                    </w:numPr>
                    <w:contextualSpacing/>
                    <w:rPr>
                      <w:sz w:val="20"/>
                      <w:szCs w:val="20"/>
                    </w:rPr>
                  </w:pPr>
                  <w:r w:rsidRPr="002F2327">
                    <w:rPr>
                      <w:sz w:val="20"/>
                      <w:szCs w:val="20"/>
                    </w:rPr>
                    <w:t xml:space="preserve">Standardise tools and resources for GPs and patients </w:t>
                  </w:r>
                </w:p>
                <w:p w:rsidR="00981E42" w:rsidRDefault="00981E42" w:rsidP="00981E42">
                  <w:pPr>
                    <w:pStyle w:val="ListParagraph"/>
                    <w:rPr>
                      <w:sz w:val="20"/>
                      <w:szCs w:val="20"/>
                    </w:rPr>
                  </w:pPr>
                </w:p>
                <w:p w:rsidR="00F24985" w:rsidRPr="00981E42" w:rsidRDefault="00F24985" w:rsidP="003A64EF">
                  <w:pPr>
                    <w:pStyle w:val="Default"/>
                    <w:numPr>
                      <w:ilvl w:val="0"/>
                      <w:numId w:val="42"/>
                    </w:numPr>
                    <w:contextualSpacing/>
                    <w:rPr>
                      <w:sz w:val="20"/>
                      <w:szCs w:val="20"/>
                    </w:rPr>
                  </w:pPr>
                  <w:r w:rsidRPr="00981E42">
                    <w:rPr>
                      <w:sz w:val="20"/>
                      <w:szCs w:val="20"/>
                    </w:rPr>
                    <w:t xml:space="preserve">Regular auditing of appropriateness of referrals with evidence of feedback to GPs </w:t>
                  </w:r>
                </w:p>
                <w:p w:rsidR="002C1817" w:rsidRPr="001679EF" w:rsidRDefault="002C1817" w:rsidP="003A64EF">
                  <w:pPr>
                    <w:pStyle w:val="Default"/>
                    <w:contextualSpacing/>
                    <w:rPr>
                      <w:sz w:val="20"/>
                      <w:szCs w:val="20"/>
                    </w:rPr>
                  </w:pPr>
                </w:p>
                <w:p w:rsidR="00981E42" w:rsidRDefault="007B24BC" w:rsidP="003A64EF">
                  <w:pPr>
                    <w:pStyle w:val="Default"/>
                    <w:numPr>
                      <w:ilvl w:val="0"/>
                      <w:numId w:val="43"/>
                    </w:numPr>
                    <w:contextualSpacing/>
                    <w:rPr>
                      <w:sz w:val="20"/>
                      <w:szCs w:val="20"/>
                    </w:rPr>
                  </w:pPr>
                  <w:r w:rsidRPr="002F2327">
                    <w:rPr>
                      <w:sz w:val="20"/>
                      <w:szCs w:val="20"/>
                    </w:rPr>
                    <w:t xml:space="preserve">Provide feedback, advice and guidance via phone, email and face to face for referring clinicians as to how conditions can be managed within primary care where appropriate, or provide advice and guidance on requests to encourage and promote up-skilling in primary care </w:t>
                  </w:r>
                </w:p>
                <w:p w:rsidR="00981E42" w:rsidRDefault="00981E42" w:rsidP="00981E42">
                  <w:pPr>
                    <w:pStyle w:val="Default"/>
                    <w:ind w:left="360"/>
                    <w:contextualSpacing/>
                    <w:rPr>
                      <w:sz w:val="20"/>
                      <w:szCs w:val="20"/>
                    </w:rPr>
                  </w:pPr>
                </w:p>
                <w:p w:rsidR="00981E42" w:rsidRDefault="00714DA4" w:rsidP="003A64EF">
                  <w:pPr>
                    <w:pStyle w:val="Default"/>
                    <w:numPr>
                      <w:ilvl w:val="0"/>
                      <w:numId w:val="43"/>
                    </w:numPr>
                    <w:contextualSpacing/>
                    <w:rPr>
                      <w:sz w:val="20"/>
                      <w:szCs w:val="20"/>
                    </w:rPr>
                  </w:pPr>
                  <w:r w:rsidRPr="00981E42">
                    <w:rPr>
                      <w:sz w:val="20"/>
                      <w:szCs w:val="20"/>
                    </w:rPr>
                    <w:t>Telephone advice line for GPs</w:t>
                  </w:r>
                </w:p>
                <w:p w:rsidR="00981E42" w:rsidRDefault="00981E42" w:rsidP="00981E42">
                  <w:pPr>
                    <w:pStyle w:val="ListParagraph"/>
                    <w:rPr>
                      <w:sz w:val="20"/>
                      <w:szCs w:val="20"/>
                    </w:rPr>
                  </w:pPr>
                </w:p>
                <w:p w:rsidR="00981E42" w:rsidRDefault="008F3814" w:rsidP="003A64EF">
                  <w:pPr>
                    <w:pStyle w:val="Default"/>
                    <w:numPr>
                      <w:ilvl w:val="0"/>
                      <w:numId w:val="43"/>
                    </w:numPr>
                    <w:contextualSpacing/>
                    <w:rPr>
                      <w:sz w:val="20"/>
                      <w:szCs w:val="20"/>
                    </w:rPr>
                  </w:pPr>
                  <w:r w:rsidRPr="00981E42">
                    <w:rPr>
                      <w:sz w:val="20"/>
                      <w:szCs w:val="20"/>
                    </w:rPr>
                    <w:t>Feedback letters to GPs with educational content and signposting to relevant educational resources.</w:t>
                  </w:r>
                </w:p>
                <w:p w:rsidR="00981E42" w:rsidRDefault="00981E42" w:rsidP="00981E42">
                  <w:pPr>
                    <w:pStyle w:val="ListParagraph"/>
                    <w:rPr>
                      <w:sz w:val="20"/>
                      <w:szCs w:val="20"/>
                    </w:rPr>
                  </w:pPr>
                </w:p>
                <w:p w:rsidR="00981E42" w:rsidRDefault="008F3814" w:rsidP="003A64EF">
                  <w:pPr>
                    <w:pStyle w:val="Default"/>
                    <w:numPr>
                      <w:ilvl w:val="0"/>
                      <w:numId w:val="43"/>
                    </w:numPr>
                    <w:contextualSpacing/>
                    <w:rPr>
                      <w:sz w:val="20"/>
                      <w:szCs w:val="20"/>
                    </w:rPr>
                  </w:pPr>
                  <w:r w:rsidRPr="00981E42">
                    <w:rPr>
                      <w:sz w:val="20"/>
                      <w:szCs w:val="20"/>
                    </w:rPr>
                    <w:t>Website with educational content and resources, frequently asked questions and case scenarios.</w:t>
                  </w:r>
                </w:p>
                <w:p w:rsidR="00981E42" w:rsidRDefault="00981E42" w:rsidP="00981E42">
                  <w:pPr>
                    <w:pStyle w:val="ListParagraph"/>
                    <w:rPr>
                      <w:sz w:val="20"/>
                      <w:szCs w:val="20"/>
                    </w:rPr>
                  </w:pPr>
                </w:p>
                <w:p w:rsidR="00981E42" w:rsidRDefault="008F3814" w:rsidP="003A64EF">
                  <w:pPr>
                    <w:pStyle w:val="Default"/>
                    <w:numPr>
                      <w:ilvl w:val="0"/>
                      <w:numId w:val="43"/>
                    </w:numPr>
                    <w:contextualSpacing/>
                    <w:rPr>
                      <w:sz w:val="20"/>
                      <w:szCs w:val="20"/>
                    </w:rPr>
                  </w:pPr>
                  <w:r w:rsidRPr="00981E42">
                    <w:rPr>
                      <w:sz w:val="20"/>
                      <w:szCs w:val="20"/>
                    </w:rPr>
                    <w:t xml:space="preserve">Referral proformas and pathways for common conditions available on the website (including hand, elbow, </w:t>
                  </w:r>
                  <w:r w:rsidR="00E34D24" w:rsidRPr="00981E42">
                    <w:rPr>
                      <w:sz w:val="20"/>
                      <w:szCs w:val="20"/>
                    </w:rPr>
                    <w:t xml:space="preserve">carpal tunnel, </w:t>
                  </w:r>
                  <w:r w:rsidRPr="00981E42">
                    <w:rPr>
                      <w:sz w:val="20"/>
                      <w:szCs w:val="20"/>
                    </w:rPr>
                    <w:t>foot/ankle,</w:t>
                  </w:r>
                  <w:r w:rsidR="00E34D24" w:rsidRPr="00981E42">
                    <w:rPr>
                      <w:sz w:val="20"/>
                      <w:szCs w:val="20"/>
                    </w:rPr>
                    <w:t xml:space="preserve"> </w:t>
                  </w:r>
                  <w:r w:rsidRPr="00981E42">
                    <w:rPr>
                      <w:sz w:val="20"/>
                      <w:szCs w:val="20"/>
                    </w:rPr>
                    <w:t xml:space="preserve">back pain, shoulder, knee, hip, </w:t>
                  </w:r>
                  <w:r w:rsidR="00E34D24" w:rsidRPr="00981E42">
                    <w:rPr>
                      <w:sz w:val="20"/>
                      <w:szCs w:val="20"/>
                    </w:rPr>
                    <w:t>inflammatory arthritis)</w:t>
                  </w:r>
                  <w:r w:rsidRPr="00981E42">
                    <w:rPr>
                      <w:sz w:val="20"/>
                      <w:szCs w:val="20"/>
                    </w:rPr>
                    <w:t>. All referrals to the service will need to use such proformas.</w:t>
                  </w:r>
                </w:p>
                <w:p w:rsidR="00981E42" w:rsidRDefault="00981E42" w:rsidP="00981E42">
                  <w:pPr>
                    <w:pStyle w:val="ListParagraph"/>
                    <w:rPr>
                      <w:sz w:val="20"/>
                      <w:szCs w:val="20"/>
                    </w:rPr>
                  </w:pPr>
                </w:p>
                <w:p w:rsidR="00981E42" w:rsidRDefault="00E34D24" w:rsidP="003A64EF">
                  <w:pPr>
                    <w:pStyle w:val="Default"/>
                    <w:numPr>
                      <w:ilvl w:val="0"/>
                      <w:numId w:val="43"/>
                    </w:numPr>
                    <w:contextualSpacing/>
                    <w:rPr>
                      <w:sz w:val="20"/>
                      <w:szCs w:val="20"/>
                    </w:rPr>
                  </w:pPr>
                  <w:r w:rsidRPr="00981E42">
                    <w:rPr>
                      <w:sz w:val="20"/>
                      <w:szCs w:val="20"/>
                    </w:rPr>
                    <w:t>Opportunities for GPs to observe MSK clinics so that they gain experience.</w:t>
                  </w:r>
                </w:p>
                <w:p w:rsidR="00981E42" w:rsidRDefault="00981E42" w:rsidP="00981E42">
                  <w:pPr>
                    <w:pStyle w:val="ListParagraph"/>
                    <w:rPr>
                      <w:sz w:val="20"/>
                      <w:szCs w:val="20"/>
                    </w:rPr>
                  </w:pPr>
                </w:p>
                <w:p w:rsidR="00981E42" w:rsidRDefault="00E34D24" w:rsidP="003A64EF">
                  <w:pPr>
                    <w:pStyle w:val="Default"/>
                    <w:numPr>
                      <w:ilvl w:val="0"/>
                      <w:numId w:val="43"/>
                    </w:numPr>
                    <w:contextualSpacing/>
                    <w:rPr>
                      <w:sz w:val="20"/>
                      <w:szCs w:val="20"/>
                    </w:rPr>
                  </w:pPr>
                  <w:r w:rsidRPr="00981E42">
                    <w:rPr>
                      <w:sz w:val="20"/>
                      <w:szCs w:val="20"/>
                    </w:rPr>
                    <w:t xml:space="preserve">Structured discharge letters with clear management plan and follow up arrangements, if needed, using language that patients can understand.  </w:t>
                  </w:r>
                </w:p>
                <w:p w:rsidR="00981E42" w:rsidRDefault="00981E42" w:rsidP="00981E42">
                  <w:pPr>
                    <w:pStyle w:val="ListParagraph"/>
                    <w:rPr>
                      <w:sz w:val="20"/>
                      <w:szCs w:val="20"/>
                    </w:rPr>
                  </w:pPr>
                </w:p>
                <w:p w:rsidR="00F24985" w:rsidRPr="00981E42" w:rsidRDefault="00F24985" w:rsidP="003A64EF">
                  <w:pPr>
                    <w:pStyle w:val="Default"/>
                    <w:numPr>
                      <w:ilvl w:val="0"/>
                      <w:numId w:val="43"/>
                    </w:numPr>
                    <w:contextualSpacing/>
                    <w:rPr>
                      <w:sz w:val="20"/>
                      <w:szCs w:val="20"/>
                    </w:rPr>
                  </w:pPr>
                  <w:r w:rsidRPr="00981E42">
                    <w:rPr>
                      <w:sz w:val="20"/>
                      <w:szCs w:val="20"/>
                    </w:rPr>
                    <w:t xml:space="preserve">GPs report a positive experience of the service and the training delivered </w:t>
                  </w:r>
                </w:p>
                <w:p w:rsidR="002C1817" w:rsidRPr="001679EF" w:rsidRDefault="002C1817" w:rsidP="003A64EF">
                  <w:pPr>
                    <w:pStyle w:val="Default"/>
                    <w:contextualSpacing/>
                    <w:rPr>
                      <w:sz w:val="20"/>
                      <w:szCs w:val="20"/>
                    </w:rPr>
                  </w:pPr>
                </w:p>
              </w:tc>
            </w:tr>
            <w:tr w:rsidR="006E13DA" w:rsidRPr="00BA4B35" w:rsidTr="00981E42">
              <w:tc>
                <w:tcPr>
                  <w:tcW w:w="1872" w:type="dxa"/>
                  <w:shd w:val="clear" w:color="auto" w:fill="auto"/>
                </w:tcPr>
                <w:p w:rsidR="006E13DA" w:rsidRPr="001679EF" w:rsidRDefault="006E13DA" w:rsidP="003A64EF">
                  <w:pPr>
                    <w:pStyle w:val="Default"/>
                    <w:contextualSpacing/>
                    <w:rPr>
                      <w:sz w:val="20"/>
                      <w:szCs w:val="20"/>
                    </w:rPr>
                  </w:pPr>
                  <w:r>
                    <w:rPr>
                      <w:sz w:val="20"/>
                      <w:szCs w:val="20"/>
                    </w:rPr>
                    <w:t>Proactive, coordinated care via integration of services for increased benefits to patients</w:t>
                  </w:r>
                </w:p>
              </w:tc>
              <w:tc>
                <w:tcPr>
                  <w:tcW w:w="7031" w:type="dxa"/>
                  <w:shd w:val="clear" w:color="auto" w:fill="auto"/>
                </w:tcPr>
                <w:p w:rsidR="00981E42" w:rsidRDefault="005C596A" w:rsidP="006E13DA">
                  <w:pPr>
                    <w:pStyle w:val="Default"/>
                    <w:numPr>
                      <w:ilvl w:val="0"/>
                      <w:numId w:val="43"/>
                    </w:numPr>
                    <w:contextualSpacing/>
                    <w:rPr>
                      <w:sz w:val="20"/>
                      <w:szCs w:val="20"/>
                    </w:rPr>
                  </w:pPr>
                  <w:r w:rsidRPr="002F2327">
                    <w:rPr>
                      <w:sz w:val="20"/>
                      <w:szCs w:val="20"/>
                    </w:rPr>
                    <w:t xml:space="preserve">To deliver an integrated service which works closely with other service providers across the local healthcare system maximising efficiencies and delivering high quality care </w:t>
                  </w:r>
                </w:p>
                <w:p w:rsidR="00981E42" w:rsidRDefault="00981E42" w:rsidP="00981E42">
                  <w:pPr>
                    <w:pStyle w:val="Default"/>
                    <w:ind w:left="360"/>
                    <w:contextualSpacing/>
                    <w:rPr>
                      <w:sz w:val="20"/>
                      <w:szCs w:val="20"/>
                    </w:rPr>
                  </w:pPr>
                </w:p>
                <w:p w:rsidR="00981E42" w:rsidRDefault="006E13DA" w:rsidP="006E13DA">
                  <w:pPr>
                    <w:pStyle w:val="Default"/>
                    <w:numPr>
                      <w:ilvl w:val="0"/>
                      <w:numId w:val="43"/>
                    </w:numPr>
                    <w:contextualSpacing/>
                    <w:rPr>
                      <w:sz w:val="20"/>
                      <w:szCs w:val="20"/>
                    </w:rPr>
                  </w:pPr>
                  <w:r w:rsidRPr="00981E42">
                    <w:rPr>
                      <w:sz w:val="20"/>
                      <w:szCs w:val="20"/>
                    </w:rPr>
                    <w:t xml:space="preserve">Integrate with relevant partner services such as pain, medical consultants, and psychological services. </w:t>
                  </w:r>
                </w:p>
                <w:p w:rsidR="00981E42" w:rsidRDefault="00981E42" w:rsidP="00981E42">
                  <w:pPr>
                    <w:pStyle w:val="ListParagraph"/>
                    <w:rPr>
                      <w:sz w:val="20"/>
                      <w:szCs w:val="20"/>
                    </w:rPr>
                  </w:pPr>
                </w:p>
                <w:p w:rsidR="006E13DA" w:rsidRPr="00981E42" w:rsidRDefault="006E13DA" w:rsidP="006E13DA">
                  <w:pPr>
                    <w:pStyle w:val="Default"/>
                    <w:numPr>
                      <w:ilvl w:val="0"/>
                      <w:numId w:val="43"/>
                    </w:numPr>
                    <w:contextualSpacing/>
                    <w:rPr>
                      <w:sz w:val="20"/>
                      <w:szCs w:val="20"/>
                    </w:rPr>
                  </w:pPr>
                  <w:r w:rsidRPr="00981E42">
                    <w:rPr>
                      <w:sz w:val="20"/>
                      <w:szCs w:val="20"/>
                    </w:rPr>
                    <w:t>Improve clinical pathways, through joint working between primary &amp; secondary care, community providers, and clinicians</w:t>
                  </w:r>
                </w:p>
                <w:p w:rsidR="006E13DA" w:rsidRPr="002F2327" w:rsidRDefault="006E13DA" w:rsidP="00981E42">
                  <w:pPr>
                    <w:pStyle w:val="Default"/>
                    <w:contextualSpacing/>
                    <w:rPr>
                      <w:sz w:val="20"/>
                      <w:szCs w:val="20"/>
                    </w:rPr>
                  </w:pPr>
                </w:p>
              </w:tc>
            </w:tr>
            <w:tr w:rsidR="00F24985" w:rsidRPr="00BA4B35" w:rsidTr="00981E42">
              <w:tc>
                <w:tcPr>
                  <w:tcW w:w="1872" w:type="dxa"/>
                  <w:shd w:val="clear" w:color="auto" w:fill="auto"/>
                </w:tcPr>
                <w:p w:rsidR="00F24985" w:rsidRPr="001679EF" w:rsidRDefault="00F24985" w:rsidP="003A64EF">
                  <w:pPr>
                    <w:pStyle w:val="Default"/>
                    <w:contextualSpacing/>
                    <w:rPr>
                      <w:sz w:val="20"/>
                      <w:szCs w:val="20"/>
                    </w:rPr>
                  </w:pPr>
                  <w:r w:rsidRPr="001679EF">
                    <w:rPr>
                      <w:sz w:val="20"/>
                      <w:szCs w:val="20"/>
                    </w:rPr>
                    <w:t xml:space="preserve">Reduction in secondary care activity and consequent savings: a shift of activity from secondary care to community based settings when clinically appropriate for the patient. </w:t>
                  </w:r>
                </w:p>
              </w:tc>
              <w:tc>
                <w:tcPr>
                  <w:tcW w:w="7031" w:type="dxa"/>
                  <w:shd w:val="clear" w:color="auto" w:fill="auto"/>
                </w:tcPr>
                <w:p w:rsidR="00981E42" w:rsidRDefault="00F24985" w:rsidP="003A64EF">
                  <w:pPr>
                    <w:pStyle w:val="Default"/>
                    <w:numPr>
                      <w:ilvl w:val="0"/>
                      <w:numId w:val="44"/>
                    </w:numPr>
                    <w:contextualSpacing/>
                    <w:rPr>
                      <w:bCs/>
                      <w:sz w:val="20"/>
                      <w:szCs w:val="20"/>
                    </w:rPr>
                  </w:pPr>
                  <w:r w:rsidRPr="001679EF">
                    <w:rPr>
                      <w:bCs/>
                      <w:sz w:val="20"/>
                      <w:szCs w:val="20"/>
                    </w:rPr>
                    <w:t xml:space="preserve">Maintained reduction in utilisation of secondary care; </w:t>
                  </w:r>
                </w:p>
                <w:p w:rsidR="00981E42" w:rsidRDefault="00981E42" w:rsidP="00981E42">
                  <w:pPr>
                    <w:pStyle w:val="Default"/>
                    <w:ind w:left="360"/>
                    <w:contextualSpacing/>
                    <w:rPr>
                      <w:bCs/>
                      <w:sz w:val="20"/>
                      <w:szCs w:val="20"/>
                    </w:rPr>
                  </w:pPr>
                </w:p>
                <w:p w:rsidR="00981E42" w:rsidRDefault="007B24BC" w:rsidP="003A64EF">
                  <w:pPr>
                    <w:pStyle w:val="Default"/>
                    <w:numPr>
                      <w:ilvl w:val="0"/>
                      <w:numId w:val="44"/>
                    </w:numPr>
                    <w:contextualSpacing/>
                    <w:rPr>
                      <w:bCs/>
                      <w:sz w:val="20"/>
                      <w:szCs w:val="20"/>
                    </w:rPr>
                  </w:pPr>
                  <w:r w:rsidRPr="00981E42">
                    <w:rPr>
                      <w:sz w:val="20"/>
                      <w:szCs w:val="20"/>
                    </w:rPr>
                    <w:t xml:space="preserve">To deliver clinically effective treatments that reduce the demand on secondary care (acute) services and reduces the need for more costly interventions </w:t>
                  </w:r>
                </w:p>
                <w:p w:rsidR="00981E42" w:rsidRDefault="00981E42" w:rsidP="00981E42">
                  <w:pPr>
                    <w:pStyle w:val="ListParagraph"/>
                    <w:rPr>
                      <w:sz w:val="20"/>
                      <w:szCs w:val="20"/>
                    </w:rPr>
                  </w:pPr>
                </w:p>
                <w:p w:rsidR="006E13DA" w:rsidRPr="00981E42" w:rsidRDefault="00B05A1F" w:rsidP="006E13DA">
                  <w:pPr>
                    <w:pStyle w:val="Default"/>
                    <w:numPr>
                      <w:ilvl w:val="0"/>
                      <w:numId w:val="44"/>
                    </w:numPr>
                    <w:contextualSpacing/>
                    <w:rPr>
                      <w:bCs/>
                      <w:sz w:val="20"/>
                      <w:szCs w:val="20"/>
                    </w:rPr>
                  </w:pPr>
                  <w:r w:rsidRPr="00981E42">
                    <w:rPr>
                      <w:sz w:val="20"/>
                      <w:szCs w:val="20"/>
                    </w:rPr>
                    <w:t>Increased c</w:t>
                  </w:r>
                  <w:r w:rsidR="00F24985" w:rsidRPr="00981E42">
                    <w:rPr>
                      <w:sz w:val="20"/>
                      <w:szCs w:val="20"/>
                    </w:rPr>
                    <w:t xml:space="preserve">onversion rate to surgery for main provider acute trusts </w:t>
                  </w:r>
                </w:p>
              </w:tc>
            </w:tr>
          </w:tbl>
          <w:p w:rsidR="00420BB6" w:rsidRDefault="00420BB6" w:rsidP="003A64EF">
            <w:pPr>
              <w:spacing w:after="0"/>
              <w:contextualSpacing/>
              <w:rPr>
                <w:rFonts w:ascii="Arial" w:hAnsi="Arial" w:cs="Arial"/>
                <w:b/>
                <w:color w:val="F79646"/>
                <w:sz w:val="20"/>
              </w:rPr>
            </w:pPr>
          </w:p>
          <w:p w:rsidR="00420BB6" w:rsidRPr="00296DE0" w:rsidRDefault="00420BB6" w:rsidP="003A64EF">
            <w:pPr>
              <w:pStyle w:val="BodyText"/>
              <w:contextualSpacing/>
              <w:jc w:val="both"/>
              <w:rPr>
                <w:b/>
                <w:color w:val="F79646"/>
                <w:sz w:val="20"/>
              </w:rPr>
            </w:pPr>
          </w:p>
        </w:tc>
      </w:tr>
      <w:tr w:rsidR="00420BB6" w:rsidRPr="00296DE0" w:rsidTr="004B479E">
        <w:tc>
          <w:tcPr>
            <w:tcW w:w="8414"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3.</w:t>
            </w:r>
            <w:r w:rsidRPr="00296DE0">
              <w:rPr>
                <w:rFonts w:ascii="Arial" w:hAnsi="Arial" w:cs="Arial"/>
                <w:b/>
                <w:color w:val="F79646"/>
              </w:rPr>
              <w:tab/>
              <w:t>Scope</w:t>
            </w:r>
          </w:p>
        </w:tc>
      </w:tr>
      <w:tr w:rsidR="00420BB6" w:rsidRPr="006A2B41" w:rsidTr="004B479E">
        <w:tc>
          <w:tcPr>
            <w:tcW w:w="8414" w:type="dxa"/>
            <w:shd w:val="clear" w:color="auto" w:fill="auto"/>
          </w:tcPr>
          <w:p w:rsidR="00420BB6" w:rsidRPr="006A2B41" w:rsidRDefault="00420BB6" w:rsidP="003A64EF">
            <w:pPr>
              <w:spacing w:after="0"/>
              <w:contextualSpacing/>
              <w:rPr>
                <w:rFonts w:ascii="Arial" w:hAnsi="Arial" w:cs="Arial"/>
                <w:sz w:val="20"/>
              </w:rPr>
            </w:pPr>
          </w:p>
          <w:p w:rsidR="00420BB6" w:rsidRPr="006A2B41" w:rsidRDefault="00420BB6" w:rsidP="003A64EF">
            <w:pPr>
              <w:spacing w:after="0"/>
              <w:contextualSpacing/>
              <w:rPr>
                <w:rFonts w:ascii="Arial" w:hAnsi="Arial" w:cs="Arial"/>
                <w:b/>
                <w:color w:val="009966"/>
                <w:sz w:val="20"/>
              </w:rPr>
            </w:pPr>
            <w:r w:rsidRPr="006A2B41">
              <w:rPr>
                <w:rFonts w:ascii="Arial" w:hAnsi="Arial" w:cs="Arial"/>
                <w:b/>
                <w:color w:val="009966"/>
                <w:sz w:val="20"/>
              </w:rPr>
              <w:t>3.1</w:t>
            </w:r>
            <w:r w:rsidRPr="006A2B41">
              <w:rPr>
                <w:rFonts w:ascii="Arial" w:hAnsi="Arial" w:cs="Arial"/>
                <w:b/>
                <w:color w:val="009966"/>
                <w:sz w:val="20"/>
              </w:rPr>
              <w:tab/>
              <w:t>Aims and objectives of service</w:t>
            </w:r>
          </w:p>
          <w:p w:rsidR="004B479E" w:rsidRPr="006A2B41" w:rsidRDefault="004B479E" w:rsidP="003A64EF">
            <w:pPr>
              <w:pStyle w:val="NoSpacing"/>
              <w:contextualSpacing/>
              <w:rPr>
                <w:rFonts w:ascii="Arial" w:hAnsi="Arial" w:cs="Arial"/>
                <w:color w:val="000000"/>
                <w:sz w:val="20"/>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3.1.1 The purpose of this specification is to set out the requirements for an Integrated Musculoskeletal </w:t>
            </w:r>
            <w:r w:rsidR="00A26AAA" w:rsidRPr="006A2B41">
              <w:rPr>
                <w:rFonts w:ascii="Arial" w:eastAsia="Calibri" w:hAnsi="Arial" w:cs="Arial"/>
                <w:color w:val="000000"/>
                <w:sz w:val="20"/>
                <w:lang w:val="en-GB" w:eastAsia="en-GB"/>
              </w:rPr>
              <w:t xml:space="preserve">and Pain </w:t>
            </w:r>
            <w:r w:rsidRPr="006A2B41">
              <w:rPr>
                <w:rFonts w:ascii="Arial" w:eastAsia="Calibri" w:hAnsi="Arial" w:cs="Arial"/>
                <w:color w:val="000000"/>
                <w:sz w:val="20"/>
                <w:lang w:val="en-GB" w:eastAsia="en-GB"/>
              </w:rPr>
              <w:t>Service (</w:t>
            </w:r>
            <w:r w:rsidR="00D25E9C">
              <w:rPr>
                <w:rFonts w:ascii="Arial" w:eastAsia="Calibri" w:hAnsi="Arial" w:cs="Arial"/>
                <w:color w:val="000000"/>
                <w:sz w:val="20"/>
                <w:lang w:val="en-GB" w:eastAsia="en-GB"/>
              </w:rPr>
              <w:t>incorporating an MSK pathway with increased community options commissioned separately by the CCG</w:t>
            </w:r>
            <w:r w:rsidRPr="006A2B41">
              <w:rPr>
                <w:rFonts w:ascii="Arial" w:eastAsia="Calibri" w:hAnsi="Arial" w:cs="Arial"/>
                <w:color w:val="000000"/>
                <w:sz w:val="20"/>
                <w:lang w:val="en-GB" w:eastAsia="en-GB"/>
              </w:rPr>
              <w:t xml:space="preserve">) for the registered GP population of NHS </w:t>
            </w:r>
            <w:r w:rsidR="00A26AAA" w:rsidRPr="006A2B41">
              <w:rPr>
                <w:rFonts w:ascii="Arial" w:eastAsia="Calibri" w:hAnsi="Arial" w:cs="Arial"/>
                <w:color w:val="000000"/>
                <w:sz w:val="20"/>
                <w:lang w:val="en-GB" w:eastAsia="en-GB"/>
              </w:rPr>
              <w:t>Tower Hamlets</w:t>
            </w:r>
            <w:r w:rsidR="00691D9C" w:rsidRPr="006A2B41">
              <w:rPr>
                <w:rFonts w:ascii="Arial" w:eastAsia="Calibri" w:hAnsi="Arial" w:cs="Arial"/>
                <w:color w:val="000000"/>
                <w:sz w:val="20"/>
                <w:lang w:val="en-GB" w:eastAsia="en-GB"/>
              </w:rPr>
              <w:t xml:space="preserve"> CCG (the Commissioner). </w:t>
            </w:r>
          </w:p>
          <w:p w:rsidR="000E1BB6" w:rsidRPr="006A2B41" w:rsidRDefault="000E1BB6" w:rsidP="003A64EF">
            <w:pPr>
              <w:pageBreakBefore/>
              <w:autoSpaceDE w:val="0"/>
              <w:autoSpaceDN w:val="0"/>
              <w:adjustRightInd w:val="0"/>
              <w:spacing w:after="0"/>
              <w:contextualSpacing/>
              <w:rPr>
                <w:rFonts w:ascii="Arial" w:eastAsia="Calibri" w:hAnsi="Arial" w:cs="Arial"/>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3.1.2 The proposed contract for the service will run for a period of 36 months with an option to extend for a further two years with variations incorporated based on regular evaluation, monitoring and termination of contract as outlined in the NHS Standard Contract for Community Services – Bilateral. </w:t>
            </w:r>
          </w:p>
          <w:p w:rsidR="000E1BB6" w:rsidRPr="006A2B41" w:rsidRDefault="000E1BB6" w:rsidP="003A64EF">
            <w:pPr>
              <w:autoSpaceDE w:val="0"/>
              <w:autoSpaceDN w:val="0"/>
              <w:adjustRightInd w:val="0"/>
              <w:spacing w:after="0"/>
              <w:contextualSpacing/>
              <w:rPr>
                <w:rFonts w:ascii="Arial" w:eastAsia="Calibri" w:hAnsi="Arial" w:cs="Arial"/>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3.1.3 </w:t>
            </w:r>
            <w:r w:rsidR="00791D0C" w:rsidRPr="006A2B41">
              <w:rPr>
                <w:rFonts w:ascii="Arial" w:eastAsia="Calibri" w:hAnsi="Arial" w:cs="Arial"/>
                <w:sz w:val="20"/>
                <w:lang w:val="en-GB" w:eastAsia="en-GB"/>
              </w:rPr>
              <w:t xml:space="preserve">The </w:t>
            </w:r>
            <w:r w:rsidRPr="006A2B41">
              <w:rPr>
                <w:rFonts w:ascii="Arial" w:eastAsia="Calibri" w:hAnsi="Arial" w:cs="Arial"/>
                <w:sz w:val="20"/>
                <w:lang w:val="en-GB" w:eastAsia="en-GB"/>
              </w:rPr>
              <w:t>Integrated Musculoskeletal</w:t>
            </w:r>
            <w:r w:rsidR="00791D0C" w:rsidRPr="006A2B41">
              <w:rPr>
                <w:rFonts w:ascii="Arial" w:eastAsia="Calibri" w:hAnsi="Arial" w:cs="Arial"/>
                <w:sz w:val="20"/>
                <w:lang w:val="en-GB" w:eastAsia="en-GB"/>
              </w:rPr>
              <w:t xml:space="preserve"> and Pain</w:t>
            </w:r>
            <w:r w:rsidRPr="006A2B41">
              <w:rPr>
                <w:rFonts w:ascii="Arial" w:eastAsia="Calibri" w:hAnsi="Arial" w:cs="Arial"/>
                <w:sz w:val="20"/>
                <w:lang w:val="en-GB" w:eastAsia="en-GB"/>
              </w:rPr>
              <w:t xml:space="preserve"> Service will serve as a single point of referral for patients being referred by health professionals for musculoskeletal </w:t>
            </w:r>
            <w:r w:rsidR="00BA4CB8" w:rsidRPr="006A2B41">
              <w:rPr>
                <w:rFonts w:ascii="Arial" w:eastAsia="Calibri" w:hAnsi="Arial" w:cs="Arial"/>
                <w:sz w:val="20"/>
                <w:lang w:val="en-GB" w:eastAsia="en-GB"/>
              </w:rPr>
              <w:t xml:space="preserve">and pain </w:t>
            </w:r>
            <w:r w:rsidRPr="006A2B41">
              <w:rPr>
                <w:rFonts w:ascii="Arial" w:eastAsia="Calibri" w:hAnsi="Arial" w:cs="Arial"/>
                <w:sz w:val="20"/>
                <w:lang w:val="en-GB" w:eastAsia="en-GB"/>
              </w:rPr>
              <w:t>assessments, diagnosis and management planning.</w:t>
            </w:r>
          </w:p>
          <w:p w:rsidR="000E1BB6" w:rsidRPr="006A2B41" w:rsidRDefault="000E1BB6" w:rsidP="003A64EF">
            <w:pPr>
              <w:autoSpaceDE w:val="0"/>
              <w:autoSpaceDN w:val="0"/>
              <w:adjustRightInd w:val="0"/>
              <w:spacing w:after="0"/>
              <w:contextualSpacing/>
              <w:rPr>
                <w:rFonts w:ascii="Arial" w:eastAsia="Calibri" w:hAnsi="Arial" w:cs="Arial"/>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3.1.4 The aim of the Integrated Musculoskeletal</w:t>
            </w:r>
            <w:r w:rsidR="00BA4CB8" w:rsidRPr="006A2B41">
              <w:rPr>
                <w:rFonts w:ascii="Arial" w:eastAsia="Calibri" w:hAnsi="Arial" w:cs="Arial"/>
                <w:sz w:val="20"/>
                <w:lang w:val="en-GB" w:eastAsia="en-GB"/>
              </w:rPr>
              <w:t xml:space="preserve"> and Pain</w:t>
            </w:r>
            <w:r w:rsidRPr="006A2B41">
              <w:rPr>
                <w:rFonts w:ascii="Arial" w:eastAsia="Calibri" w:hAnsi="Arial" w:cs="Arial"/>
                <w:sz w:val="20"/>
                <w:lang w:val="en-GB" w:eastAsia="en-GB"/>
              </w:rPr>
              <w:t xml:space="preserve"> Service is to improve the quality of healthcare services and clinical outcomes for patients with MSK</w:t>
            </w:r>
            <w:r w:rsidR="00BA4CB8" w:rsidRPr="006A2B41">
              <w:rPr>
                <w:rFonts w:ascii="Arial" w:eastAsia="Calibri" w:hAnsi="Arial" w:cs="Arial"/>
                <w:sz w:val="20"/>
                <w:lang w:val="en-GB" w:eastAsia="en-GB"/>
              </w:rPr>
              <w:t xml:space="preserve"> and Pain</w:t>
            </w:r>
            <w:r w:rsidRPr="006A2B41">
              <w:rPr>
                <w:rFonts w:ascii="Arial" w:eastAsia="Calibri" w:hAnsi="Arial" w:cs="Arial"/>
                <w:sz w:val="20"/>
                <w:lang w:val="en-GB" w:eastAsia="en-GB"/>
              </w:rPr>
              <w:t xml:space="preserve"> conditions, reduce waiting times for access to assessment and treatment, facilitate patients being seen by the right provider at the initial point of contact, increase access for patients with MSK</w:t>
            </w:r>
            <w:r w:rsidR="00BA4CB8" w:rsidRPr="006A2B41">
              <w:rPr>
                <w:rFonts w:ascii="Arial" w:eastAsia="Calibri" w:hAnsi="Arial" w:cs="Arial"/>
                <w:sz w:val="20"/>
                <w:lang w:val="en-GB" w:eastAsia="en-GB"/>
              </w:rPr>
              <w:t xml:space="preserve"> and Pain</w:t>
            </w:r>
            <w:r w:rsidRPr="006A2B41">
              <w:rPr>
                <w:rFonts w:ascii="Arial" w:eastAsia="Calibri" w:hAnsi="Arial" w:cs="Arial"/>
                <w:sz w:val="20"/>
                <w:lang w:val="en-GB" w:eastAsia="en-GB"/>
              </w:rPr>
              <w:t xml:space="preserve"> conditions as an alternative to secondary care assessment and provide value for money through increasing efficiency. </w:t>
            </w:r>
          </w:p>
          <w:p w:rsidR="000E1BB6" w:rsidRPr="006A2B41" w:rsidRDefault="000E1BB6" w:rsidP="003A64EF">
            <w:pPr>
              <w:autoSpaceDE w:val="0"/>
              <w:autoSpaceDN w:val="0"/>
              <w:adjustRightInd w:val="0"/>
              <w:spacing w:after="0"/>
              <w:contextualSpacing/>
              <w:rPr>
                <w:rFonts w:ascii="Arial" w:eastAsia="Calibri" w:hAnsi="Arial" w:cs="Arial"/>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3.1.5 The key benefits of the proposed service will be to provide: </w:t>
            </w:r>
          </w:p>
          <w:p w:rsidR="000E1BB6" w:rsidRPr="006A2B41" w:rsidRDefault="000E1BB6" w:rsidP="00665FD4">
            <w:pPr>
              <w:numPr>
                <w:ilvl w:val="0"/>
                <w:numId w:val="7"/>
              </w:num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a single point of access to musculoskeletal</w:t>
            </w:r>
            <w:r w:rsidR="00BA4CB8" w:rsidRPr="006A2B41">
              <w:rPr>
                <w:rFonts w:ascii="Arial" w:eastAsia="Calibri" w:hAnsi="Arial" w:cs="Arial"/>
                <w:sz w:val="20"/>
                <w:lang w:val="en-GB" w:eastAsia="en-GB"/>
              </w:rPr>
              <w:t xml:space="preserve"> and pain</w:t>
            </w:r>
            <w:r w:rsidRPr="006A2B41">
              <w:rPr>
                <w:rFonts w:ascii="Arial" w:eastAsia="Calibri" w:hAnsi="Arial" w:cs="Arial"/>
                <w:sz w:val="20"/>
                <w:lang w:val="en-GB" w:eastAsia="en-GB"/>
              </w:rPr>
              <w:t xml:space="preserve"> services </w:t>
            </w:r>
          </w:p>
          <w:p w:rsidR="000E1BB6" w:rsidRPr="006A2B41" w:rsidRDefault="000E1BB6" w:rsidP="00665FD4">
            <w:pPr>
              <w:numPr>
                <w:ilvl w:val="0"/>
                <w:numId w:val="7"/>
              </w:num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equality of access to patients </w:t>
            </w:r>
          </w:p>
          <w:p w:rsidR="000E1BB6" w:rsidRPr="006A2B41" w:rsidRDefault="000E1BB6" w:rsidP="00665FD4">
            <w:pPr>
              <w:numPr>
                <w:ilvl w:val="0"/>
                <w:numId w:val="7"/>
              </w:num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treatment and care close to home or place of work, in accessible locations </w:t>
            </w:r>
          </w:p>
          <w:p w:rsidR="000E1BB6" w:rsidRPr="006A2B41" w:rsidRDefault="000E1BB6" w:rsidP="00665FD4">
            <w:pPr>
              <w:numPr>
                <w:ilvl w:val="0"/>
                <w:numId w:val="7"/>
              </w:num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reduced unnecessary utilisation of secondary and tertiary resources </w:t>
            </w:r>
          </w:p>
          <w:p w:rsidR="00BA4CB8" w:rsidRPr="006A2B41" w:rsidRDefault="000E1BB6" w:rsidP="00665FD4">
            <w:pPr>
              <w:numPr>
                <w:ilvl w:val="0"/>
                <w:numId w:val="7"/>
              </w:num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reduced variability in the quality of service delivery, including transport issues, waiting times, and availability of follow up appointments. </w:t>
            </w:r>
          </w:p>
          <w:p w:rsidR="000E1BB6" w:rsidRPr="006A2B41" w:rsidRDefault="000E1BB6" w:rsidP="00665FD4">
            <w:pPr>
              <w:numPr>
                <w:ilvl w:val="0"/>
                <w:numId w:val="7"/>
              </w:numPr>
              <w:autoSpaceDE w:val="0"/>
              <w:autoSpaceDN w:val="0"/>
              <w:adjustRightInd w:val="0"/>
              <w:spacing w:after="0"/>
              <w:contextualSpacing/>
              <w:rPr>
                <w:rFonts w:ascii="Arial" w:eastAsia="Calibri" w:hAnsi="Arial" w:cs="Arial"/>
                <w:sz w:val="20"/>
                <w:lang w:val="en-GB" w:eastAsia="en-GB"/>
              </w:rPr>
            </w:pPr>
            <w:r w:rsidRPr="006A2B41">
              <w:rPr>
                <w:rFonts w:ascii="Arial" w:eastAsia="Calibri" w:hAnsi="Arial" w:cs="Arial"/>
                <w:sz w:val="20"/>
                <w:lang w:val="en-GB" w:eastAsia="en-GB"/>
              </w:rPr>
              <w:t xml:space="preserve">continuity of care and </w:t>
            </w:r>
            <w:r w:rsidR="00BA4CB8" w:rsidRPr="006A2B41">
              <w:rPr>
                <w:rFonts w:ascii="Arial" w:hAnsi="Arial" w:cs="Arial"/>
                <w:sz w:val="20"/>
              </w:rPr>
              <w:t>avoidance of multiple referrals or repeated investigations.</w:t>
            </w:r>
          </w:p>
          <w:p w:rsidR="000E1BB6" w:rsidRDefault="000E1BB6" w:rsidP="003A64EF">
            <w:pPr>
              <w:spacing w:after="0"/>
              <w:contextualSpacing/>
              <w:rPr>
                <w:rFonts w:ascii="Arial" w:hAnsi="Arial" w:cs="Arial"/>
                <w:color w:val="009966"/>
                <w:sz w:val="20"/>
              </w:rPr>
            </w:pPr>
          </w:p>
          <w:p w:rsidR="001D635F" w:rsidRPr="001D635F" w:rsidRDefault="001D635F" w:rsidP="001D635F">
            <w:pPr>
              <w:pStyle w:val="Default"/>
              <w:rPr>
                <w:b/>
                <w:sz w:val="20"/>
                <w:szCs w:val="20"/>
              </w:rPr>
            </w:pPr>
            <w:r>
              <w:rPr>
                <w:b/>
                <w:sz w:val="20"/>
                <w:szCs w:val="20"/>
              </w:rPr>
              <w:t>Prime Contractor Model</w:t>
            </w:r>
          </w:p>
          <w:p w:rsidR="00FF1691" w:rsidRPr="00447ADE" w:rsidRDefault="00FF1691" w:rsidP="00FF1691">
            <w:pPr>
              <w:pStyle w:val="Default"/>
              <w:rPr>
                <w:sz w:val="20"/>
                <w:szCs w:val="20"/>
              </w:rPr>
            </w:pPr>
            <w:r w:rsidRPr="00240995">
              <w:rPr>
                <w:sz w:val="20"/>
              </w:rPr>
              <w:t>3</w:t>
            </w:r>
            <w:r w:rsidRPr="00240995">
              <w:rPr>
                <w:sz w:val="20"/>
                <w:szCs w:val="20"/>
              </w:rPr>
              <w:t>.1.6</w:t>
            </w:r>
            <w:r w:rsidRPr="00447ADE">
              <w:rPr>
                <w:color w:val="009966"/>
                <w:sz w:val="20"/>
                <w:szCs w:val="20"/>
              </w:rPr>
              <w:t xml:space="preserve"> </w:t>
            </w:r>
            <w:r w:rsidRPr="00447ADE">
              <w:rPr>
                <w:sz w:val="20"/>
                <w:szCs w:val="20"/>
              </w:rPr>
              <w:t xml:space="preserve">In this model, </w:t>
            </w:r>
            <w:r w:rsidR="00447ADE" w:rsidRPr="00447ADE">
              <w:rPr>
                <w:sz w:val="20"/>
                <w:szCs w:val="20"/>
              </w:rPr>
              <w:t>Tower Hamlets CCG</w:t>
            </w:r>
            <w:r w:rsidRPr="00447ADE">
              <w:rPr>
                <w:sz w:val="20"/>
                <w:szCs w:val="20"/>
              </w:rPr>
              <w:t xml:space="preserve"> will </w:t>
            </w:r>
            <w:r w:rsidR="00447ADE" w:rsidRPr="00447ADE">
              <w:rPr>
                <w:sz w:val="20"/>
                <w:szCs w:val="20"/>
              </w:rPr>
              <w:t>commission the</w:t>
            </w:r>
            <w:r w:rsidRPr="00447ADE">
              <w:rPr>
                <w:sz w:val="20"/>
                <w:szCs w:val="20"/>
              </w:rPr>
              <w:t xml:space="preserve"> </w:t>
            </w:r>
            <w:r w:rsidR="00447ADE" w:rsidRPr="00447ADE">
              <w:rPr>
                <w:sz w:val="20"/>
                <w:szCs w:val="20"/>
              </w:rPr>
              <w:t>Integrated community</w:t>
            </w:r>
            <w:r w:rsidRPr="00447ADE">
              <w:rPr>
                <w:sz w:val="20"/>
                <w:szCs w:val="20"/>
              </w:rPr>
              <w:t xml:space="preserve"> MSK </w:t>
            </w:r>
            <w:r w:rsidR="00447ADE" w:rsidRPr="00447ADE">
              <w:rPr>
                <w:sz w:val="20"/>
                <w:szCs w:val="20"/>
              </w:rPr>
              <w:t>service</w:t>
            </w:r>
            <w:r w:rsidRPr="00447ADE">
              <w:rPr>
                <w:sz w:val="20"/>
                <w:szCs w:val="20"/>
              </w:rPr>
              <w:t xml:space="preserve"> to a single </w:t>
            </w:r>
            <w:r w:rsidR="00447ADE" w:rsidRPr="00447ADE">
              <w:rPr>
                <w:sz w:val="20"/>
                <w:szCs w:val="20"/>
              </w:rPr>
              <w:t>contractor</w:t>
            </w:r>
            <w:r w:rsidRPr="00447ADE">
              <w:rPr>
                <w:sz w:val="20"/>
                <w:szCs w:val="20"/>
              </w:rPr>
              <w:t xml:space="preserve"> that will then both provide care and integrate existing and other providers into a programme of care for the </w:t>
            </w:r>
            <w:r w:rsidR="00447ADE" w:rsidRPr="00447ADE">
              <w:rPr>
                <w:sz w:val="20"/>
                <w:szCs w:val="20"/>
              </w:rPr>
              <w:t>Tower Hamlets</w:t>
            </w:r>
            <w:r w:rsidRPr="00447ADE">
              <w:rPr>
                <w:sz w:val="20"/>
                <w:szCs w:val="20"/>
              </w:rPr>
              <w:t xml:space="preserve"> MSK patient population. It is the prime contractor</w:t>
            </w:r>
            <w:r w:rsidR="00447ADE" w:rsidRPr="00447ADE">
              <w:rPr>
                <w:sz w:val="20"/>
                <w:szCs w:val="20"/>
              </w:rPr>
              <w:t xml:space="preserve">’s </w:t>
            </w:r>
            <w:r w:rsidRPr="00447ADE">
              <w:rPr>
                <w:sz w:val="20"/>
                <w:szCs w:val="20"/>
              </w:rPr>
              <w:t>task to ensure that every part of the overall MSK programme is delivered in a way that joins up with the other parts of the pathway. This provides the prime contractor/lead provider (with its subcontractors) the ability to construct an overall pathway of ca</w:t>
            </w:r>
            <w:r w:rsidR="00447ADE" w:rsidRPr="00447ADE">
              <w:rPr>
                <w:sz w:val="20"/>
                <w:szCs w:val="20"/>
              </w:rPr>
              <w:t xml:space="preserve">re and incentives that provide Tower Hamlets </w:t>
            </w:r>
            <w:r w:rsidRPr="00447ADE">
              <w:rPr>
                <w:sz w:val="20"/>
                <w:szCs w:val="20"/>
              </w:rPr>
              <w:t xml:space="preserve">CCG, as the commissioner, with the outcomes that they want whilst remaining within the available budget. </w:t>
            </w:r>
          </w:p>
          <w:p w:rsidR="00447ADE" w:rsidRPr="00447ADE" w:rsidRDefault="00447ADE" w:rsidP="00FF1691">
            <w:pPr>
              <w:pStyle w:val="Default"/>
              <w:rPr>
                <w:sz w:val="20"/>
                <w:szCs w:val="20"/>
              </w:rPr>
            </w:pPr>
          </w:p>
          <w:p w:rsidR="00FF1691" w:rsidRPr="00447ADE" w:rsidRDefault="00FF1691" w:rsidP="00FF1691">
            <w:pPr>
              <w:pStyle w:val="Default"/>
              <w:rPr>
                <w:sz w:val="20"/>
                <w:szCs w:val="20"/>
              </w:rPr>
            </w:pPr>
            <w:r w:rsidRPr="00447ADE">
              <w:rPr>
                <w:sz w:val="20"/>
                <w:szCs w:val="20"/>
              </w:rPr>
              <w:t xml:space="preserve">The prime contractor will, through this contract, take on the accountability for both financial control and the delivery of a high quality MSK system of care. Providers in the supply chain must be managed to ensure each one understands and delivers its part in the delivery overall of an integrated, seamless service and that it does so whilst ensuring maximal quality of care and productive efficiency. </w:t>
            </w:r>
            <w:r w:rsidR="00447ADE" w:rsidRPr="00447ADE">
              <w:rPr>
                <w:sz w:val="20"/>
                <w:szCs w:val="20"/>
              </w:rPr>
              <w:t>Therefore, the prime contractor</w:t>
            </w:r>
            <w:r w:rsidRPr="00447ADE">
              <w:rPr>
                <w:sz w:val="20"/>
                <w:szCs w:val="20"/>
              </w:rPr>
              <w:t xml:space="preserve"> must be able to (and demonstrate that it can) manage the MSK </w:t>
            </w:r>
            <w:r w:rsidR="00447ADE" w:rsidRPr="00447ADE">
              <w:rPr>
                <w:sz w:val="20"/>
                <w:szCs w:val="20"/>
              </w:rPr>
              <w:t>supply chain in order to meet service demand</w:t>
            </w:r>
            <w:r w:rsidRPr="00447ADE">
              <w:rPr>
                <w:sz w:val="20"/>
                <w:szCs w:val="20"/>
              </w:rPr>
              <w:t xml:space="preserve">: this is as crucial to the overall success of the system as the care delivery itself. </w:t>
            </w:r>
            <w:r w:rsidR="00447ADE" w:rsidRPr="00447ADE">
              <w:rPr>
                <w:sz w:val="20"/>
                <w:szCs w:val="20"/>
              </w:rPr>
              <w:t>The successful prime contractor</w:t>
            </w:r>
            <w:r w:rsidRPr="00447ADE">
              <w:rPr>
                <w:sz w:val="20"/>
                <w:szCs w:val="20"/>
              </w:rPr>
              <w:t xml:space="preserve"> will demonstrate his ability to </w:t>
            </w:r>
            <w:r w:rsidR="00447ADE" w:rsidRPr="00447ADE">
              <w:rPr>
                <w:sz w:val="20"/>
                <w:szCs w:val="20"/>
              </w:rPr>
              <w:t>drive and lead</w:t>
            </w:r>
            <w:r w:rsidRPr="00447ADE">
              <w:rPr>
                <w:sz w:val="20"/>
                <w:szCs w:val="20"/>
              </w:rPr>
              <w:t xml:space="preserve"> reporting, analysis, financial and contract management through the supply chain whilst harmonising the overall contract management with the q</w:t>
            </w:r>
            <w:r w:rsidR="00447ADE" w:rsidRPr="00447ADE">
              <w:rPr>
                <w:sz w:val="20"/>
                <w:szCs w:val="20"/>
              </w:rPr>
              <w:t>uality of patient care delivery.</w:t>
            </w:r>
          </w:p>
          <w:p w:rsidR="00447ADE" w:rsidRDefault="00447ADE" w:rsidP="00FF1691">
            <w:pPr>
              <w:pStyle w:val="Default"/>
              <w:rPr>
                <w:sz w:val="21"/>
                <w:szCs w:val="21"/>
              </w:rPr>
            </w:pPr>
          </w:p>
          <w:p w:rsidR="001D635F" w:rsidRDefault="001D635F" w:rsidP="00FF1691">
            <w:pPr>
              <w:pStyle w:val="Default"/>
              <w:rPr>
                <w:sz w:val="21"/>
                <w:szCs w:val="21"/>
              </w:rPr>
            </w:pPr>
            <w:r w:rsidRPr="00251300">
              <w:rPr>
                <w:b/>
                <w:bCs/>
                <w:sz w:val="21"/>
                <w:szCs w:val="21"/>
              </w:rPr>
              <w:t>Capitated Budget:</w:t>
            </w:r>
            <w:r>
              <w:rPr>
                <w:bCs/>
                <w:sz w:val="21"/>
                <w:szCs w:val="21"/>
              </w:rPr>
              <w:t xml:space="preserve"> </w:t>
            </w:r>
            <w:r w:rsidRPr="00531665">
              <w:rPr>
                <w:b/>
                <w:bCs/>
                <w:sz w:val="21"/>
                <w:szCs w:val="21"/>
              </w:rPr>
              <w:t xml:space="preserve">Commissioning for outcomes and quality not activity based </w:t>
            </w:r>
          </w:p>
          <w:p w:rsidR="00FF1691" w:rsidRDefault="00531665" w:rsidP="00FF1691">
            <w:pPr>
              <w:pStyle w:val="Default"/>
              <w:rPr>
                <w:sz w:val="21"/>
                <w:szCs w:val="21"/>
              </w:rPr>
            </w:pPr>
            <w:r w:rsidRPr="00531665">
              <w:rPr>
                <w:bCs/>
                <w:sz w:val="21"/>
                <w:szCs w:val="21"/>
              </w:rPr>
              <w:t xml:space="preserve">3.1.7 </w:t>
            </w:r>
            <w:r w:rsidR="00442B2E">
              <w:rPr>
                <w:sz w:val="21"/>
                <w:szCs w:val="21"/>
              </w:rPr>
              <w:t>The commissioners, NHS Tower Hamlets CCG, plan to</w:t>
            </w:r>
            <w:r w:rsidR="00FF1691">
              <w:rPr>
                <w:sz w:val="21"/>
                <w:szCs w:val="21"/>
              </w:rPr>
              <w:t xml:space="preserve"> a whole systems approach moving beyond productive/technical efficiency (i.e. maximising the efficiency of any one institution) towards allocative efficiency (i.e. maximising the efficiency of a pathway served by more than o</w:t>
            </w:r>
            <w:r w:rsidR="00442B2E">
              <w:rPr>
                <w:sz w:val="21"/>
                <w:szCs w:val="21"/>
              </w:rPr>
              <w:t>ne provider). To incentivise this</w:t>
            </w:r>
            <w:r w:rsidR="00FF1691">
              <w:rPr>
                <w:sz w:val="21"/>
                <w:szCs w:val="21"/>
              </w:rPr>
              <w:t xml:space="preserve"> collaboration and consideration of allocative efficiency, </w:t>
            </w:r>
            <w:r w:rsidR="00442B2E">
              <w:rPr>
                <w:sz w:val="21"/>
                <w:szCs w:val="21"/>
              </w:rPr>
              <w:t xml:space="preserve">the </w:t>
            </w:r>
            <w:r w:rsidR="00FF1691">
              <w:rPr>
                <w:sz w:val="21"/>
                <w:szCs w:val="21"/>
              </w:rPr>
              <w:t xml:space="preserve">commissioners </w:t>
            </w:r>
            <w:r w:rsidR="00442B2E">
              <w:rPr>
                <w:sz w:val="21"/>
                <w:szCs w:val="21"/>
              </w:rPr>
              <w:t>will</w:t>
            </w:r>
            <w:r w:rsidR="00FF1691">
              <w:rPr>
                <w:sz w:val="21"/>
                <w:szCs w:val="21"/>
              </w:rPr>
              <w:t xml:space="preserve"> align financial incentives for </w:t>
            </w:r>
            <w:r w:rsidR="00442B2E">
              <w:rPr>
                <w:sz w:val="21"/>
                <w:szCs w:val="21"/>
              </w:rPr>
              <w:t>the prime contractor</w:t>
            </w:r>
            <w:r w:rsidR="00FF1691">
              <w:rPr>
                <w:sz w:val="21"/>
                <w:szCs w:val="21"/>
              </w:rPr>
              <w:t xml:space="preserve"> into delivery of a single set of outcome measures, shared by all provi</w:t>
            </w:r>
            <w:r w:rsidR="00CC3AB9">
              <w:rPr>
                <w:sz w:val="21"/>
                <w:szCs w:val="21"/>
              </w:rPr>
              <w:t>ders within the system of care.</w:t>
            </w:r>
          </w:p>
          <w:p w:rsidR="00420BB6" w:rsidRPr="006A2B41" w:rsidRDefault="00420BB6" w:rsidP="003A64EF">
            <w:pPr>
              <w:spacing w:after="0"/>
              <w:contextualSpacing/>
              <w:rPr>
                <w:rFonts w:ascii="Arial" w:hAnsi="Arial" w:cs="Arial"/>
                <w:color w:val="009966"/>
                <w:sz w:val="20"/>
              </w:rPr>
            </w:pPr>
          </w:p>
          <w:p w:rsidR="00420BB6" w:rsidRPr="006A2B41" w:rsidRDefault="00420BB6" w:rsidP="003A64EF">
            <w:pPr>
              <w:spacing w:after="0"/>
              <w:contextualSpacing/>
              <w:rPr>
                <w:rFonts w:ascii="Arial" w:hAnsi="Arial" w:cs="Arial"/>
                <w:b/>
                <w:color w:val="009966"/>
                <w:sz w:val="20"/>
              </w:rPr>
            </w:pPr>
            <w:r w:rsidRPr="006A2B41">
              <w:rPr>
                <w:rFonts w:ascii="Arial" w:hAnsi="Arial" w:cs="Arial"/>
                <w:b/>
                <w:color w:val="009966"/>
                <w:sz w:val="20"/>
              </w:rPr>
              <w:t>3.2</w:t>
            </w:r>
            <w:r w:rsidRPr="006A2B41">
              <w:rPr>
                <w:rFonts w:ascii="Arial" w:hAnsi="Arial" w:cs="Arial"/>
                <w:b/>
                <w:color w:val="009966"/>
                <w:sz w:val="20"/>
              </w:rPr>
              <w:tab/>
              <w:t>Service description/care pathway</w:t>
            </w:r>
          </w:p>
          <w:p w:rsidR="00420BB6" w:rsidRPr="006A2B41" w:rsidRDefault="00420BB6" w:rsidP="003A64EF">
            <w:pPr>
              <w:spacing w:after="0"/>
              <w:contextualSpacing/>
              <w:rPr>
                <w:rFonts w:ascii="Arial" w:hAnsi="Arial" w:cs="Arial"/>
                <w:color w:val="009966"/>
                <w:sz w:val="20"/>
              </w:rPr>
            </w:pPr>
          </w:p>
          <w:p w:rsidR="004B479E" w:rsidRPr="006A2B41" w:rsidRDefault="000E1BB6" w:rsidP="003A64EF">
            <w:pPr>
              <w:spacing w:after="0"/>
              <w:contextualSpacing/>
              <w:rPr>
                <w:rFonts w:ascii="Arial" w:hAnsi="Arial" w:cs="Arial"/>
                <w:sz w:val="20"/>
              </w:rPr>
            </w:pPr>
            <w:r w:rsidRPr="006A2B41">
              <w:rPr>
                <w:rFonts w:ascii="Arial" w:hAnsi="Arial" w:cs="Arial"/>
                <w:sz w:val="20"/>
              </w:rPr>
              <w:t>The Integrated Musculoskeletal</w:t>
            </w:r>
            <w:r w:rsidR="00A1153F" w:rsidRPr="006A2B41">
              <w:rPr>
                <w:rFonts w:ascii="Arial" w:hAnsi="Arial" w:cs="Arial"/>
                <w:sz w:val="20"/>
              </w:rPr>
              <w:t xml:space="preserve"> and Pain</w:t>
            </w:r>
            <w:r w:rsidRPr="006A2B41">
              <w:rPr>
                <w:rFonts w:ascii="Arial" w:hAnsi="Arial" w:cs="Arial"/>
                <w:sz w:val="20"/>
              </w:rPr>
              <w:t xml:space="preserve"> Service will provide clinical triage, assessment, treatment, therapeutic management and relevant onward referral of musculoskeletal </w:t>
            </w:r>
            <w:r w:rsidR="00A1153F" w:rsidRPr="006A2B41">
              <w:rPr>
                <w:rFonts w:ascii="Arial" w:hAnsi="Arial" w:cs="Arial"/>
                <w:sz w:val="20"/>
              </w:rPr>
              <w:t xml:space="preserve"> and pain </w:t>
            </w:r>
            <w:r w:rsidRPr="006A2B41">
              <w:rPr>
                <w:rFonts w:ascii="Arial" w:hAnsi="Arial" w:cs="Arial"/>
                <w:sz w:val="20"/>
              </w:rPr>
              <w:t>conditions to the reg</w:t>
            </w:r>
            <w:r w:rsidR="00A1153F" w:rsidRPr="006A2B41">
              <w:rPr>
                <w:rFonts w:ascii="Arial" w:hAnsi="Arial" w:cs="Arial"/>
                <w:sz w:val="20"/>
              </w:rPr>
              <w:t>istered GP population of Tower Hamlets</w:t>
            </w:r>
            <w:r w:rsidRPr="006A2B41">
              <w:rPr>
                <w:rFonts w:ascii="Arial" w:hAnsi="Arial" w:cs="Arial"/>
                <w:sz w:val="20"/>
              </w:rPr>
              <w:t>. The model for this service provision is laid o</w:t>
            </w:r>
            <w:r w:rsidR="005304CD" w:rsidRPr="006A2B41">
              <w:rPr>
                <w:rFonts w:ascii="Arial" w:hAnsi="Arial" w:cs="Arial"/>
                <w:sz w:val="20"/>
              </w:rPr>
              <w:t>ut in the flow chart at Figure 1</w:t>
            </w:r>
            <w:r w:rsidRPr="006A2B41">
              <w:rPr>
                <w:rFonts w:ascii="Arial" w:hAnsi="Arial" w:cs="Arial"/>
                <w:sz w:val="20"/>
              </w:rPr>
              <w:t>: Patient Pathway</w:t>
            </w:r>
          </w:p>
          <w:p w:rsidR="000E1BB6" w:rsidRPr="006A2B41" w:rsidRDefault="000E1BB6" w:rsidP="003A64EF">
            <w:pPr>
              <w:spacing w:after="0"/>
              <w:contextualSpacing/>
              <w:rPr>
                <w:rFonts w:ascii="Arial" w:hAnsi="Arial" w:cs="Arial"/>
                <w:sz w:val="20"/>
              </w:rPr>
            </w:pPr>
          </w:p>
          <w:p w:rsidR="000E1BB6" w:rsidRPr="006A2B41" w:rsidRDefault="005304CD" w:rsidP="003A64EF">
            <w:pPr>
              <w:spacing w:after="0"/>
              <w:contextualSpacing/>
              <w:rPr>
                <w:rFonts w:ascii="Arial" w:hAnsi="Arial" w:cs="Arial"/>
                <w:sz w:val="20"/>
              </w:rPr>
            </w:pPr>
            <w:r w:rsidRPr="006A2B41">
              <w:rPr>
                <w:rFonts w:ascii="Arial" w:hAnsi="Arial" w:cs="Arial"/>
                <w:sz w:val="20"/>
              </w:rPr>
              <w:t>Figure 1</w:t>
            </w:r>
            <w:r w:rsidR="000E1BB6" w:rsidRPr="006A2B41">
              <w:rPr>
                <w:rFonts w:ascii="Arial" w:hAnsi="Arial" w:cs="Arial"/>
                <w:sz w:val="20"/>
              </w:rPr>
              <w:t>. Patient Pathway</w:t>
            </w:r>
          </w:p>
          <w:p w:rsidR="000E1BB6" w:rsidRPr="006A2B41" w:rsidRDefault="000E1BB6" w:rsidP="003A64EF">
            <w:pPr>
              <w:spacing w:after="0"/>
              <w:contextualSpacing/>
              <w:rPr>
                <w:rFonts w:ascii="Arial" w:hAnsi="Arial" w:cs="Arial"/>
                <w:sz w:val="20"/>
              </w:rPr>
            </w:pPr>
          </w:p>
          <w:tbl>
            <w:tblPr>
              <w:tblW w:w="8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6301EA" w:rsidRPr="006A2B41" w:rsidTr="00D32C6A">
              <w:trPr>
                <w:trHeight w:val="6331"/>
              </w:trPr>
              <w:tc>
                <w:tcPr>
                  <w:tcW w:w="0" w:type="auto"/>
                  <w:shd w:val="clear" w:color="auto" w:fill="auto"/>
                </w:tcPr>
                <w:p w:rsidR="006301EA" w:rsidRPr="006A2B41" w:rsidRDefault="00C20D83" w:rsidP="00D32C6A">
                  <w:pPr>
                    <w:spacing w:after="0"/>
                    <w:contextualSpacing/>
                    <w:rPr>
                      <w:rFonts w:ascii="Arial" w:hAnsi="Arial" w:cs="Arial"/>
                      <w:sz w:val="20"/>
                    </w:rPr>
                  </w:pPr>
                  <w:r w:rsidRPr="00F531E3">
                    <w:rPr>
                      <w:rFonts w:ascii="Arial" w:hAnsi="Arial" w:cs="Arial"/>
                      <w:noProof/>
                      <w:sz w:val="20"/>
                      <w:lang w:val="en-GB" w:eastAsia="en-GB"/>
                    </w:rPr>
                    <w:drawing>
                      <wp:inline distT="0" distB="0" distL="0" distR="0">
                        <wp:extent cx="5727700" cy="8255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8255000"/>
                                </a:xfrm>
                                <a:prstGeom prst="rect">
                                  <a:avLst/>
                                </a:prstGeom>
                                <a:noFill/>
                                <a:ln>
                                  <a:noFill/>
                                </a:ln>
                              </pic:spPr>
                            </pic:pic>
                          </a:graphicData>
                        </a:graphic>
                      </wp:inline>
                    </w:drawing>
                  </w:r>
                </w:p>
              </w:tc>
            </w:tr>
          </w:tbl>
          <w:p w:rsidR="000E1BB6" w:rsidRPr="006A2B41" w:rsidRDefault="000E1BB6" w:rsidP="003A64EF">
            <w:pPr>
              <w:spacing w:after="0"/>
              <w:contextualSpacing/>
              <w:rPr>
                <w:rFonts w:ascii="Arial" w:hAnsi="Arial" w:cs="Arial"/>
                <w:sz w:val="20"/>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3.2.1 The Integrated Musculoskeletal </w:t>
            </w:r>
            <w:r w:rsidR="000F69DD" w:rsidRPr="006A2B41">
              <w:rPr>
                <w:rFonts w:ascii="Arial" w:eastAsia="Calibri" w:hAnsi="Arial" w:cs="Arial"/>
                <w:color w:val="000000"/>
                <w:sz w:val="20"/>
                <w:lang w:val="en-GB" w:eastAsia="en-GB"/>
              </w:rPr>
              <w:t xml:space="preserve">and Pain </w:t>
            </w:r>
            <w:r w:rsidRPr="006A2B41">
              <w:rPr>
                <w:rFonts w:ascii="Arial" w:eastAsia="Calibri" w:hAnsi="Arial" w:cs="Arial"/>
                <w:color w:val="000000"/>
                <w:sz w:val="20"/>
                <w:lang w:val="en-GB" w:eastAsia="en-GB"/>
              </w:rPr>
              <w:t>Service will provide services to adult patients, aged 16 and over, referred by their GP as specified in the referral procedures and pathways (noting the exclusion criteria applied to patients whose musculoskeletal presentation is suspected to be due to serious underlying pathology as indicated by presence of ‘red flags’</w:t>
            </w:r>
            <w:r w:rsidR="005304CD" w:rsidRPr="006A2B41">
              <w:rPr>
                <w:rFonts w:ascii="Arial" w:eastAsia="Calibri" w:hAnsi="Arial" w:cs="Arial"/>
                <w:color w:val="000000"/>
                <w:sz w:val="20"/>
                <w:lang w:val="en-GB" w:eastAsia="en-GB"/>
              </w:rPr>
              <w:t>)</w:t>
            </w:r>
            <w:r w:rsidRPr="006A2B41">
              <w:rPr>
                <w:rFonts w:ascii="Arial" w:eastAsia="Calibri" w:hAnsi="Arial" w:cs="Arial"/>
                <w:color w:val="000000"/>
                <w:sz w:val="20"/>
                <w:lang w:val="en-GB" w:eastAsia="en-GB"/>
              </w:rPr>
              <w:t xml:space="preserv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3.2.2 The provider will consider principles of seamless transition from child- adult services in accordance with relevant guidance.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3.2.3 The Provider will enable referrers to use a single system for referring </w:t>
            </w:r>
            <w:r w:rsidR="00AF7C96">
              <w:rPr>
                <w:rFonts w:ascii="Arial" w:eastAsia="Calibri" w:hAnsi="Arial" w:cs="Arial"/>
                <w:color w:val="000000"/>
                <w:sz w:val="20"/>
                <w:lang w:val="en-GB" w:eastAsia="en-GB"/>
              </w:rPr>
              <w:t>to T&amp;O, R</w:t>
            </w:r>
            <w:r w:rsidR="00495F4E">
              <w:rPr>
                <w:rFonts w:ascii="Arial" w:eastAsia="Calibri" w:hAnsi="Arial" w:cs="Arial"/>
                <w:color w:val="000000"/>
                <w:sz w:val="20"/>
                <w:lang w:val="en-GB" w:eastAsia="en-GB"/>
              </w:rPr>
              <w:t>heumatology</w:t>
            </w:r>
            <w:r w:rsidR="00AF7C96">
              <w:rPr>
                <w:rFonts w:ascii="Arial" w:eastAsia="Calibri" w:hAnsi="Arial" w:cs="Arial"/>
                <w:color w:val="000000"/>
                <w:sz w:val="20"/>
                <w:lang w:val="en-GB" w:eastAsia="en-GB"/>
              </w:rPr>
              <w:t xml:space="preserve">, Neurology, </w:t>
            </w:r>
            <w:r w:rsidR="00156B7A">
              <w:rPr>
                <w:rFonts w:ascii="Arial" w:eastAsia="Calibri" w:hAnsi="Arial" w:cs="Arial"/>
                <w:color w:val="000000"/>
                <w:sz w:val="20"/>
                <w:lang w:val="en-GB" w:eastAsia="en-GB"/>
              </w:rPr>
              <w:t xml:space="preserve">Neurosurgery </w:t>
            </w:r>
            <w:r w:rsidR="00AF7C96">
              <w:rPr>
                <w:rFonts w:ascii="Arial" w:eastAsia="Calibri" w:hAnsi="Arial" w:cs="Arial"/>
                <w:color w:val="000000"/>
                <w:sz w:val="20"/>
                <w:lang w:val="en-GB" w:eastAsia="en-GB"/>
              </w:rPr>
              <w:t>and Chronic P</w:t>
            </w:r>
            <w:r w:rsidR="00495F4E">
              <w:rPr>
                <w:rFonts w:ascii="Arial" w:eastAsia="Calibri" w:hAnsi="Arial" w:cs="Arial"/>
                <w:color w:val="000000"/>
                <w:sz w:val="20"/>
                <w:lang w:val="en-GB" w:eastAsia="en-GB"/>
              </w:rPr>
              <w:t xml:space="preserve">ain services </w:t>
            </w:r>
            <w:r w:rsidRPr="006A2B41">
              <w:rPr>
                <w:rFonts w:ascii="Arial" w:eastAsia="Calibri" w:hAnsi="Arial" w:cs="Arial"/>
                <w:color w:val="000000"/>
                <w:sz w:val="20"/>
                <w:lang w:val="en-GB" w:eastAsia="en-GB"/>
              </w:rPr>
              <w:t xml:space="preserve">whilst enabling them to indicate clinical preference for </w:t>
            </w:r>
            <w:r w:rsidR="00495F4E">
              <w:rPr>
                <w:rFonts w:ascii="Arial" w:eastAsia="Calibri" w:hAnsi="Arial" w:cs="Arial"/>
                <w:color w:val="000000"/>
                <w:sz w:val="20"/>
                <w:lang w:val="en-GB" w:eastAsia="en-GB"/>
              </w:rPr>
              <w:t xml:space="preserve">acute </w:t>
            </w:r>
            <w:r w:rsidRPr="006A2B41">
              <w:rPr>
                <w:rFonts w:ascii="Arial" w:eastAsia="Calibri" w:hAnsi="Arial" w:cs="Arial"/>
                <w:color w:val="000000"/>
                <w:sz w:val="20"/>
                <w:lang w:val="en-GB" w:eastAsia="en-GB"/>
              </w:rPr>
              <w:t xml:space="preserve">treatment options. The provider will create a coordinated system of triage that enables referrals to be directed toward the most clinically appropriate route in a cost-effective manner.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3.2.4 Patients will be provided with assessment, </w:t>
            </w:r>
            <w:r w:rsidR="000F69DD" w:rsidRPr="006A2B41">
              <w:rPr>
                <w:rFonts w:ascii="Arial" w:eastAsia="Calibri" w:hAnsi="Arial" w:cs="Arial"/>
                <w:color w:val="000000"/>
                <w:sz w:val="20"/>
                <w:lang w:val="en-GB" w:eastAsia="en-GB"/>
              </w:rPr>
              <w:t xml:space="preserve">diagnosis, </w:t>
            </w:r>
            <w:r w:rsidRPr="006A2B41">
              <w:rPr>
                <w:rFonts w:ascii="Arial" w:eastAsia="Calibri" w:hAnsi="Arial" w:cs="Arial"/>
                <w:color w:val="000000"/>
                <w:sz w:val="20"/>
                <w:lang w:val="en-GB" w:eastAsia="en-GB"/>
              </w:rPr>
              <w:t>treatment and disease management based on a bio-psychosocial approach which includes treatment planning and patient education,</w:t>
            </w:r>
            <w:r w:rsidR="000F69DD" w:rsidRPr="006A2B41">
              <w:rPr>
                <w:rFonts w:ascii="Arial" w:eastAsia="Calibri" w:hAnsi="Arial" w:cs="Arial"/>
                <w:color w:val="000000"/>
                <w:sz w:val="20"/>
                <w:lang w:val="en-GB" w:eastAsia="en-GB"/>
              </w:rPr>
              <w:t xml:space="preserve"> psychological</w:t>
            </w:r>
            <w:r w:rsidRPr="006A2B41">
              <w:rPr>
                <w:rFonts w:ascii="Arial" w:eastAsia="Calibri" w:hAnsi="Arial" w:cs="Arial"/>
                <w:color w:val="000000"/>
                <w:sz w:val="20"/>
                <w:lang w:val="en-GB" w:eastAsia="en-GB"/>
              </w:rPr>
              <w:t xml:space="preserve"> therapy, exercise therapy, joint injection therapy and pain management approaches. </w:t>
            </w:r>
          </w:p>
          <w:p w:rsidR="000F69DD" w:rsidRPr="006A2B41" w:rsidRDefault="000F69DD"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A22480"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 xml:space="preserve">3.2.5 </w:t>
            </w:r>
            <w:r w:rsidR="000E1BB6" w:rsidRPr="006A2B41">
              <w:rPr>
                <w:rFonts w:ascii="Arial" w:eastAsia="Calibri" w:hAnsi="Arial" w:cs="Arial"/>
                <w:color w:val="000000"/>
                <w:sz w:val="20"/>
                <w:lang w:val="en-GB" w:eastAsia="en-GB"/>
              </w:rPr>
              <w:t xml:space="preserve">All/any suspicious findings should be communicated by phone and in writing to the referring GP/referrer for urgent/immediate action whilst the provider refers the patient on to other care for further investigations and/or treatment. </w:t>
            </w:r>
          </w:p>
          <w:p w:rsidR="000F69DD" w:rsidRPr="006A2B41" w:rsidRDefault="000F69DD"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A22480"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3.2.6</w:t>
            </w:r>
            <w:r w:rsidR="000E1BB6" w:rsidRPr="006A2B41">
              <w:rPr>
                <w:rFonts w:ascii="Arial" w:eastAsia="Calibri" w:hAnsi="Arial" w:cs="Arial"/>
                <w:color w:val="000000"/>
                <w:sz w:val="20"/>
                <w:lang w:val="en-GB" w:eastAsia="en-GB"/>
              </w:rPr>
              <w:t xml:space="preserve"> The service will include protocols and operating procedures</w:t>
            </w:r>
            <w:r w:rsidR="005304CD" w:rsidRPr="006A2B41">
              <w:rPr>
                <w:rFonts w:ascii="Arial" w:eastAsia="Calibri" w:hAnsi="Arial" w:cs="Arial"/>
                <w:color w:val="000000"/>
                <w:sz w:val="20"/>
                <w:lang w:val="en-GB" w:eastAsia="en-GB"/>
              </w:rPr>
              <w:t xml:space="preserve"> on the services it</w:t>
            </w:r>
            <w:r w:rsidR="000E1BB6" w:rsidRPr="006A2B41">
              <w:rPr>
                <w:rFonts w:ascii="Arial" w:eastAsia="Calibri" w:hAnsi="Arial" w:cs="Arial"/>
                <w:color w:val="000000"/>
                <w:sz w:val="20"/>
                <w:lang w:val="en-GB" w:eastAsia="en-GB"/>
              </w:rPr>
              <w:t xml:space="preserve"> delivers, which will be developed in conjunction with the relevant local reference groups.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A22480"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3.2.7</w:t>
            </w:r>
            <w:r w:rsidR="000E1BB6" w:rsidRPr="006A2B41">
              <w:rPr>
                <w:rFonts w:ascii="Arial" w:eastAsia="Calibri" w:hAnsi="Arial" w:cs="Arial"/>
                <w:color w:val="000000"/>
                <w:sz w:val="20"/>
                <w:lang w:val="en-GB" w:eastAsia="en-GB"/>
              </w:rPr>
              <w:t xml:space="preserve"> The Provider should consider all aspects of relevant national and local guidance and standards, including the NICE guidance on Non-specific Persistent Low Back Pain, www.nice.org.uk/CG88, Osteoarthritis (CG59) and Rheumatoid Arthritis (CG79).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This service will be delivered by appropriately qualified practitioners. The Integrated Musculoskeletal </w:t>
            </w:r>
            <w:r w:rsidR="000F69DD" w:rsidRPr="006A2B41">
              <w:rPr>
                <w:rFonts w:ascii="Arial" w:eastAsia="Calibri" w:hAnsi="Arial" w:cs="Arial"/>
                <w:color w:val="000000"/>
                <w:sz w:val="20"/>
                <w:lang w:val="en-GB" w:eastAsia="en-GB"/>
              </w:rPr>
              <w:t xml:space="preserve">and Pain </w:t>
            </w:r>
            <w:r w:rsidR="005304CD" w:rsidRPr="006A2B41">
              <w:rPr>
                <w:rFonts w:ascii="Arial" w:eastAsia="Calibri" w:hAnsi="Arial" w:cs="Arial"/>
                <w:color w:val="000000"/>
                <w:sz w:val="20"/>
                <w:lang w:val="en-GB" w:eastAsia="en-GB"/>
              </w:rPr>
              <w:t>Service will comprise of</w:t>
            </w:r>
            <w:r w:rsidRPr="006A2B41">
              <w:rPr>
                <w:rFonts w:ascii="Arial" w:eastAsia="Calibri" w:hAnsi="Arial" w:cs="Arial"/>
                <w:color w:val="000000"/>
                <w:sz w:val="20"/>
                <w:lang w:val="en-GB" w:eastAsia="en-GB"/>
              </w:rPr>
              <w:t xml:space="preserve"> multi</w:t>
            </w:r>
            <w:r w:rsidR="005304CD" w:rsidRPr="006A2B41">
              <w:rPr>
                <w:rFonts w:ascii="Arial" w:eastAsia="Calibri" w:hAnsi="Arial" w:cs="Arial"/>
                <w:color w:val="000000"/>
                <w:sz w:val="20"/>
                <w:lang w:val="en-GB" w:eastAsia="en-GB"/>
              </w:rPr>
              <w:t>-</w:t>
            </w:r>
            <w:r w:rsidRPr="006A2B41">
              <w:rPr>
                <w:rFonts w:ascii="Arial" w:eastAsia="Calibri" w:hAnsi="Arial" w:cs="Arial"/>
                <w:color w:val="000000"/>
                <w:sz w:val="20"/>
                <w:lang w:val="en-GB" w:eastAsia="en-GB"/>
              </w:rPr>
              <w:t>dis</w:t>
            </w:r>
            <w:r w:rsidR="005304CD" w:rsidRPr="006A2B41">
              <w:rPr>
                <w:rFonts w:ascii="Arial" w:eastAsia="Calibri" w:hAnsi="Arial" w:cs="Arial"/>
                <w:color w:val="000000"/>
                <w:sz w:val="20"/>
                <w:lang w:val="en-GB" w:eastAsia="en-GB"/>
              </w:rPr>
              <w:t>ciplined</w:t>
            </w:r>
            <w:r w:rsidRPr="006A2B41">
              <w:rPr>
                <w:rFonts w:ascii="Arial" w:eastAsia="Calibri" w:hAnsi="Arial" w:cs="Arial"/>
                <w:color w:val="000000"/>
                <w:sz w:val="20"/>
                <w:lang w:val="en-GB" w:eastAsia="en-GB"/>
              </w:rPr>
              <w:t xml:space="preserve"> team</w:t>
            </w:r>
            <w:r w:rsidR="005304CD" w:rsidRPr="006A2B41">
              <w:rPr>
                <w:rFonts w:ascii="Arial" w:eastAsia="Calibri" w:hAnsi="Arial" w:cs="Arial"/>
                <w:color w:val="000000"/>
                <w:sz w:val="20"/>
                <w:lang w:val="en-GB" w:eastAsia="en-GB"/>
              </w:rPr>
              <w:t>s</w:t>
            </w:r>
            <w:r w:rsidRPr="006A2B41">
              <w:rPr>
                <w:rFonts w:ascii="Arial" w:eastAsia="Calibri" w:hAnsi="Arial" w:cs="Arial"/>
                <w:color w:val="000000"/>
                <w:sz w:val="20"/>
                <w:lang w:val="en-GB" w:eastAsia="en-GB"/>
              </w:rPr>
              <w:t xml:space="preserve"> </w:t>
            </w:r>
            <w:r w:rsidR="005304CD" w:rsidRPr="006A2B41">
              <w:rPr>
                <w:rFonts w:ascii="Arial" w:eastAsia="Calibri" w:hAnsi="Arial" w:cs="Arial"/>
                <w:color w:val="000000"/>
                <w:sz w:val="20"/>
                <w:lang w:val="en-GB" w:eastAsia="en-GB"/>
              </w:rPr>
              <w:t>with</w:t>
            </w:r>
            <w:r w:rsidRPr="006A2B41">
              <w:rPr>
                <w:rFonts w:ascii="Arial" w:eastAsia="Calibri" w:hAnsi="Arial" w:cs="Arial"/>
                <w:color w:val="000000"/>
                <w:sz w:val="20"/>
                <w:lang w:val="en-GB" w:eastAsia="en-GB"/>
              </w:rPr>
              <w:t xml:space="preserve"> a combination of workforce skills. It is for the service provider to set out how the mix and skill set of </w:t>
            </w:r>
            <w:r w:rsidR="005304CD" w:rsidRPr="006A2B41">
              <w:rPr>
                <w:rFonts w:ascii="Arial" w:eastAsia="Calibri" w:hAnsi="Arial" w:cs="Arial"/>
                <w:color w:val="000000"/>
                <w:sz w:val="20"/>
                <w:lang w:val="en-GB" w:eastAsia="en-GB"/>
              </w:rPr>
              <w:t>each</w:t>
            </w:r>
            <w:r w:rsidRPr="006A2B41">
              <w:rPr>
                <w:rFonts w:ascii="Arial" w:eastAsia="Calibri" w:hAnsi="Arial" w:cs="Arial"/>
                <w:color w:val="000000"/>
                <w:sz w:val="20"/>
                <w:lang w:val="en-GB" w:eastAsia="en-GB"/>
              </w:rPr>
              <w:t xml:space="preserve"> team will meet the clinical outcomes and quality metrics identified in the service specification and the identified KPIs. </w:t>
            </w:r>
          </w:p>
          <w:p w:rsidR="000F69DD" w:rsidRPr="006A2B41" w:rsidRDefault="000F69DD"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A22480"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3.2.8</w:t>
            </w:r>
            <w:r w:rsidR="000E1BB6" w:rsidRPr="006A2B41">
              <w:rPr>
                <w:rFonts w:ascii="Arial" w:eastAsia="Calibri" w:hAnsi="Arial" w:cs="Arial"/>
                <w:color w:val="000000"/>
                <w:sz w:val="20"/>
                <w:lang w:val="en-GB" w:eastAsia="en-GB"/>
              </w:rPr>
              <w:t xml:space="preserve"> There will be a heavy emphasis for the Integrated Musculoskeletal</w:t>
            </w:r>
            <w:r w:rsidR="000F69DD" w:rsidRPr="006A2B41">
              <w:rPr>
                <w:rFonts w:ascii="Arial" w:eastAsia="Calibri" w:hAnsi="Arial" w:cs="Arial"/>
                <w:color w:val="000000"/>
                <w:sz w:val="20"/>
                <w:lang w:val="en-GB" w:eastAsia="en-GB"/>
              </w:rPr>
              <w:t xml:space="preserve"> and Pain</w:t>
            </w:r>
            <w:r w:rsidR="000E1BB6" w:rsidRPr="006A2B41">
              <w:rPr>
                <w:rFonts w:ascii="Arial" w:eastAsia="Calibri" w:hAnsi="Arial" w:cs="Arial"/>
                <w:color w:val="000000"/>
                <w:sz w:val="20"/>
                <w:lang w:val="en-GB" w:eastAsia="en-GB"/>
              </w:rPr>
              <w:t xml:space="preserve"> Service to provide support and training to local GPs to build upon the clinical skills for the diagnosis and management of patients with MSK conditions, as well as by providing advice in the clinical decision making of patients care. Continuing professional development opportunities in the assessment and management of musculoskeletal disorders will be provided</w:t>
            </w:r>
            <w:r w:rsidR="00495F4E">
              <w:rPr>
                <w:rFonts w:ascii="Arial" w:eastAsia="Calibri" w:hAnsi="Arial" w:cs="Arial"/>
                <w:color w:val="000000"/>
                <w:sz w:val="20"/>
                <w:lang w:val="en-GB" w:eastAsia="en-GB"/>
              </w:rPr>
              <w:t xml:space="preserve"> via the service`s website and also via participation in local educational events</w:t>
            </w:r>
            <w:r w:rsidR="000E1BB6" w:rsidRPr="006A2B41">
              <w:rPr>
                <w:rFonts w:ascii="Arial" w:eastAsia="Calibri" w:hAnsi="Arial" w:cs="Arial"/>
                <w:color w:val="000000"/>
                <w:sz w:val="20"/>
                <w:lang w:val="en-GB" w:eastAsia="en-GB"/>
              </w:rPr>
              <w:t xml:space="preserve">. This will include evidence of feedback mechanisms for routinely identifying the training needs of GPs in liaison with appropriate GP forums, in order to flexibly adapt the training and education program.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3934A8" w:rsidRPr="006A2B41" w:rsidRDefault="003934A8"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3.2.8 There will be a heavy emphasis for the Integrated Musculoskeletal and Pain Service to provide flexible appointments that support patients in manag</w:t>
            </w:r>
            <w:r w:rsidR="00A22480">
              <w:rPr>
                <w:rFonts w:ascii="Arial" w:eastAsia="Calibri" w:hAnsi="Arial" w:cs="Arial"/>
                <w:color w:val="000000"/>
                <w:sz w:val="20"/>
                <w:lang w:val="en-GB" w:eastAsia="en-GB"/>
              </w:rPr>
              <w:t>ing their work and life balance; increased access and appointments outside of core working hours 9-5pm.</w:t>
            </w:r>
            <w:r w:rsidRPr="006A2B41">
              <w:rPr>
                <w:rFonts w:ascii="Arial" w:eastAsia="Calibri" w:hAnsi="Arial" w:cs="Arial"/>
                <w:color w:val="000000"/>
                <w:sz w:val="20"/>
                <w:lang w:val="en-GB" w:eastAsia="en-GB"/>
              </w:rPr>
              <w:t xml:space="preserve"> The commissioning body, NHS Tower Hamlets CCG, would expect that the service consider telephone follow up appointments to satisfy the outcomes required in the service specification</w:t>
            </w:r>
          </w:p>
          <w:p w:rsidR="003934A8" w:rsidRPr="006A2B41" w:rsidRDefault="003934A8"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3934A8"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3.2.9</w:t>
            </w:r>
            <w:r w:rsidR="000E1BB6" w:rsidRPr="006A2B41">
              <w:rPr>
                <w:rFonts w:ascii="Arial" w:eastAsia="Calibri" w:hAnsi="Arial" w:cs="Arial"/>
                <w:color w:val="000000"/>
                <w:sz w:val="20"/>
                <w:lang w:val="en-GB" w:eastAsia="en-GB"/>
              </w:rPr>
              <w:t xml:space="preserve"> The commissioning body, NHS </w:t>
            </w:r>
            <w:r w:rsidR="000F69DD" w:rsidRPr="006A2B41">
              <w:rPr>
                <w:rFonts w:ascii="Arial" w:eastAsia="Calibri" w:hAnsi="Arial" w:cs="Arial"/>
                <w:color w:val="000000"/>
                <w:sz w:val="20"/>
                <w:lang w:val="en-GB" w:eastAsia="en-GB"/>
              </w:rPr>
              <w:t>Tower Hamlets</w:t>
            </w:r>
            <w:r w:rsidR="000E1BB6" w:rsidRPr="006A2B41">
              <w:rPr>
                <w:rFonts w:ascii="Arial" w:eastAsia="Calibri" w:hAnsi="Arial" w:cs="Arial"/>
                <w:color w:val="000000"/>
                <w:sz w:val="20"/>
                <w:lang w:val="en-GB" w:eastAsia="en-GB"/>
              </w:rPr>
              <w:t xml:space="preserve"> CCG, would expect that the service consider a multi-disciplinary approach to the makeup of the Integrated Musculoskeletal</w:t>
            </w:r>
            <w:r w:rsidR="005304CD" w:rsidRPr="006A2B41">
              <w:rPr>
                <w:rFonts w:ascii="Arial" w:eastAsia="Calibri" w:hAnsi="Arial" w:cs="Arial"/>
                <w:color w:val="000000"/>
                <w:sz w:val="20"/>
                <w:lang w:val="en-GB" w:eastAsia="en-GB"/>
              </w:rPr>
              <w:t xml:space="preserve"> and Pain</w:t>
            </w:r>
            <w:r w:rsidR="000E1BB6" w:rsidRPr="006A2B41">
              <w:rPr>
                <w:rFonts w:ascii="Arial" w:eastAsia="Calibri" w:hAnsi="Arial" w:cs="Arial"/>
                <w:color w:val="000000"/>
                <w:sz w:val="20"/>
                <w:lang w:val="en-GB" w:eastAsia="en-GB"/>
              </w:rPr>
              <w:t xml:space="preserve"> Service </w:t>
            </w:r>
            <w:r w:rsidRPr="006A2B41">
              <w:rPr>
                <w:rFonts w:ascii="Arial" w:eastAsia="Calibri" w:hAnsi="Arial" w:cs="Arial"/>
                <w:color w:val="000000"/>
                <w:sz w:val="20"/>
                <w:lang w:val="en-GB" w:eastAsia="en-GB"/>
              </w:rPr>
              <w:t xml:space="preserve">spectrum which should consist </w:t>
            </w:r>
            <w:r w:rsidR="000C15D3" w:rsidRPr="006A2B41">
              <w:rPr>
                <w:rFonts w:ascii="Arial" w:eastAsia="Calibri" w:hAnsi="Arial" w:cs="Arial"/>
                <w:color w:val="000000"/>
                <w:sz w:val="20"/>
                <w:lang w:val="en-GB" w:eastAsia="en-GB"/>
              </w:rPr>
              <w:t>of a</w:t>
            </w:r>
            <w:r w:rsidR="000E1BB6" w:rsidRPr="006A2B41">
              <w:rPr>
                <w:rFonts w:ascii="Arial" w:eastAsia="Calibri" w:hAnsi="Arial" w:cs="Arial"/>
                <w:color w:val="000000"/>
                <w:sz w:val="20"/>
                <w:lang w:val="en-GB" w:eastAsia="en-GB"/>
              </w:rPr>
              <w:t xml:space="preserve"> team</w:t>
            </w:r>
            <w:r w:rsidRPr="006A2B41">
              <w:rPr>
                <w:rFonts w:ascii="Arial" w:eastAsia="Calibri" w:hAnsi="Arial" w:cs="Arial"/>
                <w:color w:val="000000"/>
                <w:sz w:val="20"/>
                <w:lang w:val="en-GB" w:eastAsia="en-GB"/>
              </w:rPr>
              <w:t>/teams</w:t>
            </w:r>
            <w:r w:rsidR="000E1BB6" w:rsidRPr="006A2B41">
              <w:rPr>
                <w:rFonts w:ascii="Arial" w:eastAsia="Calibri" w:hAnsi="Arial" w:cs="Arial"/>
                <w:color w:val="000000"/>
                <w:sz w:val="20"/>
                <w:lang w:val="en-GB" w:eastAsia="en-GB"/>
              </w:rPr>
              <w:t xml:space="preserve"> qualified to satisfy the outcomes required in the service specification. </w:t>
            </w:r>
          </w:p>
          <w:p w:rsidR="00E96CF8" w:rsidRDefault="00E96CF8" w:rsidP="003A64EF">
            <w:pPr>
              <w:autoSpaceDE w:val="0"/>
              <w:autoSpaceDN w:val="0"/>
              <w:adjustRightInd w:val="0"/>
              <w:spacing w:after="0"/>
              <w:contextualSpacing/>
              <w:rPr>
                <w:rFonts w:ascii="Arial" w:eastAsia="Calibri" w:hAnsi="Arial" w:cs="Arial"/>
                <w:color w:val="000000"/>
                <w:sz w:val="20"/>
                <w:lang w:val="en-GB" w:eastAsia="en-GB"/>
              </w:rPr>
            </w:pPr>
          </w:p>
          <w:p w:rsidR="00E96CF8" w:rsidRPr="006A2B41" w:rsidRDefault="00E96CF8"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b/>
                <w:bCs/>
                <w:color w:val="000000"/>
                <w:sz w:val="20"/>
                <w:lang w:val="en-GB" w:eastAsia="en-GB"/>
              </w:rPr>
              <w:t xml:space="preserve">3.3 Referral, Screening and Triage </w:t>
            </w: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E96CF8" w:rsidRPr="00E96CF8" w:rsidRDefault="00E96CF8" w:rsidP="00E96CF8">
            <w:pPr>
              <w:autoSpaceDE w:val="0"/>
              <w:autoSpaceDN w:val="0"/>
              <w:adjustRightInd w:val="0"/>
              <w:spacing w:after="0"/>
              <w:contextualSpacing/>
              <w:rPr>
                <w:rFonts w:ascii="Arial" w:eastAsia="Calibri" w:hAnsi="Arial" w:cs="Arial"/>
                <w:b/>
                <w:color w:val="000000"/>
                <w:sz w:val="20"/>
                <w:lang w:val="en-GB" w:eastAsia="en-GB"/>
              </w:rPr>
            </w:pPr>
            <w:r w:rsidRPr="00E96CF8">
              <w:rPr>
                <w:rFonts w:ascii="Arial" w:eastAsia="Calibri" w:hAnsi="Arial" w:cs="Arial"/>
                <w:b/>
                <w:color w:val="000000"/>
                <w:sz w:val="20"/>
                <w:lang w:val="en-GB" w:eastAsia="en-GB"/>
              </w:rPr>
              <w:t>Pre-referral, advice and guidance for GPs</w:t>
            </w:r>
          </w:p>
          <w:p w:rsidR="00E96CF8" w:rsidRDefault="00E96CF8" w:rsidP="00E96CF8">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3.3.1 The Prime Contractor is expected to provide a service that allows for advice and rapid response to queries in instances where the GP is unclear of treatment options or whether to refer onwards from Primary Care. The commissioner, NHS Tower Hamlets CCG suggests that this service is accessible electronically via a shared care system, email or telephone.</w:t>
            </w:r>
          </w:p>
          <w:p w:rsidR="00251769" w:rsidRDefault="00251769" w:rsidP="00E96CF8">
            <w:pPr>
              <w:autoSpaceDE w:val="0"/>
              <w:autoSpaceDN w:val="0"/>
              <w:adjustRightInd w:val="0"/>
              <w:spacing w:after="0"/>
              <w:contextualSpacing/>
              <w:rPr>
                <w:rFonts w:ascii="Arial" w:eastAsia="Calibri" w:hAnsi="Arial" w:cs="Arial"/>
                <w:color w:val="000000"/>
                <w:sz w:val="20"/>
                <w:lang w:val="en-GB" w:eastAsia="en-GB"/>
              </w:rPr>
            </w:pPr>
          </w:p>
          <w:p w:rsidR="00251769" w:rsidRDefault="00251769" w:rsidP="00E96CF8">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The commissioner suggests this advice to GPs should be given electronically in writing via Choose &amp; Book, a shared care records system and/or email. This is to ensure there is an auditable trail of medical communication.</w:t>
            </w:r>
          </w:p>
          <w:p w:rsidR="00251769" w:rsidRDefault="00251769" w:rsidP="00E96CF8">
            <w:pPr>
              <w:autoSpaceDE w:val="0"/>
              <w:autoSpaceDN w:val="0"/>
              <w:adjustRightInd w:val="0"/>
              <w:spacing w:after="0"/>
              <w:contextualSpacing/>
              <w:rPr>
                <w:rFonts w:ascii="Arial" w:eastAsia="Calibri" w:hAnsi="Arial" w:cs="Arial"/>
                <w:color w:val="000000"/>
                <w:sz w:val="20"/>
                <w:lang w:val="en-GB" w:eastAsia="en-GB"/>
              </w:rPr>
            </w:pPr>
          </w:p>
          <w:p w:rsidR="00251769" w:rsidRDefault="00251769" w:rsidP="00E96CF8">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Queries are expected to be responded to within 48hours as per guidelines around referrals to triage.</w:t>
            </w:r>
          </w:p>
          <w:p w:rsidR="00E96CF8" w:rsidRDefault="00E96CF8" w:rsidP="003A64EF">
            <w:pPr>
              <w:autoSpaceDE w:val="0"/>
              <w:autoSpaceDN w:val="0"/>
              <w:adjustRightInd w:val="0"/>
              <w:spacing w:after="0"/>
              <w:contextualSpacing/>
              <w:rPr>
                <w:rFonts w:ascii="Arial" w:eastAsia="Calibri" w:hAnsi="Arial" w:cs="Arial"/>
                <w:color w:val="000000"/>
                <w:sz w:val="20"/>
                <w:lang w:val="en-GB" w:eastAsia="en-GB"/>
              </w:rPr>
            </w:pPr>
          </w:p>
          <w:p w:rsidR="00E96CF8" w:rsidRPr="00E96CF8" w:rsidRDefault="00E96CF8" w:rsidP="003A64EF">
            <w:pPr>
              <w:autoSpaceDE w:val="0"/>
              <w:autoSpaceDN w:val="0"/>
              <w:adjustRightInd w:val="0"/>
              <w:spacing w:after="0"/>
              <w:contextualSpacing/>
              <w:rPr>
                <w:rFonts w:ascii="Arial" w:eastAsia="Calibri" w:hAnsi="Arial" w:cs="Arial"/>
                <w:b/>
                <w:color w:val="000000"/>
                <w:sz w:val="20"/>
                <w:lang w:val="en-GB" w:eastAsia="en-GB"/>
              </w:rPr>
            </w:pPr>
            <w:r w:rsidRPr="00E96CF8">
              <w:rPr>
                <w:rFonts w:ascii="Arial" w:eastAsia="Calibri" w:hAnsi="Arial" w:cs="Arial"/>
                <w:b/>
                <w:color w:val="000000"/>
                <w:sz w:val="20"/>
                <w:lang w:val="en-GB" w:eastAsia="en-GB"/>
              </w:rPr>
              <w:t>Referral</w:t>
            </w: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3.3</w:t>
            </w:r>
            <w:r w:rsidR="00E96CF8">
              <w:rPr>
                <w:rFonts w:ascii="Arial" w:eastAsia="Calibri" w:hAnsi="Arial" w:cs="Arial"/>
                <w:color w:val="000000"/>
                <w:sz w:val="20"/>
                <w:lang w:val="en-GB" w:eastAsia="en-GB"/>
              </w:rPr>
              <w:t>2</w:t>
            </w:r>
            <w:r w:rsidRPr="006A2B41">
              <w:rPr>
                <w:rFonts w:ascii="Arial" w:eastAsia="Calibri" w:hAnsi="Arial" w:cs="Arial"/>
                <w:color w:val="000000"/>
                <w:sz w:val="20"/>
                <w:lang w:val="en-GB" w:eastAsia="en-GB"/>
              </w:rPr>
              <w:t xml:space="preserve"> The need for referrals will be identified at the GP practice through usual clinical assessment, with the use appropriate trigger and risk stratification tools</w:t>
            </w:r>
            <w:r w:rsidR="00495F4E">
              <w:rPr>
                <w:rFonts w:ascii="Arial" w:eastAsia="Calibri" w:hAnsi="Arial" w:cs="Arial"/>
                <w:color w:val="000000"/>
                <w:sz w:val="20"/>
                <w:lang w:val="en-GB" w:eastAsia="en-GB"/>
              </w:rPr>
              <w:t xml:space="preserve"> according to the service`s pathways on common conditions and exclusion criteria.</w:t>
            </w:r>
            <w:r w:rsidRPr="006A2B41">
              <w:rPr>
                <w:rFonts w:ascii="Arial" w:eastAsia="Calibri" w:hAnsi="Arial" w:cs="Arial"/>
                <w:color w:val="000000"/>
                <w:sz w:val="20"/>
                <w:lang w:val="en-GB" w:eastAsia="en-GB"/>
              </w:rPr>
              <w:t xml:space="preserve"> </w:t>
            </w:r>
          </w:p>
          <w:p w:rsidR="003E3563" w:rsidRPr="006A2B41" w:rsidRDefault="003E3563"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3.3</w:t>
            </w:r>
            <w:r w:rsidR="00E96CF8">
              <w:rPr>
                <w:rFonts w:ascii="Arial" w:eastAsia="Calibri" w:hAnsi="Arial" w:cs="Arial"/>
                <w:color w:val="000000"/>
                <w:sz w:val="20"/>
                <w:lang w:val="en-GB" w:eastAsia="en-GB"/>
              </w:rPr>
              <w:t>.3</w:t>
            </w:r>
            <w:r w:rsidRPr="006A2B41">
              <w:rPr>
                <w:rFonts w:ascii="Arial" w:eastAsia="Calibri" w:hAnsi="Arial" w:cs="Arial"/>
                <w:color w:val="000000"/>
                <w:sz w:val="20"/>
                <w:lang w:val="en-GB" w:eastAsia="en-GB"/>
              </w:rPr>
              <w:t xml:space="preserve"> Referrals will be sent by the GP to the Provider using a </w:t>
            </w:r>
            <w:r w:rsidR="003E3563">
              <w:rPr>
                <w:rFonts w:ascii="Arial" w:eastAsia="Calibri" w:hAnsi="Arial" w:cs="Arial"/>
                <w:color w:val="000000"/>
                <w:sz w:val="20"/>
                <w:lang w:val="en-GB" w:eastAsia="en-GB"/>
              </w:rPr>
              <w:t>structured</w:t>
            </w:r>
            <w:r w:rsidRPr="006A2B41">
              <w:rPr>
                <w:rFonts w:ascii="Arial" w:eastAsia="Calibri" w:hAnsi="Arial" w:cs="Arial"/>
                <w:color w:val="000000"/>
                <w:sz w:val="20"/>
                <w:lang w:val="en-GB" w:eastAsia="en-GB"/>
              </w:rPr>
              <w:t xml:space="preserve"> referral form. The form will enable the GP to indicate their clinical preference for the triage stream (for example to specify that the referral is directed to</w:t>
            </w:r>
            <w:r w:rsidR="003E3563">
              <w:rPr>
                <w:rFonts w:ascii="Arial" w:eastAsia="Calibri" w:hAnsi="Arial" w:cs="Arial"/>
                <w:color w:val="000000"/>
                <w:sz w:val="20"/>
                <w:lang w:val="en-GB" w:eastAsia="en-GB"/>
              </w:rPr>
              <w:t xml:space="preserve"> </w:t>
            </w:r>
            <w:r w:rsidR="00495F4E">
              <w:rPr>
                <w:rFonts w:ascii="Arial" w:eastAsia="Calibri" w:hAnsi="Arial" w:cs="Arial"/>
                <w:color w:val="000000"/>
                <w:sz w:val="20"/>
                <w:lang w:val="en-GB" w:eastAsia="en-GB"/>
              </w:rPr>
              <w:t>T&amp;O</w:t>
            </w:r>
            <w:r w:rsidRPr="006A2B41">
              <w:rPr>
                <w:rFonts w:ascii="Arial" w:eastAsia="Calibri" w:hAnsi="Arial" w:cs="Arial"/>
                <w:color w:val="000000"/>
                <w:sz w:val="20"/>
                <w:lang w:val="en-GB" w:eastAsia="en-GB"/>
              </w:rPr>
              <w:t xml:space="preserve">). The Provider should have systems in place to support electronic referral on Choose and Book and the service should require referrers to use this system. </w:t>
            </w: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E96CF8" w:rsidRPr="00E96CF8" w:rsidRDefault="00E96CF8" w:rsidP="003A64EF">
            <w:pPr>
              <w:autoSpaceDE w:val="0"/>
              <w:autoSpaceDN w:val="0"/>
              <w:adjustRightInd w:val="0"/>
              <w:spacing w:after="0"/>
              <w:contextualSpacing/>
              <w:rPr>
                <w:rFonts w:ascii="Arial" w:eastAsia="Calibri" w:hAnsi="Arial" w:cs="Arial"/>
                <w:b/>
                <w:color w:val="000000"/>
                <w:sz w:val="20"/>
                <w:lang w:val="en-GB" w:eastAsia="en-GB"/>
              </w:rPr>
            </w:pPr>
            <w:r w:rsidRPr="00E96CF8">
              <w:rPr>
                <w:rFonts w:ascii="Arial" w:eastAsia="Calibri" w:hAnsi="Arial" w:cs="Arial"/>
                <w:b/>
                <w:color w:val="000000"/>
                <w:sz w:val="20"/>
                <w:lang w:val="en-GB" w:eastAsia="en-GB"/>
              </w:rPr>
              <w:t>Screening</w:t>
            </w: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3.3</w:t>
            </w:r>
            <w:r w:rsidR="00E96CF8">
              <w:rPr>
                <w:rFonts w:ascii="Arial" w:eastAsia="Calibri" w:hAnsi="Arial" w:cs="Arial"/>
                <w:color w:val="000000"/>
                <w:sz w:val="20"/>
                <w:lang w:val="en-GB" w:eastAsia="en-GB"/>
              </w:rPr>
              <w:t>.4</w:t>
            </w:r>
            <w:r w:rsidRPr="006A2B41">
              <w:rPr>
                <w:rFonts w:ascii="Arial" w:eastAsia="Calibri" w:hAnsi="Arial" w:cs="Arial"/>
                <w:color w:val="000000"/>
                <w:sz w:val="20"/>
                <w:lang w:val="en-GB" w:eastAsia="en-GB"/>
              </w:rPr>
              <w:t xml:space="preserve"> All referrals shall be reviewed at point of screening to ascertain the clinically appropriate service to provide </w:t>
            </w:r>
            <w:r w:rsidR="001D4686" w:rsidRPr="006A2B41">
              <w:rPr>
                <w:rFonts w:ascii="Arial" w:eastAsia="Calibri" w:hAnsi="Arial" w:cs="Arial"/>
                <w:color w:val="000000"/>
                <w:sz w:val="20"/>
                <w:lang w:val="en-GB" w:eastAsia="en-GB"/>
              </w:rPr>
              <w:t>the treatment (refer to Figure 1</w:t>
            </w:r>
            <w:r w:rsidRPr="006A2B41">
              <w:rPr>
                <w:rFonts w:ascii="Arial" w:eastAsia="Calibri" w:hAnsi="Arial" w:cs="Arial"/>
                <w:color w:val="000000"/>
                <w:sz w:val="20"/>
                <w:lang w:val="en-GB" w:eastAsia="en-GB"/>
              </w:rPr>
              <w:t xml:space="preserve">: Patient Pathway), including the option of returning the referral to the GP for management in primary care. The provider will demonstrate a coordinated and efficient pathway for screening that enables referrals to be directed toward the most clinically appropriate route. </w:t>
            </w:r>
          </w:p>
          <w:p w:rsidR="00E96CF8" w:rsidRDefault="00E96CF8" w:rsidP="003A64EF">
            <w:pPr>
              <w:autoSpaceDE w:val="0"/>
              <w:autoSpaceDN w:val="0"/>
              <w:adjustRightInd w:val="0"/>
              <w:spacing w:after="0"/>
              <w:contextualSpacing/>
              <w:rPr>
                <w:rFonts w:ascii="Arial" w:eastAsia="Calibri" w:hAnsi="Arial" w:cs="Arial"/>
                <w:color w:val="000000"/>
                <w:sz w:val="20"/>
                <w:lang w:val="en-GB" w:eastAsia="en-GB"/>
              </w:rPr>
            </w:pPr>
          </w:p>
          <w:p w:rsidR="000E1BB6" w:rsidRPr="00E96CF8" w:rsidRDefault="00E96CF8" w:rsidP="003A64EF">
            <w:pPr>
              <w:autoSpaceDE w:val="0"/>
              <w:autoSpaceDN w:val="0"/>
              <w:adjustRightInd w:val="0"/>
              <w:spacing w:after="0"/>
              <w:contextualSpacing/>
              <w:rPr>
                <w:rFonts w:ascii="Arial" w:eastAsia="Calibri" w:hAnsi="Arial" w:cs="Arial"/>
                <w:b/>
                <w:color w:val="000000"/>
                <w:sz w:val="20"/>
                <w:lang w:val="en-GB" w:eastAsia="en-GB"/>
              </w:rPr>
            </w:pPr>
            <w:r w:rsidRPr="00E96CF8">
              <w:rPr>
                <w:rFonts w:ascii="Arial" w:eastAsia="Calibri" w:hAnsi="Arial" w:cs="Arial"/>
                <w:b/>
                <w:color w:val="000000"/>
                <w:sz w:val="20"/>
                <w:lang w:val="en-GB" w:eastAsia="en-GB"/>
              </w:rPr>
              <w:t>Triage</w:t>
            </w:r>
          </w:p>
          <w:p w:rsidR="000E1BB6" w:rsidRPr="006A2B41" w:rsidRDefault="00E96CF8"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3.3.5</w:t>
            </w:r>
            <w:r w:rsidR="000E1BB6" w:rsidRPr="006A2B41">
              <w:rPr>
                <w:rFonts w:ascii="Arial" w:eastAsia="Calibri" w:hAnsi="Arial" w:cs="Arial"/>
                <w:color w:val="000000"/>
                <w:sz w:val="20"/>
                <w:lang w:val="en-GB" w:eastAsia="en-GB"/>
              </w:rPr>
              <w:t xml:space="preserve"> Following the initial screening of the referral, the following options shall be available: </w:t>
            </w:r>
          </w:p>
          <w:p w:rsidR="000E1BB6" w:rsidRPr="006A2B41" w:rsidRDefault="000E1BB6" w:rsidP="00665FD4">
            <w:pPr>
              <w:numPr>
                <w:ilvl w:val="0"/>
                <w:numId w:val="8"/>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Return referrals to GPs with advice regarding treatment which can be managed appropriately in primary care </w:t>
            </w:r>
          </w:p>
          <w:p w:rsidR="000E1BB6" w:rsidRPr="006A2B41" w:rsidRDefault="00542D38" w:rsidP="00665FD4">
            <w:pPr>
              <w:numPr>
                <w:ilvl w:val="0"/>
                <w:numId w:val="8"/>
              </w:num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Telephone consultation to establish a d</w:t>
            </w:r>
            <w:r w:rsidR="000E1BB6" w:rsidRPr="006A2B41">
              <w:rPr>
                <w:rFonts w:ascii="Arial" w:eastAsia="Calibri" w:hAnsi="Arial" w:cs="Arial"/>
                <w:color w:val="000000"/>
                <w:sz w:val="20"/>
                <w:lang w:val="en-GB" w:eastAsia="en-GB"/>
              </w:rPr>
              <w:t xml:space="preserve">iagnosis and </w:t>
            </w:r>
            <w:r>
              <w:rPr>
                <w:rFonts w:ascii="Arial" w:eastAsia="Calibri" w:hAnsi="Arial" w:cs="Arial"/>
                <w:color w:val="000000"/>
                <w:sz w:val="20"/>
                <w:lang w:val="en-GB" w:eastAsia="en-GB"/>
              </w:rPr>
              <w:t xml:space="preserve">management plan </w:t>
            </w:r>
            <w:r w:rsidR="000E1BB6" w:rsidRPr="006A2B41">
              <w:rPr>
                <w:rFonts w:ascii="Arial" w:eastAsia="Calibri" w:hAnsi="Arial" w:cs="Arial"/>
                <w:color w:val="000000"/>
                <w:sz w:val="20"/>
                <w:lang w:val="en-GB" w:eastAsia="en-GB"/>
              </w:rPr>
              <w:t xml:space="preserve">by an appropriately trained practitioner. </w:t>
            </w:r>
          </w:p>
          <w:p w:rsidR="000E1BB6" w:rsidRPr="006A2B41" w:rsidRDefault="000E1BB6" w:rsidP="00665FD4">
            <w:pPr>
              <w:numPr>
                <w:ilvl w:val="0"/>
                <w:numId w:val="8"/>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Referral into the face-to-face </w:t>
            </w:r>
            <w:r w:rsidR="00C25A95" w:rsidRPr="006A2B41">
              <w:rPr>
                <w:rFonts w:ascii="Arial" w:eastAsia="Calibri" w:hAnsi="Arial" w:cs="Arial"/>
                <w:color w:val="000000"/>
                <w:sz w:val="20"/>
                <w:lang w:val="en-GB" w:eastAsia="en-GB"/>
              </w:rPr>
              <w:t>specialist</w:t>
            </w:r>
            <w:r w:rsidRPr="006A2B41">
              <w:rPr>
                <w:rFonts w:ascii="Arial" w:eastAsia="Calibri" w:hAnsi="Arial" w:cs="Arial"/>
                <w:color w:val="000000"/>
                <w:sz w:val="20"/>
                <w:lang w:val="en-GB" w:eastAsia="en-GB"/>
              </w:rPr>
              <w:t xml:space="preserve"> clinic for examination, diagnosis and front line treatment and advice. </w:t>
            </w:r>
          </w:p>
          <w:p w:rsidR="000E1BB6" w:rsidRPr="006A2B41" w:rsidRDefault="000E1BB6" w:rsidP="00665FD4">
            <w:pPr>
              <w:numPr>
                <w:ilvl w:val="0"/>
                <w:numId w:val="8"/>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Referral to secondary care outpatient services (orthopaedics, rheumatology, pain management etc) using condition specific criteria. </w:t>
            </w:r>
          </w:p>
          <w:p w:rsidR="000E1BB6" w:rsidRPr="006A2B41" w:rsidRDefault="000E1BB6" w:rsidP="00665FD4">
            <w:pPr>
              <w:numPr>
                <w:ilvl w:val="0"/>
                <w:numId w:val="8"/>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Referral to musculoskeletal therapy including standard MSK Physiotherapy, pain management approaches and other services provided by the Integrated Musculoskeletal </w:t>
            </w:r>
            <w:r w:rsidR="00C25A95" w:rsidRPr="006A2B41">
              <w:rPr>
                <w:rFonts w:ascii="Arial" w:eastAsia="Calibri" w:hAnsi="Arial" w:cs="Arial"/>
                <w:color w:val="000000"/>
                <w:sz w:val="20"/>
                <w:lang w:val="en-GB" w:eastAsia="en-GB"/>
              </w:rPr>
              <w:t xml:space="preserve">and Pain </w:t>
            </w:r>
            <w:r w:rsidRPr="006A2B41">
              <w:rPr>
                <w:rFonts w:ascii="Arial" w:eastAsia="Calibri" w:hAnsi="Arial" w:cs="Arial"/>
                <w:color w:val="000000"/>
                <w:sz w:val="20"/>
                <w:lang w:val="en-GB" w:eastAsia="en-GB"/>
              </w:rPr>
              <w:t xml:space="preserve">Service. </w:t>
            </w:r>
          </w:p>
          <w:p w:rsidR="000E1BB6" w:rsidRPr="006A2B41" w:rsidRDefault="000E1BB6" w:rsidP="00665FD4">
            <w:pPr>
              <w:numPr>
                <w:ilvl w:val="0"/>
                <w:numId w:val="8"/>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Referral to other appropriate primary care services or locally commissioned services as agreed by the GP commissioners as appropriate for direct referral.</w:t>
            </w:r>
            <w:r w:rsidR="00C25A95" w:rsidRPr="006A2B41">
              <w:rPr>
                <w:rFonts w:ascii="Arial" w:eastAsia="Calibri" w:hAnsi="Arial" w:cs="Arial"/>
                <w:color w:val="000000"/>
                <w:sz w:val="20"/>
                <w:lang w:val="en-GB" w:eastAsia="en-GB"/>
              </w:rPr>
              <w:t xml:space="preserve"> This includes </w:t>
            </w:r>
            <w:r w:rsidR="003E3563">
              <w:rPr>
                <w:rFonts w:ascii="Arial" w:eastAsia="Calibri" w:hAnsi="Arial" w:cs="Arial"/>
                <w:color w:val="000000"/>
                <w:sz w:val="20"/>
                <w:lang w:val="en-GB" w:eastAsia="en-GB"/>
              </w:rPr>
              <w:t>Community Physiotherapy, Health Trainers and Psych</w:t>
            </w:r>
            <w:r w:rsidR="00F531E3">
              <w:rPr>
                <w:rFonts w:ascii="Arial" w:eastAsia="Calibri" w:hAnsi="Arial" w:cs="Arial"/>
                <w:color w:val="000000"/>
                <w:sz w:val="20"/>
                <w:lang w:val="en-GB" w:eastAsia="en-GB"/>
              </w:rPr>
              <w:t xml:space="preserve">o-educational courses </w:t>
            </w:r>
            <w:r w:rsidR="003E3563">
              <w:rPr>
                <w:rFonts w:ascii="Arial" w:eastAsia="Calibri" w:hAnsi="Arial" w:cs="Arial"/>
                <w:color w:val="000000"/>
                <w:sz w:val="20"/>
                <w:lang w:val="en-GB" w:eastAsia="en-GB"/>
              </w:rPr>
              <w:t xml:space="preserve">commissioned by NHS Tower Hamlets CCG as part of the community options in treating MSK and Pain conditions. There is also a need to make efficient use of local resources such as </w:t>
            </w:r>
            <w:r w:rsidR="00542D38">
              <w:rPr>
                <w:rFonts w:ascii="Arial" w:eastAsia="Calibri" w:hAnsi="Arial" w:cs="Arial"/>
                <w:color w:val="000000"/>
                <w:sz w:val="20"/>
                <w:lang w:val="en-GB" w:eastAsia="en-GB"/>
              </w:rPr>
              <w:t>Council-funded services for weight management or exercise classes aiming to promote healthy lifestyles and any other relevant services such as community psychology services for pain management</w:t>
            </w:r>
            <w:r w:rsidR="00F531E3">
              <w:rPr>
                <w:rFonts w:ascii="Arial" w:eastAsia="Calibri" w:hAnsi="Arial" w:cs="Arial"/>
                <w:color w:val="000000"/>
                <w:sz w:val="20"/>
                <w:lang w:val="en-GB" w:eastAsia="en-GB"/>
              </w:rPr>
              <w:t xml:space="preserve"> that may aid in further supporting these conditions. T</w:t>
            </w:r>
            <w:r w:rsidR="003E3563">
              <w:rPr>
                <w:rFonts w:ascii="Arial" w:eastAsia="Calibri" w:hAnsi="Arial" w:cs="Arial"/>
                <w:color w:val="000000"/>
                <w:sz w:val="20"/>
                <w:lang w:val="en-GB" w:eastAsia="en-GB"/>
              </w:rPr>
              <w:t>he Prime Contractor is required to ensure its providers are knowledgeable of these services and signposting in appropriate cases</w:t>
            </w:r>
            <w:r w:rsidR="00542D38">
              <w:rPr>
                <w:rFonts w:ascii="Arial" w:eastAsia="Calibri" w:hAnsi="Arial" w:cs="Arial"/>
                <w:color w:val="000000"/>
                <w:sz w:val="20"/>
                <w:lang w:val="en-GB" w:eastAsia="en-GB"/>
              </w:rPr>
              <w:t xml:space="preserv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E96CF8"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3.3.6</w:t>
            </w:r>
            <w:r w:rsidR="000E1BB6" w:rsidRPr="006A2B41">
              <w:rPr>
                <w:rFonts w:ascii="Arial" w:eastAsia="Calibri" w:hAnsi="Arial" w:cs="Arial"/>
                <w:color w:val="000000"/>
                <w:sz w:val="20"/>
                <w:lang w:val="en-GB" w:eastAsia="en-GB"/>
              </w:rPr>
              <w:t xml:space="preserve"> Red flags or serious pathology, paediatrics and suspected early </w:t>
            </w:r>
            <w:r w:rsidR="003E3563">
              <w:rPr>
                <w:rFonts w:ascii="Arial" w:eastAsia="Calibri" w:hAnsi="Arial" w:cs="Arial"/>
                <w:color w:val="000000"/>
                <w:sz w:val="20"/>
                <w:lang w:val="en-GB" w:eastAsia="en-GB"/>
              </w:rPr>
              <w:t>inflammatory</w:t>
            </w:r>
            <w:r w:rsidR="000E1BB6" w:rsidRPr="006A2B41">
              <w:rPr>
                <w:rFonts w:ascii="Arial" w:eastAsia="Calibri" w:hAnsi="Arial" w:cs="Arial"/>
                <w:color w:val="000000"/>
                <w:sz w:val="20"/>
                <w:lang w:val="en-GB" w:eastAsia="en-GB"/>
              </w:rPr>
              <w:t xml:space="preserve"> arthritis are exclusions to the pathway that should be directly referred by the GP into alternative pathways. Where patients deemed to have red flag or serious pathology are referred to the</w:t>
            </w:r>
            <w:r w:rsidR="00C25A95" w:rsidRPr="006A2B41">
              <w:rPr>
                <w:rFonts w:ascii="Arial" w:eastAsia="Calibri" w:hAnsi="Arial" w:cs="Arial"/>
                <w:color w:val="000000"/>
                <w:sz w:val="20"/>
                <w:lang w:val="en-GB" w:eastAsia="en-GB"/>
              </w:rPr>
              <w:t xml:space="preserve"> Integrated</w:t>
            </w:r>
            <w:r w:rsidR="000E1BB6" w:rsidRPr="006A2B41">
              <w:rPr>
                <w:rFonts w:ascii="Arial" w:eastAsia="Calibri" w:hAnsi="Arial" w:cs="Arial"/>
                <w:color w:val="000000"/>
                <w:sz w:val="20"/>
                <w:lang w:val="en-GB" w:eastAsia="en-GB"/>
              </w:rPr>
              <w:t xml:space="preserve"> MSK</w:t>
            </w:r>
            <w:r w:rsidR="00C25A95" w:rsidRPr="006A2B41">
              <w:rPr>
                <w:rFonts w:ascii="Arial" w:eastAsia="Calibri" w:hAnsi="Arial" w:cs="Arial"/>
                <w:color w:val="000000"/>
                <w:sz w:val="20"/>
                <w:lang w:val="en-GB" w:eastAsia="en-GB"/>
              </w:rPr>
              <w:t xml:space="preserve"> and Pain</w:t>
            </w:r>
            <w:r w:rsidR="000E1BB6" w:rsidRPr="006A2B41">
              <w:rPr>
                <w:rFonts w:ascii="Arial" w:eastAsia="Calibri" w:hAnsi="Arial" w:cs="Arial"/>
                <w:color w:val="000000"/>
                <w:sz w:val="20"/>
                <w:lang w:val="en-GB" w:eastAsia="en-GB"/>
              </w:rPr>
              <w:t xml:space="preserve"> service, immediate communication is required with the referring GP. The </w:t>
            </w:r>
            <w:r w:rsidR="00C25A95" w:rsidRPr="006A2B41">
              <w:rPr>
                <w:rFonts w:ascii="Arial" w:eastAsia="Calibri" w:hAnsi="Arial" w:cs="Arial"/>
                <w:color w:val="000000"/>
                <w:sz w:val="20"/>
                <w:lang w:val="en-GB" w:eastAsia="en-GB"/>
              </w:rPr>
              <w:t xml:space="preserve">Integrated MSK and Pain </w:t>
            </w:r>
            <w:r w:rsidR="000E1BB6" w:rsidRPr="006A2B41">
              <w:rPr>
                <w:rFonts w:ascii="Arial" w:eastAsia="Calibri" w:hAnsi="Arial" w:cs="Arial"/>
                <w:color w:val="000000"/>
                <w:sz w:val="20"/>
                <w:lang w:val="en-GB" w:eastAsia="en-GB"/>
              </w:rPr>
              <w:t>service can refer directly on to the appropriate specialist service as clinical need dictates. Red flag indicators are as indicated in the NICE guidance and currently include</w:t>
            </w:r>
            <w:r w:rsidR="008B40EF">
              <w:rPr>
                <w:rFonts w:ascii="Arial" w:eastAsia="Calibri" w:hAnsi="Arial" w:cs="Arial"/>
                <w:color w:val="000000"/>
                <w:sz w:val="20"/>
                <w:lang w:val="en-GB" w:eastAsia="en-GB"/>
              </w:rPr>
              <w:t xml:space="preserve"> combinations of the following</w:t>
            </w:r>
            <w:r w:rsidR="000E1BB6" w:rsidRPr="006A2B41">
              <w:rPr>
                <w:rFonts w:ascii="Arial" w:eastAsia="Calibri" w:hAnsi="Arial" w:cs="Arial"/>
                <w:color w:val="000000"/>
                <w:sz w:val="20"/>
                <w:lang w:val="en-GB" w:eastAsia="en-GB"/>
              </w:rPr>
              <w:t xml:space="preserv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Weight loss (&gt;10% of body weight in 3-6 months)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Severe, unremitting night pain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Fever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Gait disturbance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History of serious pathology or systemic illness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Structural deformity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Bilateral changes in sensation in hands +/- feet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Lower limb hyper-reflexia +/- clonus </w:t>
            </w:r>
          </w:p>
          <w:p w:rsidR="000E1BB6" w:rsidRPr="006A2B41" w:rsidRDefault="000E1BB6" w:rsidP="00665FD4">
            <w:pPr>
              <w:numPr>
                <w:ilvl w:val="0"/>
                <w:numId w:val="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Inflammatory presentation (night pain, resting pain, history of inflammatory illness, abnormal abdominal examination)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E96CF8"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3.3.7</w:t>
            </w:r>
            <w:r w:rsidR="000E1BB6" w:rsidRPr="006A2B41">
              <w:rPr>
                <w:rFonts w:ascii="Arial" w:eastAsia="Calibri" w:hAnsi="Arial" w:cs="Arial"/>
                <w:color w:val="000000"/>
                <w:sz w:val="20"/>
                <w:lang w:val="en-GB" w:eastAsia="en-GB"/>
              </w:rPr>
              <w:t xml:space="preserve"> </w:t>
            </w:r>
            <w:r w:rsidR="00C25A95" w:rsidRPr="006A2B41">
              <w:rPr>
                <w:rFonts w:ascii="Arial" w:eastAsia="Calibri" w:hAnsi="Arial" w:cs="Arial"/>
                <w:color w:val="000000"/>
                <w:sz w:val="20"/>
                <w:lang w:val="en-GB" w:eastAsia="en-GB"/>
              </w:rPr>
              <w:t>Referral w</w:t>
            </w:r>
            <w:r w:rsidR="000E1BB6" w:rsidRPr="006A2B41">
              <w:rPr>
                <w:rFonts w:ascii="Arial" w:eastAsia="Calibri" w:hAnsi="Arial" w:cs="Arial"/>
                <w:color w:val="000000"/>
                <w:sz w:val="20"/>
                <w:lang w:val="en-GB" w:eastAsia="en-GB"/>
              </w:rPr>
              <w:t>aiting times must meet the servi</w:t>
            </w:r>
            <w:r w:rsidR="00C25A95" w:rsidRPr="006A2B41">
              <w:rPr>
                <w:rFonts w:ascii="Arial" w:eastAsia="Calibri" w:hAnsi="Arial" w:cs="Arial"/>
                <w:color w:val="000000"/>
                <w:sz w:val="20"/>
                <w:lang w:val="en-GB" w:eastAsia="en-GB"/>
              </w:rPr>
              <w:t xml:space="preserve">ce objectives of a maximum of </w:t>
            </w:r>
            <w:r w:rsidR="008B40EF">
              <w:rPr>
                <w:rFonts w:ascii="Arial" w:eastAsia="Calibri" w:hAnsi="Arial" w:cs="Arial"/>
                <w:color w:val="000000"/>
                <w:sz w:val="20"/>
                <w:lang w:val="en-GB" w:eastAsia="en-GB"/>
              </w:rPr>
              <w:t>6</w:t>
            </w:r>
            <w:r w:rsidR="00603A26" w:rsidRPr="006A2B41">
              <w:rPr>
                <w:rFonts w:ascii="Arial" w:eastAsia="Calibri" w:hAnsi="Arial" w:cs="Arial"/>
                <w:color w:val="000000"/>
                <w:sz w:val="20"/>
                <w:lang w:val="en-GB" w:eastAsia="en-GB"/>
              </w:rPr>
              <w:t xml:space="preserve"> weeks</w:t>
            </w:r>
            <w:r w:rsidR="00C25A95" w:rsidRPr="006A2B41">
              <w:rPr>
                <w:rFonts w:ascii="Arial" w:eastAsia="Calibri" w:hAnsi="Arial" w:cs="Arial"/>
                <w:color w:val="000000"/>
                <w:sz w:val="20"/>
                <w:lang w:val="en-GB" w:eastAsia="en-GB"/>
              </w:rPr>
              <w:t xml:space="preserve"> face-to face initial assessment from referral</w:t>
            </w:r>
            <w:r w:rsidR="00D06CB8">
              <w:rPr>
                <w:rFonts w:ascii="Arial" w:eastAsia="Calibri" w:hAnsi="Arial" w:cs="Arial"/>
                <w:color w:val="000000"/>
                <w:sz w:val="20"/>
                <w:lang w:val="en-GB" w:eastAsia="en-GB"/>
              </w:rPr>
              <w:t xml:space="preserve">. </w:t>
            </w:r>
            <w:r w:rsidR="000E1BB6" w:rsidRPr="006A2B41">
              <w:rPr>
                <w:rFonts w:ascii="Arial" w:eastAsia="Calibri" w:hAnsi="Arial" w:cs="Arial"/>
                <w:color w:val="000000"/>
                <w:sz w:val="20"/>
                <w:lang w:val="en-GB" w:eastAsia="en-GB"/>
              </w:rPr>
              <w:t xml:space="preserve">This does not apply to cases identified as Red Flags or serious pathology, paediatrics and suspected early rheumatoid arthritis, which trigger their own urgent pathway.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EB0BA0" w:rsidRDefault="00603A2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w:t>
            </w:r>
            <w:r w:rsidR="00E96CF8">
              <w:rPr>
                <w:rFonts w:ascii="Arial" w:eastAsia="Calibri" w:hAnsi="Arial" w:cs="Arial"/>
                <w:color w:val="000000"/>
                <w:sz w:val="20"/>
                <w:lang w:val="en-GB" w:eastAsia="en-GB"/>
              </w:rPr>
              <w:t>.3.8</w:t>
            </w:r>
            <w:r w:rsidRPr="006A2B41">
              <w:rPr>
                <w:rFonts w:ascii="Arial" w:eastAsia="Calibri" w:hAnsi="Arial" w:cs="Arial"/>
                <w:color w:val="000000"/>
                <w:sz w:val="20"/>
                <w:lang w:val="en-GB" w:eastAsia="en-GB"/>
              </w:rPr>
              <w:t xml:space="preserve"> Routine c</w:t>
            </w:r>
            <w:r w:rsidR="000E1BB6" w:rsidRPr="006A2B41">
              <w:rPr>
                <w:rFonts w:ascii="Arial" w:eastAsia="Calibri" w:hAnsi="Arial" w:cs="Arial"/>
                <w:color w:val="000000"/>
                <w:sz w:val="20"/>
                <w:lang w:val="en-GB" w:eastAsia="en-GB"/>
              </w:rPr>
              <w:t xml:space="preserve">ases shall be </w:t>
            </w:r>
            <w:r w:rsidR="008B40EF">
              <w:rPr>
                <w:rFonts w:ascii="Arial" w:eastAsia="Calibri" w:hAnsi="Arial" w:cs="Arial"/>
                <w:color w:val="000000"/>
                <w:sz w:val="20"/>
                <w:lang w:val="en-GB" w:eastAsia="en-GB"/>
              </w:rPr>
              <w:t>given face-t</w:t>
            </w:r>
            <w:r w:rsidR="00D06CB8">
              <w:rPr>
                <w:rFonts w:ascii="Arial" w:eastAsia="Calibri" w:hAnsi="Arial" w:cs="Arial"/>
                <w:color w:val="000000"/>
                <w:sz w:val="20"/>
                <w:lang w:val="en-GB" w:eastAsia="en-GB"/>
              </w:rPr>
              <w:t>o-face appointments, if needed,</w:t>
            </w:r>
            <w:r w:rsidR="00EB0BA0" w:rsidRPr="006A2B41">
              <w:rPr>
                <w:rFonts w:ascii="Arial" w:eastAsia="Calibri" w:hAnsi="Arial" w:cs="Arial"/>
                <w:color w:val="000000"/>
                <w:sz w:val="20"/>
                <w:lang w:val="en-GB" w:eastAsia="en-GB"/>
              </w:rPr>
              <w:t xml:space="preserve"> in chronological order to reduce variation in waiting times</w:t>
            </w:r>
            <w:r w:rsidR="00C54418">
              <w:rPr>
                <w:rFonts w:ascii="Arial" w:eastAsia="Calibri" w:hAnsi="Arial" w:cs="Arial"/>
                <w:color w:val="000000"/>
                <w:sz w:val="20"/>
                <w:lang w:val="en-GB" w:eastAsia="en-GB"/>
              </w:rPr>
              <w:t xml:space="preserve"> although certain cases may be prioritised depending on cl</w:t>
            </w:r>
            <w:r w:rsidR="00D06CB8">
              <w:rPr>
                <w:rFonts w:ascii="Arial" w:eastAsia="Calibri" w:hAnsi="Arial" w:cs="Arial"/>
                <w:color w:val="000000"/>
                <w:sz w:val="20"/>
                <w:lang w:val="en-GB" w:eastAsia="en-GB"/>
              </w:rPr>
              <w:t xml:space="preserve">inical need. </w:t>
            </w:r>
            <w:r w:rsidR="00C54418">
              <w:rPr>
                <w:rFonts w:ascii="Arial" w:eastAsia="Calibri" w:hAnsi="Arial" w:cs="Arial"/>
                <w:color w:val="000000"/>
                <w:sz w:val="20"/>
                <w:lang w:val="en-GB" w:eastAsia="en-GB"/>
              </w:rPr>
              <w:t>The overall waiting time for face-to-face appointments will not exceed the 6 weeks from the time of the GP referral.</w:t>
            </w:r>
          </w:p>
          <w:p w:rsidR="00601A84" w:rsidRDefault="00601A84" w:rsidP="003A64EF">
            <w:pPr>
              <w:autoSpaceDE w:val="0"/>
              <w:autoSpaceDN w:val="0"/>
              <w:adjustRightInd w:val="0"/>
              <w:spacing w:after="0"/>
              <w:contextualSpacing/>
              <w:rPr>
                <w:rFonts w:ascii="Arial" w:eastAsia="Calibri" w:hAnsi="Arial" w:cs="Arial"/>
                <w:color w:val="000000"/>
                <w:sz w:val="20"/>
                <w:lang w:val="en-GB" w:eastAsia="en-GB"/>
              </w:rPr>
            </w:pPr>
          </w:p>
          <w:p w:rsidR="00601A84" w:rsidRPr="006A2B41" w:rsidRDefault="00601A84" w:rsidP="00601A84">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Examples of conditions that may need to be prioritised clinically include the following:</w:t>
            </w:r>
            <w:r w:rsidRPr="006A2B41">
              <w:rPr>
                <w:rFonts w:ascii="Arial" w:eastAsia="Calibri" w:hAnsi="Arial" w:cs="Arial"/>
                <w:color w:val="000000"/>
                <w:sz w:val="20"/>
                <w:lang w:val="en-GB" w:eastAsia="en-GB"/>
              </w:rPr>
              <w:t xml:space="preserve"> </w:t>
            </w:r>
          </w:p>
          <w:p w:rsidR="00601A84" w:rsidRPr="006A2B41" w:rsidRDefault="00601A84" w:rsidP="00601A84">
            <w:pPr>
              <w:numPr>
                <w:ilvl w:val="0"/>
                <w:numId w:val="10"/>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Patients unable to return to work as a result of their musculoskeletal disorder </w:t>
            </w:r>
          </w:p>
          <w:p w:rsidR="00601A84" w:rsidRPr="006A2B41" w:rsidRDefault="00601A84" w:rsidP="00601A84">
            <w:pPr>
              <w:numPr>
                <w:ilvl w:val="0"/>
                <w:numId w:val="10"/>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Patients unable to sleep (despite appropriate medication) as a result of their musculoskeletal disorder </w:t>
            </w:r>
          </w:p>
          <w:p w:rsidR="00601A84" w:rsidRPr="006A2B41" w:rsidRDefault="00601A84" w:rsidP="00601A84">
            <w:pPr>
              <w:numPr>
                <w:ilvl w:val="0"/>
                <w:numId w:val="10"/>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Unconfirmed red flag criteria supporting the need for further investigations. </w:t>
            </w:r>
          </w:p>
          <w:p w:rsidR="00601A84" w:rsidRPr="006A2B41" w:rsidRDefault="00601A84" w:rsidP="00601A84">
            <w:pPr>
              <w:numPr>
                <w:ilvl w:val="0"/>
                <w:numId w:val="10"/>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A deteriorating MSK condition with symptoms not controlled with increasing pain medication </w:t>
            </w:r>
          </w:p>
          <w:p w:rsidR="00601A84" w:rsidRPr="00601A84" w:rsidRDefault="00601A84" w:rsidP="003A64EF">
            <w:pPr>
              <w:numPr>
                <w:ilvl w:val="0"/>
                <w:numId w:val="10"/>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A carer who is unable to care due to a presenting musculoskeletal condition </w:t>
            </w:r>
          </w:p>
          <w:p w:rsidR="00EB0BA0" w:rsidRPr="006A2B41" w:rsidRDefault="00EB0BA0"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E96CF8"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3.3.9</w:t>
            </w:r>
            <w:r w:rsidR="000E1BB6" w:rsidRPr="006A2B41">
              <w:rPr>
                <w:rFonts w:ascii="Arial" w:eastAsia="Calibri" w:hAnsi="Arial" w:cs="Arial"/>
                <w:color w:val="000000"/>
                <w:sz w:val="20"/>
                <w:lang w:val="en-GB" w:eastAsia="en-GB"/>
              </w:rPr>
              <w:t xml:space="preserve"> Patients should be contacted to agree a mutually convenient time for their appointments.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E96CF8"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3.3.10</w:t>
            </w:r>
            <w:r w:rsidR="000E1BB6" w:rsidRPr="006A2B41">
              <w:rPr>
                <w:rFonts w:ascii="Arial" w:eastAsia="Calibri" w:hAnsi="Arial" w:cs="Arial"/>
                <w:color w:val="000000"/>
                <w:sz w:val="20"/>
                <w:lang w:val="en-GB" w:eastAsia="en-GB"/>
              </w:rPr>
              <w:t xml:space="preserve"> Booking confirmation must be sent to the patient. Should booking the appointment not be possible within the identified timescale due to a service capacity or management issue, this must be reported to the referring GP with an explanation. Patients who are considered at risk and fail to be available for appointments within a clinically appropriate time should have the risks of delay clearly explained to them and the GP informed if appropriate. </w:t>
            </w:r>
          </w:p>
          <w:p w:rsidR="000E1BB6" w:rsidRPr="006A2B41" w:rsidRDefault="000E1BB6" w:rsidP="003A64EF">
            <w:pPr>
              <w:spacing w:after="0"/>
              <w:contextualSpacing/>
              <w:rPr>
                <w:rFonts w:ascii="Arial" w:hAnsi="Arial" w:cs="Arial"/>
                <w:color w:val="009966"/>
                <w:sz w:val="20"/>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b/>
                <w:bCs/>
                <w:color w:val="000000"/>
                <w:sz w:val="20"/>
                <w:lang w:val="en-GB" w:eastAsia="en-GB"/>
              </w:rPr>
            </w:pPr>
            <w:r w:rsidRPr="006A2B41">
              <w:rPr>
                <w:rFonts w:ascii="Arial" w:eastAsia="Calibri" w:hAnsi="Arial" w:cs="Arial"/>
                <w:b/>
                <w:bCs/>
                <w:color w:val="000000"/>
                <w:sz w:val="20"/>
                <w:lang w:val="en-GB" w:eastAsia="en-GB"/>
              </w:rPr>
              <w:t xml:space="preserve">3.4 Assessment and Treatment </w:t>
            </w:r>
          </w:p>
          <w:p w:rsidR="00FB7166" w:rsidRPr="006A2B41" w:rsidRDefault="00FB716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b/>
                <w:bCs/>
                <w:color w:val="000000"/>
                <w:sz w:val="20"/>
                <w:lang w:val="en-GB" w:eastAsia="en-GB"/>
              </w:rPr>
              <w:t xml:space="preserve">Initial Assessment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3.4.1 For those patients referred and accepted for the Integrated MSK </w:t>
            </w:r>
            <w:r w:rsidR="00FB7166" w:rsidRPr="006A2B41">
              <w:rPr>
                <w:rFonts w:ascii="Arial" w:eastAsia="Calibri" w:hAnsi="Arial" w:cs="Arial"/>
                <w:color w:val="000000"/>
                <w:sz w:val="20"/>
                <w:lang w:val="en-GB" w:eastAsia="en-GB"/>
              </w:rPr>
              <w:t xml:space="preserve">and Pain </w:t>
            </w:r>
            <w:r w:rsidRPr="006A2B41">
              <w:rPr>
                <w:rFonts w:ascii="Arial" w:eastAsia="Calibri" w:hAnsi="Arial" w:cs="Arial"/>
                <w:color w:val="000000"/>
                <w:sz w:val="20"/>
                <w:lang w:val="en-GB" w:eastAsia="en-GB"/>
              </w:rPr>
              <w:t xml:space="preserve">Service, an initial assessment and diagnosis will be provided, with patients being seen and treated within the service or being referred onto other appropriate services using condition specific criteria e.g. clinically appropriate checklists.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3.4.2 As part of the initial assessment, the Integrated MSK</w:t>
            </w:r>
            <w:r w:rsidR="00FB7166" w:rsidRPr="006A2B41">
              <w:rPr>
                <w:rFonts w:ascii="Arial" w:eastAsia="Calibri" w:hAnsi="Arial" w:cs="Arial"/>
                <w:color w:val="000000"/>
                <w:sz w:val="20"/>
                <w:lang w:val="en-GB" w:eastAsia="en-GB"/>
              </w:rPr>
              <w:t xml:space="preserve"> and Pain</w:t>
            </w:r>
            <w:r w:rsidRPr="006A2B41">
              <w:rPr>
                <w:rFonts w:ascii="Arial" w:eastAsia="Calibri" w:hAnsi="Arial" w:cs="Arial"/>
                <w:color w:val="000000"/>
                <w:sz w:val="20"/>
                <w:lang w:val="en-GB" w:eastAsia="en-GB"/>
              </w:rPr>
              <w:t xml:space="preserve"> Service will: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665FD4">
            <w:pPr>
              <w:numPr>
                <w:ilvl w:val="0"/>
                <w:numId w:val="11"/>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Record a thorough clinical history </w:t>
            </w:r>
          </w:p>
          <w:p w:rsidR="000E1BB6" w:rsidRPr="006A2B41" w:rsidRDefault="000E1BB6" w:rsidP="00665FD4">
            <w:pPr>
              <w:numPr>
                <w:ilvl w:val="0"/>
                <w:numId w:val="11"/>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Undertake a physical assessment of patients with suspected MSK disorders </w:t>
            </w:r>
          </w:p>
          <w:p w:rsidR="000E1BB6" w:rsidRPr="006A2B41" w:rsidRDefault="000E1BB6" w:rsidP="00665FD4">
            <w:pPr>
              <w:numPr>
                <w:ilvl w:val="0"/>
                <w:numId w:val="11"/>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Arrange and review appropriate investigations </w:t>
            </w:r>
          </w:p>
          <w:p w:rsidR="000E1BB6" w:rsidRPr="006A2B41" w:rsidRDefault="000E1BB6" w:rsidP="00665FD4">
            <w:pPr>
              <w:numPr>
                <w:ilvl w:val="0"/>
                <w:numId w:val="11"/>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Provide patient treatment and management plans in collaboration with the patient </w:t>
            </w:r>
          </w:p>
          <w:p w:rsidR="000E1BB6" w:rsidRPr="006A2B41" w:rsidRDefault="00FB7166" w:rsidP="00665FD4">
            <w:pPr>
              <w:numPr>
                <w:ilvl w:val="0"/>
                <w:numId w:val="11"/>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Where appropriate, an i</w:t>
            </w:r>
            <w:r w:rsidR="000E1BB6" w:rsidRPr="006A2B41">
              <w:rPr>
                <w:rFonts w:ascii="Arial" w:eastAsia="Calibri" w:hAnsi="Arial" w:cs="Arial"/>
                <w:color w:val="000000"/>
                <w:sz w:val="20"/>
                <w:lang w:val="en-GB" w:eastAsia="en-GB"/>
              </w:rPr>
              <w:t xml:space="preserve">n discussion and agreement with patients, referrals will be transferred </w:t>
            </w:r>
            <w:r w:rsidRPr="006A2B41">
              <w:rPr>
                <w:rFonts w:ascii="Arial" w:eastAsia="Calibri" w:hAnsi="Arial" w:cs="Arial"/>
                <w:color w:val="000000"/>
                <w:sz w:val="20"/>
                <w:lang w:val="en-GB" w:eastAsia="en-GB"/>
              </w:rPr>
              <w:t xml:space="preserve">on </w:t>
            </w:r>
            <w:r w:rsidR="000E1BB6" w:rsidRPr="006A2B41">
              <w:rPr>
                <w:rFonts w:ascii="Arial" w:eastAsia="Calibri" w:hAnsi="Arial" w:cs="Arial"/>
                <w:color w:val="000000"/>
                <w:sz w:val="20"/>
                <w:lang w:val="en-GB" w:eastAsia="en-GB"/>
              </w:rPr>
              <w:t xml:space="preserve">to the most suitable provider of treatment; taking into account patient choice, general health and psychosocial factors, in line with pre-defined pathways of care.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Provide onward referral to secondary care outpatient services e.g. Orthopaedics, Rheumatology, and P</w:t>
            </w:r>
            <w:r w:rsidR="000075C5" w:rsidRPr="006A2B41">
              <w:rPr>
                <w:rFonts w:ascii="Arial" w:eastAsia="Calibri" w:hAnsi="Arial" w:cs="Arial"/>
                <w:color w:val="000000"/>
                <w:sz w:val="20"/>
                <w:lang w:val="en-GB" w:eastAsia="en-GB"/>
              </w:rPr>
              <w:t>ain services via Choose &amp; Book:</w:t>
            </w:r>
          </w:p>
          <w:p w:rsidR="000E1BB6" w:rsidRPr="006A2B41" w:rsidRDefault="000E1BB6" w:rsidP="00665FD4">
            <w:pPr>
              <w:numPr>
                <w:ilvl w:val="0"/>
                <w:numId w:val="12"/>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Provide onward referral to community services, for example c</w:t>
            </w:r>
            <w:r w:rsidR="003F3CF3">
              <w:rPr>
                <w:rFonts w:ascii="Arial" w:eastAsia="Calibri" w:hAnsi="Arial" w:cs="Arial"/>
                <w:color w:val="000000"/>
                <w:sz w:val="20"/>
                <w:lang w:val="en-GB" w:eastAsia="en-GB"/>
              </w:rPr>
              <w:t xml:space="preserve">ommunity psychological support, health trainer courses </w:t>
            </w:r>
            <w:r w:rsidR="000075C5" w:rsidRPr="006A2B41">
              <w:rPr>
                <w:rFonts w:ascii="Arial" w:eastAsia="Calibri" w:hAnsi="Arial" w:cs="Arial"/>
                <w:color w:val="000000"/>
                <w:sz w:val="20"/>
                <w:lang w:val="en-GB" w:eastAsia="en-GB"/>
              </w:rPr>
              <w:t>and physiotherapy</w:t>
            </w:r>
            <w:r w:rsidRPr="006A2B41">
              <w:rPr>
                <w:rFonts w:ascii="Arial" w:eastAsia="Calibri" w:hAnsi="Arial" w:cs="Arial"/>
                <w:color w:val="000000"/>
                <w:sz w:val="20"/>
                <w:lang w:val="en-GB" w:eastAsia="en-GB"/>
              </w:rPr>
              <w:t xml:space="preserve"> </w:t>
            </w:r>
          </w:p>
          <w:p w:rsidR="000E1BB6" w:rsidRPr="006A2B41" w:rsidRDefault="000E1BB6" w:rsidP="00665FD4">
            <w:pPr>
              <w:numPr>
                <w:ilvl w:val="0"/>
                <w:numId w:val="12"/>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The service will ensure that it contributes to the meeting of the 18 week referral to treatment (RTT) pathway timescale, by appropriately managing, recording and reporting clock stops and pauses to secondary care.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3.4.3 The </w:t>
            </w:r>
            <w:r w:rsidR="000075C5" w:rsidRPr="006A2B41">
              <w:rPr>
                <w:rFonts w:ascii="Arial" w:eastAsia="Calibri" w:hAnsi="Arial" w:cs="Arial"/>
                <w:color w:val="000000"/>
                <w:sz w:val="20"/>
                <w:lang w:val="en-GB" w:eastAsia="en-GB"/>
              </w:rPr>
              <w:t xml:space="preserve">Prime Contractor should ensure there are mechanisms for Sub-Contracted </w:t>
            </w:r>
            <w:r w:rsidRPr="006A2B41">
              <w:rPr>
                <w:rFonts w:ascii="Arial" w:eastAsia="Calibri" w:hAnsi="Arial" w:cs="Arial"/>
                <w:color w:val="000000"/>
                <w:sz w:val="20"/>
                <w:lang w:val="en-GB" w:eastAsia="en-GB"/>
              </w:rPr>
              <w:t>Provider</w:t>
            </w:r>
            <w:r w:rsidR="000075C5" w:rsidRPr="006A2B41">
              <w:rPr>
                <w:rFonts w:ascii="Arial" w:eastAsia="Calibri" w:hAnsi="Arial" w:cs="Arial"/>
                <w:color w:val="000000"/>
                <w:sz w:val="20"/>
                <w:lang w:val="en-GB" w:eastAsia="en-GB"/>
              </w:rPr>
              <w:t>s to</w:t>
            </w:r>
            <w:r w:rsidRPr="006A2B41">
              <w:rPr>
                <w:rFonts w:ascii="Arial" w:eastAsia="Calibri" w:hAnsi="Arial" w:cs="Arial"/>
                <w:color w:val="000000"/>
                <w:sz w:val="20"/>
                <w:lang w:val="en-GB" w:eastAsia="en-GB"/>
              </w:rPr>
              <w:t xml:space="preserve"> write to the GP with the patient’s assessment / </w:t>
            </w:r>
            <w:r w:rsidR="000075C5" w:rsidRPr="006A2B41">
              <w:rPr>
                <w:rFonts w:ascii="Arial" w:eastAsia="Calibri" w:hAnsi="Arial" w:cs="Arial"/>
                <w:color w:val="000000"/>
                <w:sz w:val="20"/>
                <w:lang w:val="en-GB" w:eastAsia="en-GB"/>
              </w:rPr>
              <w:t>care plan. The Commissioner, Tower Hamlets CCG, suggest t</w:t>
            </w:r>
            <w:r w:rsidRPr="006A2B41">
              <w:rPr>
                <w:rFonts w:ascii="Arial" w:eastAsia="Calibri" w:hAnsi="Arial" w:cs="Arial"/>
                <w:color w:val="000000"/>
                <w:sz w:val="20"/>
                <w:lang w:val="en-GB" w:eastAsia="en-GB"/>
              </w:rPr>
              <w:t xml:space="preserve">his could be achieved using a simple template letter that allows the GP to be notified without being too onerous for the provider to complete. </w:t>
            </w:r>
          </w:p>
          <w:p w:rsidR="000075C5" w:rsidRPr="006A2B41" w:rsidRDefault="000075C5" w:rsidP="003A64EF">
            <w:pPr>
              <w:autoSpaceDE w:val="0"/>
              <w:autoSpaceDN w:val="0"/>
              <w:adjustRightInd w:val="0"/>
              <w:spacing w:after="0"/>
              <w:contextualSpacing/>
              <w:rPr>
                <w:rFonts w:ascii="Arial" w:eastAsia="Calibri" w:hAnsi="Arial" w:cs="Arial"/>
                <w:color w:val="000000"/>
                <w:sz w:val="20"/>
                <w:lang w:val="en-GB" w:eastAsia="en-GB"/>
              </w:rPr>
            </w:pPr>
          </w:p>
          <w:p w:rsidR="000075C5" w:rsidRPr="006A2B41" w:rsidRDefault="000075C5"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3.4.4 Physiotherapy is currently provided by Barts Health NHS Trust. For the proposed new service, the Provider is responsible for identifying and managing its relationshi</w:t>
            </w:r>
            <w:r w:rsidR="00A051F6">
              <w:rPr>
                <w:rFonts w:ascii="Arial" w:eastAsia="Calibri" w:hAnsi="Arial" w:cs="Arial"/>
                <w:color w:val="000000"/>
                <w:sz w:val="20"/>
                <w:lang w:val="en-GB" w:eastAsia="en-GB"/>
              </w:rPr>
              <w:t xml:space="preserve">ps with community physiotherapy, coordinate treatment management plans efficiently. The CCG </w:t>
            </w:r>
          </w:p>
          <w:p w:rsidR="000075C5" w:rsidRPr="006A2B41" w:rsidRDefault="000075C5" w:rsidP="003A64EF">
            <w:pPr>
              <w:autoSpaceDE w:val="0"/>
              <w:autoSpaceDN w:val="0"/>
              <w:adjustRightInd w:val="0"/>
              <w:spacing w:after="0"/>
              <w:contextualSpacing/>
              <w:rPr>
                <w:rFonts w:ascii="Arial" w:eastAsia="Calibri" w:hAnsi="Arial" w:cs="Arial"/>
                <w:color w:val="000000"/>
                <w:sz w:val="20"/>
                <w:lang w:val="en-GB" w:eastAsia="en-GB"/>
              </w:rPr>
            </w:pPr>
          </w:p>
          <w:p w:rsidR="004D160D" w:rsidRDefault="004D160D"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3.4.5 Pyscho-educational courses </w:t>
            </w:r>
            <w:r w:rsidR="003F3CF3">
              <w:rPr>
                <w:rFonts w:ascii="Arial" w:eastAsia="Calibri" w:hAnsi="Arial" w:cs="Arial"/>
                <w:color w:val="000000"/>
                <w:sz w:val="20"/>
                <w:lang w:val="en-GB" w:eastAsia="en-GB"/>
              </w:rPr>
              <w:t xml:space="preserve">are currently commissioned by Tower Hamlets </w:t>
            </w:r>
            <w:r w:rsidR="00632AE7">
              <w:rPr>
                <w:rFonts w:ascii="Arial" w:eastAsia="Calibri" w:hAnsi="Arial" w:cs="Arial"/>
                <w:color w:val="000000"/>
                <w:sz w:val="20"/>
                <w:lang w:val="en-GB" w:eastAsia="en-GB"/>
              </w:rPr>
              <w:t xml:space="preserve">CCG and provided by Compass Wellbeing CIC </w:t>
            </w:r>
            <w:r w:rsidR="003F3CF3">
              <w:rPr>
                <w:rFonts w:ascii="Arial" w:eastAsia="Calibri" w:hAnsi="Arial" w:cs="Arial"/>
                <w:color w:val="000000"/>
                <w:sz w:val="20"/>
                <w:lang w:val="en-GB" w:eastAsia="en-GB"/>
              </w:rPr>
              <w:t>as part of a pilot to support MSK and Pain conditions</w:t>
            </w:r>
            <w:r w:rsidR="00103982">
              <w:rPr>
                <w:rFonts w:ascii="Arial" w:eastAsia="Calibri" w:hAnsi="Arial" w:cs="Arial"/>
                <w:color w:val="000000"/>
                <w:sz w:val="20"/>
                <w:lang w:val="en-GB" w:eastAsia="en-GB"/>
              </w:rPr>
              <w:t>; these are separately commissioned to the current IAPT and psychological courses commissioned by the Local Authority</w:t>
            </w:r>
            <w:r w:rsidR="003F3CF3">
              <w:rPr>
                <w:rFonts w:ascii="Arial" w:eastAsia="Calibri" w:hAnsi="Arial" w:cs="Arial"/>
                <w:color w:val="000000"/>
                <w:sz w:val="20"/>
                <w:lang w:val="en-GB" w:eastAsia="en-GB"/>
              </w:rPr>
              <w:t xml:space="preserve"> These courses will continue to be commissioned to expand community options as part of the MSK pathway</w:t>
            </w:r>
            <w:r w:rsidR="00632AE7">
              <w:rPr>
                <w:rFonts w:ascii="Arial" w:eastAsia="Calibri" w:hAnsi="Arial" w:cs="Arial"/>
                <w:color w:val="000000"/>
                <w:sz w:val="20"/>
                <w:lang w:val="en-GB" w:eastAsia="en-GB"/>
              </w:rPr>
              <w:t>.</w:t>
            </w:r>
            <w:r w:rsidR="003F3CF3">
              <w:rPr>
                <w:rFonts w:ascii="Arial" w:eastAsia="Calibri" w:hAnsi="Arial" w:cs="Arial"/>
                <w:color w:val="000000"/>
                <w:sz w:val="20"/>
                <w:lang w:val="en-GB" w:eastAsia="en-GB"/>
              </w:rPr>
              <w:t xml:space="preserve"> </w:t>
            </w:r>
            <w:r w:rsidRPr="006A2B41">
              <w:rPr>
                <w:rFonts w:ascii="Arial" w:eastAsia="Calibri" w:hAnsi="Arial" w:cs="Arial"/>
                <w:color w:val="000000"/>
                <w:sz w:val="20"/>
                <w:lang w:val="en-GB" w:eastAsia="en-GB"/>
              </w:rPr>
              <w:t>For the proposed new service, the Provider is responsible for identifying and managing its relationships with</w:t>
            </w:r>
            <w:r w:rsidR="00632AE7">
              <w:rPr>
                <w:rFonts w:ascii="Arial" w:eastAsia="Calibri" w:hAnsi="Arial" w:cs="Arial"/>
                <w:color w:val="000000"/>
                <w:sz w:val="20"/>
                <w:lang w:val="en-GB" w:eastAsia="en-GB"/>
              </w:rPr>
              <w:t xml:space="preserve"> the provider of psycho-educational courses to support the pathway</w:t>
            </w:r>
            <w:r w:rsidRPr="006A2B41">
              <w:rPr>
                <w:rFonts w:ascii="Arial" w:eastAsia="Calibri" w:hAnsi="Arial" w:cs="Arial"/>
                <w:color w:val="000000"/>
                <w:sz w:val="20"/>
                <w:lang w:val="en-GB" w:eastAsia="en-GB"/>
              </w:rPr>
              <w:t>.</w:t>
            </w:r>
          </w:p>
          <w:p w:rsidR="003F3CF3" w:rsidRDefault="003F3CF3" w:rsidP="003A64EF">
            <w:pPr>
              <w:autoSpaceDE w:val="0"/>
              <w:autoSpaceDN w:val="0"/>
              <w:adjustRightInd w:val="0"/>
              <w:spacing w:after="0"/>
              <w:contextualSpacing/>
              <w:rPr>
                <w:rFonts w:ascii="Arial" w:eastAsia="Calibri" w:hAnsi="Arial" w:cs="Arial"/>
                <w:color w:val="000000"/>
                <w:sz w:val="20"/>
                <w:lang w:val="en-GB" w:eastAsia="en-GB"/>
              </w:rPr>
            </w:pPr>
          </w:p>
          <w:p w:rsidR="003F3CF3" w:rsidRDefault="003F3CF3" w:rsidP="003A64EF">
            <w:p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3.4.6</w:t>
            </w:r>
            <w:r w:rsidR="00632AE7">
              <w:rPr>
                <w:rFonts w:ascii="Arial" w:eastAsia="Calibri" w:hAnsi="Arial" w:cs="Arial"/>
                <w:color w:val="000000"/>
                <w:sz w:val="20"/>
                <w:lang w:val="en-GB" w:eastAsia="en-GB"/>
              </w:rPr>
              <w:t xml:space="preserve"> Health Trainer</w:t>
            </w:r>
            <w:r w:rsidR="00632AE7" w:rsidRPr="006A2B41">
              <w:rPr>
                <w:rFonts w:ascii="Arial" w:eastAsia="Calibri" w:hAnsi="Arial" w:cs="Arial"/>
                <w:color w:val="000000"/>
                <w:sz w:val="20"/>
                <w:lang w:val="en-GB" w:eastAsia="en-GB"/>
              </w:rPr>
              <w:t xml:space="preserve"> courses</w:t>
            </w:r>
            <w:r w:rsidR="00103982">
              <w:rPr>
                <w:rFonts w:ascii="Arial" w:eastAsia="Calibri" w:hAnsi="Arial" w:cs="Arial"/>
                <w:color w:val="000000"/>
                <w:sz w:val="20"/>
                <w:lang w:val="en-GB" w:eastAsia="en-GB"/>
              </w:rPr>
              <w:t xml:space="preserve"> </w:t>
            </w:r>
            <w:r w:rsidR="00632AE7">
              <w:rPr>
                <w:rFonts w:ascii="Arial" w:eastAsia="Calibri" w:hAnsi="Arial" w:cs="Arial"/>
                <w:color w:val="000000"/>
                <w:sz w:val="20"/>
                <w:lang w:val="en-GB" w:eastAsia="en-GB"/>
              </w:rPr>
              <w:t>are currently commissioned by Tower Hamlets CCG and provided by Poplar and Limehouse Health &amp; Wellbeing Network as part of a pilot to support MSK and Pain conditions</w:t>
            </w:r>
            <w:r w:rsidR="00103982">
              <w:rPr>
                <w:rFonts w:ascii="Arial" w:eastAsia="Calibri" w:hAnsi="Arial" w:cs="Arial"/>
                <w:color w:val="000000"/>
                <w:sz w:val="20"/>
                <w:lang w:val="en-GB" w:eastAsia="en-GB"/>
              </w:rPr>
              <w:t xml:space="preserve">; these are separately commissioned to the current Health Trainer courses commissioned by the Local Authority </w:t>
            </w:r>
            <w:r w:rsidR="00632AE7">
              <w:rPr>
                <w:rFonts w:ascii="Arial" w:eastAsia="Calibri" w:hAnsi="Arial" w:cs="Arial"/>
                <w:color w:val="000000"/>
                <w:sz w:val="20"/>
                <w:lang w:val="en-GB" w:eastAsia="en-GB"/>
              </w:rPr>
              <w:t xml:space="preserve"> These courses will continue to be commissioned to expand community options as part of the MSK pathway. </w:t>
            </w:r>
            <w:r w:rsidR="00632AE7" w:rsidRPr="006A2B41">
              <w:rPr>
                <w:rFonts w:ascii="Arial" w:eastAsia="Calibri" w:hAnsi="Arial" w:cs="Arial"/>
                <w:color w:val="000000"/>
                <w:sz w:val="20"/>
                <w:lang w:val="en-GB" w:eastAsia="en-GB"/>
              </w:rPr>
              <w:t>For the proposed new service, the Provider is responsible for identifying and managing its relationships with</w:t>
            </w:r>
            <w:r w:rsidR="00632AE7">
              <w:rPr>
                <w:rFonts w:ascii="Arial" w:eastAsia="Calibri" w:hAnsi="Arial" w:cs="Arial"/>
                <w:color w:val="000000"/>
                <w:sz w:val="20"/>
                <w:lang w:val="en-GB" w:eastAsia="en-GB"/>
              </w:rPr>
              <w:t xml:space="preserve"> the provider of </w:t>
            </w:r>
            <w:r w:rsidR="00103982">
              <w:rPr>
                <w:rFonts w:ascii="Arial" w:eastAsia="Calibri" w:hAnsi="Arial" w:cs="Arial"/>
                <w:color w:val="000000"/>
                <w:sz w:val="20"/>
                <w:lang w:val="en-GB" w:eastAsia="en-GB"/>
              </w:rPr>
              <w:t xml:space="preserve">Health Trainer </w:t>
            </w:r>
            <w:r w:rsidR="00632AE7">
              <w:rPr>
                <w:rFonts w:ascii="Arial" w:eastAsia="Calibri" w:hAnsi="Arial" w:cs="Arial"/>
                <w:color w:val="000000"/>
                <w:sz w:val="20"/>
                <w:lang w:val="en-GB" w:eastAsia="en-GB"/>
              </w:rPr>
              <w:t>courses to support the pathway</w:t>
            </w:r>
            <w:r w:rsidR="00632AE7" w:rsidRPr="006A2B41">
              <w:rPr>
                <w:rFonts w:ascii="Arial" w:eastAsia="Calibri" w:hAnsi="Arial" w:cs="Arial"/>
                <w:color w:val="000000"/>
                <w:sz w:val="20"/>
                <w:lang w:val="en-GB" w:eastAsia="en-GB"/>
              </w:rPr>
              <w:t>.</w:t>
            </w:r>
          </w:p>
          <w:p w:rsidR="003F3CF3" w:rsidRPr="006A2B41" w:rsidRDefault="003F3CF3" w:rsidP="003A64EF">
            <w:pPr>
              <w:autoSpaceDE w:val="0"/>
              <w:autoSpaceDN w:val="0"/>
              <w:adjustRightInd w:val="0"/>
              <w:spacing w:after="0"/>
              <w:contextualSpacing/>
              <w:rPr>
                <w:rFonts w:ascii="Arial" w:eastAsia="Calibri" w:hAnsi="Arial" w:cs="Arial"/>
                <w:color w:val="000000"/>
                <w:sz w:val="20"/>
                <w:lang w:val="en-GB" w:eastAsia="en-GB"/>
              </w:rPr>
            </w:pPr>
          </w:p>
          <w:p w:rsidR="004D160D" w:rsidRPr="006A2B41" w:rsidRDefault="004D160D"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b/>
                <w:bCs/>
                <w:color w:val="000000"/>
                <w:sz w:val="20"/>
                <w:lang w:val="en-GB" w:eastAsia="en-GB"/>
              </w:rPr>
              <w:t xml:space="preserve">Diagnostics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3.4.4 Diagnostics are currently provided by </w:t>
            </w:r>
            <w:r w:rsidR="00FF741B" w:rsidRPr="006A2B41">
              <w:rPr>
                <w:rFonts w:ascii="Arial" w:eastAsia="Calibri" w:hAnsi="Arial" w:cs="Arial"/>
                <w:color w:val="000000"/>
                <w:sz w:val="20"/>
                <w:lang w:val="en-GB" w:eastAsia="en-GB"/>
              </w:rPr>
              <w:t>Barts Health NHS Trust</w:t>
            </w:r>
            <w:r w:rsidRPr="006A2B41">
              <w:rPr>
                <w:rFonts w:ascii="Arial" w:eastAsia="Calibri" w:hAnsi="Arial" w:cs="Arial"/>
                <w:color w:val="000000"/>
                <w:sz w:val="20"/>
                <w:lang w:val="en-GB" w:eastAsia="en-GB"/>
              </w:rPr>
              <w:t xml:space="preserve">, and InHealth Diagnostics. For the proposed new service, the </w:t>
            </w:r>
            <w:r w:rsidR="00CE1454">
              <w:rPr>
                <w:rFonts w:ascii="Arial" w:eastAsia="Calibri" w:hAnsi="Arial" w:cs="Arial"/>
                <w:color w:val="000000"/>
                <w:sz w:val="20"/>
                <w:lang w:val="en-GB" w:eastAsia="en-GB"/>
              </w:rPr>
              <w:t xml:space="preserve">Prime Contractor is responsible for ensuring </w:t>
            </w:r>
            <w:r w:rsidR="00B74D9D">
              <w:rPr>
                <w:rFonts w:ascii="Arial" w:eastAsia="Calibri" w:hAnsi="Arial" w:cs="Arial"/>
                <w:color w:val="000000"/>
                <w:sz w:val="20"/>
                <w:lang w:val="en-GB" w:eastAsia="en-GB"/>
              </w:rPr>
              <w:t>its</w:t>
            </w:r>
            <w:r w:rsidR="00CE1454">
              <w:rPr>
                <w:rFonts w:ascii="Arial" w:eastAsia="Calibri" w:hAnsi="Arial" w:cs="Arial"/>
                <w:color w:val="000000"/>
                <w:sz w:val="20"/>
                <w:lang w:val="en-GB" w:eastAsia="en-GB"/>
              </w:rPr>
              <w:t xml:space="preserve"> </w:t>
            </w:r>
            <w:r w:rsidRPr="006A2B41">
              <w:rPr>
                <w:rFonts w:ascii="Arial" w:eastAsia="Calibri" w:hAnsi="Arial" w:cs="Arial"/>
                <w:color w:val="000000"/>
                <w:sz w:val="20"/>
                <w:lang w:val="en-GB" w:eastAsia="en-GB"/>
              </w:rPr>
              <w:t>Provider</w:t>
            </w:r>
            <w:r w:rsidR="00CE1454">
              <w:rPr>
                <w:rFonts w:ascii="Arial" w:eastAsia="Calibri" w:hAnsi="Arial" w:cs="Arial"/>
                <w:color w:val="000000"/>
                <w:sz w:val="20"/>
                <w:lang w:val="en-GB" w:eastAsia="en-GB"/>
              </w:rPr>
              <w:t>s</w:t>
            </w:r>
            <w:r w:rsidRPr="006A2B41">
              <w:rPr>
                <w:rFonts w:ascii="Arial" w:eastAsia="Calibri" w:hAnsi="Arial" w:cs="Arial"/>
                <w:color w:val="000000"/>
                <w:sz w:val="20"/>
                <w:lang w:val="en-GB" w:eastAsia="en-GB"/>
              </w:rPr>
              <w:t xml:space="preserve"> </w:t>
            </w:r>
            <w:r w:rsidR="00CE1454">
              <w:rPr>
                <w:rFonts w:ascii="Arial" w:eastAsia="Calibri" w:hAnsi="Arial" w:cs="Arial"/>
                <w:color w:val="000000"/>
                <w:sz w:val="20"/>
                <w:lang w:val="en-GB" w:eastAsia="en-GB"/>
              </w:rPr>
              <w:t xml:space="preserve">are </w:t>
            </w:r>
            <w:r w:rsidRPr="006A2B41">
              <w:rPr>
                <w:rFonts w:ascii="Arial" w:eastAsia="Calibri" w:hAnsi="Arial" w:cs="Arial"/>
                <w:color w:val="000000"/>
                <w:sz w:val="20"/>
                <w:lang w:val="en-GB" w:eastAsia="en-GB"/>
              </w:rPr>
              <w:t xml:space="preserve">identifying and managing its relationships with diagnostic providers for patients requiring MRIs, XRays, Ultrasound or Blood results. </w:t>
            </w:r>
            <w:r w:rsidR="00CE1454">
              <w:rPr>
                <w:rFonts w:ascii="Arial" w:eastAsia="Calibri" w:hAnsi="Arial" w:cs="Arial"/>
                <w:color w:val="000000"/>
                <w:sz w:val="20"/>
                <w:lang w:val="en-GB" w:eastAsia="en-GB"/>
              </w:rPr>
              <w:t>Mechanisms should be put in place to report on this activity and feed back to the Prime Contractor.</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3.4.5 The Diagnostic Provider of choice should be in a position to provide investigations and report on them within timeframes that supports good clinical care.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b/>
                <w:bCs/>
                <w:color w:val="000000"/>
                <w:sz w:val="20"/>
                <w:lang w:val="en-GB" w:eastAsia="en-GB"/>
              </w:rPr>
              <w:t xml:space="preserve">Patient Management and Treatment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3.4.6 The treatments to be included in the scope for this service should be aligned with NICE clinical guidelines. </w:t>
            </w:r>
            <w:r w:rsidR="00CD11D0" w:rsidRPr="006A2B41">
              <w:rPr>
                <w:rFonts w:ascii="Arial" w:eastAsia="Calibri" w:hAnsi="Arial" w:cs="Arial"/>
                <w:color w:val="000000"/>
                <w:sz w:val="20"/>
                <w:lang w:val="en-GB" w:eastAsia="en-GB"/>
              </w:rPr>
              <w:t>The Prime Contractor</w:t>
            </w:r>
            <w:r w:rsidRPr="006A2B41">
              <w:rPr>
                <w:rFonts w:ascii="Arial" w:eastAsia="Calibri" w:hAnsi="Arial" w:cs="Arial"/>
                <w:color w:val="000000"/>
                <w:sz w:val="20"/>
                <w:lang w:val="en-GB" w:eastAsia="en-GB"/>
              </w:rPr>
              <w:t xml:space="preserve"> will need to set out in their response document which treatments they will provide. Any treatment provided as part of this service should have robust, evaluated clinical evidence.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3.4.7 Patient management and treatment may include, but is not limited to, the following: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Internal screening of referrals via electronic means, so that the referral is forwarded to the most appropriate clinician to formally triage / assess them.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Appropriate onward referral of patients who are not appropriate for </w:t>
            </w:r>
            <w:r w:rsidR="00CD11D0" w:rsidRPr="006A2B41">
              <w:rPr>
                <w:rFonts w:ascii="Arial" w:eastAsia="Calibri" w:hAnsi="Arial" w:cs="Arial"/>
                <w:color w:val="000000"/>
                <w:sz w:val="20"/>
                <w:lang w:val="en-GB" w:eastAsia="en-GB"/>
              </w:rPr>
              <w:t>Integrated MSK and Pain Service</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Onwards referral of patients with ‘Red flags’ indicative of serious pathology when received in error (following suspicion of serious pathology on screening or following triage / face to face assessment) with appropriate discussion with the GP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A face to face clinical assessment by the appropriate clinician; (either an Extended Scope Practitioner (ESP), MSK Physiotherapist, </w:t>
            </w:r>
            <w:r w:rsidR="00CD11D0" w:rsidRPr="006A2B41">
              <w:rPr>
                <w:rFonts w:ascii="Arial" w:eastAsia="Calibri" w:hAnsi="Arial" w:cs="Arial"/>
                <w:color w:val="000000"/>
                <w:sz w:val="20"/>
                <w:lang w:val="en-GB" w:eastAsia="en-GB"/>
              </w:rPr>
              <w:t xml:space="preserve">GPwSI </w:t>
            </w:r>
            <w:r w:rsidRPr="006A2B41">
              <w:rPr>
                <w:rFonts w:ascii="Arial" w:eastAsia="Calibri" w:hAnsi="Arial" w:cs="Arial"/>
                <w:color w:val="000000"/>
                <w:sz w:val="20"/>
                <w:lang w:val="en-GB" w:eastAsia="en-GB"/>
              </w:rPr>
              <w:t xml:space="preserve">or other MSK practitioner as appropriate).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Provision of non- face to face contact e.g. telephone support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Request appropriate diagnostics for patients and follow up results as required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Initial treatment plans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Opportunities for self -management and shared care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Prescribing and/or administration of medicines where appropriate by the legal mechanisms available to appropriate health care professionals (e.g. injections)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Musculoskeletal physiotherapy for common musculoskeletal disorders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Follow up advice, including telephone follow</w:t>
            </w:r>
            <w:r w:rsidRPr="006A2B41">
              <w:rPr>
                <w:rFonts w:ascii="Cambria Math" w:eastAsia="Calibri" w:hAnsi="Cambria Math" w:cs="Cambria Math"/>
                <w:color w:val="000000"/>
                <w:sz w:val="20"/>
                <w:lang w:val="en-GB" w:eastAsia="en-GB"/>
              </w:rPr>
              <w:t>‐</w:t>
            </w:r>
            <w:r w:rsidRPr="006A2B41">
              <w:rPr>
                <w:rFonts w:ascii="Arial" w:eastAsia="Calibri" w:hAnsi="Arial" w:cs="Arial"/>
                <w:color w:val="000000"/>
                <w:sz w:val="20"/>
                <w:lang w:val="en-GB" w:eastAsia="en-GB"/>
              </w:rPr>
              <w:t xml:space="preserve">ups if required and when appropriate.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Patient advice and education, with provision of clear management plans to manage patients’ expectations.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Provision of Group treatment sessions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Feedback reports and advice to GPs and/or the referring clinician on assessment and at discharge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Referral onto secondary care or other interface services where appropriate Discharge of patients back to GP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Maintenance of all patient clinical notes and patient register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Quarterly monitoring of service against agreed KPIs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Recording and reporting of Untoward Incidents or Complaints </w:t>
            </w:r>
          </w:p>
          <w:p w:rsidR="000E1BB6" w:rsidRPr="006A2B41" w:rsidRDefault="000E1BB6" w:rsidP="00665FD4">
            <w:pPr>
              <w:numPr>
                <w:ilvl w:val="0"/>
                <w:numId w:val="13"/>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Following the patient attending an appointment, notifying the primary care </w:t>
            </w:r>
            <w:r w:rsidR="00601A84">
              <w:rPr>
                <w:rFonts w:ascii="Arial" w:eastAsia="Calibri" w:hAnsi="Arial" w:cs="Arial"/>
                <w:color w:val="000000"/>
                <w:sz w:val="20"/>
                <w:lang w:val="en-GB" w:eastAsia="en-GB"/>
              </w:rPr>
              <w:t xml:space="preserve">physician of on-going care plan, this should be </w:t>
            </w:r>
            <w:r w:rsidR="00C54418">
              <w:rPr>
                <w:rFonts w:ascii="Arial" w:eastAsia="Calibri" w:hAnsi="Arial" w:cs="Arial"/>
                <w:color w:val="000000"/>
                <w:sz w:val="20"/>
                <w:lang w:val="en-GB" w:eastAsia="en-GB"/>
              </w:rPr>
              <w:t xml:space="preserve">electronically via shared care records or </w:t>
            </w:r>
            <w:r w:rsidRPr="006A2B41">
              <w:rPr>
                <w:rFonts w:ascii="Arial" w:eastAsia="Calibri" w:hAnsi="Arial" w:cs="Arial"/>
                <w:color w:val="000000"/>
                <w:sz w:val="20"/>
                <w:lang w:val="en-GB" w:eastAsia="en-GB"/>
              </w:rPr>
              <w:t>via email</w:t>
            </w:r>
            <w:r w:rsidR="00601A84">
              <w:rPr>
                <w:rFonts w:ascii="Arial" w:eastAsia="Calibri" w:hAnsi="Arial" w:cs="Arial"/>
                <w:color w:val="000000"/>
                <w:sz w:val="20"/>
                <w:lang w:val="en-GB" w:eastAsia="en-GB"/>
              </w:rPr>
              <w:t xml:space="preserve">, </w:t>
            </w:r>
            <w:r w:rsidRPr="006A2B41">
              <w:rPr>
                <w:rFonts w:ascii="Arial" w:eastAsia="Calibri" w:hAnsi="Arial" w:cs="Arial"/>
                <w:color w:val="000000"/>
                <w:sz w:val="20"/>
                <w:lang w:val="en-GB" w:eastAsia="en-GB"/>
              </w:rPr>
              <w:t xml:space="preserve">within 48hours of discharge from the service.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3.4.8 For all referrals that are accepted, the provider will </w:t>
            </w:r>
            <w:r w:rsidR="00CD11D0" w:rsidRPr="006A2B41">
              <w:rPr>
                <w:rFonts w:ascii="Arial" w:eastAsia="Calibri" w:hAnsi="Arial" w:cs="Arial"/>
                <w:color w:val="000000"/>
                <w:sz w:val="20"/>
                <w:lang w:val="en-GB" w:eastAsia="en-GB"/>
              </w:rPr>
              <w:t>ensure there is a</w:t>
            </w:r>
            <w:r w:rsidRPr="006A2B41">
              <w:rPr>
                <w:rFonts w:ascii="Arial" w:eastAsia="Calibri" w:hAnsi="Arial" w:cs="Arial"/>
                <w:color w:val="000000"/>
                <w:sz w:val="20"/>
                <w:lang w:val="en-GB" w:eastAsia="en-GB"/>
              </w:rPr>
              <w:t xml:space="preserve"> plan consisting of the necessary treatment/management required to meet the individual clinical needs of the patient.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3.4.7 All encounters with any clinician should aim to motivate patients to change behaviour as co-morbidities (e.g. obesity) impact upon MSK conditions. Providers should be committed to working with the relevant services to develop the relevant referral pathways for local obesity</w:t>
            </w:r>
            <w:r w:rsidR="00C54418">
              <w:rPr>
                <w:rFonts w:ascii="Arial" w:eastAsia="Calibri" w:hAnsi="Arial" w:cs="Arial"/>
                <w:color w:val="000000"/>
                <w:sz w:val="20"/>
                <w:lang w:val="en-GB" w:eastAsia="en-GB"/>
              </w:rPr>
              <w:t xml:space="preserve"> and</w:t>
            </w:r>
            <w:r w:rsidRPr="006A2B41">
              <w:rPr>
                <w:rFonts w:ascii="Arial" w:eastAsia="Calibri" w:hAnsi="Arial" w:cs="Arial"/>
                <w:color w:val="000000"/>
                <w:sz w:val="20"/>
                <w:lang w:val="en-GB" w:eastAsia="en-GB"/>
              </w:rPr>
              <w:t xml:space="preserve"> </w:t>
            </w:r>
            <w:r w:rsidR="00C54418">
              <w:rPr>
                <w:rFonts w:ascii="Arial" w:eastAsia="Calibri" w:hAnsi="Arial" w:cs="Arial"/>
                <w:color w:val="000000"/>
                <w:sz w:val="20"/>
                <w:lang w:val="en-GB" w:eastAsia="en-GB"/>
              </w:rPr>
              <w:t xml:space="preserve">exercise community services as appropriate. </w:t>
            </w:r>
          </w:p>
          <w:p w:rsidR="001D635F" w:rsidRPr="006A2B41" w:rsidRDefault="001D635F"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b/>
                <w:bCs/>
                <w:color w:val="000000"/>
                <w:sz w:val="20"/>
                <w:lang w:val="en-GB" w:eastAsia="en-GB"/>
              </w:rPr>
              <w:t xml:space="preserve">Pain Management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3.4.8 A key element of the MSK Service is the basic management of pain as a symptom of the MSK presentation. The 2013 NHS Standard Contract for Specialist Services for Pain Management (Adult) states that the routine assessment and management of pain is a required competency of all health care professionals. The MSK Service should provide basic management of pain in line with standards set out by the British Pain Society. The MSK Service being procured is not inclusive of a specialist pain service for patients presenting with chronic or complex pain syndromes that are not treatable through addressing the underlying MSK condition that is the cause of pain.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DA3255" w:rsidRPr="001D635F" w:rsidRDefault="001D635F" w:rsidP="003A64EF">
            <w:pPr>
              <w:autoSpaceDE w:val="0"/>
              <w:autoSpaceDN w:val="0"/>
              <w:adjustRightInd w:val="0"/>
              <w:spacing w:after="0"/>
              <w:contextualSpacing/>
              <w:rPr>
                <w:rFonts w:ascii="Arial" w:eastAsia="Calibri" w:hAnsi="Arial" w:cs="Arial"/>
                <w:b/>
                <w:bCs/>
                <w:color w:val="000000"/>
                <w:sz w:val="20"/>
                <w:lang w:val="en-GB" w:eastAsia="en-GB"/>
              </w:rPr>
            </w:pPr>
            <w:r>
              <w:rPr>
                <w:rFonts w:ascii="Arial" w:eastAsia="Calibri" w:hAnsi="Arial" w:cs="Arial"/>
                <w:b/>
                <w:bCs/>
                <w:color w:val="000000"/>
                <w:sz w:val="20"/>
                <w:lang w:val="en-GB" w:eastAsia="en-GB"/>
              </w:rPr>
              <w:t xml:space="preserve">Follow Up Appointments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3.4.9 </w:t>
            </w:r>
            <w:r w:rsidR="00DA3255" w:rsidRPr="006A2B41">
              <w:rPr>
                <w:rFonts w:ascii="Arial" w:eastAsia="Calibri" w:hAnsi="Arial" w:cs="Arial"/>
                <w:color w:val="000000"/>
                <w:sz w:val="20"/>
                <w:lang w:val="en-GB" w:eastAsia="en-GB"/>
              </w:rPr>
              <w:t xml:space="preserve">The MSK Team </w:t>
            </w:r>
            <w:r w:rsidRPr="006A2B41">
              <w:rPr>
                <w:rFonts w:ascii="Arial" w:eastAsia="Calibri" w:hAnsi="Arial" w:cs="Arial"/>
                <w:color w:val="000000"/>
                <w:sz w:val="20"/>
                <w:lang w:val="en-GB" w:eastAsia="en-GB"/>
              </w:rPr>
              <w:t xml:space="preserve">will usually consist of a single diagnostic assessment, with the option of a single follow up appointment where review of diagnostics requires a face to face session with the patient.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For musculoskeletal follow up treatment and management, the duration/frequency of treatment should be appropriate to the patient’s clinical presentation. It is anticipated that the treatment pathway will consist of a maximum average of 3 follow-up sessions.</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The intervals between sessions should be consistent with good practice and appropriate for individual patient’s needs. Patients should be discharged where they are not showing improvement after a clinically advisable number of sessions, with appropriate liaison with the GP to jointly determine an appropriate course of action, to avoid ‘revolving door’ care. </w:t>
            </w:r>
          </w:p>
          <w:p w:rsidR="00DA3255" w:rsidRPr="006A2B41" w:rsidRDefault="00DA3255" w:rsidP="003A64EF">
            <w:pPr>
              <w:autoSpaceDE w:val="0"/>
              <w:autoSpaceDN w:val="0"/>
              <w:adjustRightInd w:val="0"/>
              <w:spacing w:after="0"/>
              <w:contextualSpacing/>
              <w:rPr>
                <w:rFonts w:ascii="Arial" w:eastAsia="Calibri" w:hAnsi="Arial" w:cs="Arial"/>
                <w:color w:val="000000"/>
                <w:sz w:val="20"/>
                <w:lang w:val="en-GB" w:eastAsia="en-GB"/>
              </w:rPr>
            </w:pPr>
          </w:p>
          <w:p w:rsidR="00DA3255" w:rsidRPr="006A2B41" w:rsidRDefault="00DA3255"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All community options within the Integrated MSK and Pain Service are usually short-term with exception of psychosocial and physical exercise interventions which may allow considerably longer and a maximum duration of up to 12 weeks treatment.</w:t>
            </w:r>
          </w:p>
          <w:p w:rsidR="00DA3255" w:rsidRPr="006A2B41" w:rsidRDefault="00DA3255" w:rsidP="003A64EF">
            <w:pPr>
              <w:autoSpaceDE w:val="0"/>
              <w:autoSpaceDN w:val="0"/>
              <w:adjustRightInd w:val="0"/>
              <w:spacing w:after="0"/>
              <w:contextualSpacing/>
              <w:rPr>
                <w:rFonts w:ascii="Arial" w:eastAsia="Calibri" w:hAnsi="Arial" w:cs="Arial"/>
                <w:color w:val="000000"/>
                <w:sz w:val="20"/>
                <w:lang w:val="en-GB" w:eastAsia="en-GB"/>
              </w:rPr>
            </w:pPr>
          </w:p>
          <w:p w:rsidR="00DA3255" w:rsidRPr="006A2B41" w:rsidRDefault="00DA3255"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6A2B41"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b/>
                <w:bCs/>
                <w:color w:val="000000"/>
                <w:sz w:val="20"/>
                <w:lang w:val="en-GB" w:eastAsia="en-GB"/>
              </w:rPr>
              <w:t>Self-Care</w:t>
            </w:r>
            <w:r w:rsidR="000E1BB6" w:rsidRPr="006A2B41">
              <w:rPr>
                <w:rFonts w:ascii="Arial" w:eastAsia="Calibri" w:hAnsi="Arial" w:cs="Arial"/>
                <w:b/>
                <w:bCs/>
                <w:color w:val="000000"/>
                <w:sz w:val="20"/>
                <w:lang w:val="en-GB" w:eastAsia="en-GB"/>
              </w:rPr>
              <w:t xml:space="preserv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3.4.11 It is important for providers to agree a ‘contract’ with a patient </w:t>
            </w:r>
            <w:r w:rsidR="001F5119">
              <w:rPr>
                <w:rFonts w:ascii="Arial" w:eastAsia="Calibri" w:hAnsi="Arial" w:cs="Arial"/>
                <w:color w:val="000000"/>
                <w:sz w:val="20"/>
                <w:lang w:val="en-GB" w:eastAsia="en-GB"/>
              </w:rPr>
              <w:t xml:space="preserve">within their care plan </w:t>
            </w:r>
            <w:r w:rsidRPr="006A2B41">
              <w:rPr>
                <w:rFonts w:ascii="Arial" w:eastAsia="Calibri" w:hAnsi="Arial" w:cs="Arial"/>
                <w:color w:val="000000"/>
                <w:sz w:val="20"/>
                <w:lang w:val="en-GB" w:eastAsia="en-GB"/>
              </w:rPr>
              <w:t>as part of their treatment to ensure that the patient takes increased responsibility for their own wellness, supported by relevant self-care messages. This should happen at the outset of any treatment program and continue to be reinforced throughout the duration. The Provider will be expected to build an understanding of Local Authority and other voluntary and community sector provision in</w:t>
            </w:r>
            <w:r w:rsidR="00DA3255" w:rsidRPr="006A2B41">
              <w:rPr>
                <w:rFonts w:ascii="Arial" w:eastAsia="Calibri" w:hAnsi="Arial" w:cs="Arial"/>
                <w:color w:val="000000"/>
                <w:sz w:val="20"/>
                <w:lang w:val="en-GB" w:eastAsia="en-GB"/>
              </w:rPr>
              <w:t xml:space="preserve"> Tower Hamlets</w:t>
            </w:r>
            <w:r w:rsidRPr="006A2B41">
              <w:rPr>
                <w:rFonts w:ascii="Arial" w:eastAsia="Calibri" w:hAnsi="Arial" w:cs="Arial"/>
                <w:color w:val="000000"/>
                <w:sz w:val="20"/>
                <w:lang w:val="en-GB" w:eastAsia="en-GB"/>
              </w:rPr>
              <w:t xml:space="preserve"> in order to promote uptake of these supports by patients are part of their rehabilitation where appropriate. </w:t>
            </w:r>
          </w:p>
          <w:p w:rsidR="00DA3255" w:rsidRPr="006A2B41" w:rsidRDefault="00DA3255" w:rsidP="003A64EF">
            <w:pPr>
              <w:autoSpaceDE w:val="0"/>
              <w:autoSpaceDN w:val="0"/>
              <w:adjustRightInd w:val="0"/>
              <w:spacing w:after="0"/>
              <w:contextualSpacing/>
              <w:rPr>
                <w:rFonts w:ascii="Arial" w:eastAsia="Calibri" w:hAnsi="Arial" w:cs="Arial"/>
                <w:color w:val="000000"/>
                <w:sz w:val="20"/>
                <w:lang w:val="en-GB" w:eastAsia="en-GB"/>
              </w:rPr>
            </w:pPr>
          </w:p>
          <w:p w:rsidR="00DA3255" w:rsidRPr="006A2B41" w:rsidRDefault="00DA3255"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The Commissioner, Tower Hamlets CCG, also suggests the Prime Contractor utilise technology to support patient advice and self-management tools where appropriate, i.e. use of websites to provide information accessible on demand by patients</w:t>
            </w:r>
            <w:r w:rsidR="00EF6E50">
              <w:rPr>
                <w:rFonts w:ascii="Arial" w:eastAsia="Calibri" w:hAnsi="Arial" w:cs="Arial"/>
                <w:color w:val="000000"/>
                <w:sz w:val="20"/>
                <w:lang w:val="en-GB" w:eastAsia="en-GB"/>
              </w:rPr>
              <w:t xml:space="preserve"> and relevant voluntary support groups.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b/>
                <w:color w:val="000000"/>
                <w:sz w:val="20"/>
                <w:lang w:val="en-GB" w:eastAsia="en-GB"/>
              </w:rPr>
            </w:pPr>
            <w:r w:rsidRPr="00C84B5F">
              <w:rPr>
                <w:rFonts w:ascii="Arial" w:eastAsia="Calibri" w:hAnsi="Arial" w:cs="Arial"/>
                <w:b/>
                <w:color w:val="000000"/>
                <w:sz w:val="20"/>
                <w:lang w:val="en-GB" w:eastAsia="en-GB"/>
              </w:rPr>
              <w:t xml:space="preserve">Exit Points / Discharge from service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3.4.12 Discharge summaries are to be provided within 48 hours of the patient’s discharge from the service to ensure that the GP is informed. Additionally, it is mandated that all patients receive a copy of their management/self-care plan upon discharge (whether they have completed the full package of care, or have been discharged according to the local DNA policy).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The Provider should ensure that links are developed with Third Sector /Voluntary organisations and other Independent providers to encourage maintenance of levels of physical activity post discharge so as to assist rehabilitation in the community </w:t>
            </w: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882B05" w:rsidRPr="00C84B5F" w:rsidRDefault="00882B05"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b/>
                <w:bCs/>
                <w:color w:val="000000"/>
                <w:sz w:val="20"/>
                <w:lang w:val="en-GB" w:eastAsia="en-GB"/>
              </w:rPr>
              <w:t xml:space="preserve">Did Not Attend (DNA) and Unable To Attend </w:t>
            </w:r>
            <w:r w:rsidRPr="00C84B5F">
              <w:rPr>
                <w:rFonts w:ascii="Arial" w:eastAsia="Calibri" w:hAnsi="Arial" w:cs="Arial"/>
                <w:color w:val="000000"/>
                <w:sz w:val="20"/>
                <w:lang w:val="en-GB" w:eastAsia="en-GB"/>
              </w:rPr>
              <w:t>(</w:t>
            </w:r>
            <w:r w:rsidRPr="00C84B5F">
              <w:rPr>
                <w:rFonts w:ascii="Arial" w:eastAsia="Calibri" w:hAnsi="Arial" w:cs="Arial"/>
                <w:b/>
                <w:bCs/>
                <w:color w:val="000000"/>
                <w:sz w:val="20"/>
                <w:lang w:val="en-GB" w:eastAsia="en-GB"/>
              </w:rPr>
              <w:t>UTA</w:t>
            </w:r>
            <w:r w:rsidRPr="00C84B5F">
              <w:rPr>
                <w:rFonts w:ascii="Arial" w:eastAsia="Calibri" w:hAnsi="Arial" w:cs="Arial"/>
                <w:color w:val="000000"/>
                <w:sz w:val="20"/>
                <w:lang w:val="en-GB" w:eastAsia="en-GB"/>
              </w:rPr>
              <w:t>)</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3.4.13 The Provider should ensure they implement appropriate strategies to support patients in their appointment attendance. This will include: </w:t>
            </w:r>
          </w:p>
          <w:p w:rsidR="000E1BB6" w:rsidRPr="00C84B5F" w:rsidRDefault="000E1BB6" w:rsidP="00665FD4">
            <w:pPr>
              <w:numPr>
                <w:ilvl w:val="0"/>
                <w:numId w:val="14"/>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 involvement in choice of appointment times and dates </w:t>
            </w:r>
          </w:p>
          <w:p w:rsidR="000E1BB6" w:rsidRPr="00C84B5F" w:rsidRDefault="000E1BB6" w:rsidP="00665FD4">
            <w:pPr>
              <w:numPr>
                <w:ilvl w:val="0"/>
                <w:numId w:val="14"/>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Suitable appointment reminders (eg text or similar mean other than letter)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A second DNA will result in discharge from the service, unless clinicians feel there are exceptional circumstances. If a patient is discharged the GP should be notified. Reasons for DNA should be sought where possible. If the patient has chosen not to be seen by the service they should be discharged with a communication to the GP. </w:t>
            </w:r>
          </w:p>
          <w:p w:rsidR="00882B05" w:rsidRPr="00C84B5F" w:rsidRDefault="00882B05" w:rsidP="003A64EF">
            <w:pPr>
              <w:autoSpaceDE w:val="0"/>
              <w:autoSpaceDN w:val="0"/>
              <w:adjustRightInd w:val="0"/>
              <w:spacing w:after="0"/>
              <w:contextualSpacing/>
              <w:rPr>
                <w:rFonts w:ascii="Arial" w:eastAsia="Calibri" w:hAnsi="Arial" w:cs="Arial"/>
                <w:color w:val="000000"/>
                <w:sz w:val="20"/>
                <w:lang w:val="en-GB" w:eastAsia="en-GB"/>
              </w:rPr>
            </w:pP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If a patient is Unable to Attend (UTA), appointments can be rebooked, but the patient should rebook within 2 weeks of notifying the service of a cancellation. UTA within 24 hours is treated as a DNA as the appointment is unlikely to be refilled at short notice, unless clinicians deem the </w:t>
            </w:r>
            <w:r w:rsidR="001F5119">
              <w:rPr>
                <w:rFonts w:ascii="Arial" w:eastAsia="Calibri" w:hAnsi="Arial" w:cs="Arial"/>
                <w:color w:val="000000"/>
                <w:sz w:val="20"/>
                <w:lang w:val="en-GB" w:eastAsia="en-GB"/>
              </w:rPr>
              <w:t>circumstances to be exceptional in line with the 18 week RTT pathway.</w:t>
            </w:r>
            <w:r w:rsidRPr="00C84B5F">
              <w:rPr>
                <w:rFonts w:ascii="Arial" w:eastAsia="Calibri" w:hAnsi="Arial" w:cs="Arial"/>
                <w:color w:val="000000"/>
                <w:sz w:val="20"/>
                <w:lang w:val="en-GB" w:eastAsia="en-GB"/>
              </w:rPr>
              <w:t xml:space="preserve"> </w:t>
            </w:r>
          </w:p>
          <w:p w:rsidR="00882B05" w:rsidRPr="00C84B5F" w:rsidRDefault="00882B05"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spacing w:after="0"/>
              <w:contextualSpacing/>
              <w:rPr>
                <w:rFonts w:ascii="Arial" w:hAnsi="Arial" w:cs="Arial"/>
                <w:color w:val="009966"/>
                <w:sz w:val="20"/>
              </w:rPr>
            </w:pPr>
            <w:r w:rsidRPr="00C84B5F">
              <w:rPr>
                <w:rFonts w:ascii="Arial" w:eastAsia="Calibri" w:hAnsi="Arial" w:cs="Arial"/>
                <w:color w:val="000000"/>
                <w:sz w:val="20"/>
                <w:lang w:val="en-GB" w:eastAsia="en-GB"/>
              </w:rPr>
              <w:t>The above is intended to ensure that patients have fair access to services but within these parameters the providers are responsible for applying management strategies that maintaining DNA rates at an acceptable level.</w:t>
            </w:r>
          </w:p>
          <w:p w:rsidR="000E1BB6" w:rsidRPr="00C84B5F" w:rsidRDefault="000E1BB6" w:rsidP="003A64EF">
            <w:pPr>
              <w:spacing w:after="0"/>
              <w:contextualSpacing/>
              <w:rPr>
                <w:rFonts w:ascii="Arial" w:hAnsi="Arial" w:cs="Arial"/>
                <w:color w:val="009966"/>
                <w:sz w:val="20"/>
              </w:rPr>
            </w:pPr>
          </w:p>
          <w:p w:rsidR="000E1BB6" w:rsidRPr="00C84B5F" w:rsidRDefault="000E1BB6" w:rsidP="003A64EF">
            <w:pPr>
              <w:spacing w:after="0"/>
              <w:contextualSpacing/>
              <w:rPr>
                <w:rFonts w:ascii="Arial" w:hAnsi="Arial" w:cs="Arial"/>
                <w:color w:val="009966"/>
                <w:sz w:val="20"/>
              </w:rPr>
            </w:pPr>
          </w:p>
          <w:p w:rsidR="00420BB6" w:rsidRPr="00C84B5F" w:rsidRDefault="00420BB6" w:rsidP="003A64EF">
            <w:pPr>
              <w:spacing w:after="0"/>
              <w:contextualSpacing/>
              <w:rPr>
                <w:rFonts w:ascii="Arial" w:hAnsi="Arial" w:cs="Arial"/>
                <w:b/>
                <w:color w:val="009966"/>
                <w:sz w:val="20"/>
              </w:rPr>
            </w:pPr>
            <w:r w:rsidRPr="00C84B5F">
              <w:rPr>
                <w:rFonts w:ascii="Arial" w:hAnsi="Arial" w:cs="Arial"/>
                <w:b/>
                <w:color w:val="009966"/>
                <w:sz w:val="20"/>
              </w:rPr>
              <w:t>3.</w:t>
            </w:r>
            <w:r w:rsidR="006A2B41" w:rsidRPr="00C84B5F">
              <w:rPr>
                <w:rFonts w:ascii="Arial" w:hAnsi="Arial" w:cs="Arial"/>
                <w:b/>
                <w:color w:val="009966"/>
                <w:sz w:val="20"/>
              </w:rPr>
              <w:t>5</w:t>
            </w:r>
            <w:r w:rsidRPr="00C84B5F">
              <w:rPr>
                <w:rFonts w:ascii="Arial" w:hAnsi="Arial" w:cs="Arial"/>
                <w:b/>
                <w:color w:val="009966"/>
                <w:sz w:val="20"/>
              </w:rPr>
              <w:tab/>
              <w:t>Population covered</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6A2B41">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3.5.1 All patients aged 16 years and over who are registered with a </w:t>
            </w:r>
            <w:r w:rsidR="006A2B41" w:rsidRPr="00C84B5F">
              <w:rPr>
                <w:rFonts w:ascii="Arial" w:eastAsia="Calibri" w:hAnsi="Arial" w:cs="Arial"/>
                <w:color w:val="000000"/>
                <w:sz w:val="20"/>
                <w:lang w:val="en-GB" w:eastAsia="en-GB"/>
              </w:rPr>
              <w:t>Tower Hamlets</w:t>
            </w:r>
            <w:r w:rsidRPr="00C84B5F">
              <w:rPr>
                <w:rFonts w:ascii="Arial" w:eastAsia="Calibri" w:hAnsi="Arial" w:cs="Arial"/>
                <w:color w:val="000000"/>
                <w:sz w:val="20"/>
                <w:lang w:val="en-GB" w:eastAsia="en-GB"/>
              </w:rPr>
              <w:t xml:space="preserve"> GP and w</w:t>
            </w:r>
            <w:r w:rsidR="006A2B41" w:rsidRPr="00C84B5F">
              <w:rPr>
                <w:rFonts w:ascii="Arial" w:eastAsia="Calibri" w:hAnsi="Arial" w:cs="Arial"/>
                <w:color w:val="000000"/>
                <w:sz w:val="20"/>
                <w:lang w:val="en-GB" w:eastAsia="en-GB"/>
              </w:rPr>
              <w:t xml:space="preserve">ho meet the referral criteria. </w:t>
            </w:r>
          </w:p>
          <w:p w:rsidR="004B479E" w:rsidRPr="00C84B5F" w:rsidRDefault="004B479E" w:rsidP="003A64EF">
            <w:pPr>
              <w:spacing w:after="0"/>
              <w:contextualSpacing/>
              <w:rPr>
                <w:rFonts w:ascii="Arial" w:hAnsi="Arial" w:cs="Arial"/>
                <w:b/>
                <w:color w:val="009966"/>
                <w:sz w:val="20"/>
              </w:rPr>
            </w:pPr>
          </w:p>
          <w:p w:rsidR="00420BB6" w:rsidRPr="00C84B5F" w:rsidRDefault="006A2B41" w:rsidP="003A64EF">
            <w:pPr>
              <w:spacing w:after="0"/>
              <w:contextualSpacing/>
              <w:rPr>
                <w:rFonts w:ascii="Arial" w:hAnsi="Arial" w:cs="Arial"/>
                <w:b/>
                <w:color w:val="009966"/>
                <w:sz w:val="20"/>
              </w:rPr>
            </w:pPr>
            <w:r w:rsidRPr="00C84B5F">
              <w:rPr>
                <w:rFonts w:ascii="Arial" w:hAnsi="Arial" w:cs="Arial"/>
                <w:b/>
                <w:color w:val="009966"/>
                <w:sz w:val="20"/>
              </w:rPr>
              <w:t>3.6</w:t>
            </w:r>
            <w:r w:rsidR="00420BB6" w:rsidRPr="00C84B5F">
              <w:rPr>
                <w:rFonts w:ascii="Arial" w:hAnsi="Arial" w:cs="Arial"/>
                <w:b/>
                <w:color w:val="009966"/>
                <w:sz w:val="20"/>
              </w:rPr>
              <w:tab/>
              <w:t>Any acceptance and exclusion criteria and thresholds</w:t>
            </w:r>
          </w:p>
          <w:p w:rsidR="004B479E" w:rsidRPr="00C84B5F" w:rsidRDefault="004B479E" w:rsidP="003A64EF">
            <w:pPr>
              <w:spacing w:after="0"/>
              <w:contextualSpacing/>
              <w:rPr>
                <w:rFonts w:ascii="Arial" w:hAnsi="Arial" w:cs="Arial"/>
                <w:b/>
                <w:color w:val="009966"/>
                <w:sz w:val="20"/>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3.6.1 </w:t>
            </w:r>
            <w:r w:rsidRPr="00C84B5F">
              <w:rPr>
                <w:rFonts w:ascii="Arial" w:eastAsia="Calibri" w:hAnsi="Arial" w:cs="Arial"/>
                <w:b/>
                <w:bCs/>
                <w:color w:val="000000"/>
                <w:sz w:val="20"/>
                <w:lang w:val="en-GB" w:eastAsia="en-GB"/>
              </w:rPr>
              <w:t xml:space="preserve">Geographic coverage/boundaries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The service will only be provided to Patients registered with a GP within the London Borough of </w:t>
            </w:r>
            <w:r w:rsidR="006A2B41" w:rsidRPr="00C84B5F">
              <w:rPr>
                <w:rFonts w:ascii="Arial" w:eastAsia="Calibri" w:hAnsi="Arial" w:cs="Arial"/>
                <w:color w:val="000000"/>
                <w:sz w:val="20"/>
                <w:lang w:val="en-GB" w:eastAsia="en-GB"/>
              </w:rPr>
              <w:t xml:space="preserve">Tower Hamlets </w:t>
            </w:r>
            <w:r w:rsidRPr="00C84B5F">
              <w:rPr>
                <w:rFonts w:ascii="Arial" w:eastAsia="Calibri" w:hAnsi="Arial" w:cs="Arial"/>
                <w:color w:val="000000"/>
                <w:sz w:val="20"/>
                <w:lang w:val="en-GB" w:eastAsia="en-GB"/>
              </w:rPr>
              <w:t xml:space="preserve">or to those patients who are resident in </w:t>
            </w:r>
            <w:r w:rsidR="006A2B41" w:rsidRPr="00C84B5F">
              <w:rPr>
                <w:rFonts w:ascii="Arial" w:eastAsia="Calibri" w:hAnsi="Arial" w:cs="Arial"/>
                <w:color w:val="000000"/>
                <w:sz w:val="20"/>
                <w:lang w:val="en-GB" w:eastAsia="en-GB"/>
              </w:rPr>
              <w:t>Tower Hamlets</w:t>
            </w:r>
            <w:r w:rsidRPr="00C84B5F">
              <w:rPr>
                <w:rFonts w:ascii="Arial" w:eastAsia="Calibri" w:hAnsi="Arial" w:cs="Arial"/>
                <w:color w:val="000000"/>
                <w:sz w:val="20"/>
                <w:lang w:val="en-GB" w:eastAsia="en-GB"/>
              </w:rPr>
              <w:t xml:space="preserve"> but not registered to any GP. </w:t>
            </w:r>
          </w:p>
          <w:p w:rsidR="006A2B41" w:rsidRPr="00C84B5F" w:rsidRDefault="006A2B41"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3.6.2 </w:t>
            </w:r>
            <w:r w:rsidRPr="00C84B5F">
              <w:rPr>
                <w:rFonts w:ascii="Arial" w:eastAsia="Calibri" w:hAnsi="Arial" w:cs="Arial"/>
                <w:b/>
                <w:bCs/>
                <w:color w:val="000000"/>
                <w:sz w:val="20"/>
                <w:lang w:val="en-GB" w:eastAsia="en-GB"/>
              </w:rPr>
              <w:t xml:space="preserve">Location(s) of Service Delivery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3.6.3 The service must be provided and must operate in locations across </w:t>
            </w:r>
            <w:r w:rsidR="006A2B41" w:rsidRPr="00C84B5F">
              <w:rPr>
                <w:rFonts w:ascii="Arial" w:eastAsia="Calibri" w:hAnsi="Arial" w:cs="Arial"/>
                <w:color w:val="000000"/>
                <w:sz w:val="20"/>
                <w:lang w:val="en-GB" w:eastAsia="en-GB"/>
              </w:rPr>
              <w:t>Tower Hamlets</w:t>
            </w:r>
            <w:r w:rsidRPr="00C84B5F">
              <w:rPr>
                <w:rFonts w:ascii="Arial" w:eastAsia="Calibri" w:hAnsi="Arial" w:cs="Arial"/>
                <w:color w:val="000000"/>
                <w:sz w:val="20"/>
                <w:lang w:val="en-GB" w:eastAsia="en-GB"/>
              </w:rPr>
              <w:t xml:space="preserve">, in accordance with patient demographics, ethnicity and transport availability and in relation to local needs. </w:t>
            </w:r>
            <w:r w:rsidR="006A2B41" w:rsidRPr="00C84B5F">
              <w:rPr>
                <w:rFonts w:ascii="Arial" w:eastAsia="Calibri" w:hAnsi="Arial" w:cs="Arial"/>
                <w:color w:val="000000"/>
                <w:sz w:val="20"/>
                <w:lang w:val="en-GB" w:eastAsia="en-GB"/>
              </w:rPr>
              <w:t>This is to ensure accessibility of the service as many patients suffering with these conditions may be unable to travel outside of the borough of Tower Hamlets.</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601A84"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3.6.4 Whilst it is expected that the majority of patients will attend clinics for their treatment, the Provider should ensure that patients who require specialist MSK </w:t>
            </w:r>
            <w:r w:rsidR="006A2B41" w:rsidRPr="00C84B5F">
              <w:rPr>
                <w:rFonts w:ascii="Arial" w:eastAsia="Calibri" w:hAnsi="Arial" w:cs="Arial"/>
                <w:color w:val="000000"/>
                <w:sz w:val="20"/>
                <w:lang w:val="en-GB" w:eastAsia="en-GB"/>
              </w:rPr>
              <w:t xml:space="preserve">and Pain </w:t>
            </w:r>
            <w:r w:rsidRPr="00C84B5F">
              <w:rPr>
                <w:rFonts w:ascii="Arial" w:eastAsia="Calibri" w:hAnsi="Arial" w:cs="Arial"/>
                <w:color w:val="000000"/>
                <w:sz w:val="20"/>
                <w:lang w:val="en-GB" w:eastAsia="en-GB"/>
              </w:rPr>
              <w:t>assessment and intervention, and who meet the referral criteria, can be seen by the Integrated M</w:t>
            </w:r>
            <w:r w:rsidR="00601A84">
              <w:rPr>
                <w:rFonts w:ascii="Arial" w:eastAsia="Calibri" w:hAnsi="Arial" w:cs="Arial"/>
                <w:color w:val="000000"/>
                <w:sz w:val="20"/>
                <w:lang w:val="en-GB" w:eastAsia="en-GB"/>
              </w:rPr>
              <w:t xml:space="preserve">SK Service despite disabilities </w:t>
            </w:r>
            <w:r w:rsidRPr="00C84B5F">
              <w:rPr>
                <w:rFonts w:ascii="Arial" w:eastAsia="Calibri" w:hAnsi="Arial" w:cs="Arial"/>
                <w:color w:val="000000"/>
                <w:sz w:val="20"/>
                <w:lang w:val="en-GB" w:eastAsia="en-GB"/>
              </w:rPr>
              <w:t>t</w:t>
            </w:r>
            <w:r w:rsidR="00601A84">
              <w:rPr>
                <w:rFonts w:ascii="Arial" w:eastAsia="Calibri" w:hAnsi="Arial" w:cs="Arial"/>
                <w:color w:val="000000"/>
                <w:sz w:val="20"/>
                <w:lang w:val="en-GB" w:eastAsia="en-GB"/>
              </w:rPr>
              <w:t>hat may require assistance to</w:t>
            </w:r>
            <w:r w:rsidRPr="00C84B5F">
              <w:rPr>
                <w:rFonts w:ascii="Arial" w:eastAsia="Calibri" w:hAnsi="Arial" w:cs="Arial"/>
                <w:color w:val="000000"/>
                <w:sz w:val="20"/>
                <w:lang w:val="en-GB" w:eastAsia="en-GB"/>
              </w:rPr>
              <w:t xml:space="preserve"> travel to a clinic setting.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3.6.5 Providers will adhere to the </w:t>
            </w:r>
            <w:r w:rsidR="008D42CB" w:rsidRPr="00C84B5F">
              <w:rPr>
                <w:rFonts w:ascii="Arial" w:eastAsia="Calibri" w:hAnsi="Arial" w:cs="Arial"/>
                <w:color w:val="000000"/>
                <w:sz w:val="20"/>
                <w:lang w:val="en-GB" w:eastAsia="en-GB"/>
              </w:rPr>
              <w:t xml:space="preserve">clinical quality and safety requirements regarding premises, but </w:t>
            </w:r>
            <w:r w:rsidRPr="00C84B5F">
              <w:rPr>
                <w:rFonts w:ascii="Arial" w:eastAsia="Calibri" w:hAnsi="Arial" w:cs="Arial"/>
                <w:color w:val="000000"/>
                <w:sz w:val="20"/>
                <w:lang w:val="en-GB" w:eastAsia="en-GB"/>
              </w:rPr>
              <w:t xml:space="preserve">would be </w:t>
            </w:r>
            <w:r w:rsidR="008D42CB" w:rsidRPr="00C84B5F">
              <w:rPr>
                <w:rFonts w:ascii="Arial" w:eastAsia="Calibri" w:hAnsi="Arial" w:cs="Arial"/>
                <w:color w:val="000000"/>
                <w:sz w:val="20"/>
                <w:lang w:val="en-GB" w:eastAsia="en-GB"/>
              </w:rPr>
              <w:t xml:space="preserve">not be </w:t>
            </w:r>
            <w:r w:rsidRPr="00C84B5F">
              <w:rPr>
                <w:rFonts w:ascii="Arial" w:eastAsia="Calibri" w:hAnsi="Arial" w:cs="Arial"/>
                <w:color w:val="000000"/>
                <w:sz w:val="20"/>
                <w:lang w:val="en-GB" w:eastAsia="en-GB"/>
              </w:rPr>
              <w:t xml:space="preserve">expected to use any premises mandated by NHS </w:t>
            </w:r>
            <w:r w:rsidR="008D42CB" w:rsidRPr="00C84B5F">
              <w:rPr>
                <w:rFonts w:ascii="Arial" w:eastAsia="Calibri" w:hAnsi="Arial" w:cs="Arial"/>
                <w:color w:val="000000"/>
                <w:sz w:val="20"/>
                <w:lang w:val="en-GB" w:eastAsia="en-GB"/>
              </w:rPr>
              <w:t>Tower Hamlets</w:t>
            </w:r>
            <w:r w:rsidRPr="00C84B5F">
              <w:rPr>
                <w:rFonts w:ascii="Arial" w:eastAsia="Calibri" w:hAnsi="Arial" w:cs="Arial"/>
                <w:color w:val="000000"/>
                <w:sz w:val="20"/>
                <w:lang w:val="en-GB" w:eastAsia="en-GB"/>
              </w:rPr>
              <w:t xml:space="preserve"> CCG.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b/>
                <w:bCs/>
                <w:color w:val="000000"/>
                <w:sz w:val="20"/>
                <w:lang w:val="en-GB" w:eastAsia="en-GB"/>
              </w:rPr>
              <w:t xml:space="preserve">3.6.6 Accessibility/Acceptability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C</w:t>
            </w:r>
            <w:r w:rsidR="006439F5" w:rsidRPr="00C84B5F">
              <w:rPr>
                <w:rFonts w:ascii="Arial" w:eastAsia="Calibri" w:hAnsi="Arial" w:cs="Arial"/>
                <w:color w:val="000000"/>
                <w:sz w:val="20"/>
                <w:lang w:val="en-GB" w:eastAsia="en-GB"/>
              </w:rPr>
              <w:t>ontinuous c</w:t>
            </w:r>
            <w:r w:rsidRPr="00C84B5F">
              <w:rPr>
                <w:rFonts w:ascii="Arial" w:eastAsia="Calibri" w:hAnsi="Arial" w:cs="Arial"/>
                <w:color w:val="000000"/>
                <w:sz w:val="20"/>
                <w:lang w:val="en-GB" w:eastAsia="en-GB"/>
              </w:rPr>
              <w:t xml:space="preserve">onsultation with Patients has raised the need for more extended opening hours </w:t>
            </w:r>
            <w:r w:rsidR="006439F5" w:rsidRPr="00C84B5F">
              <w:rPr>
                <w:rFonts w:ascii="Arial" w:eastAsia="Calibri" w:hAnsi="Arial" w:cs="Arial"/>
                <w:color w:val="000000"/>
                <w:sz w:val="20"/>
                <w:lang w:val="en-GB" w:eastAsia="en-GB"/>
              </w:rPr>
              <w:t>to accommodate their needs</w:t>
            </w:r>
            <w:r w:rsidRPr="00C84B5F">
              <w:rPr>
                <w:rFonts w:ascii="Arial" w:eastAsia="Calibri" w:hAnsi="Arial" w:cs="Arial"/>
                <w:color w:val="000000"/>
                <w:sz w:val="20"/>
                <w:lang w:val="en-GB" w:eastAsia="en-GB"/>
              </w:rPr>
              <w:t xml:space="preserve">. Providers will be expected to demonstrate how they will provide a service that will respond to and meet patient’s needs.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The provider should adhere to the Treatment Access Policy across </w:t>
            </w:r>
            <w:r w:rsidR="006439F5" w:rsidRPr="00C84B5F">
              <w:rPr>
                <w:rFonts w:ascii="Arial" w:eastAsia="Calibri" w:hAnsi="Arial" w:cs="Arial"/>
                <w:color w:val="000000"/>
                <w:sz w:val="20"/>
                <w:lang w:val="en-GB" w:eastAsia="en-GB"/>
              </w:rPr>
              <w:t>North</w:t>
            </w:r>
            <w:r w:rsidRPr="00C84B5F">
              <w:rPr>
                <w:rFonts w:ascii="Arial" w:eastAsia="Calibri" w:hAnsi="Arial" w:cs="Arial"/>
                <w:color w:val="000000"/>
                <w:sz w:val="20"/>
                <w:lang w:val="en-GB" w:eastAsia="en-GB"/>
              </w:rPr>
              <w:t xml:space="preserve"> east London. </w:t>
            </w:r>
          </w:p>
          <w:p w:rsidR="006439F5" w:rsidRPr="00C84B5F" w:rsidRDefault="006439F5"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b/>
                <w:bCs/>
                <w:color w:val="000000"/>
                <w:sz w:val="20"/>
                <w:lang w:val="en-GB" w:eastAsia="en-GB"/>
              </w:rPr>
              <w:t xml:space="preserve">3.6.7 Days / hours of service delivery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The service provided will ensur</w:t>
            </w:r>
            <w:r w:rsidR="00A70541" w:rsidRPr="00C84B5F">
              <w:rPr>
                <w:rFonts w:ascii="Arial" w:eastAsia="Calibri" w:hAnsi="Arial" w:cs="Arial"/>
                <w:color w:val="000000"/>
                <w:sz w:val="20"/>
                <w:lang w:val="en-GB" w:eastAsia="en-GB"/>
              </w:rPr>
              <w:t>e coverage 52 weeks of the year.</w:t>
            </w:r>
          </w:p>
          <w:p w:rsidR="00A70541" w:rsidRPr="00C84B5F" w:rsidRDefault="00A70541" w:rsidP="003A64EF">
            <w:pPr>
              <w:autoSpaceDE w:val="0"/>
              <w:autoSpaceDN w:val="0"/>
              <w:adjustRightInd w:val="0"/>
              <w:spacing w:after="0"/>
              <w:contextualSpacing/>
              <w:rPr>
                <w:rFonts w:ascii="Arial" w:eastAsia="Calibri" w:hAnsi="Arial" w:cs="Arial"/>
                <w:color w:val="000000"/>
                <w:sz w:val="20"/>
                <w:lang w:val="en-GB" w:eastAsia="en-GB"/>
              </w:rPr>
            </w:pPr>
          </w:p>
          <w:p w:rsidR="00A70541" w:rsidRPr="00C84B5F" w:rsidRDefault="000E1BB6" w:rsidP="003A64EF">
            <w:pPr>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The service will provide patients with a choice of site and appointment times. </w:t>
            </w:r>
          </w:p>
          <w:p w:rsidR="00A70541" w:rsidRPr="00C84B5F" w:rsidRDefault="00A70541" w:rsidP="003A64EF">
            <w:pPr>
              <w:spacing w:after="0"/>
              <w:contextualSpacing/>
              <w:rPr>
                <w:rFonts w:ascii="Arial" w:eastAsia="Calibri" w:hAnsi="Arial" w:cs="Arial"/>
                <w:color w:val="000000"/>
                <w:sz w:val="20"/>
                <w:lang w:val="en-GB" w:eastAsia="en-GB"/>
              </w:rPr>
            </w:pPr>
          </w:p>
          <w:p w:rsidR="00A70541" w:rsidRPr="00C84B5F" w:rsidRDefault="000E1BB6" w:rsidP="003A64EF">
            <w:pPr>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Appointment slots will be offered at a range of times to provide ease of access. </w:t>
            </w:r>
          </w:p>
          <w:p w:rsidR="00A70541" w:rsidRPr="00C84B5F" w:rsidRDefault="00A70541" w:rsidP="003A64EF">
            <w:pPr>
              <w:spacing w:after="0"/>
              <w:contextualSpacing/>
              <w:rPr>
                <w:rFonts w:ascii="Arial" w:eastAsia="Calibri" w:hAnsi="Arial" w:cs="Arial"/>
                <w:color w:val="000000"/>
                <w:sz w:val="20"/>
                <w:lang w:val="en-GB" w:eastAsia="en-GB"/>
              </w:rPr>
            </w:pPr>
          </w:p>
          <w:p w:rsidR="00A70541" w:rsidRPr="00C84B5F" w:rsidRDefault="000E1BB6" w:rsidP="003A64EF">
            <w:pPr>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Options should be available for patients who can attend appointments during core hours as matched to GP opening hours (i</w:t>
            </w:r>
            <w:r w:rsidR="001F5119">
              <w:rPr>
                <w:rFonts w:ascii="Arial" w:eastAsia="Calibri" w:hAnsi="Arial" w:cs="Arial"/>
                <w:color w:val="000000"/>
                <w:sz w:val="20"/>
                <w:lang w:val="en-GB" w:eastAsia="en-GB"/>
              </w:rPr>
              <w:t>.</w:t>
            </w:r>
            <w:r w:rsidRPr="00C84B5F">
              <w:rPr>
                <w:rFonts w:ascii="Arial" w:eastAsia="Calibri" w:hAnsi="Arial" w:cs="Arial"/>
                <w:color w:val="000000"/>
                <w:sz w:val="20"/>
                <w:lang w:val="en-GB" w:eastAsia="en-GB"/>
              </w:rPr>
              <w:t>e</w:t>
            </w:r>
            <w:r w:rsidR="001F5119">
              <w:rPr>
                <w:rFonts w:ascii="Arial" w:eastAsia="Calibri" w:hAnsi="Arial" w:cs="Arial"/>
                <w:color w:val="000000"/>
                <w:sz w:val="20"/>
                <w:lang w:val="en-GB" w:eastAsia="en-GB"/>
              </w:rPr>
              <w:t>.</w:t>
            </w:r>
            <w:r w:rsidRPr="00C84B5F">
              <w:rPr>
                <w:rFonts w:ascii="Arial" w:eastAsia="Calibri" w:hAnsi="Arial" w:cs="Arial"/>
                <w:color w:val="000000"/>
                <w:sz w:val="20"/>
                <w:lang w:val="en-GB" w:eastAsia="en-GB"/>
              </w:rPr>
              <w:t xml:space="preserve"> 8am to 6:30pm) as a minimum requirement. Providers will in addition be expected to meet the needs of patients who require appointments outside these hours</w:t>
            </w:r>
            <w:r w:rsidR="00EF6E50">
              <w:rPr>
                <w:rFonts w:ascii="Arial" w:eastAsia="Calibri" w:hAnsi="Arial" w:cs="Arial"/>
                <w:color w:val="000000"/>
                <w:sz w:val="20"/>
                <w:lang w:val="en-GB" w:eastAsia="en-GB"/>
              </w:rPr>
              <w:t xml:space="preserve"> and also by telephone wherever appropriate</w:t>
            </w:r>
            <w:r w:rsidRPr="00C84B5F">
              <w:rPr>
                <w:rFonts w:ascii="Arial" w:eastAsia="Calibri" w:hAnsi="Arial" w:cs="Arial"/>
                <w:color w:val="000000"/>
                <w:sz w:val="20"/>
                <w:lang w:val="en-GB" w:eastAsia="en-GB"/>
              </w:rPr>
              <w:t xml:space="preserve">. </w:t>
            </w:r>
          </w:p>
          <w:p w:rsidR="00A70541" w:rsidRPr="00C84B5F" w:rsidRDefault="00A70541" w:rsidP="003A64EF">
            <w:pPr>
              <w:spacing w:after="0"/>
              <w:contextualSpacing/>
              <w:rPr>
                <w:rFonts w:ascii="Arial" w:eastAsia="Calibri" w:hAnsi="Arial" w:cs="Arial"/>
                <w:color w:val="000000"/>
                <w:sz w:val="20"/>
                <w:lang w:val="en-GB" w:eastAsia="en-GB"/>
              </w:rPr>
            </w:pPr>
          </w:p>
          <w:p w:rsidR="00A70541" w:rsidRPr="00C84B5F" w:rsidRDefault="000E1BB6" w:rsidP="003A64EF">
            <w:pPr>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The Provider should ensure that opening hours are flexible and responsive to local patient demand and will be required to respond to patient feedback in relation to the opening hours they require. </w:t>
            </w:r>
          </w:p>
          <w:p w:rsidR="00A70541" w:rsidRPr="00C84B5F" w:rsidRDefault="00A70541" w:rsidP="003A64EF">
            <w:pPr>
              <w:spacing w:after="0"/>
              <w:contextualSpacing/>
              <w:rPr>
                <w:rFonts w:ascii="Arial" w:eastAsia="Calibri" w:hAnsi="Arial" w:cs="Arial"/>
                <w:color w:val="000000"/>
                <w:sz w:val="20"/>
                <w:lang w:val="en-GB" w:eastAsia="en-GB"/>
              </w:rPr>
            </w:pPr>
          </w:p>
          <w:p w:rsidR="00420BB6" w:rsidRPr="00C84B5F" w:rsidRDefault="000E1BB6" w:rsidP="003A64EF">
            <w:pPr>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Providers are required to include questions on opening hours and appointment availability in routine patient satisfaction feedback, and to respond to this according to resource availability.</w:t>
            </w:r>
          </w:p>
          <w:p w:rsidR="000E1BB6" w:rsidRPr="00C84B5F" w:rsidRDefault="000E1BB6" w:rsidP="003A64EF">
            <w:pPr>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b/>
                <w:bCs/>
                <w:color w:val="000000"/>
                <w:sz w:val="20"/>
                <w:lang w:val="en-GB" w:eastAsia="en-GB"/>
              </w:rPr>
              <w:t xml:space="preserve">3.6.8 Interpreting services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The service will be required to have access to and the ability to arrange interpretation services whenever this may prove of value to the effective delivery of the service and in response to patient’s needs. All costs of these services shall be met by the provider. </w:t>
            </w:r>
          </w:p>
          <w:p w:rsidR="00A70541" w:rsidRPr="00C84B5F" w:rsidRDefault="00A70541"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b/>
                <w:bCs/>
                <w:color w:val="000000"/>
                <w:sz w:val="20"/>
                <w:lang w:val="en-GB" w:eastAsia="en-GB"/>
              </w:rPr>
              <w:t xml:space="preserve">3.6.9 Referral Criteria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Entry point into the system is via referral from GPs. </w:t>
            </w:r>
          </w:p>
          <w:p w:rsidR="00C84B5F" w:rsidRPr="00C84B5F" w:rsidRDefault="00C84B5F" w:rsidP="003A64EF">
            <w:pPr>
              <w:autoSpaceDE w:val="0"/>
              <w:autoSpaceDN w:val="0"/>
              <w:adjustRightInd w:val="0"/>
              <w:spacing w:after="0"/>
              <w:contextualSpacing/>
              <w:rPr>
                <w:rFonts w:ascii="Arial" w:eastAsia="Calibri" w:hAnsi="Arial" w:cs="Arial"/>
                <w:color w:val="000000"/>
                <w:sz w:val="20"/>
                <w:lang w:val="en-GB" w:eastAsia="en-GB"/>
              </w:rPr>
            </w:pPr>
          </w:p>
          <w:p w:rsidR="00C84B5F"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Referrals will be accepted from GPs as stipulated in the referral protocols and pathways, for </w:t>
            </w:r>
            <w:r w:rsidR="00A70541" w:rsidRPr="00C84B5F">
              <w:rPr>
                <w:rFonts w:ascii="Arial" w:eastAsia="Calibri" w:hAnsi="Arial" w:cs="Arial"/>
                <w:color w:val="000000"/>
                <w:sz w:val="20"/>
                <w:lang w:val="en-GB" w:eastAsia="en-GB"/>
              </w:rPr>
              <w:t>Tower Hamlets</w:t>
            </w:r>
            <w:r w:rsidRPr="00C84B5F">
              <w:rPr>
                <w:rFonts w:ascii="Arial" w:eastAsia="Calibri" w:hAnsi="Arial" w:cs="Arial"/>
                <w:color w:val="000000"/>
                <w:sz w:val="20"/>
                <w:lang w:val="en-GB" w:eastAsia="en-GB"/>
              </w:rPr>
              <w:t xml:space="preserve"> GP registered patients only. Completion of a minimum data set is mandatory for referral to be accepted</w:t>
            </w:r>
            <w:r w:rsidR="00EF6E50">
              <w:rPr>
                <w:rFonts w:ascii="Arial" w:eastAsia="Calibri" w:hAnsi="Arial" w:cs="Arial"/>
                <w:color w:val="000000"/>
                <w:sz w:val="20"/>
                <w:lang w:val="en-GB" w:eastAsia="en-GB"/>
              </w:rPr>
              <w:t xml:space="preserve"> (structured referral proformas on common conditions)</w:t>
            </w:r>
            <w:r w:rsidRPr="00C84B5F">
              <w:rPr>
                <w:rFonts w:ascii="Arial" w:eastAsia="Calibri" w:hAnsi="Arial" w:cs="Arial"/>
                <w:color w:val="000000"/>
                <w:sz w:val="20"/>
                <w:lang w:val="en-GB" w:eastAsia="en-GB"/>
              </w:rPr>
              <w:t xml:space="preserve">. </w:t>
            </w:r>
            <w:r w:rsidR="00A70541" w:rsidRPr="00C84B5F">
              <w:rPr>
                <w:rFonts w:ascii="Arial" w:eastAsia="Calibri" w:hAnsi="Arial" w:cs="Arial"/>
                <w:color w:val="000000"/>
                <w:sz w:val="20"/>
                <w:lang w:val="en-GB" w:eastAsia="en-GB"/>
              </w:rPr>
              <w:t xml:space="preserve">The Commissioner, Tower Hamlets CCG, suggests the Provider create this minimum data set in order to triage appropriately and ensure the best outcomes after given course of action. Tower Hamlets CCG will support embedding this referral mandate with its GPs. </w:t>
            </w:r>
          </w:p>
          <w:p w:rsidR="00C84B5F" w:rsidRPr="00C84B5F" w:rsidRDefault="00C84B5F"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Patients that do not meet the referral criteria will be re</w:t>
            </w:r>
            <w:r w:rsidRPr="00C84B5F">
              <w:rPr>
                <w:rFonts w:ascii="Cambria Math" w:eastAsia="Calibri" w:hAnsi="Cambria Math" w:cs="Cambria Math"/>
                <w:color w:val="000000"/>
                <w:sz w:val="20"/>
                <w:lang w:val="en-GB" w:eastAsia="en-GB"/>
              </w:rPr>
              <w:t>‐</w:t>
            </w:r>
            <w:r w:rsidRPr="00C84B5F">
              <w:rPr>
                <w:rFonts w:ascii="Arial" w:eastAsia="Calibri" w:hAnsi="Arial" w:cs="Arial"/>
                <w:color w:val="000000"/>
                <w:sz w:val="20"/>
                <w:lang w:val="en-GB" w:eastAsia="en-GB"/>
              </w:rPr>
              <w:t xml:space="preserve">directed back to the GP or the referral source unless the referral is identified as a potential serious pathology or a red flag in which case this will be referred on to secondary care in accordance with NICE Clinical Guidance, with information provided back to the referrer that this has taken place. </w:t>
            </w:r>
          </w:p>
          <w:p w:rsidR="00C84B5F" w:rsidRPr="00C84B5F" w:rsidRDefault="00C84B5F"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b/>
                <w:bCs/>
                <w:color w:val="000000"/>
                <w:sz w:val="20"/>
                <w:lang w:val="en-GB" w:eastAsia="en-GB"/>
              </w:rPr>
              <w:t xml:space="preserve">3.6.10 Inclusion Criteria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The referral criteria will be regularly reviewed and determined by the CCG’s </w:t>
            </w:r>
            <w:r w:rsidR="00C84B5F" w:rsidRPr="00C84B5F">
              <w:rPr>
                <w:rFonts w:ascii="Arial" w:eastAsia="Calibri" w:hAnsi="Arial" w:cs="Arial"/>
                <w:color w:val="000000"/>
                <w:sz w:val="20"/>
                <w:lang w:val="en-GB" w:eastAsia="en-GB"/>
              </w:rPr>
              <w:t>Planned Care Board</w:t>
            </w:r>
            <w:r w:rsidRPr="00C84B5F">
              <w:rPr>
                <w:rFonts w:ascii="Arial" w:eastAsia="Calibri" w:hAnsi="Arial" w:cs="Arial"/>
                <w:color w:val="000000"/>
                <w:sz w:val="20"/>
                <w:lang w:val="en-GB" w:eastAsia="en-GB"/>
              </w:rPr>
              <w:t xml:space="preserve"> and other clinicians as appropriate. Patients considered appropriate for this service are those patients who have presented to a GP with the following complaints, and where the GP has not been able to treat the patient successfully in primary care using the available protocols and pathways; </w:t>
            </w:r>
          </w:p>
          <w:p w:rsidR="000E1BB6" w:rsidRPr="00C84B5F" w:rsidRDefault="000E1BB6" w:rsidP="00665FD4">
            <w:pPr>
              <w:numPr>
                <w:ilvl w:val="0"/>
                <w:numId w:val="15"/>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Joint or muscle pain </w:t>
            </w:r>
          </w:p>
          <w:p w:rsidR="000E1BB6" w:rsidRPr="00C84B5F" w:rsidRDefault="000E1BB6" w:rsidP="00665FD4">
            <w:pPr>
              <w:numPr>
                <w:ilvl w:val="0"/>
                <w:numId w:val="15"/>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Soft tissue injuries </w:t>
            </w:r>
          </w:p>
          <w:p w:rsidR="000E1BB6" w:rsidRPr="00C84B5F" w:rsidRDefault="000E1BB6" w:rsidP="00665FD4">
            <w:pPr>
              <w:numPr>
                <w:ilvl w:val="0"/>
                <w:numId w:val="15"/>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Traumatic injury requiring rehabilitation </w:t>
            </w:r>
          </w:p>
          <w:p w:rsidR="000E1BB6" w:rsidRPr="00C84B5F" w:rsidRDefault="000E1BB6" w:rsidP="00665FD4">
            <w:pPr>
              <w:numPr>
                <w:ilvl w:val="0"/>
                <w:numId w:val="15"/>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Spinal pain </w:t>
            </w:r>
          </w:p>
          <w:p w:rsidR="000E1BB6" w:rsidRPr="00C84B5F" w:rsidRDefault="000E1BB6" w:rsidP="00665FD4">
            <w:pPr>
              <w:numPr>
                <w:ilvl w:val="0"/>
                <w:numId w:val="15"/>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Joint injuries </w:t>
            </w:r>
          </w:p>
          <w:p w:rsidR="000E1BB6" w:rsidRPr="00C84B5F" w:rsidRDefault="000E1BB6" w:rsidP="00665FD4">
            <w:pPr>
              <w:numPr>
                <w:ilvl w:val="0"/>
                <w:numId w:val="15"/>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Poor mobility caused by joint or soft tissue deficits </w:t>
            </w:r>
          </w:p>
          <w:p w:rsidR="000E1BB6"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1F5119" w:rsidRPr="00C84B5F" w:rsidRDefault="001F5119" w:rsidP="003A64EF">
            <w:pPr>
              <w:autoSpaceDE w:val="0"/>
              <w:autoSpaceDN w:val="0"/>
              <w:adjustRightInd w:val="0"/>
              <w:spacing w:after="0"/>
              <w:contextualSpacing/>
              <w:rPr>
                <w:rFonts w:ascii="Arial" w:eastAsia="Calibri" w:hAnsi="Arial" w:cs="Arial"/>
                <w:color w:val="000000"/>
                <w:sz w:val="20"/>
                <w:lang w:val="en-GB" w:eastAsia="en-GB"/>
              </w:rPr>
            </w:pP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b/>
                <w:bCs/>
                <w:color w:val="000000"/>
                <w:sz w:val="20"/>
                <w:lang w:val="en-GB" w:eastAsia="en-GB"/>
              </w:rPr>
              <w:t xml:space="preserve">3.6.11 Exclusion criteria </w:t>
            </w:r>
          </w:p>
          <w:p w:rsidR="000E1BB6" w:rsidRPr="00C84B5F"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This service is not available to the following cohorts: </w:t>
            </w:r>
          </w:p>
          <w:p w:rsidR="000E1BB6" w:rsidRPr="00C84B5F" w:rsidRDefault="000E1BB6" w:rsidP="00665FD4">
            <w:pPr>
              <w:numPr>
                <w:ilvl w:val="0"/>
                <w:numId w:val="16"/>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Patients not registered with a </w:t>
            </w:r>
            <w:r w:rsidR="00665FD4">
              <w:rPr>
                <w:rFonts w:ascii="Arial" w:eastAsia="Calibri" w:hAnsi="Arial" w:cs="Arial"/>
                <w:color w:val="000000"/>
                <w:sz w:val="20"/>
                <w:lang w:val="en-GB" w:eastAsia="en-GB"/>
              </w:rPr>
              <w:t>Tower Hamlets</w:t>
            </w:r>
            <w:r w:rsidR="00665FD4" w:rsidRPr="00C84B5F">
              <w:rPr>
                <w:rFonts w:ascii="Arial" w:eastAsia="Calibri" w:hAnsi="Arial" w:cs="Arial"/>
                <w:color w:val="000000"/>
                <w:sz w:val="20"/>
                <w:lang w:val="en-GB" w:eastAsia="en-GB"/>
              </w:rPr>
              <w:t xml:space="preserve"> </w:t>
            </w:r>
            <w:r w:rsidRPr="00C84B5F">
              <w:rPr>
                <w:rFonts w:ascii="Arial" w:eastAsia="Calibri" w:hAnsi="Arial" w:cs="Arial"/>
                <w:color w:val="000000"/>
                <w:sz w:val="20"/>
                <w:lang w:val="en-GB" w:eastAsia="en-GB"/>
              </w:rPr>
              <w:t xml:space="preserve">GP practice (unless resident in </w:t>
            </w:r>
            <w:r w:rsidR="00665FD4">
              <w:rPr>
                <w:rFonts w:ascii="Arial" w:eastAsia="Calibri" w:hAnsi="Arial" w:cs="Arial"/>
                <w:color w:val="000000"/>
                <w:sz w:val="20"/>
                <w:lang w:val="en-GB" w:eastAsia="en-GB"/>
              </w:rPr>
              <w:t>Tower Hamlets</w:t>
            </w:r>
            <w:r w:rsidR="00665FD4" w:rsidRPr="00C84B5F">
              <w:rPr>
                <w:rFonts w:ascii="Arial" w:eastAsia="Calibri" w:hAnsi="Arial" w:cs="Arial"/>
                <w:color w:val="000000"/>
                <w:sz w:val="20"/>
                <w:lang w:val="en-GB" w:eastAsia="en-GB"/>
              </w:rPr>
              <w:t xml:space="preserve"> </w:t>
            </w:r>
            <w:r w:rsidRPr="00C84B5F">
              <w:rPr>
                <w:rFonts w:ascii="Arial" w:eastAsia="Calibri" w:hAnsi="Arial" w:cs="Arial"/>
                <w:color w:val="000000"/>
                <w:sz w:val="20"/>
                <w:lang w:val="en-GB" w:eastAsia="en-GB"/>
              </w:rPr>
              <w:t xml:space="preserve">and not registered with any GP) </w:t>
            </w:r>
          </w:p>
          <w:p w:rsidR="000E1BB6" w:rsidRPr="00C84B5F" w:rsidRDefault="000E1BB6" w:rsidP="00665FD4">
            <w:pPr>
              <w:numPr>
                <w:ilvl w:val="0"/>
                <w:numId w:val="16"/>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Patients who are under 16 years of age </w:t>
            </w:r>
          </w:p>
          <w:p w:rsidR="000E1BB6" w:rsidRPr="00C84B5F" w:rsidRDefault="000E1BB6" w:rsidP="00665FD4">
            <w:pPr>
              <w:numPr>
                <w:ilvl w:val="0"/>
                <w:numId w:val="16"/>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Patients who require emergency treatment </w:t>
            </w:r>
          </w:p>
          <w:p w:rsidR="000E1BB6" w:rsidRPr="00C84B5F" w:rsidRDefault="000E1BB6" w:rsidP="00665FD4">
            <w:pPr>
              <w:numPr>
                <w:ilvl w:val="0"/>
                <w:numId w:val="16"/>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Patients requiring a second surgical opinion only (these can go direct to surgical consultants) </w:t>
            </w:r>
          </w:p>
          <w:p w:rsidR="000E1BB6" w:rsidRPr="00C84B5F" w:rsidRDefault="000E1BB6" w:rsidP="00665FD4">
            <w:pPr>
              <w:numPr>
                <w:ilvl w:val="0"/>
                <w:numId w:val="16"/>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Patients who require podiatry only </w:t>
            </w:r>
          </w:p>
          <w:p w:rsidR="000E1BB6" w:rsidRPr="00C84B5F" w:rsidRDefault="000E1BB6" w:rsidP="00665FD4">
            <w:pPr>
              <w:numPr>
                <w:ilvl w:val="0"/>
                <w:numId w:val="16"/>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Patients seeking private payment services </w:t>
            </w:r>
          </w:p>
          <w:p w:rsidR="000E1BB6" w:rsidRPr="00C84B5F" w:rsidRDefault="000E1BB6" w:rsidP="00665FD4">
            <w:pPr>
              <w:numPr>
                <w:ilvl w:val="0"/>
                <w:numId w:val="16"/>
              </w:numPr>
              <w:autoSpaceDE w:val="0"/>
              <w:autoSpaceDN w:val="0"/>
              <w:adjustRightInd w:val="0"/>
              <w:spacing w:after="0"/>
              <w:contextualSpacing/>
              <w:rPr>
                <w:rFonts w:ascii="Arial" w:eastAsia="Calibri" w:hAnsi="Arial" w:cs="Arial"/>
                <w:color w:val="000000"/>
                <w:sz w:val="20"/>
                <w:lang w:val="en-GB" w:eastAsia="en-GB"/>
              </w:rPr>
            </w:pPr>
            <w:r w:rsidRPr="00C84B5F">
              <w:rPr>
                <w:rFonts w:ascii="Arial" w:eastAsia="Calibri" w:hAnsi="Arial" w:cs="Arial"/>
                <w:color w:val="000000"/>
                <w:sz w:val="20"/>
                <w:lang w:val="en-GB" w:eastAsia="en-GB"/>
              </w:rPr>
              <w:t xml:space="preserve">Patients requiring management as part of a post-surgical pathway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1F5119">
            <w:pPr>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The service is not considered clinically app</w:t>
            </w:r>
            <w:r w:rsidR="001F5119">
              <w:rPr>
                <w:rFonts w:ascii="Arial" w:eastAsia="Calibri" w:hAnsi="Arial" w:cs="Arial"/>
                <w:color w:val="000000"/>
                <w:sz w:val="20"/>
                <w:lang w:val="en-GB" w:eastAsia="en-GB"/>
              </w:rPr>
              <w:t>ropriate for patients who have:</w:t>
            </w:r>
          </w:p>
          <w:p w:rsidR="000E1BB6" w:rsidRPr="006A2B41" w:rsidRDefault="000E1BB6" w:rsidP="00665FD4">
            <w:pPr>
              <w:numPr>
                <w:ilvl w:val="0"/>
                <w:numId w:val="17"/>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Suspected serious pathology to include: cancer, cauda equina syndrome, infection) as these patients should be referred directly to an acute hospital and the GP notified by phone and in writing. </w:t>
            </w:r>
          </w:p>
          <w:p w:rsidR="005217D3" w:rsidRDefault="000E1BB6" w:rsidP="005217D3">
            <w:pPr>
              <w:numPr>
                <w:ilvl w:val="0"/>
                <w:numId w:val="18"/>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Conditions/ injuries associated with significant trauma (suspected fracture) </w:t>
            </w:r>
          </w:p>
          <w:p w:rsidR="005217D3" w:rsidRDefault="005217D3" w:rsidP="005217D3">
            <w:pPr>
              <w:autoSpaceDE w:val="0"/>
              <w:autoSpaceDN w:val="0"/>
              <w:adjustRightInd w:val="0"/>
              <w:spacing w:after="0"/>
              <w:ind w:left="720"/>
              <w:contextualSpacing/>
              <w:rPr>
                <w:rFonts w:ascii="Arial" w:eastAsia="Calibri" w:hAnsi="Arial" w:cs="Arial"/>
                <w:color w:val="000000"/>
                <w:sz w:val="20"/>
                <w:lang w:val="en-GB" w:eastAsia="en-GB"/>
              </w:rPr>
            </w:pPr>
            <w:r w:rsidRPr="005217D3">
              <w:rPr>
                <w:rFonts w:ascii="Arial" w:eastAsia="Calibri" w:hAnsi="Arial" w:cs="Arial"/>
                <w:color w:val="000000"/>
                <w:sz w:val="20"/>
                <w:lang w:val="en-GB" w:eastAsia="en-GB"/>
              </w:rPr>
              <w:t xml:space="preserve">Patients who have received significant intervention for the same condition previously within the acute setting and for whom it would appear appropriate that the referral should be re-directed to a more appropriate service.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b/>
                <w:bCs/>
                <w:color w:val="000000"/>
                <w:sz w:val="20"/>
                <w:lang w:val="en-GB" w:eastAsia="en-GB"/>
              </w:rPr>
              <w:t xml:space="preserve">3.6.12 Response time &amp; detail and prioritisation </w:t>
            </w:r>
          </w:p>
          <w:p w:rsidR="000E1BB6" w:rsidRPr="006A2B41" w:rsidRDefault="000E1BB6" w:rsidP="003A64EF">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The service provider must demonstrate the ability to manage referrals according to timescales required in this Service Specification, as part of a continuum of care with other primary or secondary care providers along the treatment pathway. Therefore the service should ensure the following arrangements are in place: </w:t>
            </w:r>
          </w:p>
          <w:p w:rsidR="000E1BB6" w:rsidRPr="006A2B41" w:rsidRDefault="000E1BB6"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Have a centrally managed booking service. </w:t>
            </w:r>
          </w:p>
          <w:p w:rsidR="000E1BB6" w:rsidRPr="006A2B41" w:rsidRDefault="000E1BB6"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Connection to Choose and Book Directory of Service </w:t>
            </w:r>
          </w:p>
          <w:p w:rsidR="000E1BB6" w:rsidRPr="006A2B41" w:rsidRDefault="000E1BB6"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Referral screening within </w:t>
            </w:r>
            <w:r w:rsidR="00601A84">
              <w:rPr>
                <w:rFonts w:ascii="Arial" w:eastAsia="Calibri" w:hAnsi="Arial" w:cs="Arial"/>
                <w:color w:val="000000"/>
                <w:sz w:val="20"/>
                <w:lang w:val="en-GB" w:eastAsia="en-GB"/>
              </w:rPr>
              <w:t>2</w:t>
            </w:r>
            <w:r w:rsidRPr="006A2B41">
              <w:rPr>
                <w:rFonts w:ascii="Arial" w:eastAsia="Calibri" w:hAnsi="Arial" w:cs="Arial"/>
                <w:color w:val="000000"/>
                <w:sz w:val="20"/>
                <w:lang w:val="en-GB" w:eastAsia="en-GB"/>
              </w:rPr>
              <w:t xml:space="preserve"> working days of the receipt of original referral </w:t>
            </w:r>
          </w:p>
          <w:p w:rsidR="000E1BB6" w:rsidRPr="002030F5" w:rsidRDefault="000E1BB6"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sidRPr="004E6377">
              <w:rPr>
                <w:rFonts w:ascii="Arial" w:eastAsia="Calibri" w:hAnsi="Arial" w:cs="Arial"/>
                <w:color w:val="000000"/>
                <w:sz w:val="20"/>
                <w:lang w:val="en-GB" w:eastAsia="en-GB"/>
              </w:rPr>
              <w:t xml:space="preserve">Ensure that </w:t>
            </w:r>
            <w:r w:rsidR="00EA5A7F" w:rsidRPr="004E6377">
              <w:rPr>
                <w:rFonts w:ascii="Arial" w:eastAsia="Calibri" w:hAnsi="Arial" w:cs="Arial"/>
                <w:color w:val="000000"/>
                <w:sz w:val="20"/>
                <w:lang w:val="en-GB" w:eastAsia="en-GB"/>
              </w:rPr>
              <w:t xml:space="preserve">people who need to be prioritised clinically and </w:t>
            </w:r>
            <w:r w:rsidR="00601A84" w:rsidRPr="004E6377">
              <w:rPr>
                <w:rFonts w:ascii="Arial" w:eastAsia="Calibri" w:hAnsi="Arial" w:cs="Arial"/>
                <w:color w:val="000000"/>
                <w:sz w:val="20"/>
                <w:lang w:val="en-GB" w:eastAsia="en-GB"/>
              </w:rPr>
              <w:t xml:space="preserve">are </w:t>
            </w:r>
            <w:r w:rsidR="001F5119" w:rsidRPr="004E6377">
              <w:rPr>
                <w:rFonts w:ascii="Arial" w:eastAsia="Calibri" w:hAnsi="Arial" w:cs="Arial"/>
                <w:color w:val="000000"/>
                <w:sz w:val="20"/>
                <w:lang w:val="en-GB" w:eastAsia="en-GB"/>
              </w:rPr>
              <w:t xml:space="preserve">within the referral criteria </w:t>
            </w:r>
            <w:r w:rsidRPr="004E6377">
              <w:rPr>
                <w:rFonts w:ascii="Arial" w:eastAsia="Calibri" w:hAnsi="Arial" w:cs="Arial"/>
                <w:color w:val="000000"/>
                <w:sz w:val="20"/>
                <w:lang w:val="en-GB" w:eastAsia="en-GB"/>
              </w:rPr>
              <w:t xml:space="preserve">are seen within a maximum of </w:t>
            </w:r>
            <w:r w:rsidR="00601A84" w:rsidRPr="004E6377">
              <w:rPr>
                <w:rFonts w:ascii="Arial" w:eastAsia="Calibri" w:hAnsi="Arial" w:cs="Arial"/>
                <w:color w:val="000000"/>
                <w:sz w:val="20"/>
                <w:lang w:val="en-GB" w:eastAsia="en-GB"/>
              </w:rPr>
              <w:t>2</w:t>
            </w:r>
            <w:r w:rsidR="00714DA4" w:rsidRPr="004E6377">
              <w:rPr>
                <w:rFonts w:ascii="Arial" w:eastAsia="Calibri" w:hAnsi="Arial" w:cs="Arial"/>
                <w:color w:val="000000"/>
                <w:sz w:val="20"/>
                <w:lang w:val="en-GB" w:eastAsia="en-GB"/>
              </w:rPr>
              <w:t xml:space="preserve"> weeks </w:t>
            </w:r>
            <w:r w:rsidRPr="002030F5">
              <w:rPr>
                <w:rFonts w:ascii="Arial" w:eastAsia="Calibri" w:hAnsi="Arial" w:cs="Arial"/>
                <w:color w:val="000000"/>
                <w:sz w:val="20"/>
                <w:lang w:val="en-GB" w:eastAsia="en-GB"/>
              </w:rPr>
              <w:t xml:space="preserve"> </w:t>
            </w:r>
          </w:p>
          <w:p w:rsidR="000E1BB6" w:rsidRPr="006A2B41" w:rsidRDefault="00C84B5F"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Routine</w:t>
            </w:r>
            <w:r w:rsidR="000E1BB6" w:rsidRPr="006A2B41">
              <w:rPr>
                <w:rFonts w:ascii="Arial" w:eastAsia="Calibri" w:hAnsi="Arial" w:cs="Arial"/>
                <w:color w:val="000000"/>
                <w:sz w:val="20"/>
                <w:lang w:val="en-GB" w:eastAsia="en-GB"/>
              </w:rPr>
              <w:t xml:space="preserve"> referrals are seen within a maximum of 6 weeks </w:t>
            </w:r>
          </w:p>
          <w:p w:rsidR="000E1BB6" w:rsidRPr="006A2B41" w:rsidRDefault="00601A84"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Pr>
                <w:rFonts w:ascii="Arial" w:eastAsia="Calibri" w:hAnsi="Arial" w:cs="Arial"/>
                <w:color w:val="000000"/>
                <w:sz w:val="20"/>
                <w:lang w:val="en-GB" w:eastAsia="en-GB"/>
              </w:rPr>
              <w:t>GPs are to be notified within 2</w:t>
            </w:r>
            <w:r w:rsidR="000E1BB6" w:rsidRPr="006A2B41">
              <w:rPr>
                <w:rFonts w:ascii="Arial" w:eastAsia="Calibri" w:hAnsi="Arial" w:cs="Arial"/>
                <w:color w:val="000000"/>
                <w:sz w:val="20"/>
                <w:lang w:val="en-GB" w:eastAsia="en-GB"/>
              </w:rPr>
              <w:t xml:space="preserve"> working days of an inappropriate referral </w:t>
            </w:r>
          </w:p>
          <w:p w:rsidR="000E1BB6" w:rsidRPr="006A2B41" w:rsidRDefault="000E1BB6"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Ability to review images via Picture archiving and Communication System (PACS) </w:t>
            </w:r>
          </w:p>
          <w:p w:rsidR="000E1BB6" w:rsidRPr="006A2B41" w:rsidRDefault="000E1BB6" w:rsidP="00665FD4">
            <w:pPr>
              <w:numPr>
                <w:ilvl w:val="0"/>
                <w:numId w:val="19"/>
              </w:num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Maintain electronic patient recor</w:t>
            </w:r>
            <w:r w:rsidR="00EA5A7F">
              <w:rPr>
                <w:rFonts w:ascii="Arial" w:eastAsia="Calibri" w:hAnsi="Arial" w:cs="Arial"/>
                <w:color w:val="000000"/>
                <w:sz w:val="20"/>
                <w:lang w:val="en-GB" w:eastAsia="en-GB"/>
              </w:rPr>
              <w:t>ds</w:t>
            </w:r>
          </w:p>
          <w:p w:rsidR="000E1BB6" w:rsidRPr="006A2B41" w:rsidRDefault="000E1BB6" w:rsidP="003A64EF">
            <w:pPr>
              <w:spacing w:after="0"/>
              <w:contextualSpacing/>
              <w:rPr>
                <w:rFonts w:ascii="Arial" w:hAnsi="Arial" w:cs="Arial"/>
                <w:color w:val="009966"/>
                <w:sz w:val="20"/>
              </w:rPr>
            </w:pPr>
          </w:p>
          <w:p w:rsidR="000E1BB6" w:rsidRPr="006A2B41" w:rsidRDefault="000E1BB6" w:rsidP="003A64EF">
            <w:pPr>
              <w:spacing w:after="0"/>
              <w:contextualSpacing/>
              <w:rPr>
                <w:rFonts w:ascii="Arial" w:hAnsi="Arial" w:cs="Arial"/>
                <w:color w:val="009966"/>
                <w:sz w:val="20"/>
              </w:rPr>
            </w:pPr>
          </w:p>
          <w:p w:rsidR="000E1BB6" w:rsidRPr="006A2B41" w:rsidRDefault="000E1BB6" w:rsidP="003A64EF">
            <w:pPr>
              <w:pStyle w:val="Default"/>
              <w:contextualSpacing/>
              <w:rPr>
                <w:sz w:val="20"/>
                <w:szCs w:val="20"/>
              </w:rPr>
            </w:pPr>
            <w:r w:rsidRPr="006A2B41">
              <w:rPr>
                <w:b/>
                <w:bCs/>
                <w:sz w:val="20"/>
                <w:szCs w:val="20"/>
              </w:rPr>
              <w:t xml:space="preserve">3.7 Service Model </w:t>
            </w:r>
          </w:p>
          <w:p w:rsidR="000E1BB6" w:rsidRPr="006A2B41" w:rsidRDefault="000E1BB6" w:rsidP="003A64EF">
            <w:pPr>
              <w:pStyle w:val="Default"/>
              <w:contextualSpacing/>
              <w:rPr>
                <w:sz w:val="20"/>
                <w:szCs w:val="20"/>
              </w:rPr>
            </w:pPr>
            <w:r w:rsidRPr="006A2B41">
              <w:rPr>
                <w:sz w:val="20"/>
                <w:szCs w:val="20"/>
              </w:rPr>
              <w:t xml:space="preserve">3.7.1 The Service will provide for the clinically appropriate number of musculoskeletal treatment session, with the maximum </w:t>
            </w:r>
            <w:r w:rsidRPr="006A2B41">
              <w:rPr>
                <w:i/>
                <w:iCs/>
                <w:sz w:val="20"/>
                <w:szCs w:val="20"/>
              </w:rPr>
              <w:t xml:space="preserve">average </w:t>
            </w:r>
            <w:r w:rsidRPr="006A2B41">
              <w:rPr>
                <w:sz w:val="20"/>
                <w:szCs w:val="20"/>
              </w:rPr>
              <w:t xml:space="preserve">number of follow up sessions offered being 3 sessions. Actual provision will range from 1 session (discharged with printed exercise advice) to on occasion more than 3 follow up sessions /appointments for </w:t>
            </w:r>
            <w:r w:rsidR="001F5119">
              <w:rPr>
                <w:sz w:val="20"/>
                <w:szCs w:val="20"/>
              </w:rPr>
              <w:t xml:space="preserve">more complex or chronic needs. </w:t>
            </w:r>
          </w:p>
          <w:p w:rsidR="000E1BB6" w:rsidRPr="006A2B41" w:rsidRDefault="000E1BB6" w:rsidP="003A64EF">
            <w:pPr>
              <w:pStyle w:val="Default"/>
              <w:contextualSpacing/>
              <w:rPr>
                <w:sz w:val="20"/>
                <w:szCs w:val="20"/>
              </w:rPr>
            </w:pPr>
          </w:p>
          <w:p w:rsidR="000E1BB6" w:rsidRPr="006A2B41" w:rsidRDefault="001F5119" w:rsidP="003A64EF">
            <w:pPr>
              <w:pStyle w:val="Default"/>
              <w:contextualSpacing/>
              <w:rPr>
                <w:sz w:val="20"/>
                <w:szCs w:val="20"/>
              </w:rPr>
            </w:pPr>
            <w:r>
              <w:rPr>
                <w:sz w:val="20"/>
                <w:szCs w:val="20"/>
              </w:rPr>
              <w:t>3.7.2</w:t>
            </w:r>
            <w:r w:rsidR="000E1BB6" w:rsidRPr="006A2B41">
              <w:rPr>
                <w:sz w:val="20"/>
                <w:szCs w:val="20"/>
              </w:rPr>
              <w:t xml:space="preserve"> Additionally, the service will provide GP Education. Investing in GP education benefits the overall performance of an end-to-end MSK pathway. The service will be required to provide ongoing support and education to local general practice</w:t>
            </w:r>
            <w:r w:rsidR="00714DA4">
              <w:rPr>
                <w:sz w:val="20"/>
                <w:szCs w:val="20"/>
              </w:rPr>
              <w:t xml:space="preserve"> via an updated website which will publish the pathways, proformas, frequently asked questions, case scenarios and will signpost clinicians to relevant educational resources, exercise sheets and patient educational material</w:t>
            </w:r>
            <w:r w:rsidR="000E1BB6" w:rsidRPr="006A2B41">
              <w:rPr>
                <w:sz w:val="20"/>
                <w:szCs w:val="20"/>
              </w:rPr>
              <w:t xml:space="preserve">. In addition to this, the service will also be required to provide </w:t>
            </w:r>
            <w:r w:rsidR="00714DA4">
              <w:rPr>
                <w:sz w:val="20"/>
                <w:szCs w:val="20"/>
              </w:rPr>
              <w:t xml:space="preserve">structured feedback to GP referrers, the discharge letters will need to incorporate </w:t>
            </w:r>
            <w:r w:rsidR="0024231C">
              <w:rPr>
                <w:sz w:val="20"/>
                <w:szCs w:val="20"/>
              </w:rPr>
              <w:t xml:space="preserve">a </w:t>
            </w:r>
            <w:r w:rsidR="00714DA4">
              <w:rPr>
                <w:sz w:val="20"/>
                <w:szCs w:val="20"/>
              </w:rPr>
              <w:t>clear management plan an</w:t>
            </w:r>
            <w:r w:rsidR="0024231C">
              <w:rPr>
                <w:sz w:val="20"/>
                <w:szCs w:val="20"/>
              </w:rPr>
              <w:t>d rationale for this. A</w:t>
            </w:r>
            <w:r w:rsidR="000E1BB6" w:rsidRPr="006A2B41">
              <w:rPr>
                <w:sz w:val="20"/>
                <w:szCs w:val="20"/>
              </w:rPr>
              <w:t xml:space="preserve"> rolling training programme targeted specifically at GPs</w:t>
            </w:r>
            <w:r w:rsidR="0024231C">
              <w:rPr>
                <w:sz w:val="20"/>
                <w:szCs w:val="20"/>
              </w:rPr>
              <w:t xml:space="preserve"> will be delivered via local educational event opportunities and as part of the local primary care educational programme</w:t>
            </w:r>
            <w:r w:rsidR="000E1BB6" w:rsidRPr="006A2B41">
              <w:rPr>
                <w:sz w:val="20"/>
                <w:szCs w:val="20"/>
              </w:rPr>
              <w:t xml:space="preserve">. It is anticipated that through the implementation of </w:t>
            </w:r>
            <w:r w:rsidR="0024231C">
              <w:rPr>
                <w:sz w:val="20"/>
                <w:szCs w:val="20"/>
              </w:rPr>
              <w:t>the above</w:t>
            </w:r>
            <w:r w:rsidR="000E1BB6" w:rsidRPr="006A2B41">
              <w:rPr>
                <w:sz w:val="20"/>
                <w:szCs w:val="20"/>
              </w:rPr>
              <w:t xml:space="preserve">, GPs will be refreshed in their skills and knowledge of MSK conditions, and will be more confident in the diagnosis and management of MSK conditions. </w:t>
            </w:r>
          </w:p>
          <w:p w:rsidR="000E1BB6" w:rsidRPr="006A2B41" w:rsidRDefault="000E1BB6" w:rsidP="003A64EF">
            <w:pPr>
              <w:pStyle w:val="Default"/>
              <w:contextualSpacing/>
              <w:rPr>
                <w:sz w:val="20"/>
                <w:szCs w:val="20"/>
              </w:rPr>
            </w:pPr>
          </w:p>
          <w:p w:rsidR="000E1BB6" w:rsidRPr="006A2B41" w:rsidRDefault="000E1BB6" w:rsidP="003A64EF">
            <w:pPr>
              <w:pStyle w:val="Default"/>
              <w:contextualSpacing/>
              <w:rPr>
                <w:sz w:val="20"/>
                <w:szCs w:val="20"/>
              </w:rPr>
            </w:pPr>
            <w:r w:rsidRPr="006A2B41">
              <w:rPr>
                <w:sz w:val="20"/>
                <w:szCs w:val="20"/>
              </w:rPr>
              <w:t>3</w:t>
            </w:r>
            <w:r w:rsidR="001F5119">
              <w:rPr>
                <w:sz w:val="20"/>
                <w:szCs w:val="20"/>
              </w:rPr>
              <w:t>.7.3</w:t>
            </w:r>
            <w:r w:rsidRPr="006A2B41">
              <w:rPr>
                <w:sz w:val="20"/>
                <w:szCs w:val="20"/>
              </w:rPr>
              <w:t xml:space="preserve"> GP Education should be tailored and delivered according to local need, based on consultation with Commissioners and relevant GP groups. However as a minimum requirement, GP education should cover diagnosis, treatment and management of common MSK conditions as set out below: </w:t>
            </w:r>
          </w:p>
          <w:p w:rsidR="000E1BB6" w:rsidRPr="006A2B41" w:rsidRDefault="000E1BB6" w:rsidP="003A64EF">
            <w:pPr>
              <w:pStyle w:val="Default"/>
              <w:contextualSpacing/>
              <w:rPr>
                <w:sz w:val="20"/>
                <w:szCs w:val="20"/>
              </w:rPr>
            </w:pPr>
          </w:p>
          <w:p w:rsidR="000E1BB6" w:rsidRPr="006A2B41" w:rsidRDefault="000E1BB6" w:rsidP="00665FD4">
            <w:pPr>
              <w:pStyle w:val="Default"/>
              <w:numPr>
                <w:ilvl w:val="0"/>
                <w:numId w:val="20"/>
              </w:numPr>
              <w:contextualSpacing/>
              <w:rPr>
                <w:sz w:val="20"/>
                <w:szCs w:val="20"/>
              </w:rPr>
            </w:pPr>
            <w:r w:rsidRPr="006A2B41">
              <w:rPr>
                <w:sz w:val="20"/>
                <w:szCs w:val="20"/>
              </w:rPr>
              <w:t xml:space="preserve">Referral criteria (and any prioritisation tools adopted locally) </w:t>
            </w:r>
          </w:p>
          <w:p w:rsidR="000E1BB6" w:rsidRPr="006A2B41" w:rsidRDefault="000E1BB6" w:rsidP="00665FD4">
            <w:pPr>
              <w:pStyle w:val="Default"/>
              <w:numPr>
                <w:ilvl w:val="0"/>
                <w:numId w:val="20"/>
              </w:numPr>
              <w:contextualSpacing/>
              <w:rPr>
                <w:sz w:val="20"/>
                <w:szCs w:val="20"/>
              </w:rPr>
            </w:pPr>
            <w:r w:rsidRPr="006A2B41">
              <w:rPr>
                <w:sz w:val="20"/>
                <w:szCs w:val="20"/>
              </w:rPr>
              <w:t xml:space="preserve">Appropriate use of diagnostic tests </w:t>
            </w:r>
          </w:p>
          <w:p w:rsidR="000E1BB6" w:rsidRPr="006A2B41" w:rsidRDefault="000E1BB6" w:rsidP="00665FD4">
            <w:pPr>
              <w:pStyle w:val="Default"/>
              <w:numPr>
                <w:ilvl w:val="0"/>
                <w:numId w:val="20"/>
              </w:numPr>
              <w:contextualSpacing/>
              <w:rPr>
                <w:sz w:val="20"/>
                <w:szCs w:val="20"/>
              </w:rPr>
            </w:pPr>
            <w:r w:rsidRPr="006A2B41">
              <w:rPr>
                <w:sz w:val="20"/>
                <w:szCs w:val="20"/>
              </w:rPr>
              <w:t xml:space="preserve">Pathway and services available </w:t>
            </w:r>
          </w:p>
          <w:p w:rsidR="000E1BB6" w:rsidRDefault="000E1BB6" w:rsidP="00665FD4">
            <w:pPr>
              <w:pStyle w:val="Default"/>
              <w:numPr>
                <w:ilvl w:val="0"/>
                <w:numId w:val="20"/>
              </w:numPr>
              <w:contextualSpacing/>
              <w:rPr>
                <w:sz w:val="20"/>
                <w:szCs w:val="20"/>
              </w:rPr>
            </w:pPr>
            <w:r w:rsidRPr="006A2B41">
              <w:rPr>
                <w:sz w:val="20"/>
                <w:szCs w:val="20"/>
              </w:rPr>
              <w:t xml:space="preserve">The importance of self-care and appropriate levels of watchful waiting. </w:t>
            </w:r>
          </w:p>
          <w:p w:rsidR="00C84B5F" w:rsidRPr="006A2B41" w:rsidRDefault="00C84B5F" w:rsidP="00C84B5F">
            <w:pPr>
              <w:pStyle w:val="Default"/>
              <w:contextualSpacing/>
              <w:rPr>
                <w:sz w:val="20"/>
                <w:szCs w:val="20"/>
              </w:rPr>
            </w:pPr>
          </w:p>
          <w:p w:rsidR="00420BB6" w:rsidRPr="006A2B41" w:rsidRDefault="000E1BB6" w:rsidP="003A64EF">
            <w:pPr>
              <w:spacing w:after="0"/>
              <w:contextualSpacing/>
              <w:rPr>
                <w:rFonts w:ascii="Arial" w:hAnsi="Arial" w:cs="Arial"/>
                <w:sz w:val="20"/>
              </w:rPr>
            </w:pPr>
            <w:r w:rsidRPr="006A2B41">
              <w:rPr>
                <w:rFonts w:ascii="Arial" w:hAnsi="Arial" w:cs="Arial"/>
                <w:sz w:val="20"/>
              </w:rPr>
              <w:t>Education will be evaluated, and modified as appropriate, using relevant performance indicators for monitoring purposes.</w:t>
            </w:r>
          </w:p>
          <w:p w:rsidR="000E1BB6" w:rsidRPr="006A2B41" w:rsidRDefault="000E1BB6" w:rsidP="003A64EF">
            <w:pPr>
              <w:spacing w:after="0"/>
              <w:contextualSpacing/>
              <w:rPr>
                <w:rFonts w:ascii="Arial" w:hAnsi="Arial" w:cs="Arial"/>
                <w:color w:val="009966"/>
                <w:sz w:val="20"/>
              </w:rPr>
            </w:pPr>
          </w:p>
          <w:p w:rsidR="00420BB6" w:rsidRPr="006A2B41" w:rsidRDefault="00C84B5F" w:rsidP="003A64EF">
            <w:pPr>
              <w:spacing w:after="0"/>
              <w:contextualSpacing/>
              <w:rPr>
                <w:rFonts w:ascii="Arial" w:hAnsi="Arial" w:cs="Arial"/>
                <w:b/>
                <w:color w:val="009966"/>
                <w:sz w:val="20"/>
              </w:rPr>
            </w:pPr>
            <w:r>
              <w:rPr>
                <w:rFonts w:ascii="Arial" w:hAnsi="Arial" w:cs="Arial"/>
                <w:b/>
                <w:color w:val="009966"/>
                <w:sz w:val="20"/>
              </w:rPr>
              <w:t>3.8</w:t>
            </w:r>
            <w:r w:rsidR="00420BB6" w:rsidRPr="006A2B41">
              <w:rPr>
                <w:rFonts w:ascii="Arial" w:hAnsi="Arial" w:cs="Arial"/>
                <w:b/>
                <w:color w:val="009966"/>
                <w:sz w:val="20"/>
              </w:rPr>
              <w:tab/>
              <w:t>Interdependence with other services/providers</w:t>
            </w:r>
          </w:p>
          <w:p w:rsidR="000E1BB6" w:rsidRPr="006A2B41" w:rsidRDefault="000E1BB6" w:rsidP="003A64EF">
            <w:pPr>
              <w:pStyle w:val="Default"/>
              <w:contextualSpacing/>
              <w:rPr>
                <w:sz w:val="20"/>
                <w:szCs w:val="20"/>
              </w:rPr>
            </w:pPr>
          </w:p>
          <w:p w:rsidR="000E1BB6" w:rsidRPr="006A2B41" w:rsidRDefault="000E1BB6" w:rsidP="003A64EF">
            <w:pPr>
              <w:pStyle w:val="Default"/>
              <w:contextualSpacing/>
              <w:rPr>
                <w:sz w:val="20"/>
                <w:szCs w:val="20"/>
              </w:rPr>
            </w:pPr>
            <w:r w:rsidRPr="006A2B41">
              <w:rPr>
                <w:sz w:val="20"/>
                <w:szCs w:val="20"/>
              </w:rPr>
              <w:t xml:space="preserve">3.8.1 The service will be dependent on referrals from GPs and other clinicians in </w:t>
            </w:r>
            <w:r w:rsidR="00C84B5F">
              <w:rPr>
                <w:sz w:val="20"/>
                <w:szCs w:val="20"/>
              </w:rPr>
              <w:t>Tower Hamlets</w:t>
            </w:r>
            <w:r w:rsidRPr="006A2B41">
              <w:rPr>
                <w:sz w:val="20"/>
                <w:szCs w:val="20"/>
              </w:rPr>
              <w:t xml:space="preserve"> as stipulated in the referral protocols and pathways. The service will ensure the development of good working relationships with local acute secondary care and established community services. </w:t>
            </w:r>
          </w:p>
          <w:p w:rsidR="000E1BB6" w:rsidRPr="006A2B41" w:rsidRDefault="000E1BB6" w:rsidP="003A64EF">
            <w:pPr>
              <w:pStyle w:val="Default"/>
              <w:contextualSpacing/>
              <w:rPr>
                <w:sz w:val="20"/>
                <w:szCs w:val="20"/>
              </w:rPr>
            </w:pPr>
          </w:p>
          <w:p w:rsidR="00F312A4" w:rsidRDefault="000E1BB6" w:rsidP="003A64EF">
            <w:pPr>
              <w:pStyle w:val="Default"/>
              <w:contextualSpacing/>
              <w:rPr>
                <w:sz w:val="20"/>
                <w:szCs w:val="20"/>
              </w:rPr>
            </w:pPr>
            <w:r w:rsidRPr="006A2B41">
              <w:rPr>
                <w:sz w:val="20"/>
                <w:szCs w:val="20"/>
              </w:rPr>
              <w:t xml:space="preserve">3.8.2 The Commissioner encourages providers to work collaboratively with stakeholders in the local health economy and to develop shared care pathways and joint working across primary and secondary care. Specifically </w:t>
            </w:r>
            <w:r w:rsidR="00F312A4">
              <w:rPr>
                <w:sz w:val="20"/>
                <w:szCs w:val="20"/>
              </w:rPr>
              <w:t>Barts Health</w:t>
            </w:r>
            <w:r w:rsidRPr="006A2B41">
              <w:rPr>
                <w:sz w:val="20"/>
                <w:szCs w:val="20"/>
              </w:rPr>
              <w:t xml:space="preserve"> NHS Trust</w:t>
            </w:r>
            <w:r w:rsidR="00F312A4">
              <w:rPr>
                <w:sz w:val="20"/>
                <w:szCs w:val="20"/>
              </w:rPr>
              <w:t>, Tower Hamlets Local Authority</w:t>
            </w:r>
            <w:r w:rsidRPr="006A2B41">
              <w:rPr>
                <w:sz w:val="20"/>
                <w:szCs w:val="20"/>
              </w:rPr>
              <w:t xml:space="preserve"> and </w:t>
            </w:r>
            <w:r w:rsidR="00F312A4">
              <w:rPr>
                <w:sz w:val="20"/>
                <w:szCs w:val="20"/>
              </w:rPr>
              <w:t>Tower Hamlets Community Services</w:t>
            </w:r>
            <w:r w:rsidRPr="006A2B41">
              <w:rPr>
                <w:sz w:val="20"/>
                <w:szCs w:val="20"/>
              </w:rPr>
              <w:t xml:space="preserve">. </w:t>
            </w:r>
          </w:p>
          <w:p w:rsidR="00F312A4" w:rsidRDefault="00F312A4" w:rsidP="003A64EF">
            <w:pPr>
              <w:pStyle w:val="Default"/>
              <w:contextualSpacing/>
              <w:rPr>
                <w:sz w:val="20"/>
                <w:szCs w:val="20"/>
              </w:rPr>
            </w:pPr>
          </w:p>
          <w:p w:rsidR="000E1BB6" w:rsidRPr="006A2B41" w:rsidRDefault="00F312A4" w:rsidP="003A64EF">
            <w:pPr>
              <w:pStyle w:val="Default"/>
              <w:contextualSpacing/>
              <w:rPr>
                <w:sz w:val="20"/>
                <w:szCs w:val="20"/>
              </w:rPr>
            </w:pPr>
            <w:r>
              <w:rPr>
                <w:sz w:val="20"/>
                <w:szCs w:val="20"/>
              </w:rPr>
              <w:t xml:space="preserve">3.8.3 </w:t>
            </w:r>
            <w:r w:rsidR="000E1BB6" w:rsidRPr="006A2B41">
              <w:rPr>
                <w:sz w:val="20"/>
                <w:szCs w:val="20"/>
              </w:rPr>
              <w:t>The Provider will agree p</w:t>
            </w:r>
            <w:r>
              <w:rPr>
                <w:sz w:val="20"/>
                <w:szCs w:val="20"/>
              </w:rPr>
              <w:t xml:space="preserve">athways of care through the Planned Care Board </w:t>
            </w:r>
            <w:r w:rsidR="000E1BB6" w:rsidRPr="006A2B41">
              <w:rPr>
                <w:sz w:val="20"/>
                <w:szCs w:val="20"/>
              </w:rPr>
              <w:t>which minimise wasted secondary care appointments and optimise workup of patients prior to secondary care appointments, with agree</w:t>
            </w:r>
            <w:r>
              <w:rPr>
                <w:sz w:val="20"/>
                <w:szCs w:val="20"/>
              </w:rPr>
              <w:t xml:space="preserve">ment on shared responsibilities </w:t>
            </w:r>
            <w:r w:rsidR="000E1BB6" w:rsidRPr="006A2B41">
              <w:rPr>
                <w:sz w:val="20"/>
                <w:szCs w:val="20"/>
              </w:rPr>
              <w:t xml:space="preserve">for this. </w:t>
            </w:r>
          </w:p>
          <w:p w:rsidR="000E1BB6" w:rsidRPr="006A2B41" w:rsidRDefault="000E1BB6" w:rsidP="003A64EF">
            <w:pPr>
              <w:pStyle w:val="Default"/>
              <w:contextualSpacing/>
              <w:rPr>
                <w:sz w:val="20"/>
                <w:szCs w:val="20"/>
              </w:rPr>
            </w:pPr>
          </w:p>
          <w:p w:rsidR="000E1BB6" w:rsidRPr="006A2B41" w:rsidRDefault="00F312A4" w:rsidP="003A64EF">
            <w:pPr>
              <w:pStyle w:val="Default"/>
              <w:contextualSpacing/>
              <w:rPr>
                <w:sz w:val="20"/>
                <w:szCs w:val="20"/>
              </w:rPr>
            </w:pPr>
            <w:r>
              <w:rPr>
                <w:sz w:val="20"/>
                <w:szCs w:val="20"/>
              </w:rPr>
              <w:t>3.8.4</w:t>
            </w:r>
            <w:r w:rsidR="000E1BB6" w:rsidRPr="006A2B41">
              <w:rPr>
                <w:sz w:val="20"/>
                <w:szCs w:val="20"/>
              </w:rPr>
              <w:t xml:space="preserve"> In addition the Provider will work with relevant Clinical Networks and Screening Programmes including the </w:t>
            </w:r>
            <w:r>
              <w:rPr>
                <w:sz w:val="20"/>
                <w:szCs w:val="20"/>
              </w:rPr>
              <w:t>Planned Care Board</w:t>
            </w:r>
            <w:r w:rsidR="000E1BB6" w:rsidRPr="006A2B41">
              <w:rPr>
                <w:sz w:val="20"/>
                <w:szCs w:val="20"/>
              </w:rPr>
              <w:t xml:space="preserve">. </w:t>
            </w:r>
          </w:p>
          <w:p w:rsidR="000E1BB6" w:rsidRPr="006A2B41" w:rsidRDefault="000E1BB6" w:rsidP="003A64EF">
            <w:pPr>
              <w:pStyle w:val="Default"/>
              <w:contextualSpacing/>
              <w:rPr>
                <w:sz w:val="20"/>
                <w:szCs w:val="20"/>
              </w:rPr>
            </w:pPr>
          </w:p>
          <w:p w:rsidR="000E1BB6" w:rsidRPr="006A2B41" w:rsidRDefault="000E1BB6" w:rsidP="003A64EF">
            <w:pPr>
              <w:pStyle w:val="Default"/>
              <w:contextualSpacing/>
              <w:rPr>
                <w:sz w:val="20"/>
                <w:szCs w:val="20"/>
              </w:rPr>
            </w:pPr>
            <w:r w:rsidRPr="006A2B41">
              <w:rPr>
                <w:b/>
                <w:bCs/>
                <w:sz w:val="20"/>
                <w:szCs w:val="20"/>
              </w:rPr>
              <w:t xml:space="preserve">3.9 Sub-Contractors </w:t>
            </w:r>
          </w:p>
          <w:p w:rsidR="000E1BB6" w:rsidRDefault="000E1BB6" w:rsidP="003A64EF">
            <w:pPr>
              <w:spacing w:after="0"/>
              <w:contextualSpacing/>
              <w:rPr>
                <w:rFonts w:ascii="Arial" w:hAnsi="Arial" w:cs="Arial"/>
                <w:sz w:val="20"/>
              </w:rPr>
            </w:pPr>
            <w:r w:rsidRPr="006A2B41">
              <w:rPr>
                <w:rFonts w:ascii="Arial" w:hAnsi="Arial" w:cs="Arial"/>
                <w:sz w:val="20"/>
              </w:rPr>
              <w:t>Sub-contracting of any part of this service will require the agreement of the commissioner and is subject to local determination.</w:t>
            </w:r>
          </w:p>
          <w:p w:rsidR="005217D3" w:rsidRDefault="005217D3" w:rsidP="003A64EF">
            <w:pPr>
              <w:spacing w:after="0"/>
              <w:contextualSpacing/>
              <w:rPr>
                <w:rFonts w:ascii="Arial" w:hAnsi="Arial" w:cs="Arial"/>
                <w:sz w:val="20"/>
              </w:rPr>
            </w:pPr>
          </w:p>
          <w:p w:rsidR="005217D3" w:rsidRPr="006A2B41" w:rsidRDefault="005217D3" w:rsidP="005217D3">
            <w:pPr>
              <w:autoSpaceDE w:val="0"/>
              <w:autoSpaceDN w:val="0"/>
              <w:adjustRightInd w:val="0"/>
              <w:spacing w:after="0"/>
              <w:contextualSpacing/>
              <w:rPr>
                <w:rFonts w:ascii="Arial" w:eastAsia="Calibri" w:hAnsi="Arial" w:cs="Arial"/>
                <w:color w:val="000000"/>
                <w:sz w:val="20"/>
                <w:lang w:val="en-GB" w:eastAsia="en-GB"/>
              </w:rPr>
            </w:pPr>
            <w:r w:rsidRPr="006A2B41">
              <w:rPr>
                <w:rFonts w:ascii="Arial" w:eastAsia="Calibri" w:hAnsi="Arial" w:cs="Arial"/>
                <w:color w:val="000000"/>
                <w:sz w:val="20"/>
                <w:lang w:val="en-GB" w:eastAsia="en-GB"/>
              </w:rPr>
              <w:t xml:space="preserve">The Prime Contractor should ensure there are mechanisms for Sub-Contracted Providers to </w:t>
            </w:r>
            <w:r>
              <w:rPr>
                <w:rFonts w:ascii="Arial" w:eastAsia="Calibri" w:hAnsi="Arial" w:cs="Arial"/>
                <w:color w:val="000000"/>
                <w:sz w:val="20"/>
                <w:lang w:val="en-GB" w:eastAsia="en-GB"/>
              </w:rPr>
              <w:t>report in and feedback to the commissioner in all areas where delivery is overseen.</w:t>
            </w:r>
          </w:p>
          <w:p w:rsidR="005217D3" w:rsidRPr="006A2B41" w:rsidRDefault="005217D3" w:rsidP="003A64EF">
            <w:pPr>
              <w:spacing w:after="0"/>
              <w:contextualSpacing/>
              <w:rPr>
                <w:rFonts w:ascii="Arial" w:hAnsi="Arial" w:cs="Arial"/>
                <w:b/>
                <w:color w:val="009966"/>
                <w:sz w:val="20"/>
              </w:rPr>
            </w:pPr>
          </w:p>
          <w:p w:rsidR="00420BB6" w:rsidRPr="006A2B41" w:rsidRDefault="00420BB6" w:rsidP="003A64EF">
            <w:pPr>
              <w:pStyle w:val="BodyText"/>
              <w:contextualSpacing/>
              <w:jc w:val="both"/>
              <w:rPr>
                <w:sz w:val="20"/>
                <w:szCs w:val="20"/>
              </w:rPr>
            </w:pPr>
          </w:p>
        </w:tc>
      </w:tr>
      <w:tr w:rsidR="00420BB6" w:rsidRPr="00296DE0" w:rsidTr="004B479E">
        <w:tc>
          <w:tcPr>
            <w:tcW w:w="8414" w:type="dxa"/>
            <w:shd w:val="clear" w:color="auto" w:fill="595959"/>
          </w:tcPr>
          <w:p w:rsidR="00420BB6" w:rsidRPr="00296DE0" w:rsidRDefault="00420BB6" w:rsidP="003A64EF">
            <w:pPr>
              <w:spacing w:after="0"/>
              <w:contextualSpacing/>
              <w:rPr>
                <w:rFonts w:ascii="Arial" w:hAnsi="Arial" w:cs="Arial"/>
                <w:b/>
                <w:color w:val="F79646"/>
              </w:rPr>
            </w:pPr>
            <w:r w:rsidRPr="00296DE0">
              <w:rPr>
                <w:rFonts w:ascii="Arial" w:hAnsi="Arial" w:cs="Arial"/>
                <w:b/>
                <w:color w:val="F79646"/>
              </w:rPr>
              <w:t>4.</w:t>
            </w:r>
            <w:r w:rsidRPr="00296DE0">
              <w:rPr>
                <w:rFonts w:ascii="Arial" w:hAnsi="Arial" w:cs="Arial"/>
                <w:b/>
                <w:color w:val="F79646"/>
              </w:rPr>
              <w:tab/>
              <w:t>Applicable Service Standards</w:t>
            </w:r>
          </w:p>
        </w:tc>
      </w:tr>
      <w:tr w:rsidR="00420BB6" w:rsidRPr="00296DE0" w:rsidTr="004B479E">
        <w:tc>
          <w:tcPr>
            <w:tcW w:w="8414" w:type="dxa"/>
            <w:shd w:val="clear" w:color="auto" w:fill="auto"/>
          </w:tcPr>
          <w:p w:rsidR="00420BB6" w:rsidRPr="00A06382" w:rsidRDefault="00420BB6" w:rsidP="003A64EF">
            <w:pPr>
              <w:spacing w:after="0"/>
              <w:contextualSpacing/>
              <w:rPr>
                <w:rFonts w:ascii="Arial" w:hAnsi="Arial" w:cs="Arial"/>
                <w:sz w:val="20"/>
              </w:rPr>
            </w:pPr>
          </w:p>
          <w:p w:rsidR="00420BB6" w:rsidRPr="00A06382" w:rsidRDefault="00420BB6" w:rsidP="003A64EF">
            <w:pPr>
              <w:spacing w:after="0"/>
              <w:contextualSpacing/>
              <w:rPr>
                <w:rFonts w:ascii="Arial" w:hAnsi="Arial" w:cs="Arial"/>
                <w:b/>
                <w:color w:val="009966"/>
                <w:sz w:val="20"/>
              </w:rPr>
            </w:pPr>
            <w:r w:rsidRPr="00A06382">
              <w:rPr>
                <w:rFonts w:ascii="Arial" w:hAnsi="Arial" w:cs="Arial"/>
                <w:b/>
                <w:color w:val="009966"/>
                <w:sz w:val="20"/>
              </w:rPr>
              <w:t>4.1</w:t>
            </w:r>
            <w:r w:rsidRPr="00A06382">
              <w:rPr>
                <w:rFonts w:ascii="Arial" w:hAnsi="Arial" w:cs="Arial"/>
                <w:b/>
                <w:color w:val="009966"/>
                <w:sz w:val="20"/>
              </w:rPr>
              <w:tab/>
              <w:t>Applicable national standards (eg NICE)</w:t>
            </w:r>
          </w:p>
          <w:p w:rsidR="00420BB6" w:rsidRPr="00A06382" w:rsidRDefault="00420BB6" w:rsidP="003A64EF">
            <w:pPr>
              <w:spacing w:after="0"/>
              <w:contextualSpacing/>
              <w:rPr>
                <w:rFonts w:ascii="Arial" w:hAnsi="Arial" w:cs="Arial"/>
                <w:color w:val="009966"/>
                <w:sz w:val="20"/>
              </w:rPr>
            </w:pPr>
          </w:p>
          <w:p w:rsidR="004B479E" w:rsidRPr="00A06382" w:rsidRDefault="004B479E" w:rsidP="003A64EF">
            <w:pPr>
              <w:spacing w:after="0"/>
              <w:contextualSpacing/>
              <w:rPr>
                <w:rFonts w:ascii="Arial" w:hAnsi="Arial" w:cs="Arial"/>
                <w:b/>
                <w:bCs/>
                <w:color w:val="339966"/>
                <w:sz w:val="20"/>
              </w:rPr>
            </w:pPr>
            <w:r w:rsidRPr="00A06382">
              <w:rPr>
                <w:rFonts w:ascii="Arial" w:hAnsi="Arial" w:cs="Arial"/>
                <w:b/>
                <w:bCs/>
                <w:color w:val="339966"/>
                <w:sz w:val="20"/>
              </w:rPr>
              <w:t>Nice Guidance:</w:t>
            </w:r>
          </w:p>
          <w:p w:rsidR="00420BB6" w:rsidRPr="00A06382" w:rsidRDefault="00420BB6" w:rsidP="003A64EF">
            <w:pPr>
              <w:spacing w:after="0"/>
              <w:contextualSpacing/>
              <w:rPr>
                <w:rFonts w:ascii="Arial" w:hAnsi="Arial" w:cs="Arial"/>
                <w:color w:val="009966"/>
                <w:sz w:val="20"/>
              </w:rPr>
            </w:pPr>
          </w:p>
          <w:p w:rsidR="00420BB6" w:rsidRPr="00A06382" w:rsidRDefault="00420BB6" w:rsidP="003A64EF">
            <w:pPr>
              <w:spacing w:after="0"/>
              <w:ind w:left="743" w:hanging="743"/>
              <w:contextualSpacing/>
              <w:rPr>
                <w:rFonts w:ascii="Arial" w:hAnsi="Arial" w:cs="Arial"/>
                <w:b/>
                <w:color w:val="009966"/>
                <w:sz w:val="20"/>
              </w:rPr>
            </w:pPr>
            <w:r w:rsidRPr="00A06382">
              <w:rPr>
                <w:rFonts w:ascii="Arial" w:hAnsi="Arial" w:cs="Arial"/>
                <w:b/>
                <w:color w:val="009966"/>
                <w:sz w:val="20"/>
              </w:rPr>
              <w:t>4.2</w:t>
            </w:r>
            <w:r w:rsidRPr="00A06382">
              <w:rPr>
                <w:rFonts w:ascii="Arial" w:hAnsi="Arial" w:cs="Arial"/>
                <w:b/>
                <w:color w:val="009966"/>
                <w:sz w:val="20"/>
              </w:rPr>
              <w:tab/>
              <w:t xml:space="preserve">Applicable standards set out in Guidance and/or issued by a competent body (eg Royal Colleges) </w:t>
            </w:r>
          </w:p>
          <w:p w:rsidR="00420BB6" w:rsidRPr="00A06382" w:rsidRDefault="00420BB6" w:rsidP="003A64EF">
            <w:pPr>
              <w:spacing w:after="0"/>
              <w:ind w:left="743" w:hanging="743"/>
              <w:contextualSpacing/>
              <w:rPr>
                <w:rFonts w:ascii="Arial" w:hAnsi="Arial" w:cs="Arial"/>
                <w:color w:val="009966"/>
                <w:sz w:val="20"/>
              </w:rPr>
            </w:pPr>
          </w:p>
          <w:p w:rsidR="00420BB6" w:rsidRPr="00A06382" w:rsidRDefault="00420BB6" w:rsidP="003A64EF">
            <w:pPr>
              <w:spacing w:after="0"/>
              <w:contextualSpacing/>
              <w:rPr>
                <w:rFonts w:ascii="Arial" w:hAnsi="Arial" w:cs="Arial"/>
                <w:b/>
                <w:color w:val="009966"/>
                <w:sz w:val="20"/>
              </w:rPr>
            </w:pPr>
            <w:r w:rsidRPr="00A06382">
              <w:rPr>
                <w:rFonts w:ascii="Arial" w:hAnsi="Arial" w:cs="Arial"/>
                <w:b/>
                <w:color w:val="009966"/>
                <w:sz w:val="20"/>
              </w:rPr>
              <w:t>4.3</w:t>
            </w:r>
            <w:r w:rsidRPr="00A06382">
              <w:rPr>
                <w:rFonts w:ascii="Arial" w:hAnsi="Arial" w:cs="Arial"/>
                <w:b/>
                <w:color w:val="009966"/>
                <w:sz w:val="20"/>
              </w:rPr>
              <w:tab/>
              <w:t>Applicable local standards</w:t>
            </w:r>
          </w:p>
          <w:p w:rsidR="00E7030F" w:rsidRPr="00A06382" w:rsidRDefault="00E7030F" w:rsidP="003A64EF">
            <w:pPr>
              <w:spacing w:after="0"/>
              <w:contextualSpacing/>
              <w:rPr>
                <w:rFonts w:ascii="Arial" w:hAnsi="Arial" w:cs="Arial"/>
                <w:b/>
                <w:color w:val="009966"/>
                <w:sz w:val="20"/>
              </w:rPr>
            </w:pPr>
          </w:p>
          <w:p w:rsidR="00BE18CB" w:rsidRPr="00A06382" w:rsidRDefault="00BE18CB" w:rsidP="003A64EF">
            <w:pPr>
              <w:spacing w:after="0"/>
              <w:contextualSpacing/>
              <w:rPr>
                <w:rFonts w:ascii="Arial" w:hAnsi="Arial" w:cs="Arial"/>
                <w:b/>
                <w:color w:val="009966"/>
                <w:sz w:val="20"/>
              </w:rPr>
            </w:pPr>
          </w:p>
          <w:p w:rsidR="00BE18CB" w:rsidRPr="00A06382" w:rsidRDefault="00BE18CB" w:rsidP="00BE18CB">
            <w:pPr>
              <w:spacing w:after="0"/>
              <w:contextualSpacing/>
              <w:rPr>
                <w:rFonts w:ascii="Arial" w:hAnsi="Arial" w:cs="Arial"/>
                <w:b/>
                <w:color w:val="009966"/>
                <w:sz w:val="20"/>
              </w:rPr>
            </w:pPr>
            <w:r w:rsidRPr="00A06382">
              <w:rPr>
                <w:rFonts w:ascii="Arial" w:hAnsi="Arial" w:cs="Arial"/>
                <w:b/>
                <w:color w:val="009966"/>
                <w:sz w:val="20"/>
              </w:rPr>
              <w:t>4.4</w:t>
            </w:r>
            <w:r w:rsidRPr="00A06382">
              <w:rPr>
                <w:rFonts w:ascii="Arial" w:hAnsi="Arial" w:cs="Arial"/>
                <w:b/>
                <w:color w:val="009966"/>
                <w:sz w:val="20"/>
              </w:rPr>
              <w:tab/>
              <w:t>Governance Arrangements</w:t>
            </w:r>
          </w:p>
          <w:p w:rsidR="00BE18CB" w:rsidRPr="00A06382" w:rsidRDefault="00BE18CB" w:rsidP="003A64EF">
            <w:pPr>
              <w:pStyle w:val="Default"/>
              <w:contextualSpacing/>
              <w:rPr>
                <w:b/>
                <w:bCs/>
                <w:sz w:val="20"/>
                <w:szCs w:val="20"/>
              </w:rPr>
            </w:pPr>
          </w:p>
          <w:p w:rsidR="00E7030F" w:rsidRPr="00A06382" w:rsidRDefault="00BE18CB" w:rsidP="003A64EF">
            <w:pPr>
              <w:pStyle w:val="Default"/>
              <w:contextualSpacing/>
              <w:rPr>
                <w:sz w:val="20"/>
                <w:szCs w:val="20"/>
              </w:rPr>
            </w:pPr>
            <w:r w:rsidRPr="00A06382">
              <w:rPr>
                <w:bCs/>
                <w:sz w:val="20"/>
                <w:szCs w:val="20"/>
              </w:rPr>
              <w:t>4.4.1</w:t>
            </w:r>
            <w:r w:rsidRPr="00A06382">
              <w:rPr>
                <w:b/>
                <w:bCs/>
                <w:sz w:val="20"/>
                <w:szCs w:val="20"/>
              </w:rPr>
              <w:t xml:space="preserve"> </w:t>
            </w:r>
            <w:r w:rsidR="00E7030F" w:rsidRPr="00A06382">
              <w:rPr>
                <w:b/>
                <w:bCs/>
                <w:sz w:val="20"/>
                <w:szCs w:val="20"/>
              </w:rPr>
              <w:t xml:space="preserve">Clinical Accountability </w:t>
            </w:r>
          </w:p>
          <w:p w:rsidR="00E7030F" w:rsidRPr="00A06382" w:rsidRDefault="00E7030F" w:rsidP="00BE18CB">
            <w:pPr>
              <w:pStyle w:val="Default"/>
              <w:contextualSpacing/>
              <w:rPr>
                <w:color w:val="auto"/>
                <w:sz w:val="20"/>
                <w:szCs w:val="20"/>
              </w:rPr>
            </w:pPr>
            <w:r w:rsidRPr="00A06382">
              <w:rPr>
                <w:sz w:val="20"/>
                <w:szCs w:val="20"/>
              </w:rPr>
              <w:t>The service provider must deliver services in accordance with best practice in health care and shall comply in all respects with the standards and</w:t>
            </w:r>
            <w:r w:rsidR="00BE18CB" w:rsidRPr="00A06382">
              <w:rPr>
                <w:sz w:val="20"/>
                <w:szCs w:val="20"/>
              </w:rPr>
              <w:t xml:space="preserve"> recommendations contained in:</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Care Quality Commission registration standards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Health and Social Care Act 2012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National Institute for Health and Clinical Excellence guidance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NICE Guidance, Osteoarthritis: The Care and Management of Osteoarthritis in Adults. February, 2008.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NICE Guidance, Rheumatoid Arthritis: The Management of Rheumatoid Arthritis in Adults, February, 2009.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National Service Frameworks and national strategies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National Services Frameworks (Long Term Conditions 2005, Older People 2001)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National Patient Safety alerts and guidance including Clinical negligence for Trusts/NHS Litigation Authority Scheme requirements </w:t>
            </w:r>
          </w:p>
          <w:p w:rsidR="00E7030F" w:rsidRPr="00A06382" w:rsidRDefault="00E7030F" w:rsidP="00665FD4">
            <w:pPr>
              <w:pStyle w:val="Default"/>
              <w:numPr>
                <w:ilvl w:val="0"/>
                <w:numId w:val="21"/>
              </w:numPr>
              <w:contextualSpacing/>
              <w:rPr>
                <w:color w:val="auto"/>
                <w:sz w:val="20"/>
                <w:szCs w:val="20"/>
              </w:rPr>
            </w:pPr>
            <w:r w:rsidRPr="00A06382">
              <w:rPr>
                <w:color w:val="auto"/>
                <w:sz w:val="20"/>
                <w:szCs w:val="20"/>
              </w:rPr>
              <w:t xml:space="preserve">Any other quality standards agreed in writing between the service provider and NHS </w:t>
            </w:r>
            <w:r w:rsidR="00BE18CB" w:rsidRPr="00A06382">
              <w:rPr>
                <w:color w:val="auto"/>
                <w:sz w:val="20"/>
                <w:szCs w:val="20"/>
              </w:rPr>
              <w:t>Tower Hamlets</w:t>
            </w:r>
            <w:r w:rsidRPr="00A06382">
              <w:rPr>
                <w:color w:val="auto"/>
                <w:sz w:val="20"/>
                <w:szCs w:val="20"/>
              </w:rPr>
              <w:t xml:space="preserve"> CCG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bCs/>
                <w:color w:val="auto"/>
                <w:sz w:val="20"/>
                <w:szCs w:val="20"/>
              </w:rPr>
              <w:t>4.1.2</w:t>
            </w:r>
            <w:r w:rsidRPr="00A06382">
              <w:rPr>
                <w:b/>
                <w:bCs/>
                <w:color w:val="auto"/>
                <w:sz w:val="20"/>
                <w:szCs w:val="20"/>
              </w:rPr>
              <w:t xml:space="preserve"> </w:t>
            </w:r>
            <w:r w:rsidRPr="00A06382">
              <w:rPr>
                <w:color w:val="auto"/>
                <w:sz w:val="20"/>
                <w:szCs w:val="20"/>
              </w:rPr>
              <w:t xml:space="preserve">Whilst the overall clinical responsibility of the patient resides with the registered GP, the Integrated Musculoskeletal </w:t>
            </w:r>
            <w:r w:rsidR="00BE18CB" w:rsidRPr="00A06382">
              <w:rPr>
                <w:color w:val="auto"/>
                <w:sz w:val="20"/>
                <w:szCs w:val="20"/>
              </w:rPr>
              <w:t xml:space="preserve">and Pain </w:t>
            </w:r>
            <w:r w:rsidRPr="00A06382">
              <w:rPr>
                <w:color w:val="auto"/>
                <w:sz w:val="20"/>
                <w:szCs w:val="20"/>
              </w:rPr>
              <w:t>Service will be clinically responsible for the episode of care provided. The Integrated Musculoskeletal</w:t>
            </w:r>
            <w:r w:rsidR="00BE18CB" w:rsidRPr="00A06382">
              <w:rPr>
                <w:color w:val="auto"/>
                <w:sz w:val="20"/>
                <w:szCs w:val="20"/>
              </w:rPr>
              <w:t xml:space="preserve"> and Pain </w:t>
            </w:r>
            <w:r w:rsidRPr="00A06382">
              <w:rPr>
                <w:color w:val="auto"/>
                <w:sz w:val="20"/>
                <w:szCs w:val="20"/>
              </w:rPr>
              <w:t xml:space="preserve">Service clinicians will be professionally and legally responsible, and accountable, for all aspects of their own work including management of patients in their care, in accordance with the GMC, NMC and Health and Care Professions Council codes of ethics and rules of professional conduct. </w:t>
            </w:r>
          </w:p>
          <w:p w:rsidR="00E7030F" w:rsidRPr="00A06382" w:rsidRDefault="00E7030F" w:rsidP="003A64EF">
            <w:pPr>
              <w:pStyle w:val="Default"/>
              <w:contextualSpacing/>
              <w:rPr>
                <w:color w:val="auto"/>
                <w:sz w:val="20"/>
                <w:szCs w:val="20"/>
              </w:rPr>
            </w:pPr>
          </w:p>
          <w:p w:rsidR="00E7030F" w:rsidRPr="00A06382" w:rsidRDefault="00BE18CB" w:rsidP="003A64EF">
            <w:pPr>
              <w:pStyle w:val="Default"/>
              <w:contextualSpacing/>
              <w:rPr>
                <w:color w:val="auto"/>
                <w:sz w:val="20"/>
                <w:szCs w:val="20"/>
              </w:rPr>
            </w:pPr>
            <w:r w:rsidRPr="00A06382">
              <w:rPr>
                <w:bCs/>
                <w:color w:val="auto"/>
                <w:sz w:val="20"/>
                <w:szCs w:val="20"/>
              </w:rPr>
              <w:t>4.1.3</w:t>
            </w:r>
            <w:r w:rsidRPr="00A06382">
              <w:rPr>
                <w:b/>
                <w:bCs/>
                <w:color w:val="auto"/>
                <w:sz w:val="20"/>
                <w:szCs w:val="20"/>
              </w:rPr>
              <w:t xml:space="preserve"> </w:t>
            </w:r>
            <w:r w:rsidR="00E7030F" w:rsidRPr="00A06382">
              <w:rPr>
                <w:b/>
                <w:bCs/>
                <w:color w:val="auto"/>
                <w:sz w:val="20"/>
                <w:szCs w:val="20"/>
              </w:rPr>
              <w:t xml:space="preserve">Clinical Responsibility </w:t>
            </w:r>
          </w:p>
          <w:p w:rsidR="00E7030F" w:rsidRPr="00A06382" w:rsidRDefault="00E7030F" w:rsidP="003A64EF">
            <w:pPr>
              <w:pStyle w:val="Default"/>
              <w:contextualSpacing/>
              <w:rPr>
                <w:color w:val="auto"/>
                <w:sz w:val="20"/>
                <w:szCs w:val="20"/>
              </w:rPr>
            </w:pPr>
            <w:r w:rsidRPr="00A06382">
              <w:rPr>
                <w:color w:val="auto"/>
                <w:sz w:val="20"/>
                <w:szCs w:val="20"/>
              </w:rPr>
              <w:t xml:space="preserve">The clinical responsibility of the service provision rests with the Provider of the service. All members of the team are required to be: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Appropriately qualified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Have evidence of continuous professional development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Be registered with the appropriate professional body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Have personal professional indemnity cover in place specific to the role that they are undertaking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Be DBS checked, with enhanced disclosure for those working with vulnerable adults. These checks will be reported in line with CCG policy.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Understand and adhere to the service policies, procedures and protocols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Maintain clinical records to a high standard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Participate in clinical audit as necessary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Maintain comprehensive and contemporaneous records to the standards required within their Professional Code of Conduct </w:t>
            </w:r>
          </w:p>
          <w:p w:rsidR="00E7030F" w:rsidRPr="00A06382" w:rsidRDefault="00E7030F" w:rsidP="00665FD4">
            <w:pPr>
              <w:pStyle w:val="Default"/>
              <w:numPr>
                <w:ilvl w:val="0"/>
                <w:numId w:val="22"/>
              </w:numPr>
              <w:contextualSpacing/>
              <w:rPr>
                <w:color w:val="auto"/>
                <w:sz w:val="20"/>
                <w:szCs w:val="20"/>
              </w:rPr>
            </w:pPr>
            <w:r w:rsidRPr="00A06382">
              <w:rPr>
                <w:color w:val="auto"/>
                <w:sz w:val="20"/>
                <w:szCs w:val="20"/>
              </w:rPr>
              <w:t xml:space="preserve">Ensure that they respect individual’s right to privacy and dignity at all times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4.1.4 </w:t>
            </w:r>
            <w:r w:rsidRPr="00A06382">
              <w:rPr>
                <w:b/>
                <w:bCs/>
                <w:color w:val="auto"/>
                <w:sz w:val="20"/>
                <w:szCs w:val="20"/>
              </w:rPr>
              <w:t xml:space="preserve">Health and Safety: </w:t>
            </w:r>
            <w:r w:rsidRPr="00A06382">
              <w:rPr>
                <w:color w:val="auto"/>
                <w:sz w:val="20"/>
                <w:szCs w:val="20"/>
              </w:rPr>
              <w:t xml:space="preserve">The Provider will be expected to demonstrate compliance with all applicable Health and Safety legislation (including the Management of Health and Safety at Work Regulations, 1999, and the Control of Substances Hazardous to Health Regulations, 2002). Medical devices and equipment safety policies are required to be in place, and the service is required to be compliant with appropriate MHRA directives and medical devices legislation.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4.1.5 </w:t>
            </w:r>
            <w:r w:rsidRPr="00A06382">
              <w:rPr>
                <w:b/>
                <w:bCs/>
                <w:color w:val="auto"/>
                <w:sz w:val="20"/>
                <w:szCs w:val="20"/>
              </w:rPr>
              <w:t xml:space="preserve">Environmental Protection: </w:t>
            </w:r>
            <w:r w:rsidRPr="00A06382">
              <w:rPr>
                <w:color w:val="auto"/>
                <w:sz w:val="20"/>
                <w:szCs w:val="20"/>
              </w:rPr>
              <w:t xml:space="preserve">The Integrated Musculoskeletal Service is required to register with the Environment Agency if it produces more than 500kg of hazardous waste per annum. The Provider will be expected to be conscious and considerate of its carbon footprint, and opportunistically minimise waste and unnecessary carbon consumption in line with the NHS Carbon Reduction Strategy for England. </w:t>
            </w:r>
          </w:p>
          <w:p w:rsidR="00E7030F" w:rsidRPr="00A06382" w:rsidRDefault="00E7030F" w:rsidP="003A64EF">
            <w:pPr>
              <w:pStyle w:val="Default"/>
              <w:pageBreakBefore/>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4.1.6 </w:t>
            </w:r>
            <w:r w:rsidRPr="00A06382">
              <w:rPr>
                <w:b/>
                <w:bCs/>
                <w:color w:val="auto"/>
                <w:sz w:val="20"/>
                <w:szCs w:val="20"/>
              </w:rPr>
              <w:t xml:space="preserve">Patient Consent: </w:t>
            </w:r>
            <w:r w:rsidRPr="00A06382">
              <w:rPr>
                <w:bCs/>
                <w:color w:val="auto"/>
                <w:sz w:val="20"/>
                <w:szCs w:val="20"/>
              </w:rPr>
              <w:t>T</w:t>
            </w:r>
            <w:r w:rsidRPr="00A06382">
              <w:rPr>
                <w:color w:val="auto"/>
                <w:sz w:val="20"/>
                <w:szCs w:val="20"/>
              </w:rPr>
              <w:t xml:space="preserve">he Provider will be required to have processes in place to evidence that informed consent, including from those who have communication or language support needs, is obtained by suitably qualified staff for all treatments/ procedures. This includes evidencing that where a patient lacks the mental capacity to give consent, the principles of the Mental Capacity Act 2005 Code of Practice have been adhered to as well as the NHS Code of Confidentiality. The Provider must also have a mechanism in place for staff to be able to record and manage risk assessments for patients.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4.1.7 </w:t>
            </w:r>
            <w:r w:rsidRPr="00A06382">
              <w:rPr>
                <w:b/>
                <w:bCs/>
                <w:color w:val="auto"/>
                <w:sz w:val="20"/>
                <w:szCs w:val="20"/>
              </w:rPr>
              <w:t xml:space="preserve">Complaints: </w:t>
            </w:r>
            <w:r w:rsidRPr="00A06382">
              <w:rPr>
                <w:color w:val="auto"/>
                <w:sz w:val="20"/>
                <w:szCs w:val="20"/>
              </w:rPr>
              <w:t xml:space="preserve">The Provider is to have in place a policy which includes recording of the complaint, and responding in a timely manner. Complaints data should be analysed at regular intervals and identified trends are to be reported to the Commissioners at the NHS </w:t>
            </w:r>
            <w:r w:rsidR="00BE18CB" w:rsidRPr="00A06382">
              <w:rPr>
                <w:color w:val="auto"/>
                <w:sz w:val="20"/>
                <w:szCs w:val="20"/>
              </w:rPr>
              <w:t>Tower Hamlets</w:t>
            </w:r>
            <w:r w:rsidRPr="00A06382">
              <w:rPr>
                <w:color w:val="auto"/>
                <w:sz w:val="20"/>
                <w:szCs w:val="20"/>
              </w:rPr>
              <w:t xml:space="preserve"> CCG with an accompanying action plan which demonstrates actions implemented/ for implementation to make improvements.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4.1.8 </w:t>
            </w:r>
            <w:r w:rsidRPr="00A06382">
              <w:rPr>
                <w:b/>
                <w:bCs/>
                <w:color w:val="auto"/>
                <w:sz w:val="20"/>
                <w:szCs w:val="20"/>
              </w:rPr>
              <w:t xml:space="preserve">Serious Incidents: </w:t>
            </w:r>
            <w:r w:rsidRPr="00A06382">
              <w:rPr>
                <w:color w:val="auto"/>
                <w:sz w:val="20"/>
                <w:szCs w:val="20"/>
              </w:rPr>
              <w:t xml:space="preserve">The Provider and the Co-ordinating Commissioner shall meet and maintain effective systems for managing patient safety, in line with national guidance and local agreements. Serious incidents, including Never Events should be reported in accordance with NHS </w:t>
            </w:r>
            <w:r w:rsidR="00BE18CB" w:rsidRPr="00A06382">
              <w:rPr>
                <w:color w:val="auto"/>
                <w:sz w:val="20"/>
                <w:szCs w:val="20"/>
              </w:rPr>
              <w:t>England</w:t>
            </w:r>
            <w:r w:rsidRPr="00A06382">
              <w:rPr>
                <w:color w:val="auto"/>
                <w:sz w:val="20"/>
                <w:szCs w:val="20"/>
              </w:rPr>
              <w:t xml:space="preserve"> and NPSA guidance and NHS </w:t>
            </w:r>
            <w:r w:rsidR="00BE18CB" w:rsidRPr="00A06382">
              <w:rPr>
                <w:color w:val="auto"/>
                <w:sz w:val="20"/>
                <w:szCs w:val="20"/>
              </w:rPr>
              <w:t>Tower Hamlets</w:t>
            </w:r>
            <w:r w:rsidRPr="00A06382">
              <w:rPr>
                <w:color w:val="auto"/>
                <w:sz w:val="20"/>
                <w:szCs w:val="20"/>
              </w:rPr>
              <w:t xml:space="preserve"> procedure. </w:t>
            </w:r>
          </w:p>
          <w:p w:rsidR="00E7030F" w:rsidRPr="00A06382" w:rsidRDefault="00E7030F" w:rsidP="003A64EF">
            <w:pPr>
              <w:pStyle w:val="Default"/>
              <w:contextualSpacing/>
              <w:rPr>
                <w:sz w:val="20"/>
                <w:szCs w:val="20"/>
              </w:rPr>
            </w:pPr>
          </w:p>
          <w:p w:rsidR="00E7030F" w:rsidRPr="00A06382" w:rsidRDefault="00E7030F" w:rsidP="00665FD4">
            <w:pPr>
              <w:pStyle w:val="Default"/>
              <w:numPr>
                <w:ilvl w:val="0"/>
                <w:numId w:val="25"/>
              </w:numPr>
              <w:contextualSpacing/>
              <w:rPr>
                <w:sz w:val="20"/>
                <w:szCs w:val="20"/>
              </w:rPr>
            </w:pPr>
            <w:r w:rsidRPr="00A06382">
              <w:rPr>
                <w:sz w:val="20"/>
                <w:szCs w:val="20"/>
              </w:rPr>
              <w:t xml:space="preserve">Serious incidents (SIs) should be reported on STEIS within 2 working days (of receipt of information). </w:t>
            </w:r>
          </w:p>
          <w:p w:rsidR="00E7030F" w:rsidRPr="00A06382" w:rsidRDefault="00E7030F" w:rsidP="00665FD4">
            <w:pPr>
              <w:pStyle w:val="Default"/>
              <w:numPr>
                <w:ilvl w:val="0"/>
                <w:numId w:val="24"/>
              </w:numPr>
              <w:contextualSpacing/>
              <w:rPr>
                <w:sz w:val="20"/>
                <w:szCs w:val="20"/>
              </w:rPr>
            </w:pPr>
            <w:r w:rsidRPr="00A06382">
              <w:rPr>
                <w:sz w:val="20"/>
                <w:szCs w:val="20"/>
              </w:rPr>
              <w:t>Agree grading (as per NPSA grading) with the</w:t>
            </w:r>
            <w:r w:rsidR="00A06382" w:rsidRPr="00A06382">
              <w:rPr>
                <w:sz w:val="20"/>
                <w:szCs w:val="20"/>
              </w:rPr>
              <w:t xml:space="preserve"> </w:t>
            </w:r>
            <w:r w:rsidRPr="00A06382">
              <w:rPr>
                <w:sz w:val="20"/>
                <w:szCs w:val="20"/>
              </w:rPr>
              <w:t xml:space="preserve">Commissioner (as per guidance) within 3 working days. </w:t>
            </w:r>
          </w:p>
          <w:p w:rsidR="00E7030F" w:rsidRPr="00A06382" w:rsidRDefault="00E7030F" w:rsidP="00665FD4">
            <w:pPr>
              <w:pStyle w:val="Default"/>
              <w:numPr>
                <w:ilvl w:val="0"/>
                <w:numId w:val="24"/>
              </w:numPr>
              <w:contextualSpacing/>
              <w:rPr>
                <w:sz w:val="20"/>
                <w:szCs w:val="20"/>
              </w:rPr>
            </w:pPr>
            <w:r w:rsidRPr="00A06382">
              <w:rPr>
                <w:sz w:val="20"/>
                <w:szCs w:val="20"/>
              </w:rPr>
              <w:t xml:space="preserve">Final anonymous report (using NPSA Root Cause Analysis template or agreed model with equivalent content) and action plan to Commissioners within 45/60 working days of incident unless extension agreed with the local Commissioner. The timescale depends on agreed grading. </w:t>
            </w:r>
          </w:p>
          <w:p w:rsidR="00E7030F" w:rsidRPr="00A06382" w:rsidRDefault="00E7030F" w:rsidP="00665FD4">
            <w:pPr>
              <w:pStyle w:val="Default"/>
              <w:numPr>
                <w:ilvl w:val="0"/>
                <w:numId w:val="24"/>
              </w:numPr>
              <w:contextualSpacing/>
              <w:rPr>
                <w:sz w:val="20"/>
                <w:szCs w:val="20"/>
              </w:rPr>
            </w:pPr>
            <w:r w:rsidRPr="00A06382">
              <w:rPr>
                <w:sz w:val="20"/>
                <w:szCs w:val="20"/>
              </w:rPr>
              <w:t xml:space="preserve">Action plans should be implemented within 6-months (or receipt of information) unless extended by agreement with the relevant Commissioner. </w:t>
            </w:r>
          </w:p>
          <w:p w:rsidR="00E7030F" w:rsidRPr="00A06382" w:rsidRDefault="00E7030F" w:rsidP="00665FD4">
            <w:pPr>
              <w:pStyle w:val="Default"/>
              <w:numPr>
                <w:ilvl w:val="0"/>
                <w:numId w:val="24"/>
              </w:numPr>
              <w:contextualSpacing/>
              <w:rPr>
                <w:sz w:val="20"/>
                <w:szCs w:val="20"/>
              </w:rPr>
            </w:pPr>
            <w:r w:rsidRPr="00A06382">
              <w:rPr>
                <w:sz w:val="20"/>
                <w:szCs w:val="20"/>
              </w:rPr>
              <w:t xml:space="preserve">The status of reported SIs are to be monitored by the relevant Commissioner who will close the incident as per national guidance when there is assurance about actions being implemented (Grade 1 incidents) or when there is evidence of actions being completed (Grade 2 incidents). </w:t>
            </w:r>
          </w:p>
          <w:p w:rsidR="00E7030F" w:rsidRPr="00A06382" w:rsidRDefault="00E7030F" w:rsidP="00665FD4">
            <w:pPr>
              <w:pStyle w:val="Default"/>
              <w:numPr>
                <w:ilvl w:val="0"/>
                <w:numId w:val="24"/>
              </w:numPr>
              <w:contextualSpacing/>
              <w:rPr>
                <w:sz w:val="20"/>
                <w:szCs w:val="20"/>
              </w:rPr>
            </w:pPr>
            <w:r w:rsidRPr="00A06382">
              <w:rPr>
                <w:sz w:val="20"/>
                <w:szCs w:val="20"/>
              </w:rPr>
              <w:t xml:space="preserve">The Provider shall provide summary reports on incidents including trend analysis, themes and actions on a quarterly basis; these will be monitored at the Commissioner / Provider Clinical Quality Review Meetings / Serious Incident monitoring meetings. </w:t>
            </w:r>
          </w:p>
          <w:p w:rsidR="00E7030F" w:rsidRPr="00A06382" w:rsidRDefault="00E7030F" w:rsidP="00665FD4">
            <w:pPr>
              <w:pStyle w:val="Default"/>
              <w:numPr>
                <w:ilvl w:val="0"/>
                <w:numId w:val="24"/>
              </w:numPr>
              <w:contextualSpacing/>
              <w:rPr>
                <w:sz w:val="20"/>
                <w:szCs w:val="20"/>
              </w:rPr>
            </w:pPr>
            <w:r w:rsidRPr="00A06382">
              <w:rPr>
                <w:sz w:val="20"/>
                <w:szCs w:val="20"/>
              </w:rPr>
              <w:t xml:space="preserve">The Commissioner shall be consulted when the Provider is reviewing its Serious Incident and Incident reporting policies; </w:t>
            </w:r>
          </w:p>
          <w:p w:rsidR="00E7030F" w:rsidRPr="00A06382" w:rsidRDefault="00E7030F" w:rsidP="00665FD4">
            <w:pPr>
              <w:pStyle w:val="Default"/>
              <w:numPr>
                <w:ilvl w:val="0"/>
                <w:numId w:val="23"/>
              </w:numPr>
              <w:contextualSpacing/>
              <w:rPr>
                <w:sz w:val="20"/>
                <w:szCs w:val="20"/>
              </w:rPr>
            </w:pPr>
            <w:r w:rsidRPr="00A06382">
              <w:rPr>
                <w:sz w:val="20"/>
                <w:szCs w:val="20"/>
              </w:rPr>
              <w:t xml:space="preserve">Where the causes or consequences of a serious patient safety incident or SI involve both the Provider and the Commissioners, both parties shall co-operate in the subsequent investigation and action planning.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4.1.9 The leads from the Provider and the Commissioner will meet regularly to review arrangements and share best practice. Where it is felt to be advantageous to both parties, risk or other clinical specialists may be involved in investigations conducted by the other party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4.1.10 </w:t>
            </w:r>
            <w:r w:rsidRPr="00A06382">
              <w:rPr>
                <w:b/>
                <w:bCs/>
                <w:sz w:val="20"/>
                <w:szCs w:val="20"/>
              </w:rPr>
              <w:t xml:space="preserve">Safety Alerts: </w:t>
            </w:r>
            <w:r w:rsidRPr="00A06382">
              <w:rPr>
                <w:sz w:val="20"/>
                <w:szCs w:val="20"/>
              </w:rPr>
              <w:t xml:space="preserve">The Provider must comply with all relevant Safety Alert notices or NPSA/ MHRA notices and ensure that an auditable process is in place to support this  requirement.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4.1.11 </w:t>
            </w:r>
            <w:r w:rsidRPr="00A06382">
              <w:rPr>
                <w:b/>
                <w:bCs/>
                <w:sz w:val="20"/>
                <w:szCs w:val="20"/>
              </w:rPr>
              <w:t xml:space="preserve">Safeguarding Adults/ Protection of Vulnerable Adults and Children: </w:t>
            </w:r>
            <w:r w:rsidRPr="00A06382">
              <w:rPr>
                <w:sz w:val="20"/>
                <w:szCs w:val="20"/>
              </w:rPr>
              <w:t xml:space="preserve">The Provider shall at all times comply with all legislation and guidance related to the protection of children and vulnerable adults, as well as the NHS </w:t>
            </w:r>
            <w:r w:rsidR="00A06382" w:rsidRPr="00A06382">
              <w:rPr>
                <w:sz w:val="20"/>
                <w:szCs w:val="20"/>
              </w:rPr>
              <w:t>Tower Hamlets</w:t>
            </w:r>
            <w:r w:rsidRPr="00A06382">
              <w:rPr>
                <w:sz w:val="20"/>
                <w:szCs w:val="20"/>
              </w:rPr>
              <w:t xml:space="preserve"> CCG’s own procedures.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4.1.12 The Provider shall develop and submit (for approval) policies relating to protecting children and adults. For children the policies and procedures should fully reflect the requirements of the Pan</w:t>
            </w:r>
            <w:r w:rsidRPr="00A06382">
              <w:rPr>
                <w:rFonts w:ascii="Cambria Math" w:hAnsi="Cambria Math" w:cs="Cambria Math"/>
                <w:sz w:val="20"/>
                <w:szCs w:val="20"/>
              </w:rPr>
              <w:t>‐</w:t>
            </w:r>
            <w:r w:rsidRPr="00A06382">
              <w:rPr>
                <w:sz w:val="20"/>
                <w:szCs w:val="20"/>
              </w:rPr>
              <w:t xml:space="preserve">London Child Protection guidelines, and for adults they should reflect the No Secrets Guidelines. All non-clinical staff should be trained to Level 2 and all clinical staff to Level 3 in Child protection and have received appropriate awareness training for Safeguarding Adults. The Provider should identify a named Safeguarding Children and Adults Lead(s) who will act as a point of contact and knowledge for internal staff members, should they have a query about safeguarding issues.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4.1.13 The Provider must be clear about local referral and support services (including designated safeguarding leads, social service, health visitors and district nurses) that they can consult if they have any concerns regarding individual patients or anyone coming into contact with their service.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4.1.14 IT systems should be set up to Read code and should flag vulnerable patients and relevant family members/ carers. IT systems should also be used to flag children where their parents/family members/ carers are known for substance misuse, significant mental health problems, domestic violence and learning disabilities. (This is not an extensive list).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4.1.15 NHS </w:t>
            </w:r>
            <w:r w:rsidR="00A06382" w:rsidRPr="00A06382">
              <w:rPr>
                <w:sz w:val="20"/>
                <w:szCs w:val="20"/>
              </w:rPr>
              <w:t>Tower Hamlets</w:t>
            </w:r>
            <w:r w:rsidRPr="00A06382">
              <w:rPr>
                <w:sz w:val="20"/>
                <w:szCs w:val="20"/>
              </w:rPr>
              <w:t xml:space="preserve"> CCG may require the Provider to suspend any member of the Provider’s staff from any work in connection with the service where the member of the lead Provider’s staff has, or is suspected to have breached the NHS </w:t>
            </w:r>
            <w:r w:rsidR="00A06382" w:rsidRPr="00A06382">
              <w:rPr>
                <w:sz w:val="20"/>
                <w:szCs w:val="20"/>
              </w:rPr>
              <w:t>Tower Hamlets</w:t>
            </w:r>
            <w:r w:rsidRPr="00A06382">
              <w:rPr>
                <w:sz w:val="20"/>
                <w:szCs w:val="20"/>
              </w:rPr>
              <w:t xml:space="preserve"> CCG’s or the Provider’s policies related to protecting children and vulnerable adults. The Provider shall ensure that the member of the Provider’s staff shall be suspended immediately from any work in connection with the services until a full investigation has been completed and the member of any work in connection with the services exonerated. </w:t>
            </w:r>
          </w:p>
          <w:p w:rsidR="00A06382" w:rsidRPr="00A06382" w:rsidRDefault="00A06382" w:rsidP="003A64EF">
            <w:pPr>
              <w:pStyle w:val="Default"/>
              <w:contextualSpacing/>
              <w:rPr>
                <w:sz w:val="20"/>
                <w:szCs w:val="20"/>
              </w:rPr>
            </w:pPr>
          </w:p>
          <w:p w:rsidR="00E7030F" w:rsidRPr="00A06382" w:rsidRDefault="00E7030F" w:rsidP="003A64EF">
            <w:pPr>
              <w:pStyle w:val="Default"/>
              <w:contextualSpacing/>
              <w:rPr>
                <w:b/>
                <w:bCs/>
                <w:sz w:val="20"/>
                <w:szCs w:val="20"/>
              </w:rPr>
            </w:pPr>
            <w:r w:rsidRPr="00A06382">
              <w:rPr>
                <w:b/>
                <w:bCs/>
                <w:sz w:val="20"/>
                <w:szCs w:val="20"/>
              </w:rPr>
              <w:t xml:space="preserve">4.2 Governance </w:t>
            </w:r>
          </w:p>
          <w:p w:rsidR="00A06382" w:rsidRPr="00A06382" w:rsidRDefault="00A06382"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4.2.1 </w:t>
            </w:r>
            <w:r w:rsidRPr="00A06382">
              <w:rPr>
                <w:b/>
                <w:bCs/>
                <w:sz w:val="20"/>
                <w:szCs w:val="20"/>
              </w:rPr>
              <w:t xml:space="preserve">Information Governance: </w:t>
            </w:r>
            <w:r w:rsidRPr="00A06382">
              <w:rPr>
                <w:sz w:val="20"/>
                <w:szCs w:val="20"/>
              </w:rPr>
              <w:t xml:space="preserve">The Provider will ensure that all information sharing guidelines and protocols are abided by to maintain the safeguard of patient identifiable data. The Provider will demonstrate compliance with: </w:t>
            </w:r>
          </w:p>
          <w:p w:rsidR="00E7030F" w:rsidRPr="00A06382" w:rsidRDefault="00E7030F" w:rsidP="00665FD4">
            <w:pPr>
              <w:pStyle w:val="Default"/>
              <w:numPr>
                <w:ilvl w:val="0"/>
                <w:numId w:val="26"/>
              </w:numPr>
              <w:contextualSpacing/>
              <w:rPr>
                <w:sz w:val="20"/>
                <w:szCs w:val="20"/>
              </w:rPr>
            </w:pPr>
            <w:r w:rsidRPr="00A06382">
              <w:rPr>
                <w:sz w:val="20"/>
                <w:szCs w:val="20"/>
              </w:rPr>
              <w:t xml:space="preserve">Data Protection Act requirements </w:t>
            </w:r>
          </w:p>
          <w:p w:rsidR="00E7030F" w:rsidRPr="00A06382" w:rsidRDefault="00E7030F" w:rsidP="00665FD4">
            <w:pPr>
              <w:pStyle w:val="Default"/>
              <w:numPr>
                <w:ilvl w:val="0"/>
                <w:numId w:val="26"/>
              </w:numPr>
              <w:contextualSpacing/>
              <w:rPr>
                <w:sz w:val="20"/>
                <w:szCs w:val="20"/>
              </w:rPr>
            </w:pPr>
            <w:r w:rsidRPr="00A06382">
              <w:rPr>
                <w:sz w:val="20"/>
                <w:szCs w:val="20"/>
              </w:rPr>
              <w:t xml:space="preserve">NHS </w:t>
            </w:r>
            <w:r w:rsidR="00A06382" w:rsidRPr="00A06382">
              <w:rPr>
                <w:sz w:val="20"/>
                <w:szCs w:val="20"/>
              </w:rPr>
              <w:t>Tower Hamlets</w:t>
            </w:r>
            <w:r w:rsidRPr="00A06382">
              <w:rPr>
                <w:sz w:val="20"/>
                <w:szCs w:val="20"/>
              </w:rPr>
              <w:t xml:space="preserve"> CCG Community Data Sharing Protocols </w:t>
            </w:r>
          </w:p>
          <w:p w:rsidR="00E7030F" w:rsidRPr="00A06382" w:rsidRDefault="00E7030F" w:rsidP="00665FD4">
            <w:pPr>
              <w:pStyle w:val="Default"/>
              <w:numPr>
                <w:ilvl w:val="0"/>
                <w:numId w:val="26"/>
              </w:numPr>
              <w:contextualSpacing/>
              <w:rPr>
                <w:sz w:val="20"/>
                <w:szCs w:val="20"/>
              </w:rPr>
            </w:pPr>
            <w:r w:rsidRPr="00A06382">
              <w:rPr>
                <w:sz w:val="20"/>
                <w:szCs w:val="20"/>
              </w:rPr>
              <w:t>NHS</w:t>
            </w:r>
            <w:r w:rsidR="00A06382" w:rsidRPr="00A06382">
              <w:rPr>
                <w:sz w:val="20"/>
                <w:szCs w:val="20"/>
              </w:rPr>
              <w:t xml:space="preserve"> Tower Hamlets </w:t>
            </w:r>
            <w:r w:rsidRPr="00A06382">
              <w:rPr>
                <w:sz w:val="20"/>
                <w:szCs w:val="20"/>
              </w:rPr>
              <w:t xml:space="preserve">CCG Code of Confidentiality </w:t>
            </w:r>
          </w:p>
          <w:p w:rsidR="00E7030F" w:rsidRPr="00A06382" w:rsidRDefault="00E7030F" w:rsidP="00665FD4">
            <w:pPr>
              <w:pStyle w:val="Default"/>
              <w:numPr>
                <w:ilvl w:val="0"/>
                <w:numId w:val="26"/>
              </w:numPr>
              <w:contextualSpacing/>
              <w:rPr>
                <w:sz w:val="20"/>
                <w:szCs w:val="20"/>
              </w:rPr>
            </w:pPr>
            <w:r w:rsidRPr="00A06382">
              <w:rPr>
                <w:sz w:val="20"/>
                <w:szCs w:val="20"/>
              </w:rPr>
              <w:t xml:space="preserve">NHS </w:t>
            </w:r>
            <w:r w:rsidR="00A06382" w:rsidRPr="00A06382">
              <w:rPr>
                <w:sz w:val="20"/>
                <w:szCs w:val="20"/>
              </w:rPr>
              <w:t xml:space="preserve">Tower Hamlets </w:t>
            </w:r>
            <w:r w:rsidRPr="00A06382">
              <w:rPr>
                <w:sz w:val="20"/>
                <w:szCs w:val="20"/>
              </w:rPr>
              <w:t xml:space="preserve">CCG Governance Policy </w:t>
            </w:r>
          </w:p>
          <w:p w:rsidR="00E7030F" w:rsidRPr="00A06382" w:rsidRDefault="00E7030F" w:rsidP="00665FD4">
            <w:pPr>
              <w:pStyle w:val="Default"/>
              <w:numPr>
                <w:ilvl w:val="0"/>
                <w:numId w:val="26"/>
              </w:numPr>
              <w:contextualSpacing/>
              <w:rPr>
                <w:sz w:val="20"/>
                <w:szCs w:val="20"/>
              </w:rPr>
            </w:pPr>
            <w:r w:rsidRPr="00A06382">
              <w:rPr>
                <w:sz w:val="20"/>
                <w:szCs w:val="20"/>
              </w:rPr>
              <w:t xml:space="preserve">Informed consent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If there any concerns regarding the safe transfer or use of patient identifiable data then these should be reported as a Serious Incident and referred to the local Caldecott Guardian.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pageBreakBefore/>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4.2.2 </w:t>
            </w:r>
            <w:r w:rsidRPr="00A06382">
              <w:rPr>
                <w:b/>
                <w:bCs/>
                <w:color w:val="auto"/>
                <w:sz w:val="20"/>
                <w:szCs w:val="20"/>
              </w:rPr>
              <w:t xml:space="preserve">Risk Management: </w:t>
            </w:r>
            <w:r w:rsidRPr="00A06382">
              <w:rPr>
                <w:color w:val="auto"/>
                <w:sz w:val="20"/>
                <w:szCs w:val="20"/>
              </w:rPr>
              <w:t xml:space="preserve">The Provider will be required to have a robust Risk Management policy and guidelines in place that reflects best practice and should be able to assure the commissioners of the safety and effectiveness of their service.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4.2.3 </w:t>
            </w:r>
            <w:r w:rsidRPr="00A06382">
              <w:rPr>
                <w:b/>
                <w:bCs/>
                <w:color w:val="auto"/>
                <w:sz w:val="20"/>
                <w:szCs w:val="20"/>
              </w:rPr>
              <w:t xml:space="preserve">Insurance: </w:t>
            </w:r>
            <w:r w:rsidRPr="00A06382">
              <w:rPr>
                <w:color w:val="auto"/>
                <w:sz w:val="20"/>
                <w:szCs w:val="20"/>
              </w:rPr>
              <w:t xml:space="preserve">The Provider and all staff providing the service are required to have medical negligence indemnity insurance to meet in full any claims made against them as individuals. The Provider is responsible for ensuring that insurance and indemnity cover is place and proof of cover must be submitted to the NHS </w:t>
            </w:r>
            <w:r w:rsidR="00A06382" w:rsidRPr="00A06382">
              <w:rPr>
                <w:sz w:val="20"/>
                <w:szCs w:val="20"/>
              </w:rPr>
              <w:t>Tower Hamlets</w:t>
            </w:r>
            <w:r w:rsidRPr="00A06382">
              <w:rPr>
                <w:color w:val="auto"/>
                <w:sz w:val="20"/>
                <w:szCs w:val="20"/>
              </w:rPr>
              <w:t xml:space="preserve"> CCG upon request.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4.2.4 </w:t>
            </w:r>
            <w:r w:rsidRPr="00A06382">
              <w:rPr>
                <w:b/>
                <w:bCs/>
                <w:color w:val="auto"/>
                <w:sz w:val="20"/>
                <w:szCs w:val="20"/>
              </w:rPr>
              <w:t xml:space="preserve">Business Continuity: </w:t>
            </w:r>
            <w:r w:rsidRPr="00A06382">
              <w:rPr>
                <w:color w:val="auto"/>
                <w:sz w:val="20"/>
                <w:szCs w:val="20"/>
              </w:rPr>
              <w:t xml:space="preserve">The Providers are required to have a robust business continuity plan which will incorporate specific actions around disruption to infrastructure, such as information systems and premises; staff shortages relating to sickness and maternity leave; winter planning; flu pandemic/ other disease outbreak.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4.2.5 </w:t>
            </w:r>
            <w:r w:rsidRPr="00A06382">
              <w:rPr>
                <w:b/>
                <w:bCs/>
                <w:color w:val="auto"/>
                <w:sz w:val="20"/>
                <w:szCs w:val="20"/>
              </w:rPr>
              <w:t xml:space="preserve">Infection Control and Sharps: </w:t>
            </w:r>
            <w:r w:rsidRPr="00A06382">
              <w:rPr>
                <w:color w:val="auto"/>
                <w:sz w:val="20"/>
                <w:szCs w:val="20"/>
              </w:rPr>
              <w:t>The Provider will have and adhere to infection control policies, in particular on Standard Infection Control Precautions, Hand Hygiene and Clinical Waste, and on the specific care of patients with MRSA or other infections in health centres and clinics. The healthcare premises where the service is delivered should be fitted</w:t>
            </w:r>
            <w:r w:rsidRPr="00A06382">
              <w:rPr>
                <w:rFonts w:ascii="Cambria Math" w:hAnsi="Cambria Math" w:cs="Cambria Math"/>
                <w:color w:val="auto"/>
                <w:sz w:val="20"/>
                <w:szCs w:val="20"/>
              </w:rPr>
              <w:t>‐</w:t>
            </w:r>
            <w:r w:rsidRPr="00A06382">
              <w:rPr>
                <w:color w:val="auto"/>
                <w:sz w:val="20"/>
                <w:szCs w:val="20"/>
              </w:rPr>
              <w:t xml:space="preserve">out in accordance with current HBN and HTM guidance. The Provider must have policies in place relating to sharp injuries i.e. from injections and processes in place for seeking immediate medical advice following an incident.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The Provider must be prepared to participate in any surveillance and audit required by the commissioner, for example to self</w:t>
            </w:r>
            <w:r w:rsidRPr="00A06382">
              <w:rPr>
                <w:rFonts w:ascii="Cambria Math" w:hAnsi="Cambria Math" w:cs="Cambria Math"/>
                <w:color w:val="auto"/>
                <w:sz w:val="20"/>
                <w:szCs w:val="20"/>
              </w:rPr>
              <w:t>‐</w:t>
            </w:r>
            <w:r w:rsidRPr="00A06382">
              <w:rPr>
                <w:color w:val="auto"/>
                <w:sz w:val="20"/>
                <w:szCs w:val="20"/>
              </w:rPr>
              <w:t>audit hand hygiene compliance annually and to su</w:t>
            </w:r>
            <w:r w:rsidR="00A06382" w:rsidRPr="00A06382">
              <w:rPr>
                <w:color w:val="auto"/>
                <w:sz w:val="20"/>
                <w:szCs w:val="20"/>
              </w:rPr>
              <w:t xml:space="preserve">bmit the results to the </w:t>
            </w:r>
            <w:r w:rsidR="00EA5A7F">
              <w:rPr>
                <w:color w:val="auto"/>
                <w:sz w:val="20"/>
                <w:szCs w:val="20"/>
              </w:rPr>
              <w:t xml:space="preserve">local </w:t>
            </w:r>
            <w:r w:rsidRPr="00A06382">
              <w:rPr>
                <w:color w:val="auto"/>
                <w:sz w:val="20"/>
                <w:szCs w:val="20"/>
              </w:rPr>
              <w:t xml:space="preserve">Infection Prevention Team. </w:t>
            </w:r>
          </w:p>
          <w:p w:rsidR="00A06382" w:rsidRPr="00A06382" w:rsidRDefault="00A06382" w:rsidP="003A64EF">
            <w:pPr>
              <w:pStyle w:val="Default"/>
              <w:contextualSpacing/>
              <w:rPr>
                <w:color w:val="auto"/>
                <w:sz w:val="20"/>
                <w:szCs w:val="20"/>
              </w:rPr>
            </w:pPr>
          </w:p>
          <w:p w:rsidR="00A06382" w:rsidRPr="00A06382" w:rsidRDefault="00E7030F" w:rsidP="003A64EF">
            <w:pPr>
              <w:pStyle w:val="Default"/>
              <w:contextualSpacing/>
              <w:rPr>
                <w:color w:val="auto"/>
                <w:sz w:val="20"/>
                <w:szCs w:val="20"/>
              </w:rPr>
            </w:pPr>
            <w:r w:rsidRPr="00A06382">
              <w:rPr>
                <w:color w:val="auto"/>
                <w:sz w:val="20"/>
                <w:szCs w:val="20"/>
              </w:rPr>
              <w:t>In line with medical devices legislation, on</w:t>
            </w:r>
            <w:r w:rsidRPr="00A06382">
              <w:rPr>
                <w:rFonts w:ascii="Cambria Math" w:hAnsi="Cambria Math" w:cs="Cambria Math"/>
                <w:color w:val="auto"/>
                <w:sz w:val="20"/>
                <w:szCs w:val="20"/>
              </w:rPr>
              <w:t>‐</w:t>
            </w:r>
            <w:r w:rsidRPr="00A06382">
              <w:rPr>
                <w:color w:val="auto"/>
                <w:sz w:val="20"/>
                <w:szCs w:val="20"/>
              </w:rPr>
              <w:t>site sterilisation of instruments must not be carried out. Either disposable instruments must be used or sterile instrument packs should be obtained from a central sterilising service.</w:t>
            </w:r>
          </w:p>
          <w:p w:rsidR="00E7030F" w:rsidRPr="00A06382" w:rsidRDefault="00E7030F" w:rsidP="003A64EF">
            <w:pPr>
              <w:pStyle w:val="Default"/>
              <w:contextualSpacing/>
              <w:rPr>
                <w:color w:val="auto"/>
                <w:sz w:val="20"/>
                <w:szCs w:val="20"/>
              </w:rPr>
            </w:pPr>
            <w:r w:rsidRPr="00A06382">
              <w:rPr>
                <w:color w:val="auto"/>
                <w:sz w:val="20"/>
                <w:szCs w:val="20"/>
              </w:rPr>
              <w:t xml:space="preserve"> </w:t>
            </w:r>
          </w:p>
          <w:p w:rsidR="00E7030F" w:rsidRPr="00A06382" w:rsidRDefault="00E7030F" w:rsidP="003A64EF">
            <w:pPr>
              <w:pStyle w:val="Default"/>
              <w:contextualSpacing/>
              <w:rPr>
                <w:color w:val="auto"/>
                <w:sz w:val="20"/>
                <w:szCs w:val="20"/>
              </w:rPr>
            </w:pPr>
            <w:r w:rsidRPr="00A06382">
              <w:rPr>
                <w:color w:val="auto"/>
                <w:sz w:val="20"/>
                <w:szCs w:val="20"/>
              </w:rPr>
              <w:t xml:space="preserve">All clinical members of staff should attend infection control training annually. The content of such training should include local policies. </w:t>
            </w:r>
          </w:p>
          <w:p w:rsidR="00A06382" w:rsidRPr="00A06382" w:rsidRDefault="00A06382"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All clinical members of staff must be screened and/or immunised (and able to provide evidence of this) against: </w:t>
            </w:r>
          </w:p>
          <w:p w:rsidR="00E7030F" w:rsidRPr="00A06382" w:rsidRDefault="00E7030F" w:rsidP="00665FD4">
            <w:pPr>
              <w:pStyle w:val="Default"/>
              <w:numPr>
                <w:ilvl w:val="0"/>
                <w:numId w:val="27"/>
              </w:numPr>
              <w:contextualSpacing/>
              <w:rPr>
                <w:color w:val="auto"/>
                <w:sz w:val="20"/>
                <w:szCs w:val="20"/>
              </w:rPr>
            </w:pPr>
            <w:r w:rsidRPr="00A06382">
              <w:rPr>
                <w:color w:val="auto"/>
                <w:sz w:val="20"/>
                <w:szCs w:val="20"/>
              </w:rPr>
              <w:t xml:space="preserve">Tuberculosis </w:t>
            </w:r>
          </w:p>
          <w:p w:rsidR="00E7030F" w:rsidRPr="00A06382" w:rsidRDefault="00E7030F" w:rsidP="00665FD4">
            <w:pPr>
              <w:pStyle w:val="Default"/>
              <w:numPr>
                <w:ilvl w:val="0"/>
                <w:numId w:val="27"/>
              </w:numPr>
              <w:contextualSpacing/>
              <w:rPr>
                <w:color w:val="auto"/>
                <w:sz w:val="20"/>
                <w:szCs w:val="20"/>
              </w:rPr>
            </w:pPr>
            <w:r w:rsidRPr="00A06382">
              <w:rPr>
                <w:color w:val="auto"/>
                <w:sz w:val="20"/>
                <w:szCs w:val="20"/>
              </w:rPr>
              <w:t xml:space="preserve">Hepatitis B </w:t>
            </w:r>
          </w:p>
          <w:p w:rsidR="00E7030F" w:rsidRPr="00A06382" w:rsidRDefault="00E7030F" w:rsidP="00665FD4">
            <w:pPr>
              <w:pStyle w:val="Default"/>
              <w:numPr>
                <w:ilvl w:val="0"/>
                <w:numId w:val="27"/>
              </w:numPr>
              <w:contextualSpacing/>
              <w:rPr>
                <w:color w:val="auto"/>
                <w:sz w:val="20"/>
                <w:szCs w:val="20"/>
              </w:rPr>
            </w:pPr>
            <w:r w:rsidRPr="00A06382">
              <w:rPr>
                <w:color w:val="auto"/>
                <w:sz w:val="20"/>
                <w:szCs w:val="20"/>
              </w:rPr>
              <w:t xml:space="preserve">Measles </w:t>
            </w:r>
          </w:p>
          <w:p w:rsidR="00E7030F" w:rsidRPr="00A06382" w:rsidRDefault="00E7030F" w:rsidP="00665FD4">
            <w:pPr>
              <w:pStyle w:val="Default"/>
              <w:numPr>
                <w:ilvl w:val="0"/>
                <w:numId w:val="27"/>
              </w:numPr>
              <w:contextualSpacing/>
              <w:rPr>
                <w:color w:val="auto"/>
                <w:sz w:val="20"/>
                <w:szCs w:val="20"/>
              </w:rPr>
            </w:pPr>
            <w:r w:rsidRPr="00A06382">
              <w:rPr>
                <w:color w:val="auto"/>
                <w:sz w:val="20"/>
                <w:szCs w:val="20"/>
              </w:rPr>
              <w:t xml:space="preserve">Varicella </w:t>
            </w:r>
          </w:p>
          <w:p w:rsidR="00E7030F" w:rsidRPr="00A06382" w:rsidRDefault="00E7030F" w:rsidP="00665FD4">
            <w:pPr>
              <w:pStyle w:val="Default"/>
              <w:numPr>
                <w:ilvl w:val="0"/>
                <w:numId w:val="27"/>
              </w:numPr>
              <w:contextualSpacing/>
              <w:rPr>
                <w:color w:val="auto"/>
                <w:sz w:val="20"/>
                <w:szCs w:val="20"/>
              </w:rPr>
            </w:pPr>
            <w:r w:rsidRPr="00A06382">
              <w:rPr>
                <w:color w:val="auto"/>
                <w:sz w:val="20"/>
                <w:szCs w:val="20"/>
              </w:rPr>
              <w:t xml:space="preserve">Rubella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The Provider must register with the Care Quality Commission (CQC) and as a condition of this registration must comply with the Health and Social Care Act 2012 code of practice for the prevention and control of healthcare associated infections (also known as the Hygiene Code), Essential Steps to Safe, Clean Care and all relevant national targets and standards on infection control. The commissioners should be informed of any serious incident reports that relate to infection control and should be kept informed of risk assessments in place to register infection related risks.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4.2.6 </w:t>
            </w:r>
            <w:r w:rsidRPr="00A06382">
              <w:rPr>
                <w:b/>
                <w:bCs/>
                <w:color w:val="auto"/>
                <w:sz w:val="20"/>
                <w:szCs w:val="20"/>
              </w:rPr>
              <w:t xml:space="preserve">Protocols: </w:t>
            </w:r>
            <w:r w:rsidRPr="00A06382">
              <w:rPr>
                <w:color w:val="auto"/>
                <w:sz w:val="20"/>
                <w:szCs w:val="20"/>
              </w:rPr>
              <w:t>The provider should ensure that they have in place up to date working clinical and non</w:t>
            </w:r>
            <w:r w:rsidRPr="00A06382">
              <w:rPr>
                <w:rFonts w:ascii="Cambria Math" w:hAnsi="Cambria Math" w:cs="Cambria Math"/>
                <w:color w:val="auto"/>
                <w:sz w:val="20"/>
                <w:szCs w:val="20"/>
              </w:rPr>
              <w:t>‐</w:t>
            </w:r>
            <w:r w:rsidRPr="00A06382">
              <w:rPr>
                <w:color w:val="auto"/>
                <w:sz w:val="20"/>
                <w:szCs w:val="20"/>
              </w:rPr>
              <w:t xml:space="preserve">clinical protocols and procedures </w:t>
            </w:r>
            <w:r w:rsidR="00A06382" w:rsidRPr="00A06382">
              <w:rPr>
                <w:color w:val="auto"/>
                <w:sz w:val="20"/>
                <w:szCs w:val="20"/>
              </w:rPr>
              <w:t xml:space="preserve">which are reviewed and updated </w:t>
            </w:r>
            <w:r w:rsidRPr="00A06382">
              <w:rPr>
                <w:sz w:val="20"/>
                <w:szCs w:val="20"/>
              </w:rPr>
              <w:t xml:space="preserve">on an annual basis. These should include specific protocols for invasive procedures such as injection therapy.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4.2.7 </w:t>
            </w:r>
            <w:r w:rsidRPr="00A06382">
              <w:rPr>
                <w:b/>
                <w:bCs/>
                <w:sz w:val="20"/>
                <w:szCs w:val="20"/>
              </w:rPr>
              <w:t xml:space="preserve">Audit Programme: </w:t>
            </w:r>
            <w:r w:rsidRPr="00A06382">
              <w:rPr>
                <w:sz w:val="20"/>
                <w:szCs w:val="20"/>
              </w:rPr>
              <w:t xml:space="preserve">The provider should develop and conduct an annual programme of audits to support and review each function within the </w:t>
            </w:r>
            <w:r w:rsidR="00A06382" w:rsidRPr="00A06382">
              <w:rPr>
                <w:sz w:val="20"/>
                <w:szCs w:val="20"/>
              </w:rPr>
              <w:t>Integrated MSK and Pain</w:t>
            </w:r>
            <w:r w:rsidRPr="00A06382">
              <w:rPr>
                <w:sz w:val="20"/>
                <w:szCs w:val="20"/>
              </w:rPr>
              <w:t xml:space="preserve"> service. The audit programme should be reviewed annually and findings from audits should be shared with commissioners on a regular and ad hoc basis.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4.2.8 </w:t>
            </w:r>
            <w:r w:rsidRPr="00A06382">
              <w:rPr>
                <w:b/>
                <w:bCs/>
                <w:sz w:val="20"/>
                <w:szCs w:val="20"/>
              </w:rPr>
              <w:t>Activity Monitoring</w:t>
            </w:r>
            <w:r w:rsidRPr="00A06382">
              <w:rPr>
                <w:sz w:val="20"/>
                <w:szCs w:val="20"/>
              </w:rPr>
              <w:t xml:space="preserve">: Activity information should be provided using the agreed reporting systems. The information should be provided to the commissioner on a monthly basis received by the commissioner on the agreed date each month (please make reference to Schedule 3 – Information Reporting. Performance and Review meetings will be held monthly for the first 12 months of service delivery, followed by quarterly quality review meetings thereafter.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4.2.9 Any unacceptable variance will be reported to the Commissioner and a variance report and action plan will be required from the service. The Commissioner will receive this report and monitor the action plan in order to provide assurance to the</w:t>
            </w:r>
            <w:r w:rsidR="00A06382" w:rsidRPr="00A06382">
              <w:rPr>
                <w:sz w:val="20"/>
                <w:szCs w:val="20"/>
              </w:rPr>
              <w:t xml:space="preserve"> Planned Care</w:t>
            </w:r>
            <w:r w:rsidRPr="00A06382">
              <w:rPr>
                <w:sz w:val="20"/>
                <w:szCs w:val="20"/>
              </w:rPr>
              <w:t xml:space="preserve"> Board that the necessary remedial action is being taken.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b/>
                <w:bCs/>
                <w:sz w:val="20"/>
                <w:szCs w:val="20"/>
              </w:rPr>
              <w:t xml:space="preserve">4.3 Applicable Local Standards: Medicines Management </w:t>
            </w:r>
          </w:p>
          <w:p w:rsidR="00E7030F" w:rsidRPr="00A06382" w:rsidRDefault="00E7030F" w:rsidP="003A64EF">
            <w:pPr>
              <w:pStyle w:val="Default"/>
              <w:contextualSpacing/>
              <w:rPr>
                <w:sz w:val="20"/>
                <w:szCs w:val="20"/>
              </w:rPr>
            </w:pPr>
            <w:r w:rsidRPr="00A06382">
              <w:rPr>
                <w:sz w:val="20"/>
                <w:szCs w:val="20"/>
              </w:rPr>
              <w:t xml:space="preserve">4.3.1 Medicines are a common treatment intervention and almost all care pathways involve medicines. Services must ensure access to appropriate expert pharmacy advice to support robust medicines management systems and to manage risks to both patients and the organisation.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4.3.2 Explanation will be required regarding how stock is obtained for intra-articular injections, and the governance of administration e.g. via PGD. Providers are to be responsible for all costs associated with provision and administration of drugs.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4.3.3 Recommendations of specific medication cannot be made to either the patient or GP, however recommendations of a drug class e.g. NSAID can be made.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4.3.4 Standards apply to current services and any new service developments. The provider will ensure the safe, secure and cost-effective use of medicines as follows: </w:t>
            </w:r>
          </w:p>
          <w:p w:rsidR="00E7030F" w:rsidRPr="00A06382" w:rsidRDefault="00E7030F" w:rsidP="00665FD4">
            <w:pPr>
              <w:pStyle w:val="Default"/>
              <w:numPr>
                <w:ilvl w:val="0"/>
                <w:numId w:val="28"/>
              </w:numPr>
              <w:contextualSpacing/>
              <w:rPr>
                <w:sz w:val="20"/>
                <w:szCs w:val="20"/>
              </w:rPr>
            </w:pPr>
            <w:r w:rsidRPr="00A06382">
              <w:rPr>
                <w:sz w:val="20"/>
                <w:szCs w:val="20"/>
              </w:rPr>
              <w:t xml:space="preserve">All aspects of medicines use comply with legislation, good practice guidelines, local policies, requirements of the NHS Litigation Authority and standards of the Care Quality Commission. </w:t>
            </w:r>
          </w:p>
          <w:p w:rsidR="00E7030F" w:rsidRPr="00A06382" w:rsidRDefault="00E7030F" w:rsidP="00665FD4">
            <w:pPr>
              <w:pStyle w:val="Default"/>
              <w:numPr>
                <w:ilvl w:val="0"/>
                <w:numId w:val="28"/>
              </w:numPr>
              <w:contextualSpacing/>
              <w:rPr>
                <w:sz w:val="20"/>
                <w:szCs w:val="20"/>
              </w:rPr>
            </w:pPr>
            <w:r w:rsidRPr="00A06382">
              <w:rPr>
                <w:sz w:val="20"/>
                <w:szCs w:val="20"/>
              </w:rPr>
              <w:t xml:space="preserve">The provider will have medicines policies and procedures in place which reflect the above standards. </w:t>
            </w:r>
          </w:p>
          <w:p w:rsidR="00E7030F" w:rsidRPr="00A06382" w:rsidRDefault="00E7030F" w:rsidP="00665FD4">
            <w:pPr>
              <w:pStyle w:val="Default"/>
              <w:numPr>
                <w:ilvl w:val="0"/>
                <w:numId w:val="28"/>
              </w:numPr>
              <w:contextualSpacing/>
              <w:rPr>
                <w:sz w:val="20"/>
                <w:szCs w:val="20"/>
              </w:rPr>
            </w:pPr>
            <w:r w:rsidRPr="00A06382">
              <w:rPr>
                <w:sz w:val="20"/>
                <w:szCs w:val="20"/>
              </w:rPr>
              <w:t xml:space="preserve">These standards will apply to all current services and be taken into account when new services are developed. </w:t>
            </w:r>
          </w:p>
          <w:p w:rsidR="00E7030F" w:rsidRPr="00A06382" w:rsidRDefault="00E7030F" w:rsidP="00665FD4">
            <w:pPr>
              <w:pStyle w:val="Default"/>
              <w:numPr>
                <w:ilvl w:val="0"/>
                <w:numId w:val="28"/>
              </w:numPr>
              <w:contextualSpacing/>
              <w:rPr>
                <w:sz w:val="20"/>
                <w:szCs w:val="20"/>
              </w:rPr>
            </w:pPr>
            <w:r w:rsidRPr="00A06382">
              <w:rPr>
                <w:sz w:val="20"/>
                <w:szCs w:val="20"/>
              </w:rPr>
              <w:t xml:space="preserve">All staff who prescribe, administer, supply &amp;/or handle medicines are qualified / registered (if appropriate) competent and supported to undertake these duties. </w:t>
            </w:r>
          </w:p>
          <w:p w:rsidR="00E7030F" w:rsidRPr="00A06382" w:rsidRDefault="00E7030F" w:rsidP="00665FD4">
            <w:pPr>
              <w:pStyle w:val="Default"/>
              <w:numPr>
                <w:ilvl w:val="0"/>
                <w:numId w:val="28"/>
              </w:numPr>
              <w:contextualSpacing/>
              <w:rPr>
                <w:sz w:val="20"/>
                <w:szCs w:val="20"/>
              </w:rPr>
            </w:pPr>
            <w:r w:rsidRPr="00A06382">
              <w:rPr>
                <w:sz w:val="20"/>
                <w:szCs w:val="20"/>
              </w:rPr>
              <w:t xml:space="preserve">The provider will develop and provide medicines training to ensure that staff have the appropriate level of knowledge and skills with respect to medicines management.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4.3.5 Safety </w:t>
            </w:r>
          </w:p>
          <w:p w:rsidR="00E7030F" w:rsidRPr="00A06382" w:rsidRDefault="00E7030F" w:rsidP="003A64EF">
            <w:pPr>
              <w:pStyle w:val="Default"/>
              <w:pageBreakBefore/>
              <w:contextualSpacing/>
              <w:rPr>
                <w:color w:val="auto"/>
                <w:sz w:val="20"/>
                <w:szCs w:val="20"/>
              </w:rPr>
            </w:pPr>
          </w:p>
          <w:p w:rsidR="00E7030F" w:rsidRPr="00A06382" w:rsidRDefault="00E7030F" w:rsidP="00665FD4">
            <w:pPr>
              <w:pStyle w:val="Default"/>
              <w:numPr>
                <w:ilvl w:val="0"/>
                <w:numId w:val="29"/>
              </w:numPr>
              <w:contextualSpacing/>
              <w:rPr>
                <w:color w:val="auto"/>
                <w:sz w:val="20"/>
                <w:szCs w:val="20"/>
              </w:rPr>
            </w:pPr>
            <w:r w:rsidRPr="00A06382">
              <w:rPr>
                <w:color w:val="auto"/>
                <w:sz w:val="20"/>
                <w:szCs w:val="20"/>
              </w:rPr>
              <w:t xml:space="preserve">The provider will take appropriate action to implement and comply with NPSA alerts, medicines recalls and other medicines safety alerts. </w:t>
            </w:r>
          </w:p>
          <w:p w:rsidR="00E7030F" w:rsidRPr="00A06382" w:rsidRDefault="00E7030F" w:rsidP="00665FD4">
            <w:pPr>
              <w:pStyle w:val="Default"/>
              <w:numPr>
                <w:ilvl w:val="0"/>
                <w:numId w:val="29"/>
              </w:numPr>
              <w:contextualSpacing/>
              <w:rPr>
                <w:color w:val="auto"/>
                <w:sz w:val="20"/>
                <w:szCs w:val="20"/>
              </w:rPr>
            </w:pPr>
            <w:r w:rsidRPr="00A06382">
              <w:rPr>
                <w:color w:val="auto"/>
                <w:sz w:val="20"/>
                <w:szCs w:val="20"/>
              </w:rPr>
              <w:t xml:space="preserve">The provider will have in place a system for staff to report adverse drug reactions. </w:t>
            </w:r>
          </w:p>
          <w:p w:rsidR="00E7030F" w:rsidRPr="00A06382" w:rsidRDefault="00E7030F" w:rsidP="00665FD4">
            <w:pPr>
              <w:pStyle w:val="Default"/>
              <w:numPr>
                <w:ilvl w:val="0"/>
                <w:numId w:val="29"/>
              </w:numPr>
              <w:contextualSpacing/>
              <w:rPr>
                <w:color w:val="auto"/>
                <w:sz w:val="20"/>
                <w:szCs w:val="20"/>
              </w:rPr>
            </w:pPr>
            <w:r w:rsidRPr="00A06382">
              <w:rPr>
                <w:color w:val="auto"/>
                <w:sz w:val="20"/>
                <w:szCs w:val="20"/>
              </w:rPr>
              <w:t xml:space="preserve">The provider will have in place a system to report and investigate untoward incidents involving medicines, and ensure that recommendations and actions are completed. </w:t>
            </w:r>
          </w:p>
          <w:p w:rsidR="00E7030F" w:rsidRPr="00A06382" w:rsidRDefault="00E7030F" w:rsidP="00665FD4">
            <w:pPr>
              <w:pStyle w:val="Default"/>
              <w:numPr>
                <w:ilvl w:val="0"/>
                <w:numId w:val="29"/>
              </w:numPr>
              <w:contextualSpacing/>
              <w:rPr>
                <w:color w:val="auto"/>
                <w:sz w:val="20"/>
                <w:szCs w:val="20"/>
              </w:rPr>
            </w:pPr>
            <w:r w:rsidRPr="00A06382">
              <w:rPr>
                <w:color w:val="auto"/>
                <w:sz w:val="20"/>
                <w:szCs w:val="20"/>
              </w:rPr>
              <w:t xml:space="preserve">The provider will ensure that appropriate medicines are available to treat medical emergencies and that staff have received the appropriate training for their use. </w:t>
            </w:r>
          </w:p>
          <w:p w:rsidR="00E7030F" w:rsidRPr="00A06382" w:rsidRDefault="00E7030F" w:rsidP="00665FD4">
            <w:pPr>
              <w:pStyle w:val="Default"/>
              <w:numPr>
                <w:ilvl w:val="0"/>
                <w:numId w:val="29"/>
              </w:numPr>
              <w:contextualSpacing/>
              <w:rPr>
                <w:color w:val="auto"/>
                <w:sz w:val="20"/>
                <w:szCs w:val="20"/>
              </w:rPr>
            </w:pPr>
            <w:r w:rsidRPr="00A06382">
              <w:rPr>
                <w:color w:val="auto"/>
                <w:sz w:val="20"/>
                <w:szCs w:val="20"/>
              </w:rPr>
              <w:t xml:space="preserve">Patient Group Directions for services will be developed and implemented according to legislation, national guidelines and the provider’s agreed procedures for approval and governance.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4.3.6 Stock management </w:t>
            </w:r>
          </w:p>
          <w:p w:rsidR="00E7030F" w:rsidRPr="00A06382" w:rsidRDefault="00E7030F" w:rsidP="00665FD4">
            <w:pPr>
              <w:pStyle w:val="Default"/>
              <w:numPr>
                <w:ilvl w:val="0"/>
                <w:numId w:val="30"/>
              </w:numPr>
              <w:contextualSpacing/>
              <w:rPr>
                <w:color w:val="auto"/>
                <w:sz w:val="20"/>
                <w:szCs w:val="20"/>
              </w:rPr>
            </w:pPr>
            <w:r w:rsidRPr="00A06382">
              <w:rPr>
                <w:color w:val="auto"/>
                <w:sz w:val="20"/>
                <w:szCs w:val="20"/>
              </w:rPr>
              <w:t xml:space="preserve">The provider will have systems in place to ensure robust stock management of medicines, including ordering, transport, storage, supply and disposal. </w:t>
            </w:r>
          </w:p>
          <w:p w:rsidR="00E7030F" w:rsidRPr="00A06382" w:rsidRDefault="00E7030F" w:rsidP="00665FD4">
            <w:pPr>
              <w:pStyle w:val="Default"/>
              <w:numPr>
                <w:ilvl w:val="0"/>
                <w:numId w:val="30"/>
              </w:numPr>
              <w:contextualSpacing/>
              <w:rPr>
                <w:color w:val="auto"/>
                <w:sz w:val="20"/>
                <w:szCs w:val="20"/>
              </w:rPr>
            </w:pPr>
            <w:r w:rsidRPr="00A06382">
              <w:rPr>
                <w:color w:val="auto"/>
                <w:sz w:val="20"/>
                <w:szCs w:val="20"/>
              </w:rPr>
              <w:t xml:space="preserve">The provider will have systems in place to ensure the effective care of medicines requiring special storage (e.g. refrigeration)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4.3.7 Prescribing </w:t>
            </w:r>
          </w:p>
          <w:p w:rsidR="00E7030F" w:rsidRPr="00A06382" w:rsidRDefault="00E7030F" w:rsidP="00665FD4">
            <w:pPr>
              <w:pStyle w:val="Default"/>
              <w:numPr>
                <w:ilvl w:val="0"/>
                <w:numId w:val="31"/>
              </w:numPr>
              <w:contextualSpacing/>
              <w:rPr>
                <w:color w:val="auto"/>
                <w:sz w:val="20"/>
                <w:szCs w:val="20"/>
              </w:rPr>
            </w:pPr>
            <w:r w:rsidRPr="00A06382">
              <w:rPr>
                <w:color w:val="auto"/>
                <w:sz w:val="20"/>
                <w:szCs w:val="20"/>
              </w:rPr>
              <w:t xml:space="preserve">All patients should receive appropriate drug therapy when necessary and in the most appropriate setting. Services currently providing medicines directly to patients will continue to do so. </w:t>
            </w:r>
          </w:p>
          <w:p w:rsidR="00E7030F" w:rsidRPr="00A06382" w:rsidRDefault="00E7030F" w:rsidP="00665FD4">
            <w:pPr>
              <w:pStyle w:val="Default"/>
              <w:numPr>
                <w:ilvl w:val="0"/>
                <w:numId w:val="31"/>
              </w:numPr>
              <w:contextualSpacing/>
              <w:rPr>
                <w:color w:val="auto"/>
                <w:sz w:val="20"/>
                <w:szCs w:val="20"/>
              </w:rPr>
            </w:pPr>
            <w:r w:rsidRPr="00A06382">
              <w:rPr>
                <w:color w:val="auto"/>
                <w:sz w:val="20"/>
                <w:szCs w:val="20"/>
              </w:rPr>
              <w:t xml:space="preserve">Any recommendation for a GP to prescribe a medication should be a class of drug and should not be drug specific. Medicines recommended will comply with NICE guidelines and local formularies &amp; prescribing guidelines. Expert advice will be sought for patients / medicines falling outside these. </w:t>
            </w:r>
          </w:p>
          <w:p w:rsidR="00E7030F" w:rsidRPr="00A06382" w:rsidRDefault="00E7030F" w:rsidP="00665FD4">
            <w:pPr>
              <w:pStyle w:val="Default"/>
              <w:numPr>
                <w:ilvl w:val="0"/>
                <w:numId w:val="31"/>
              </w:numPr>
              <w:contextualSpacing/>
              <w:rPr>
                <w:color w:val="auto"/>
                <w:sz w:val="20"/>
                <w:szCs w:val="20"/>
              </w:rPr>
            </w:pPr>
            <w:r w:rsidRPr="00A06382">
              <w:rPr>
                <w:color w:val="auto"/>
                <w:sz w:val="20"/>
                <w:szCs w:val="20"/>
              </w:rPr>
              <w:t xml:space="preserve">The Provider will have prescribing guidelines / formulary which will include analgesics. These must be agreed in advance with the commissioner to ensure consistency with existing primary care / hospital practice. Any additions or amendments to the guidelines must be agreed with the commissioners in advance of implementation. </w:t>
            </w:r>
          </w:p>
          <w:p w:rsidR="00E7030F" w:rsidRPr="00A06382" w:rsidRDefault="00E7030F" w:rsidP="00665FD4">
            <w:pPr>
              <w:pStyle w:val="Default"/>
              <w:numPr>
                <w:ilvl w:val="0"/>
                <w:numId w:val="31"/>
              </w:numPr>
              <w:contextualSpacing/>
              <w:rPr>
                <w:color w:val="auto"/>
                <w:sz w:val="20"/>
                <w:szCs w:val="20"/>
              </w:rPr>
            </w:pPr>
            <w:r w:rsidRPr="00A06382">
              <w:rPr>
                <w:color w:val="auto"/>
                <w:sz w:val="20"/>
                <w:szCs w:val="20"/>
              </w:rPr>
              <w:t xml:space="preserve">Requests for new additions to the medicines formulary will be according to the local agreed process. </w:t>
            </w:r>
          </w:p>
          <w:p w:rsidR="00E7030F" w:rsidRPr="00A06382" w:rsidRDefault="00E7030F" w:rsidP="00665FD4">
            <w:pPr>
              <w:pStyle w:val="Default"/>
              <w:numPr>
                <w:ilvl w:val="0"/>
                <w:numId w:val="31"/>
              </w:numPr>
              <w:contextualSpacing/>
              <w:rPr>
                <w:color w:val="auto"/>
                <w:sz w:val="20"/>
                <w:szCs w:val="20"/>
              </w:rPr>
            </w:pPr>
            <w:r w:rsidRPr="00A06382">
              <w:rPr>
                <w:color w:val="auto"/>
                <w:sz w:val="20"/>
                <w:szCs w:val="20"/>
              </w:rPr>
              <w:t xml:space="preserve">The provider will ensure patient’s medicines are reviewed at each consultation and stopped, if appropriate. </w:t>
            </w:r>
          </w:p>
          <w:p w:rsidR="00E7030F" w:rsidRPr="00A06382" w:rsidRDefault="00E7030F" w:rsidP="00665FD4">
            <w:pPr>
              <w:pStyle w:val="Default"/>
              <w:numPr>
                <w:ilvl w:val="0"/>
                <w:numId w:val="31"/>
              </w:numPr>
              <w:contextualSpacing/>
              <w:rPr>
                <w:color w:val="auto"/>
                <w:sz w:val="20"/>
                <w:szCs w:val="20"/>
              </w:rPr>
            </w:pPr>
            <w:r w:rsidRPr="00A06382">
              <w:rPr>
                <w:color w:val="auto"/>
                <w:sz w:val="20"/>
                <w:szCs w:val="20"/>
              </w:rPr>
              <w:t xml:space="preserve">The provider will ensure the patient has been given a clear understandable written management plan which should include criteria for stopping treatment.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4.3.8 Communication with other Providers / services </w:t>
            </w:r>
          </w:p>
          <w:p w:rsidR="00E7030F" w:rsidRPr="00A06382" w:rsidRDefault="00E7030F" w:rsidP="00665FD4">
            <w:pPr>
              <w:pStyle w:val="Default"/>
              <w:numPr>
                <w:ilvl w:val="0"/>
                <w:numId w:val="32"/>
              </w:numPr>
              <w:contextualSpacing/>
              <w:rPr>
                <w:color w:val="auto"/>
                <w:sz w:val="20"/>
                <w:szCs w:val="20"/>
              </w:rPr>
            </w:pPr>
            <w:r w:rsidRPr="00A06382">
              <w:rPr>
                <w:color w:val="auto"/>
                <w:sz w:val="20"/>
                <w:szCs w:val="20"/>
              </w:rPr>
              <w:t xml:space="preserve">The Provider will ensure a clear written management plan (including when treatment should stop) is given to all relevant care providers of the patient. </w:t>
            </w:r>
          </w:p>
          <w:p w:rsidR="00E7030F" w:rsidRPr="00A06382" w:rsidRDefault="00E7030F" w:rsidP="00665FD4">
            <w:pPr>
              <w:pStyle w:val="Default"/>
              <w:numPr>
                <w:ilvl w:val="0"/>
                <w:numId w:val="32"/>
              </w:numPr>
              <w:contextualSpacing/>
              <w:rPr>
                <w:color w:val="auto"/>
                <w:sz w:val="20"/>
                <w:szCs w:val="20"/>
              </w:rPr>
            </w:pPr>
            <w:r w:rsidRPr="00A06382">
              <w:rPr>
                <w:color w:val="auto"/>
                <w:sz w:val="20"/>
                <w:szCs w:val="20"/>
              </w:rPr>
              <w:t xml:space="preserve">Any recommendations or significant changes in a patient’s treatment that may affect medicines management should be communicated as soon as possible (for example to the patient’s GP). In </w:t>
            </w:r>
            <w:r w:rsidR="007440AE">
              <w:rPr>
                <w:color w:val="auto"/>
                <w:sz w:val="20"/>
                <w:szCs w:val="20"/>
              </w:rPr>
              <w:t>any case</w:t>
            </w:r>
            <w:r w:rsidRPr="00A06382">
              <w:rPr>
                <w:color w:val="auto"/>
                <w:sz w:val="20"/>
                <w:szCs w:val="20"/>
              </w:rPr>
              <w:t xml:space="preserve"> this should be no longer than 7 days. </w:t>
            </w:r>
          </w:p>
          <w:p w:rsidR="00E7030F" w:rsidRPr="00A06382" w:rsidRDefault="00E7030F" w:rsidP="00665FD4">
            <w:pPr>
              <w:pStyle w:val="Default"/>
              <w:numPr>
                <w:ilvl w:val="0"/>
                <w:numId w:val="32"/>
              </w:numPr>
              <w:contextualSpacing/>
              <w:rPr>
                <w:color w:val="auto"/>
                <w:sz w:val="20"/>
                <w:szCs w:val="20"/>
              </w:rPr>
            </w:pPr>
            <w:r w:rsidRPr="00A06382">
              <w:rPr>
                <w:color w:val="auto"/>
                <w:sz w:val="20"/>
                <w:szCs w:val="20"/>
              </w:rPr>
              <w:t xml:space="preserve">It should include reasons for the recommendations / changes (including stopping of treatment) and any required ongoing monitoring.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4.3.9 Audit: The Provider will audit the use of medicines in the service including: </w:t>
            </w:r>
          </w:p>
          <w:p w:rsidR="00E7030F" w:rsidRPr="00A06382" w:rsidRDefault="00E7030F" w:rsidP="00665FD4">
            <w:pPr>
              <w:pStyle w:val="Default"/>
              <w:numPr>
                <w:ilvl w:val="0"/>
                <w:numId w:val="33"/>
              </w:numPr>
              <w:contextualSpacing/>
              <w:rPr>
                <w:color w:val="auto"/>
                <w:sz w:val="20"/>
                <w:szCs w:val="20"/>
              </w:rPr>
            </w:pPr>
            <w:r w:rsidRPr="00A06382">
              <w:rPr>
                <w:color w:val="auto"/>
                <w:sz w:val="20"/>
                <w:szCs w:val="20"/>
              </w:rPr>
              <w:t xml:space="preserve">Standards and safety according to the criteria above </w:t>
            </w:r>
          </w:p>
          <w:p w:rsidR="00E7030F" w:rsidRPr="00A06382" w:rsidRDefault="00E7030F" w:rsidP="00665FD4">
            <w:pPr>
              <w:numPr>
                <w:ilvl w:val="0"/>
                <w:numId w:val="33"/>
              </w:num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Issue of medicines under PGD to ensure criteria complied with. </w:t>
            </w:r>
          </w:p>
          <w:p w:rsidR="00E7030F" w:rsidRPr="00A06382" w:rsidRDefault="00E7030F" w:rsidP="00665FD4">
            <w:pPr>
              <w:numPr>
                <w:ilvl w:val="0"/>
                <w:numId w:val="33"/>
              </w:num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Audit of prescribing recommendations against formulary guidelines, especially the use of NSAIDs. </w:t>
            </w:r>
          </w:p>
          <w:p w:rsidR="00E7030F" w:rsidRPr="00A06382" w:rsidRDefault="00E7030F" w:rsidP="00665FD4">
            <w:pPr>
              <w:numPr>
                <w:ilvl w:val="0"/>
                <w:numId w:val="33"/>
              </w:num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Audit of quality of information provided on management plans (e.g. if criteria for stopping treatment is included).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b/>
                <w:bCs/>
                <w:color w:val="000000"/>
                <w:sz w:val="20"/>
                <w:lang w:val="en-GB" w:eastAsia="en-GB"/>
              </w:rPr>
              <w:t xml:space="preserve">4.4 Clinical effectiveness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4.4.1 The Provider will work collaboratively with NHS </w:t>
            </w:r>
            <w:r w:rsidR="007440AE">
              <w:rPr>
                <w:rFonts w:ascii="Arial" w:eastAsia="Calibri" w:hAnsi="Arial" w:cs="Arial"/>
                <w:color w:val="000000"/>
                <w:sz w:val="20"/>
                <w:lang w:val="en-GB" w:eastAsia="en-GB"/>
              </w:rPr>
              <w:t xml:space="preserve">Tower Hamlets </w:t>
            </w:r>
            <w:r w:rsidRPr="00A06382">
              <w:rPr>
                <w:rFonts w:ascii="Arial" w:eastAsia="Calibri" w:hAnsi="Arial" w:cs="Arial"/>
                <w:color w:val="000000"/>
                <w:sz w:val="20"/>
                <w:lang w:val="en-GB" w:eastAsia="en-GB"/>
              </w:rPr>
              <w:t xml:space="preserve">CCG and the lead commissioner to ensure the service delivers the required outcomes and provides an effective service to manage demand and pressures within current musculoskeletal pathways.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4.4.2 The Provider will ensure clinical effectiveness is a significant aspect of the service provided, ensuring high quality treatments or services are provided in a way that allows the recipient(s) to achieve maximum health benefits. The provider will provide interventions/services that are known to be effective (evidence based practice).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4.4.3 Clinical effectiveness will also include the provision of care in accordance with high quality evidence based clinical guidelines. It also includes the evaluation of practice or services through the use, for example, of clinical audit or outcome measures in order to further improve quality. The provider must ensure it has an annual programme of clinical audit/evaluation and that any actions arising from audit/ evaluation are implemented. Audit/evaluation reports must be made available to the commissioner upon request.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b/>
                <w:bCs/>
                <w:color w:val="000000"/>
                <w:sz w:val="20"/>
                <w:lang w:val="en-GB" w:eastAsia="en-GB"/>
              </w:rPr>
              <w:t xml:space="preserve">4.5 Workforce Requirements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4.5.1 The Provider is required to have rigorous recruitment processes which comply with all relevant employment legislation acceptable in the UK, and which demonstrate equality and diversity. Any provider will need to provide assurances that they have robust internal policies (e.g. on discrimination, bullying, &amp; harassment) that are compliant with good practice and employment legislation.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4.5.2 The Provider will be expected to provide evidence of staff training regarding good workforce management practice.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4.5.3 The Provider is required to ensure that all personnel providing the medical services are appropriately certified and accredited and are all DBS (Disclosure &amp; Barring Service) checked.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4.5.4 The Provider will ensure that clinical staff employed within the service will have robust clinical supervision and support; professional development plans; and annual appraisal. The Provider will also demonstrate continuing professional development of clinical staff in the field of MSK and pain management.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4.5.5 Non-clinical, administrative and support staff will be supported by the Provider through Personal Development Plans and Individual Development Review (IDR).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4.5.6 The Provider will be required to demonstrate management and administrative arrangements with clear lines of accountability for both clinical and non</w:t>
            </w:r>
            <w:r w:rsidRPr="00A06382">
              <w:rPr>
                <w:rFonts w:ascii="Cambria Math" w:eastAsia="Calibri" w:hAnsi="Cambria Math" w:cs="Cambria Math"/>
                <w:color w:val="000000"/>
                <w:sz w:val="20"/>
                <w:lang w:val="en-GB" w:eastAsia="en-GB"/>
              </w:rPr>
              <w:t>‐</w:t>
            </w:r>
            <w:r w:rsidRPr="00A06382">
              <w:rPr>
                <w:rFonts w:ascii="Arial" w:eastAsia="Calibri" w:hAnsi="Arial" w:cs="Arial"/>
                <w:color w:val="000000"/>
                <w:sz w:val="20"/>
                <w:lang w:val="en-GB" w:eastAsia="en-GB"/>
              </w:rPr>
              <w:t xml:space="preserve">clinical staff. </w:t>
            </w:r>
          </w:p>
          <w:p w:rsidR="00E7030F" w:rsidRPr="00A06382" w:rsidRDefault="00E7030F" w:rsidP="003A64EF">
            <w:pPr>
              <w:pageBreakBefore/>
              <w:autoSpaceDE w:val="0"/>
              <w:autoSpaceDN w:val="0"/>
              <w:adjustRightInd w:val="0"/>
              <w:spacing w:after="0"/>
              <w:contextualSpacing/>
              <w:rPr>
                <w:rFonts w:ascii="Arial" w:eastAsia="Calibri" w:hAnsi="Arial" w:cs="Arial"/>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The Provider must have an identified lead clinician and manager with overall responsibility for the service.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4.5.7 All staff should be up to date with their appropriate mandatory training including;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a. Resuscitation / Basic or Advanced Life Support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b. Fire Safety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c. Health and Safety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d. Infection Control. </w:t>
            </w:r>
          </w:p>
          <w:p w:rsidR="00E7030F" w:rsidRPr="00A06382" w:rsidRDefault="007440AE" w:rsidP="003A64EF">
            <w:pPr>
              <w:autoSpaceDE w:val="0"/>
              <w:autoSpaceDN w:val="0"/>
              <w:adjustRightInd w:val="0"/>
              <w:spacing w:after="0"/>
              <w:contextualSpacing/>
              <w:rPr>
                <w:rFonts w:ascii="Arial" w:eastAsia="Calibri" w:hAnsi="Arial" w:cs="Arial"/>
                <w:sz w:val="20"/>
                <w:lang w:val="en-GB" w:eastAsia="en-GB"/>
              </w:rPr>
            </w:pPr>
            <w:r>
              <w:rPr>
                <w:rFonts w:ascii="Arial" w:eastAsia="Calibri" w:hAnsi="Arial" w:cs="Arial"/>
                <w:sz w:val="20"/>
                <w:lang w:val="en-GB" w:eastAsia="en-GB"/>
              </w:rPr>
              <w:t xml:space="preserve">e. </w:t>
            </w:r>
            <w:r w:rsidR="00E7030F" w:rsidRPr="00A06382">
              <w:rPr>
                <w:rFonts w:ascii="Arial" w:eastAsia="Calibri" w:hAnsi="Arial" w:cs="Arial"/>
                <w:sz w:val="20"/>
                <w:lang w:val="en-GB" w:eastAsia="en-GB"/>
              </w:rPr>
              <w:t xml:space="preserve">Child Protection level 2 or level 3.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f. Equality and diversity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g. Manual handling.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b/>
                <w:bCs/>
                <w:sz w:val="20"/>
                <w:lang w:val="en-GB" w:eastAsia="en-GB"/>
              </w:rPr>
              <w:t xml:space="preserve">4.6 Infrastructure Requirements: Facilities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4.6.1</w:t>
            </w:r>
            <w:r w:rsidR="007440AE">
              <w:rPr>
                <w:rFonts w:ascii="Arial" w:eastAsia="Calibri" w:hAnsi="Arial" w:cs="Arial"/>
                <w:sz w:val="20"/>
                <w:lang w:val="en-GB" w:eastAsia="en-GB"/>
              </w:rPr>
              <w:t xml:space="preserve"> No site has been set out or mandated by NHS Tower Hamlets CCG. The </w:t>
            </w:r>
            <w:r w:rsidRPr="00A06382">
              <w:rPr>
                <w:rFonts w:ascii="Arial" w:eastAsia="Calibri" w:hAnsi="Arial" w:cs="Arial"/>
                <w:sz w:val="20"/>
                <w:lang w:val="en-GB" w:eastAsia="en-GB"/>
              </w:rPr>
              <w:t>Provide</w:t>
            </w:r>
            <w:r w:rsidR="007440AE">
              <w:rPr>
                <w:rFonts w:ascii="Arial" w:eastAsia="Calibri" w:hAnsi="Arial" w:cs="Arial"/>
                <w:sz w:val="20"/>
                <w:lang w:val="en-GB" w:eastAsia="en-GB"/>
              </w:rPr>
              <w:t xml:space="preserve">r is to identify and manage their </w:t>
            </w:r>
            <w:r w:rsidRPr="00A06382">
              <w:rPr>
                <w:rFonts w:ascii="Arial" w:eastAsia="Calibri" w:hAnsi="Arial" w:cs="Arial"/>
                <w:sz w:val="20"/>
                <w:lang w:val="en-GB" w:eastAsia="en-GB"/>
              </w:rPr>
              <w:t xml:space="preserve">facilities as proposed by them in the Invitation to Tender and agreed with the CCG.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p>
          <w:p w:rsidR="00E7030F" w:rsidRPr="00A06382" w:rsidRDefault="007440AE" w:rsidP="003A64EF">
            <w:pPr>
              <w:autoSpaceDE w:val="0"/>
              <w:autoSpaceDN w:val="0"/>
              <w:adjustRightInd w:val="0"/>
              <w:spacing w:after="0"/>
              <w:contextualSpacing/>
              <w:rPr>
                <w:rFonts w:ascii="Arial" w:eastAsia="Calibri" w:hAnsi="Arial" w:cs="Arial"/>
                <w:sz w:val="20"/>
                <w:lang w:val="en-GB" w:eastAsia="en-GB"/>
              </w:rPr>
            </w:pPr>
            <w:r w:rsidRPr="007440AE">
              <w:rPr>
                <w:rFonts w:ascii="Arial" w:eastAsia="Calibri" w:hAnsi="Arial" w:cs="Arial"/>
                <w:bCs/>
                <w:sz w:val="20"/>
                <w:lang w:val="en-GB" w:eastAsia="en-GB"/>
              </w:rPr>
              <w:t>4.6.2</w:t>
            </w:r>
            <w:r w:rsidR="00E7030F" w:rsidRPr="00A06382">
              <w:rPr>
                <w:rFonts w:ascii="Arial" w:eastAsia="Calibri" w:hAnsi="Arial" w:cs="Arial"/>
                <w:b/>
                <w:bCs/>
                <w:sz w:val="20"/>
                <w:lang w:val="en-GB" w:eastAsia="en-GB"/>
              </w:rPr>
              <w:t xml:space="preserve"> </w:t>
            </w:r>
            <w:r w:rsidR="00E7030F" w:rsidRPr="00A06382">
              <w:rPr>
                <w:rFonts w:ascii="Arial" w:eastAsia="Calibri" w:hAnsi="Arial" w:cs="Arial"/>
                <w:sz w:val="20"/>
                <w:lang w:val="en-GB" w:eastAsia="en-GB"/>
              </w:rPr>
              <w:t xml:space="preserve">The Provider will be responsible for rent and rates of the premises for the duration of the contract. Providers will need to take into this into account in their financial planning and costs for the service. Heads of Agreement and accompanying terms must be agreed prior to commencement of the service occupancy/ delivery. </w:t>
            </w:r>
          </w:p>
          <w:p w:rsidR="00E7030F" w:rsidRPr="00A06382" w:rsidRDefault="00E7030F" w:rsidP="003A64EF">
            <w:pPr>
              <w:autoSpaceDE w:val="0"/>
              <w:autoSpaceDN w:val="0"/>
              <w:adjustRightInd w:val="0"/>
              <w:spacing w:after="0"/>
              <w:contextualSpacing/>
              <w:rPr>
                <w:rFonts w:ascii="Arial" w:eastAsia="Calibri" w:hAnsi="Arial" w:cs="Arial"/>
                <w:sz w:val="20"/>
                <w:lang w:val="en-GB" w:eastAsia="en-GB"/>
              </w:rPr>
            </w:pPr>
          </w:p>
          <w:p w:rsidR="00E7030F" w:rsidRPr="007440AE" w:rsidRDefault="007440AE" w:rsidP="003A64EF">
            <w:pPr>
              <w:autoSpaceDE w:val="0"/>
              <w:autoSpaceDN w:val="0"/>
              <w:adjustRightInd w:val="0"/>
              <w:spacing w:after="0"/>
              <w:contextualSpacing/>
              <w:rPr>
                <w:rFonts w:ascii="Arial" w:eastAsia="Calibri" w:hAnsi="Arial" w:cs="Arial"/>
                <w:sz w:val="20"/>
                <w:lang w:val="en-GB" w:eastAsia="en-GB"/>
              </w:rPr>
            </w:pPr>
            <w:r>
              <w:rPr>
                <w:rFonts w:ascii="Arial" w:eastAsia="Calibri" w:hAnsi="Arial" w:cs="Arial"/>
                <w:bCs/>
                <w:sz w:val="20"/>
                <w:lang w:val="en-GB" w:eastAsia="en-GB"/>
              </w:rPr>
              <w:t>4.6.3</w:t>
            </w:r>
            <w:r w:rsidR="00E7030F" w:rsidRPr="007440AE">
              <w:rPr>
                <w:rFonts w:ascii="Arial" w:eastAsia="Calibri" w:hAnsi="Arial" w:cs="Arial"/>
                <w:bCs/>
                <w:sz w:val="20"/>
                <w:lang w:val="en-GB" w:eastAsia="en-GB"/>
              </w:rPr>
              <w:t xml:space="preserve"> </w:t>
            </w:r>
            <w:r w:rsidR="00E7030F" w:rsidRPr="007440AE">
              <w:rPr>
                <w:rFonts w:ascii="Arial" w:eastAsia="Calibri" w:hAnsi="Arial" w:cs="Arial"/>
                <w:sz w:val="20"/>
                <w:lang w:val="en-GB" w:eastAsia="en-GB"/>
              </w:rPr>
              <w:t xml:space="preserve">The Provider will be required to meet </w:t>
            </w:r>
            <w:r>
              <w:rPr>
                <w:rFonts w:ascii="Arial" w:eastAsia="Calibri" w:hAnsi="Arial" w:cs="Arial"/>
                <w:sz w:val="20"/>
                <w:lang w:val="en-GB" w:eastAsia="en-GB"/>
              </w:rPr>
              <w:t>all</w:t>
            </w:r>
            <w:r w:rsidR="00E7030F" w:rsidRPr="007440AE">
              <w:rPr>
                <w:rFonts w:ascii="Arial" w:eastAsia="Calibri" w:hAnsi="Arial" w:cs="Arial"/>
                <w:sz w:val="20"/>
                <w:lang w:val="en-GB" w:eastAsia="en-GB"/>
              </w:rPr>
              <w:t xml:space="preserve"> service costs for the facility. Any charges which are directly attri</w:t>
            </w:r>
            <w:r>
              <w:rPr>
                <w:rFonts w:ascii="Arial" w:eastAsia="Calibri" w:hAnsi="Arial" w:cs="Arial"/>
                <w:sz w:val="20"/>
                <w:lang w:val="en-GB" w:eastAsia="en-GB"/>
              </w:rPr>
              <w:t>butable to the service will</w:t>
            </w:r>
            <w:r w:rsidR="00E7030F" w:rsidRPr="007440AE">
              <w:rPr>
                <w:rFonts w:ascii="Arial" w:eastAsia="Calibri" w:hAnsi="Arial" w:cs="Arial"/>
                <w:sz w:val="20"/>
                <w:lang w:val="en-GB" w:eastAsia="en-GB"/>
              </w:rPr>
              <w:t xml:space="preserve"> be specified in the Heads of Agreement and billed accordingly. </w:t>
            </w:r>
          </w:p>
          <w:p w:rsidR="00E7030F" w:rsidRPr="007440AE" w:rsidRDefault="00E7030F" w:rsidP="003A64EF">
            <w:pPr>
              <w:autoSpaceDE w:val="0"/>
              <w:autoSpaceDN w:val="0"/>
              <w:adjustRightInd w:val="0"/>
              <w:spacing w:after="0"/>
              <w:contextualSpacing/>
              <w:rPr>
                <w:rFonts w:ascii="Arial" w:eastAsia="Calibri" w:hAnsi="Arial" w:cs="Arial"/>
                <w:sz w:val="20"/>
                <w:lang w:val="en-GB" w:eastAsia="en-GB"/>
              </w:rPr>
            </w:pPr>
          </w:p>
          <w:p w:rsidR="00E7030F" w:rsidRPr="007440AE" w:rsidRDefault="007440AE" w:rsidP="003A64EF">
            <w:pPr>
              <w:autoSpaceDE w:val="0"/>
              <w:autoSpaceDN w:val="0"/>
              <w:adjustRightInd w:val="0"/>
              <w:spacing w:after="0"/>
              <w:contextualSpacing/>
              <w:rPr>
                <w:rFonts w:ascii="Arial" w:eastAsia="Calibri" w:hAnsi="Arial" w:cs="Arial"/>
                <w:sz w:val="20"/>
                <w:lang w:val="en-GB" w:eastAsia="en-GB"/>
              </w:rPr>
            </w:pPr>
            <w:r>
              <w:rPr>
                <w:rFonts w:ascii="Arial" w:eastAsia="Calibri" w:hAnsi="Arial" w:cs="Arial"/>
                <w:bCs/>
                <w:sz w:val="20"/>
                <w:lang w:val="en-GB" w:eastAsia="en-GB"/>
              </w:rPr>
              <w:t>4.6.4</w:t>
            </w:r>
            <w:r w:rsidR="00E7030F" w:rsidRPr="007440AE">
              <w:rPr>
                <w:rFonts w:ascii="Arial" w:eastAsia="Calibri" w:hAnsi="Arial" w:cs="Arial"/>
                <w:bCs/>
                <w:sz w:val="20"/>
                <w:lang w:val="en-GB" w:eastAsia="en-GB"/>
              </w:rPr>
              <w:t xml:space="preserve"> </w:t>
            </w:r>
            <w:r w:rsidR="00E7030F" w:rsidRPr="007440AE">
              <w:rPr>
                <w:rFonts w:ascii="Arial" w:eastAsia="Calibri" w:hAnsi="Arial" w:cs="Arial"/>
                <w:sz w:val="20"/>
                <w:lang w:val="en-GB" w:eastAsia="en-GB"/>
              </w:rPr>
              <w:t xml:space="preserve">The Provider will ensure the provision of all consumables required for the service and will bear all associated costs. </w:t>
            </w:r>
          </w:p>
          <w:p w:rsidR="00E7030F" w:rsidRPr="007440AE" w:rsidRDefault="00E7030F" w:rsidP="003A64EF">
            <w:pPr>
              <w:autoSpaceDE w:val="0"/>
              <w:autoSpaceDN w:val="0"/>
              <w:adjustRightInd w:val="0"/>
              <w:spacing w:after="0"/>
              <w:contextualSpacing/>
              <w:rPr>
                <w:rFonts w:ascii="Arial" w:eastAsia="Calibri" w:hAnsi="Arial" w:cs="Arial"/>
                <w:sz w:val="20"/>
                <w:lang w:val="en-GB" w:eastAsia="en-GB"/>
              </w:rPr>
            </w:pPr>
          </w:p>
          <w:p w:rsidR="00E7030F" w:rsidRPr="00A06382" w:rsidRDefault="007440AE" w:rsidP="003A64EF">
            <w:pPr>
              <w:autoSpaceDE w:val="0"/>
              <w:autoSpaceDN w:val="0"/>
              <w:adjustRightInd w:val="0"/>
              <w:spacing w:after="0"/>
              <w:contextualSpacing/>
              <w:rPr>
                <w:rFonts w:ascii="Arial" w:eastAsia="Calibri" w:hAnsi="Arial" w:cs="Arial"/>
                <w:sz w:val="20"/>
                <w:lang w:val="en-GB" w:eastAsia="en-GB"/>
              </w:rPr>
            </w:pPr>
            <w:r>
              <w:rPr>
                <w:rFonts w:ascii="Arial" w:eastAsia="Calibri" w:hAnsi="Arial" w:cs="Arial"/>
                <w:bCs/>
                <w:sz w:val="20"/>
                <w:lang w:val="en-GB" w:eastAsia="en-GB"/>
              </w:rPr>
              <w:t>4.6.5</w:t>
            </w:r>
            <w:r w:rsidR="00E7030F" w:rsidRPr="007440AE">
              <w:rPr>
                <w:rFonts w:ascii="Arial" w:eastAsia="Calibri" w:hAnsi="Arial" w:cs="Arial"/>
                <w:bCs/>
                <w:sz w:val="20"/>
                <w:lang w:val="en-GB" w:eastAsia="en-GB"/>
              </w:rPr>
              <w:t xml:space="preserve"> </w:t>
            </w:r>
            <w:r w:rsidR="00E7030F" w:rsidRPr="007440AE">
              <w:rPr>
                <w:rFonts w:ascii="Arial" w:eastAsia="Calibri" w:hAnsi="Arial" w:cs="Arial"/>
                <w:sz w:val="20"/>
                <w:lang w:val="en-GB" w:eastAsia="en-GB"/>
              </w:rPr>
              <w:t>The Provider will ensure that all facilities from which services are provided meet the following</w:t>
            </w:r>
            <w:r>
              <w:rPr>
                <w:rFonts w:ascii="Arial" w:eastAsia="Calibri" w:hAnsi="Arial" w:cs="Arial"/>
                <w:sz w:val="20"/>
                <w:lang w:val="en-GB" w:eastAsia="en-GB"/>
              </w:rPr>
              <w:t xml:space="preserve"> requirements: </w:t>
            </w:r>
          </w:p>
          <w:p w:rsidR="00E7030F" w:rsidRPr="00A06382" w:rsidRDefault="00E7030F" w:rsidP="00665FD4">
            <w:pPr>
              <w:numPr>
                <w:ilvl w:val="0"/>
                <w:numId w:val="34"/>
              </w:num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Are safe and comply with current health and safety regulations, including Health and Safety at Work etc Act 1974 </w:t>
            </w:r>
          </w:p>
          <w:p w:rsidR="00E7030F" w:rsidRPr="007440AE" w:rsidRDefault="00E7030F" w:rsidP="00665FD4">
            <w:pPr>
              <w:numPr>
                <w:ilvl w:val="0"/>
                <w:numId w:val="34"/>
              </w:numPr>
              <w:autoSpaceDE w:val="0"/>
              <w:autoSpaceDN w:val="0"/>
              <w:adjustRightInd w:val="0"/>
              <w:spacing w:after="0"/>
              <w:contextualSpacing/>
              <w:rPr>
                <w:rFonts w:ascii="Arial" w:eastAsia="Calibri" w:hAnsi="Arial" w:cs="Arial"/>
                <w:sz w:val="20"/>
                <w:lang w:val="en-GB" w:eastAsia="en-GB"/>
              </w:rPr>
            </w:pPr>
            <w:r w:rsidRPr="00A06382">
              <w:rPr>
                <w:rFonts w:ascii="Arial" w:eastAsia="Calibri" w:hAnsi="Arial" w:cs="Arial"/>
                <w:sz w:val="20"/>
                <w:lang w:val="en-GB" w:eastAsia="en-GB"/>
              </w:rPr>
              <w:t xml:space="preserve">Are compliant with the Disability Discrimination Act 1995 </w:t>
            </w:r>
          </w:p>
          <w:p w:rsidR="00E7030F" w:rsidRPr="00A06382" w:rsidRDefault="00E7030F" w:rsidP="00665FD4">
            <w:pPr>
              <w:numPr>
                <w:ilvl w:val="0"/>
                <w:numId w:val="34"/>
              </w:num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Are supplied with power, light, heating and have an acceptable level of decor are constructed so that confidentiality, privacy and dignity can be maintained at all times.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b/>
                <w:bCs/>
                <w:color w:val="000000"/>
                <w:sz w:val="20"/>
                <w:lang w:val="en-GB" w:eastAsia="en-GB"/>
              </w:rPr>
              <w:t xml:space="preserve">4.7 Equipment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4.7.1 It is the responsibility of the provider to purchase, quality control, calibrate, maintain to a high standard and safety, and ensure equipment fit for purpose. Infrastructure requirements are being sought, and providers will be responsible for purchase of heavy equipment such as plinths or couches.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4.7.2 It is the Provider’s responsibility to replace all relevant equipment and consumables required to provide the service.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4.7.3 During the implementation phase of the service development, when the clinical space has been agreed and confirmed, the Provider will work with the NHS </w:t>
            </w:r>
            <w:r w:rsidR="007440AE">
              <w:rPr>
                <w:rFonts w:ascii="Arial" w:eastAsia="Calibri" w:hAnsi="Arial" w:cs="Arial"/>
                <w:color w:val="000000"/>
                <w:sz w:val="20"/>
                <w:lang w:val="en-GB" w:eastAsia="en-GB"/>
              </w:rPr>
              <w:t>Tower Hamlets</w:t>
            </w:r>
            <w:r w:rsidRPr="00A06382">
              <w:rPr>
                <w:rFonts w:ascii="Arial" w:eastAsia="Calibri" w:hAnsi="Arial" w:cs="Arial"/>
                <w:color w:val="000000"/>
                <w:sz w:val="20"/>
                <w:lang w:val="en-GB" w:eastAsia="en-GB"/>
              </w:rPr>
              <w:t xml:space="preserve"> CCG Estates team to complete the Equipment Inventory. All consumable and non-consumable items will be the responsibility of the Provider.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4.7.4 Equipment must be maintained and decontaminated in line with manufacturer’s instructions and all relevant national guidance relating to decontamination of re</w:t>
            </w:r>
            <w:r w:rsidRPr="00A06382">
              <w:rPr>
                <w:rFonts w:ascii="Cambria Math" w:eastAsia="Calibri" w:hAnsi="Cambria Math" w:cs="Cambria Math"/>
                <w:color w:val="000000"/>
                <w:sz w:val="20"/>
                <w:lang w:val="en-GB" w:eastAsia="en-GB"/>
              </w:rPr>
              <w:t>‐</w:t>
            </w:r>
            <w:r w:rsidRPr="00A06382">
              <w:rPr>
                <w:rFonts w:ascii="Arial" w:eastAsia="Calibri" w:hAnsi="Arial" w:cs="Arial"/>
                <w:color w:val="000000"/>
                <w:sz w:val="20"/>
                <w:lang w:val="en-GB" w:eastAsia="en-GB"/>
              </w:rPr>
              <w:t xml:space="preserve">usable medical devices.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4.7.5 Decontamination of Equipment) and environmental requirements will be in line with NHS Estates Health Building notes. The provider will be expected to maximise the use of new innovations and technology where there is an evidence base.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b/>
                <w:bCs/>
                <w:color w:val="000000"/>
                <w:sz w:val="20"/>
                <w:lang w:val="en-GB" w:eastAsia="en-GB"/>
              </w:rPr>
              <w:t xml:space="preserve">4.8 IM&amp;T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4.8.1 The Provider will be required to demonstrate robust information and data systems that meet information governance and IM&amp;T standards, and evidence their capability to record and report commissioning and contractual metrics. The Provider will also be required to use the patient NHS number as the national patient identifier to support accuracy in identifying patients and linking records.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4.8.2 The Provide is responsible for identifying and providing an IT system that meets the requirements of the Service as outlined in this section (4.8). </w:t>
            </w:r>
          </w:p>
          <w:p w:rsidR="007440AE" w:rsidRPr="00A06382" w:rsidRDefault="007440AE"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4.8.3 Electronic referrals into the service will be received via Choose and Book and onward referrals to secondary care should be sent via Choose and Book. It will be the provider’s responsibility to set up the service DOS and clinic appointments on Choose and Book. These must be maintained for the duration of the contract. </w:t>
            </w: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p>
          <w:p w:rsidR="00E7030F" w:rsidRPr="00A06382" w:rsidRDefault="00E7030F" w:rsidP="003A64EF">
            <w:pPr>
              <w:autoSpaceDE w:val="0"/>
              <w:autoSpaceDN w:val="0"/>
              <w:adjustRightInd w:val="0"/>
              <w:spacing w:after="0"/>
              <w:contextualSpacing/>
              <w:rPr>
                <w:rFonts w:ascii="Arial" w:eastAsia="Calibri" w:hAnsi="Arial" w:cs="Arial"/>
                <w:color w:val="000000"/>
                <w:sz w:val="20"/>
                <w:lang w:val="en-GB" w:eastAsia="en-GB"/>
              </w:rPr>
            </w:pPr>
            <w:r w:rsidRPr="00A06382">
              <w:rPr>
                <w:rFonts w:ascii="Arial" w:eastAsia="Calibri" w:hAnsi="Arial" w:cs="Arial"/>
                <w:color w:val="000000"/>
                <w:sz w:val="20"/>
                <w:lang w:val="en-GB" w:eastAsia="en-GB"/>
              </w:rPr>
              <w:t xml:space="preserve">4.8.4 The chosen IT System will allow the Service to exchange information safely and securely with the other IT systems which are in use by key stakeholders and service partners within </w:t>
            </w:r>
            <w:r w:rsidR="00665FD4">
              <w:rPr>
                <w:rFonts w:ascii="Arial" w:eastAsia="Calibri" w:hAnsi="Arial" w:cs="Arial"/>
                <w:color w:val="000000"/>
                <w:sz w:val="20"/>
                <w:lang w:val="en-GB" w:eastAsia="en-GB"/>
              </w:rPr>
              <w:t>Tower Hamlets</w:t>
            </w:r>
            <w:r w:rsidRPr="00A06382">
              <w:rPr>
                <w:rFonts w:ascii="Arial" w:eastAsia="Calibri" w:hAnsi="Arial" w:cs="Arial"/>
                <w:color w:val="000000"/>
                <w:sz w:val="20"/>
                <w:lang w:val="en-GB" w:eastAsia="en-GB"/>
              </w:rPr>
              <w:t xml:space="preserve">. These IT </w:t>
            </w:r>
            <w:r w:rsidR="007440AE">
              <w:rPr>
                <w:rFonts w:ascii="Arial" w:eastAsia="Calibri" w:hAnsi="Arial" w:cs="Arial"/>
                <w:color w:val="000000"/>
                <w:sz w:val="20"/>
                <w:lang w:val="en-GB" w:eastAsia="en-GB"/>
              </w:rPr>
              <w:t>systems are detailed in figure 2</w:t>
            </w:r>
            <w:r w:rsidRPr="00A06382">
              <w:rPr>
                <w:rFonts w:ascii="Arial" w:eastAsia="Calibri" w:hAnsi="Arial" w:cs="Arial"/>
                <w:color w:val="000000"/>
                <w:sz w:val="20"/>
                <w:lang w:val="en-GB" w:eastAsia="en-GB"/>
              </w:rPr>
              <w:t xml:space="preserve">. </w:t>
            </w:r>
          </w:p>
          <w:p w:rsidR="00E7030F" w:rsidRDefault="00E7030F" w:rsidP="003A64EF">
            <w:pPr>
              <w:spacing w:after="0"/>
              <w:contextualSpacing/>
              <w:rPr>
                <w:rFonts w:ascii="Arial" w:hAnsi="Arial" w:cs="Arial"/>
                <w:color w:val="000000"/>
                <w:sz w:val="16"/>
                <w:szCs w:val="16"/>
              </w:rPr>
            </w:pPr>
          </w:p>
          <w:p w:rsidR="00EA5A7F" w:rsidRPr="00EB378A" w:rsidRDefault="00EA5A7F" w:rsidP="003A64EF">
            <w:pPr>
              <w:spacing w:after="0"/>
              <w:contextualSpacing/>
              <w:rPr>
                <w:rFonts w:ascii="Arial"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E7030F" w:rsidRPr="00A06382" w:rsidTr="0081205C">
              <w:trPr>
                <w:trHeight w:val="259"/>
              </w:trPr>
              <w:tc>
                <w:tcPr>
                  <w:tcW w:w="8508" w:type="dxa"/>
                  <w:shd w:val="clear" w:color="auto" w:fill="FFC000"/>
                </w:tcPr>
                <w:p w:rsidR="00E7030F" w:rsidRDefault="00E7030F" w:rsidP="00975080">
                  <w:pPr>
                    <w:spacing w:after="0"/>
                    <w:contextualSpacing/>
                    <w:rPr>
                      <w:rFonts w:ascii="Arial" w:hAnsi="Arial" w:cs="Arial"/>
                      <w:sz w:val="20"/>
                    </w:rPr>
                  </w:pPr>
                  <w:r w:rsidRPr="0081205C">
                    <w:rPr>
                      <w:rFonts w:ascii="Arial" w:hAnsi="Arial" w:cs="Arial"/>
                      <w:b/>
                      <w:sz w:val="20"/>
                    </w:rPr>
                    <w:t>Emis Web:</w:t>
                  </w:r>
                  <w:r w:rsidRPr="00A06382">
                    <w:rPr>
                      <w:rFonts w:ascii="Arial" w:hAnsi="Arial" w:cs="Arial"/>
                      <w:sz w:val="20"/>
                    </w:rPr>
                    <w:t xml:space="preserve"> Patient presents to GP practice and care is recorded</w:t>
                  </w:r>
                </w:p>
                <w:p w:rsidR="0081205C" w:rsidRDefault="0081205C" w:rsidP="00975080">
                  <w:pPr>
                    <w:spacing w:after="0"/>
                    <w:contextualSpacing/>
                    <w:rPr>
                      <w:rFonts w:ascii="Arial" w:hAnsi="Arial" w:cs="Arial"/>
                      <w:sz w:val="20"/>
                    </w:rPr>
                  </w:pPr>
                </w:p>
                <w:p w:rsidR="0081205C" w:rsidRPr="00A06382" w:rsidRDefault="0081205C" w:rsidP="00975080">
                  <w:pPr>
                    <w:spacing w:after="0"/>
                    <w:contextualSpacing/>
                    <w:rPr>
                      <w:rFonts w:ascii="Arial" w:hAnsi="Arial" w:cs="Arial"/>
                      <w:sz w:val="20"/>
                    </w:rPr>
                  </w:pPr>
                </w:p>
              </w:tc>
            </w:tr>
            <w:tr w:rsidR="00E7030F" w:rsidRPr="00A06382" w:rsidTr="0081205C">
              <w:trPr>
                <w:trHeight w:val="243"/>
              </w:trPr>
              <w:tc>
                <w:tcPr>
                  <w:tcW w:w="8508" w:type="dxa"/>
                  <w:shd w:val="clear" w:color="auto" w:fill="FFC000"/>
                </w:tcPr>
                <w:p w:rsidR="00E7030F" w:rsidRDefault="00E7030F" w:rsidP="00975080">
                  <w:pPr>
                    <w:spacing w:after="0"/>
                    <w:contextualSpacing/>
                    <w:rPr>
                      <w:rFonts w:ascii="Arial" w:hAnsi="Arial" w:cs="Arial"/>
                      <w:sz w:val="20"/>
                    </w:rPr>
                  </w:pPr>
                  <w:r w:rsidRPr="0081205C">
                    <w:rPr>
                      <w:rFonts w:ascii="Arial" w:hAnsi="Arial" w:cs="Arial"/>
                      <w:b/>
                      <w:sz w:val="20"/>
                    </w:rPr>
                    <w:t>Choose &amp; Book:</w:t>
                  </w:r>
                  <w:r w:rsidRPr="00A06382">
                    <w:rPr>
                      <w:rFonts w:ascii="Arial" w:hAnsi="Arial" w:cs="Arial"/>
                      <w:sz w:val="20"/>
                    </w:rPr>
                    <w:t xml:space="preserve"> Patient referred to MSK Service</w:t>
                  </w:r>
                  <w:r w:rsidR="0024231C">
                    <w:rPr>
                      <w:rFonts w:ascii="Arial" w:hAnsi="Arial" w:cs="Arial"/>
                      <w:sz w:val="20"/>
                    </w:rPr>
                    <w:t xml:space="preserve"> and from MSK service to acute services</w:t>
                  </w:r>
                </w:p>
                <w:p w:rsidR="0081205C" w:rsidRDefault="0081205C" w:rsidP="00975080">
                  <w:pPr>
                    <w:spacing w:after="0"/>
                    <w:contextualSpacing/>
                    <w:rPr>
                      <w:rFonts w:ascii="Arial" w:hAnsi="Arial" w:cs="Arial"/>
                      <w:sz w:val="20"/>
                    </w:rPr>
                  </w:pPr>
                </w:p>
                <w:p w:rsidR="0081205C" w:rsidRPr="00A06382" w:rsidRDefault="0081205C" w:rsidP="00975080">
                  <w:pPr>
                    <w:spacing w:after="0"/>
                    <w:contextualSpacing/>
                    <w:rPr>
                      <w:rFonts w:ascii="Arial" w:hAnsi="Arial" w:cs="Arial"/>
                      <w:sz w:val="20"/>
                    </w:rPr>
                  </w:pPr>
                </w:p>
              </w:tc>
            </w:tr>
            <w:tr w:rsidR="00E7030F" w:rsidRPr="00A06382" w:rsidTr="0081205C">
              <w:trPr>
                <w:trHeight w:val="259"/>
              </w:trPr>
              <w:tc>
                <w:tcPr>
                  <w:tcW w:w="8508" w:type="dxa"/>
                  <w:shd w:val="clear" w:color="auto" w:fill="FFC000"/>
                </w:tcPr>
                <w:p w:rsidR="00E7030F" w:rsidRDefault="00E7030F" w:rsidP="007440AE">
                  <w:pPr>
                    <w:spacing w:after="0"/>
                    <w:contextualSpacing/>
                    <w:rPr>
                      <w:rFonts w:ascii="Arial" w:hAnsi="Arial" w:cs="Arial"/>
                      <w:sz w:val="20"/>
                    </w:rPr>
                  </w:pPr>
                  <w:r w:rsidRPr="0081205C">
                    <w:rPr>
                      <w:rFonts w:ascii="Arial" w:hAnsi="Arial" w:cs="Arial"/>
                      <w:b/>
                      <w:sz w:val="20"/>
                    </w:rPr>
                    <w:t>IM&amp;T proposed by Provider:</w:t>
                  </w:r>
                  <w:r w:rsidRPr="00A06382">
                    <w:rPr>
                      <w:rFonts w:ascii="Arial" w:hAnsi="Arial" w:cs="Arial"/>
                      <w:sz w:val="20"/>
                    </w:rPr>
                    <w:t xml:space="preserve"> MSK/</w:t>
                  </w:r>
                  <w:r w:rsidR="007440AE">
                    <w:rPr>
                      <w:rFonts w:ascii="Arial" w:hAnsi="Arial" w:cs="Arial"/>
                      <w:sz w:val="20"/>
                    </w:rPr>
                    <w:t>PAIN</w:t>
                  </w:r>
                  <w:r w:rsidRPr="00A06382">
                    <w:rPr>
                      <w:rFonts w:ascii="Arial" w:hAnsi="Arial" w:cs="Arial"/>
                      <w:sz w:val="20"/>
                    </w:rPr>
                    <w:t xml:space="preserve"> Service -patient episode documented &amp; managed</w:t>
                  </w:r>
                </w:p>
                <w:p w:rsidR="0081205C" w:rsidRDefault="0081205C" w:rsidP="007440AE">
                  <w:pPr>
                    <w:spacing w:after="0"/>
                    <w:contextualSpacing/>
                    <w:rPr>
                      <w:rFonts w:ascii="Arial" w:hAnsi="Arial" w:cs="Arial"/>
                      <w:sz w:val="20"/>
                    </w:rPr>
                  </w:pPr>
                </w:p>
                <w:p w:rsidR="0081205C" w:rsidRPr="00A06382" w:rsidRDefault="0081205C" w:rsidP="007440AE">
                  <w:pPr>
                    <w:spacing w:after="0"/>
                    <w:contextualSpacing/>
                    <w:rPr>
                      <w:rFonts w:ascii="Arial" w:hAnsi="Arial" w:cs="Arial"/>
                      <w:sz w:val="20"/>
                    </w:rPr>
                  </w:pPr>
                </w:p>
              </w:tc>
            </w:tr>
            <w:tr w:rsidR="00E7030F" w:rsidRPr="00A06382" w:rsidTr="0081205C">
              <w:trPr>
                <w:trHeight w:val="275"/>
              </w:trPr>
              <w:tc>
                <w:tcPr>
                  <w:tcW w:w="8508" w:type="dxa"/>
                  <w:shd w:val="clear" w:color="auto" w:fill="FFC000"/>
                </w:tcPr>
                <w:p w:rsidR="00E7030F" w:rsidRDefault="00E7030F" w:rsidP="00975080">
                  <w:pPr>
                    <w:spacing w:after="0"/>
                    <w:contextualSpacing/>
                    <w:rPr>
                      <w:rFonts w:ascii="Arial" w:hAnsi="Arial" w:cs="Arial"/>
                      <w:sz w:val="20"/>
                    </w:rPr>
                  </w:pPr>
                  <w:r w:rsidRPr="0081205C">
                    <w:rPr>
                      <w:rFonts w:ascii="Arial" w:hAnsi="Arial" w:cs="Arial"/>
                      <w:b/>
                      <w:sz w:val="20"/>
                    </w:rPr>
                    <w:t>PACS:</w:t>
                  </w:r>
                  <w:r w:rsidRPr="00A06382">
                    <w:rPr>
                      <w:rFonts w:ascii="Arial" w:hAnsi="Arial" w:cs="Arial"/>
                      <w:sz w:val="20"/>
                    </w:rPr>
                    <w:t xml:space="preserve"> Diagnostics (XRay, MRI, Ultrasound, Bloods). Requests sent, results received / reviewed</w:t>
                  </w:r>
                </w:p>
                <w:p w:rsidR="0081205C" w:rsidRDefault="0081205C" w:rsidP="00975080">
                  <w:pPr>
                    <w:spacing w:after="0"/>
                    <w:contextualSpacing/>
                    <w:rPr>
                      <w:rFonts w:ascii="Arial" w:hAnsi="Arial" w:cs="Arial"/>
                      <w:sz w:val="20"/>
                    </w:rPr>
                  </w:pPr>
                </w:p>
                <w:p w:rsidR="0081205C" w:rsidRPr="00A06382" w:rsidRDefault="0081205C" w:rsidP="00975080">
                  <w:pPr>
                    <w:spacing w:after="0"/>
                    <w:contextualSpacing/>
                    <w:rPr>
                      <w:rFonts w:ascii="Arial" w:hAnsi="Arial" w:cs="Arial"/>
                      <w:sz w:val="20"/>
                    </w:rPr>
                  </w:pPr>
                </w:p>
              </w:tc>
            </w:tr>
          </w:tbl>
          <w:p w:rsidR="00E7030F" w:rsidRPr="00A06382" w:rsidRDefault="007440AE" w:rsidP="003A64EF">
            <w:pPr>
              <w:spacing w:after="0"/>
              <w:contextualSpacing/>
              <w:rPr>
                <w:rFonts w:ascii="Arial" w:hAnsi="Arial" w:cs="Arial"/>
                <w:color w:val="009966"/>
                <w:sz w:val="20"/>
              </w:rPr>
            </w:pPr>
            <w:r>
              <w:rPr>
                <w:rFonts w:ascii="Arial" w:hAnsi="Arial" w:cs="Arial"/>
                <w:b/>
                <w:bCs/>
                <w:sz w:val="20"/>
              </w:rPr>
              <w:t>Figure 2</w:t>
            </w:r>
            <w:r w:rsidR="00E7030F" w:rsidRPr="00A06382">
              <w:rPr>
                <w:rFonts w:ascii="Arial" w:hAnsi="Arial" w:cs="Arial"/>
                <w:b/>
                <w:bCs/>
                <w:sz w:val="20"/>
              </w:rPr>
              <w:t>: Existing IT systems in use in Tower Hamlets.</w:t>
            </w:r>
          </w:p>
          <w:p w:rsidR="00E7030F" w:rsidRPr="00A06382" w:rsidRDefault="00E7030F" w:rsidP="003A64EF">
            <w:pPr>
              <w:spacing w:after="0"/>
              <w:contextualSpacing/>
              <w:rPr>
                <w:rFonts w:ascii="Arial" w:hAnsi="Arial" w:cs="Arial"/>
                <w:color w:val="009966"/>
                <w:sz w:val="20"/>
              </w:rPr>
            </w:pP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4.8.5 The Provider will comply with the NHS </w:t>
            </w:r>
            <w:r w:rsidR="007440AE">
              <w:rPr>
                <w:sz w:val="20"/>
              </w:rPr>
              <w:t>Tower Hamlets</w:t>
            </w:r>
            <w:r w:rsidRPr="00A06382">
              <w:rPr>
                <w:sz w:val="20"/>
                <w:szCs w:val="20"/>
              </w:rPr>
              <w:t xml:space="preserve"> CCG information and technology standards and principles. This includes but is not exhaustive of: </w:t>
            </w:r>
          </w:p>
          <w:p w:rsidR="00E7030F" w:rsidRPr="00A06382" w:rsidRDefault="00E7030F" w:rsidP="00665FD4">
            <w:pPr>
              <w:pStyle w:val="Default"/>
              <w:numPr>
                <w:ilvl w:val="0"/>
                <w:numId w:val="35"/>
              </w:numPr>
              <w:contextualSpacing/>
              <w:rPr>
                <w:sz w:val="20"/>
                <w:szCs w:val="20"/>
              </w:rPr>
            </w:pPr>
            <w:r w:rsidRPr="00A06382">
              <w:rPr>
                <w:sz w:val="20"/>
                <w:szCs w:val="20"/>
              </w:rPr>
              <w:t xml:space="preserve">Testing compliance </w:t>
            </w:r>
          </w:p>
          <w:p w:rsidR="00E7030F" w:rsidRPr="00A06382" w:rsidRDefault="00E7030F" w:rsidP="00665FD4">
            <w:pPr>
              <w:pStyle w:val="Default"/>
              <w:numPr>
                <w:ilvl w:val="0"/>
                <w:numId w:val="35"/>
              </w:numPr>
              <w:contextualSpacing/>
              <w:rPr>
                <w:sz w:val="20"/>
                <w:szCs w:val="20"/>
              </w:rPr>
            </w:pPr>
            <w:r w:rsidRPr="00A06382">
              <w:rPr>
                <w:sz w:val="20"/>
                <w:szCs w:val="20"/>
              </w:rPr>
              <w:t xml:space="preserve">Information governance </w:t>
            </w:r>
          </w:p>
          <w:p w:rsidR="00E7030F" w:rsidRPr="00A06382" w:rsidRDefault="00E7030F" w:rsidP="00665FD4">
            <w:pPr>
              <w:pStyle w:val="Default"/>
              <w:numPr>
                <w:ilvl w:val="0"/>
                <w:numId w:val="35"/>
              </w:numPr>
              <w:contextualSpacing/>
              <w:rPr>
                <w:sz w:val="20"/>
                <w:szCs w:val="20"/>
              </w:rPr>
            </w:pPr>
            <w:r w:rsidRPr="00A06382">
              <w:rPr>
                <w:sz w:val="20"/>
                <w:szCs w:val="20"/>
              </w:rPr>
              <w:t xml:space="preserve">Clinical information system requirements </w:t>
            </w:r>
          </w:p>
          <w:p w:rsidR="00E7030F" w:rsidRPr="00A06382" w:rsidRDefault="00E7030F" w:rsidP="00665FD4">
            <w:pPr>
              <w:pStyle w:val="Default"/>
              <w:numPr>
                <w:ilvl w:val="0"/>
                <w:numId w:val="35"/>
              </w:numPr>
              <w:contextualSpacing/>
              <w:rPr>
                <w:sz w:val="20"/>
                <w:szCs w:val="20"/>
              </w:rPr>
            </w:pPr>
            <w:r w:rsidRPr="00A06382">
              <w:rPr>
                <w:sz w:val="20"/>
                <w:szCs w:val="20"/>
              </w:rPr>
              <w:t xml:space="preserve">Data recovery </w:t>
            </w:r>
          </w:p>
          <w:p w:rsidR="00E7030F" w:rsidRPr="00A06382" w:rsidRDefault="00E7030F" w:rsidP="00665FD4">
            <w:pPr>
              <w:pStyle w:val="Default"/>
              <w:numPr>
                <w:ilvl w:val="0"/>
                <w:numId w:val="35"/>
              </w:numPr>
              <w:contextualSpacing/>
              <w:rPr>
                <w:sz w:val="20"/>
                <w:szCs w:val="20"/>
              </w:rPr>
            </w:pPr>
            <w:r w:rsidRPr="00A06382">
              <w:rPr>
                <w:sz w:val="20"/>
                <w:szCs w:val="20"/>
              </w:rPr>
              <w:t xml:space="preserve">Business continuity management </w:t>
            </w:r>
          </w:p>
          <w:p w:rsidR="00E7030F" w:rsidRPr="00A06382" w:rsidRDefault="00E7030F" w:rsidP="00665FD4">
            <w:pPr>
              <w:pStyle w:val="Default"/>
              <w:numPr>
                <w:ilvl w:val="0"/>
                <w:numId w:val="35"/>
              </w:numPr>
              <w:contextualSpacing/>
              <w:rPr>
                <w:sz w:val="20"/>
                <w:szCs w:val="20"/>
              </w:rPr>
            </w:pPr>
            <w:r w:rsidRPr="00A06382">
              <w:rPr>
                <w:sz w:val="20"/>
                <w:szCs w:val="20"/>
              </w:rPr>
              <w:t xml:space="preserve">Referral and booking service compliance with Choose and Book </w:t>
            </w:r>
          </w:p>
          <w:p w:rsidR="00E7030F" w:rsidRPr="00A06382" w:rsidRDefault="00E7030F" w:rsidP="00665FD4">
            <w:pPr>
              <w:pStyle w:val="Default"/>
              <w:numPr>
                <w:ilvl w:val="0"/>
                <w:numId w:val="35"/>
              </w:numPr>
              <w:contextualSpacing/>
              <w:rPr>
                <w:sz w:val="20"/>
                <w:szCs w:val="20"/>
              </w:rPr>
            </w:pPr>
            <w:r w:rsidRPr="00A06382">
              <w:rPr>
                <w:sz w:val="20"/>
                <w:szCs w:val="20"/>
              </w:rPr>
              <w:t xml:space="preserve">Commissioning data sets </w:t>
            </w:r>
          </w:p>
          <w:p w:rsidR="00E7030F" w:rsidRPr="00A06382" w:rsidRDefault="00E7030F" w:rsidP="00665FD4">
            <w:pPr>
              <w:pStyle w:val="Default"/>
              <w:numPr>
                <w:ilvl w:val="0"/>
                <w:numId w:val="35"/>
              </w:numPr>
              <w:contextualSpacing/>
              <w:rPr>
                <w:sz w:val="20"/>
                <w:szCs w:val="20"/>
              </w:rPr>
            </w:pPr>
            <w:r w:rsidRPr="00A06382">
              <w:rPr>
                <w:sz w:val="20"/>
                <w:szCs w:val="20"/>
              </w:rPr>
              <w:t xml:space="preserve">Contract management information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4.8.6 The Provider will be responsible for ensuring that relevant staff employed within the service under</w:t>
            </w:r>
            <w:r w:rsidRPr="00A06382">
              <w:rPr>
                <w:rFonts w:ascii="Cambria Math" w:hAnsi="Cambria Math" w:cs="Cambria Math"/>
                <w:sz w:val="20"/>
                <w:szCs w:val="20"/>
              </w:rPr>
              <w:t>‐</w:t>
            </w:r>
            <w:r w:rsidRPr="00A06382">
              <w:rPr>
                <w:sz w:val="20"/>
                <w:szCs w:val="20"/>
              </w:rPr>
              <w:t xml:space="preserve">go appropriate training with their system. IM&amp;T hardware should be available at the identified clinical sites including computer workstations inclusive of internet connection and printers as standard. The provider will be required to have access to an N3 network to facilitate remote access to their own system portals, file storage facilities and clinical and management software.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4.8.7 The provider must have access to an NHS Net Email Account and have a dedicated email address for correspondence to and from the service.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4.8.8 The Provider must supply a safe haven fax machine and secure internet connection (dependent on location of safe haven fax – to be agreed with commissioner) for the receipt of fax referrals. </w:t>
            </w:r>
          </w:p>
          <w:p w:rsidR="00E7030F" w:rsidRPr="00A06382" w:rsidRDefault="00E7030F" w:rsidP="003A64EF">
            <w:pPr>
              <w:pStyle w:val="Default"/>
              <w:contextualSpacing/>
              <w:rPr>
                <w:sz w:val="20"/>
                <w:szCs w:val="20"/>
              </w:rPr>
            </w:pPr>
          </w:p>
          <w:p w:rsidR="00E7030F" w:rsidRPr="00A06382" w:rsidRDefault="00E7030F" w:rsidP="003A64EF">
            <w:pPr>
              <w:spacing w:after="0"/>
              <w:contextualSpacing/>
              <w:rPr>
                <w:rFonts w:ascii="Arial" w:hAnsi="Arial" w:cs="Arial"/>
                <w:b/>
                <w:bCs/>
                <w:sz w:val="20"/>
              </w:rPr>
            </w:pPr>
            <w:r w:rsidRPr="00A06382">
              <w:rPr>
                <w:rFonts w:ascii="Arial" w:hAnsi="Arial" w:cs="Arial"/>
                <w:b/>
                <w:bCs/>
                <w:sz w:val="20"/>
              </w:rPr>
              <w:t>4.9 Care Pathway(s)</w:t>
            </w:r>
          </w:p>
          <w:p w:rsidR="00E7030F" w:rsidRPr="00A06382" w:rsidRDefault="00E7030F" w:rsidP="003A64EF">
            <w:pPr>
              <w:pStyle w:val="Default"/>
              <w:contextualSpacing/>
              <w:rPr>
                <w:sz w:val="20"/>
                <w:szCs w:val="20"/>
              </w:rPr>
            </w:pPr>
          </w:p>
          <w:p w:rsidR="00E7030F" w:rsidRDefault="00E7030F" w:rsidP="003A64EF">
            <w:pPr>
              <w:pStyle w:val="Default"/>
              <w:contextualSpacing/>
              <w:rPr>
                <w:sz w:val="20"/>
                <w:szCs w:val="20"/>
              </w:rPr>
            </w:pPr>
            <w:r w:rsidRPr="00A06382">
              <w:rPr>
                <w:sz w:val="20"/>
                <w:szCs w:val="20"/>
              </w:rPr>
              <w:t xml:space="preserve">4.9.1 The Provider shall be expected to use existing MSK clinical care pathways /checklists. The provider will be expected where relevant to work on the development of clinical care pathways /checklists with the commissioner. </w:t>
            </w:r>
          </w:p>
          <w:p w:rsidR="007440AE" w:rsidRPr="00A06382" w:rsidRDefault="007440AE" w:rsidP="003A64EF">
            <w:pPr>
              <w:pStyle w:val="Default"/>
              <w:contextualSpacing/>
              <w:rPr>
                <w:sz w:val="20"/>
                <w:szCs w:val="20"/>
              </w:rPr>
            </w:pPr>
          </w:p>
          <w:p w:rsidR="00E7030F" w:rsidRDefault="00E7030F" w:rsidP="003A64EF">
            <w:pPr>
              <w:pStyle w:val="Default"/>
              <w:contextualSpacing/>
              <w:rPr>
                <w:b/>
                <w:bCs/>
                <w:sz w:val="20"/>
                <w:szCs w:val="20"/>
              </w:rPr>
            </w:pPr>
            <w:r w:rsidRPr="00A06382">
              <w:rPr>
                <w:b/>
                <w:bCs/>
                <w:sz w:val="20"/>
                <w:szCs w:val="20"/>
              </w:rPr>
              <w:t xml:space="preserve">4.10 Service Developments </w:t>
            </w:r>
          </w:p>
          <w:p w:rsidR="007440AE" w:rsidRPr="00A06382" w:rsidRDefault="007440AE"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4.10.1 </w:t>
            </w:r>
            <w:r w:rsidRPr="00A06382">
              <w:rPr>
                <w:b/>
                <w:bCs/>
                <w:sz w:val="20"/>
                <w:szCs w:val="20"/>
              </w:rPr>
              <w:t xml:space="preserve">Integrated Care Pathway: </w:t>
            </w:r>
            <w:r w:rsidRPr="00A06382">
              <w:rPr>
                <w:sz w:val="20"/>
                <w:szCs w:val="20"/>
              </w:rPr>
              <w:t>As part of the establishment of the new Integrated MSK</w:t>
            </w:r>
            <w:r w:rsidR="007440AE">
              <w:rPr>
                <w:sz w:val="20"/>
                <w:szCs w:val="20"/>
              </w:rPr>
              <w:t xml:space="preserve"> and Pain</w:t>
            </w:r>
            <w:r w:rsidRPr="00A06382">
              <w:rPr>
                <w:sz w:val="20"/>
                <w:szCs w:val="20"/>
              </w:rPr>
              <w:t xml:space="preserve"> Service, the provider will be required to work with stakeholders and other interface services to develop a fully integrated care pathway for MSK conditions. The successful implementation of the service will be dependent on the development of clinical pathways and therefore this is a key action for the successful provider.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4.10.2 The provider will be required to have a system in place for monitoring and tracking each part of the patient pathway to ensure that patients are not ‘lost in the system’ and allow amendments to be made to the pathway as necessary.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4.10.3 </w:t>
            </w:r>
            <w:r w:rsidRPr="00A06382">
              <w:rPr>
                <w:b/>
                <w:bCs/>
                <w:sz w:val="20"/>
                <w:szCs w:val="20"/>
              </w:rPr>
              <w:t xml:space="preserve">Single Assessment Referral Form: </w:t>
            </w:r>
            <w:r w:rsidRPr="00A06382">
              <w:rPr>
                <w:sz w:val="20"/>
                <w:szCs w:val="20"/>
              </w:rPr>
              <w:t>The Provider will be expected to build on existing forms where they have been developed, working alongside GPs, stakeholders and other interface services to continuously develop a comprehensive assessment referral form</w:t>
            </w:r>
            <w:r w:rsidR="0024231C">
              <w:rPr>
                <w:sz w:val="20"/>
                <w:szCs w:val="20"/>
              </w:rPr>
              <w:t>s</w:t>
            </w:r>
            <w:r w:rsidRPr="00A06382">
              <w:rPr>
                <w:sz w:val="20"/>
                <w:szCs w:val="20"/>
              </w:rPr>
              <w:t xml:space="preserve"> for the service</w:t>
            </w:r>
            <w:r w:rsidR="0024231C">
              <w:rPr>
                <w:sz w:val="20"/>
                <w:szCs w:val="20"/>
              </w:rPr>
              <w:t xml:space="preserve"> across common MSK pathways</w:t>
            </w:r>
            <w:r w:rsidRPr="00A06382">
              <w:rPr>
                <w:sz w:val="20"/>
                <w:szCs w:val="20"/>
              </w:rPr>
              <w:t>. Th</w:t>
            </w:r>
            <w:r w:rsidR="0024231C">
              <w:rPr>
                <w:sz w:val="20"/>
                <w:szCs w:val="20"/>
              </w:rPr>
              <w:t>ese structured</w:t>
            </w:r>
            <w:r w:rsidR="00EA5A7F">
              <w:rPr>
                <w:sz w:val="20"/>
                <w:szCs w:val="20"/>
              </w:rPr>
              <w:t xml:space="preserve"> referral forms</w:t>
            </w:r>
            <w:r w:rsidRPr="00A06382">
              <w:rPr>
                <w:sz w:val="20"/>
                <w:szCs w:val="20"/>
              </w:rPr>
              <w:t xml:space="preserve"> will enable paper and electronic triage by the service to determine the appropriate clinician to be seen by the patient, enable onward referral to specialists; or re</w:t>
            </w:r>
            <w:r w:rsidRPr="00A06382">
              <w:rPr>
                <w:rFonts w:ascii="Cambria Math" w:hAnsi="Cambria Math" w:cs="Cambria Math"/>
                <w:sz w:val="20"/>
                <w:szCs w:val="20"/>
              </w:rPr>
              <w:t>‐</w:t>
            </w:r>
            <w:r w:rsidRPr="00A06382">
              <w:rPr>
                <w:sz w:val="20"/>
                <w:szCs w:val="20"/>
              </w:rPr>
              <w:t xml:space="preserve">direction back to the patient’s GP.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4.10.4 The form</w:t>
            </w:r>
            <w:r w:rsidR="0024231C">
              <w:rPr>
                <w:sz w:val="20"/>
                <w:szCs w:val="20"/>
              </w:rPr>
              <w:t>s</w:t>
            </w:r>
            <w:r w:rsidRPr="00A06382">
              <w:rPr>
                <w:sz w:val="20"/>
                <w:szCs w:val="20"/>
              </w:rPr>
              <w:t xml:space="preserve"> will be required to capture key patient data which can be pre</w:t>
            </w:r>
            <w:r w:rsidRPr="00A06382">
              <w:rPr>
                <w:rFonts w:ascii="Cambria Math" w:hAnsi="Cambria Math" w:cs="Cambria Math"/>
                <w:sz w:val="20"/>
                <w:szCs w:val="20"/>
              </w:rPr>
              <w:t>‐</w:t>
            </w:r>
            <w:r w:rsidRPr="00A06382">
              <w:rPr>
                <w:sz w:val="20"/>
                <w:szCs w:val="20"/>
              </w:rPr>
              <w:t>populated by t</w:t>
            </w:r>
            <w:r w:rsidR="00F800E5">
              <w:rPr>
                <w:sz w:val="20"/>
                <w:szCs w:val="20"/>
              </w:rPr>
              <w:t>he GPs computer systems, th</w:t>
            </w:r>
            <w:r w:rsidR="0024231C">
              <w:rPr>
                <w:sz w:val="20"/>
                <w:szCs w:val="20"/>
              </w:rPr>
              <w:t>ese</w:t>
            </w:r>
            <w:r w:rsidR="00F800E5">
              <w:rPr>
                <w:sz w:val="20"/>
                <w:szCs w:val="20"/>
              </w:rPr>
              <w:t xml:space="preserve"> must be compatible with EMIS</w:t>
            </w:r>
            <w:r w:rsidR="00EA5A7F">
              <w:rPr>
                <w:sz w:val="20"/>
                <w:szCs w:val="20"/>
              </w:rPr>
              <w:t xml:space="preserve"> web</w:t>
            </w:r>
            <w:r w:rsidR="00F800E5">
              <w:rPr>
                <w:sz w:val="20"/>
                <w:szCs w:val="20"/>
              </w:rPr>
              <w:t>, and should</w:t>
            </w:r>
            <w:r w:rsidRPr="00A06382">
              <w:rPr>
                <w:sz w:val="20"/>
                <w:szCs w:val="20"/>
              </w:rPr>
              <w:t xml:space="preserve"> also enable ease of use by the referrer to indicate clinical detail.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4.10.5 The form</w:t>
            </w:r>
            <w:r w:rsidR="0024231C">
              <w:rPr>
                <w:sz w:val="20"/>
                <w:szCs w:val="20"/>
              </w:rPr>
              <w:t>s are</w:t>
            </w:r>
            <w:r w:rsidRPr="00A06382">
              <w:rPr>
                <w:sz w:val="20"/>
                <w:szCs w:val="20"/>
              </w:rPr>
              <w:t xml:space="preserve"> expected to be maintained and updated as necessary for the duration of the contract.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4.10.6 </w:t>
            </w:r>
            <w:r w:rsidRPr="00A06382">
              <w:rPr>
                <w:b/>
                <w:bCs/>
                <w:sz w:val="20"/>
                <w:szCs w:val="20"/>
              </w:rPr>
              <w:t xml:space="preserve">Telephone Screening as part of triage service: </w:t>
            </w:r>
            <w:r w:rsidRPr="00A06382">
              <w:rPr>
                <w:sz w:val="20"/>
                <w:szCs w:val="20"/>
              </w:rPr>
              <w:t xml:space="preserve">Patients have raised the need for </w:t>
            </w:r>
            <w:r w:rsidR="00F800E5">
              <w:rPr>
                <w:sz w:val="20"/>
                <w:szCs w:val="20"/>
              </w:rPr>
              <w:t xml:space="preserve">greater access and potential </w:t>
            </w:r>
            <w:r w:rsidRPr="00A06382">
              <w:rPr>
                <w:sz w:val="20"/>
                <w:szCs w:val="20"/>
              </w:rPr>
              <w:t>phone support</w:t>
            </w:r>
            <w:r w:rsidR="00F800E5">
              <w:rPr>
                <w:sz w:val="20"/>
                <w:szCs w:val="20"/>
              </w:rPr>
              <w:t xml:space="preserve"> in many of our services</w:t>
            </w:r>
            <w:r w:rsidRPr="00A06382">
              <w:rPr>
                <w:sz w:val="20"/>
                <w:szCs w:val="20"/>
              </w:rPr>
              <w:t xml:space="preserve">, and as part of developing this, telephone screening could be a potential area for development in the future.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4.10.7 </w:t>
            </w:r>
            <w:r w:rsidRPr="00A06382">
              <w:rPr>
                <w:b/>
                <w:bCs/>
                <w:sz w:val="20"/>
                <w:szCs w:val="20"/>
              </w:rPr>
              <w:t xml:space="preserve">Working with Local Community Organisations/ Stakeholders and other interface services: </w:t>
            </w:r>
            <w:r w:rsidRPr="00A06382">
              <w:rPr>
                <w:sz w:val="20"/>
                <w:szCs w:val="20"/>
              </w:rPr>
              <w:t>The provider will be required to build and establish links with local voluntary and community organisations. They will ensure integrated working across the patch and form an ongoing service</w:t>
            </w:r>
            <w:r w:rsidRPr="00A06382">
              <w:rPr>
                <w:rFonts w:ascii="Cambria Math" w:hAnsi="Cambria Math" w:cs="Cambria Math"/>
                <w:sz w:val="20"/>
                <w:szCs w:val="20"/>
              </w:rPr>
              <w:t>‐</w:t>
            </w:r>
            <w:r w:rsidRPr="00A06382">
              <w:rPr>
                <w:sz w:val="20"/>
                <w:szCs w:val="20"/>
              </w:rPr>
              <w:t xml:space="preserve">user group/ focus group to provide feedback about the service or any proposed changes in the service, with appropriate interpret of and response to patient experience survey results.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4.10.8 The Providers will develop an appropriate response to complaints; and help develop action plans where improvements are needed in patient experience. </w:t>
            </w:r>
          </w:p>
          <w:p w:rsidR="00E7030F" w:rsidRPr="00A06382" w:rsidRDefault="00E7030F" w:rsidP="003A64EF">
            <w:pPr>
              <w:pStyle w:val="Default"/>
              <w:contextualSpacing/>
              <w:rPr>
                <w:sz w:val="20"/>
                <w:szCs w:val="20"/>
              </w:rPr>
            </w:pPr>
          </w:p>
          <w:p w:rsidR="00E7030F" w:rsidRPr="00A06382" w:rsidRDefault="00E7030F" w:rsidP="003A64EF">
            <w:pPr>
              <w:pStyle w:val="Default"/>
              <w:contextualSpacing/>
              <w:rPr>
                <w:sz w:val="20"/>
                <w:szCs w:val="20"/>
              </w:rPr>
            </w:pPr>
            <w:r w:rsidRPr="00A06382">
              <w:rPr>
                <w:sz w:val="20"/>
                <w:szCs w:val="20"/>
              </w:rPr>
              <w:t xml:space="preserve">4.10.9 </w:t>
            </w:r>
            <w:r w:rsidRPr="00A06382">
              <w:rPr>
                <w:b/>
                <w:bCs/>
                <w:sz w:val="20"/>
                <w:szCs w:val="20"/>
              </w:rPr>
              <w:t xml:space="preserve">Patient Material: </w:t>
            </w:r>
            <w:r w:rsidRPr="00A06382">
              <w:rPr>
                <w:sz w:val="20"/>
                <w:szCs w:val="20"/>
              </w:rPr>
              <w:t>The Provider will be required to develop a comprehensive range of patient material and information about MSK conditions which will include but not be limited to: self</w:t>
            </w:r>
            <w:r w:rsidRPr="00A06382">
              <w:rPr>
                <w:rFonts w:ascii="Cambria Math" w:hAnsi="Cambria Math" w:cs="Cambria Math"/>
                <w:sz w:val="20"/>
                <w:szCs w:val="20"/>
              </w:rPr>
              <w:t>‐</w:t>
            </w:r>
            <w:r w:rsidRPr="00A06382">
              <w:rPr>
                <w:sz w:val="20"/>
                <w:szCs w:val="20"/>
              </w:rPr>
              <w:t>help leaflets, service information; service promotional posters; and sign</w:t>
            </w:r>
            <w:r w:rsidRPr="00A06382">
              <w:rPr>
                <w:rFonts w:ascii="Cambria Math" w:hAnsi="Cambria Math" w:cs="Cambria Math"/>
                <w:sz w:val="20"/>
                <w:szCs w:val="20"/>
              </w:rPr>
              <w:t>‐</w:t>
            </w:r>
            <w:r w:rsidRPr="00A06382">
              <w:rPr>
                <w:sz w:val="20"/>
                <w:szCs w:val="20"/>
              </w:rPr>
              <w:t xml:space="preserve">posting information for relevant charities and support groups. </w:t>
            </w:r>
          </w:p>
          <w:p w:rsidR="00E7030F" w:rsidRPr="00A06382" w:rsidRDefault="00E7030F" w:rsidP="003A64EF">
            <w:pPr>
              <w:pStyle w:val="Default"/>
              <w:contextualSpacing/>
              <w:rPr>
                <w:sz w:val="20"/>
                <w:szCs w:val="20"/>
              </w:rPr>
            </w:pPr>
          </w:p>
          <w:p w:rsidR="00E7030F" w:rsidRPr="00F800E5" w:rsidRDefault="00E7030F" w:rsidP="003A64EF">
            <w:pPr>
              <w:pStyle w:val="Default"/>
              <w:contextualSpacing/>
              <w:rPr>
                <w:sz w:val="20"/>
                <w:szCs w:val="20"/>
              </w:rPr>
            </w:pPr>
            <w:r w:rsidRPr="00A06382">
              <w:rPr>
                <w:sz w:val="20"/>
                <w:szCs w:val="20"/>
              </w:rPr>
              <w:t>4.10.10 Service information material should include information about the services available; locations of services; days/ hours of opera</w:t>
            </w:r>
            <w:r w:rsidR="00F800E5">
              <w:rPr>
                <w:sz w:val="20"/>
                <w:szCs w:val="20"/>
              </w:rPr>
              <w:t xml:space="preserve">tion; transport options; </w:t>
            </w:r>
            <w:r w:rsidRPr="00A06382">
              <w:rPr>
                <w:color w:val="auto"/>
                <w:sz w:val="20"/>
                <w:szCs w:val="20"/>
              </w:rPr>
              <w:t xml:space="preserve">the procedure for booking appointments; the policy on DNAs and cancellations; what to do if a complication arises outside normal opening hours; patient experience surveys; local complaints policy and local advice &amp; advocacy services.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4.10.11 All public information should be aimed at promoting general health and well</w:t>
            </w:r>
            <w:r w:rsidRPr="00A06382">
              <w:rPr>
                <w:rFonts w:ascii="Cambria Math" w:hAnsi="Cambria Math" w:cs="Cambria Math"/>
                <w:color w:val="auto"/>
                <w:sz w:val="20"/>
                <w:szCs w:val="20"/>
              </w:rPr>
              <w:t>‐</w:t>
            </w:r>
            <w:r w:rsidRPr="00A06382">
              <w:rPr>
                <w:color w:val="auto"/>
                <w:sz w:val="20"/>
                <w:szCs w:val="20"/>
              </w:rPr>
              <w:t xml:space="preserve">being materials. The Provider will ensure that there is adequate provision of service materials and information in a variety of different languages and formats.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4.10.12 </w:t>
            </w:r>
            <w:r w:rsidRPr="00A06382">
              <w:rPr>
                <w:b/>
                <w:bCs/>
                <w:color w:val="auto"/>
                <w:sz w:val="20"/>
                <w:szCs w:val="20"/>
              </w:rPr>
              <w:t>Service Promotion – to GP Community</w:t>
            </w:r>
            <w:r w:rsidRPr="00A06382">
              <w:rPr>
                <w:color w:val="auto"/>
                <w:sz w:val="20"/>
                <w:szCs w:val="20"/>
              </w:rPr>
              <w:t>: The Provider will be required to promote the service to GPs on an on</w:t>
            </w:r>
            <w:r w:rsidRPr="00A06382">
              <w:rPr>
                <w:rFonts w:ascii="Cambria Math" w:hAnsi="Cambria Math" w:cs="Cambria Math"/>
                <w:color w:val="auto"/>
                <w:sz w:val="20"/>
                <w:szCs w:val="20"/>
              </w:rPr>
              <w:t>‐</w:t>
            </w:r>
            <w:r w:rsidRPr="00A06382">
              <w:rPr>
                <w:color w:val="auto"/>
                <w:sz w:val="20"/>
                <w:szCs w:val="20"/>
              </w:rPr>
              <w:t xml:space="preserve">going basis as part of their contractual arrangements.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4.10.13 The service will also be expected to be innovative in their approach to service -promotion and engagement with the local GP community. Part of the promotion will include distribution of service material in local GP surgeries and presenting at local PLT Commissioning Learning Sets.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4.10.14 The service will also be required to work with the local voluntary sector as a way of ensuring materials about MSK conditions and the service reach some of those groups that commonly present late or are unclear about the treatment options available.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b/>
                <w:bCs/>
                <w:color w:val="auto"/>
                <w:sz w:val="20"/>
                <w:szCs w:val="20"/>
              </w:rPr>
              <w:t xml:space="preserve">4.11 Media Management </w:t>
            </w:r>
          </w:p>
          <w:p w:rsidR="00E7030F" w:rsidRPr="00A06382" w:rsidRDefault="00E7030F" w:rsidP="003A64EF">
            <w:pPr>
              <w:pStyle w:val="Default"/>
              <w:contextualSpacing/>
              <w:rPr>
                <w:color w:val="auto"/>
                <w:sz w:val="20"/>
                <w:szCs w:val="20"/>
              </w:rPr>
            </w:pPr>
            <w:r w:rsidRPr="00A06382">
              <w:rPr>
                <w:color w:val="auto"/>
                <w:sz w:val="20"/>
                <w:szCs w:val="20"/>
              </w:rPr>
              <w:t xml:space="preserve">4.11.1 In line with the NHS </w:t>
            </w:r>
            <w:r w:rsidR="00F800E5">
              <w:rPr>
                <w:sz w:val="20"/>
              </w:rPr>
              <w:t>Tower Hamlets</w:t>
            </w:r>
            <w:r w:rsidRPr="00A06382">
              <w:rPr>
                <w:color w:val="auto"/>
                <w:sz w:val="20"/>
                <w:szCs w:val="20"/>
              </w:rPr>
              <w:t xml:space="preserve"> CCG Communication Strategy, the Provider will be required to follow the NHS </w:t>
            </w:r>
            <w:r w:rsidR="00F800E5">
              <w:rPr>
                <w:sz w:val="20"/>
              </w:rPr>
              <w:t>Tower Hamlets</w:t>
            </w:r>
            <w:r w:rsidRPr="00A06382">
              <w:rPr>
                <w:color w:val="auto"/>
                <w:sz w:val="20"/>
                <w:szCs w:val="20"/>
              </w:rPr>
              <w:t xml:space="preserve"> CCG’s Media Relations Policy in terms of handling media and press enquiries as well as freedom of information requests.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4.11.2 In the event of a serious incident or major incident, NHS </w:t>
            </w:r>
            <w:r w:rsidR="00F800E5">
              <w:rPr>
                <w:sz w:val="20"/>
              </w:rPr>
              <w:t>Tower Hamlets</w:t>
            </w:r>
            <w:r w:rsidRPr="00A06382">
              <w:rPr>
                <w:color w:val="auto"/>
                <w:sz w:val="20"/>
                <w:szCs w:val="20"/>
              </w:rPr>
              <w:t xml:space="preserve"> CCG will lead on all media relations and will work with all providers to ensure their position is appropriately represented, in line with the NHS </w:t>
            </w:r>
            <w:r w:rsidR="00F800E5">
              <w:rPr>
                <w:sz w:val="20"/>
              </w:rPr>
              <w:t>Tower Hamlets</w:t>
            </w:r>
            <w:r w:rsidRPr="00A06382">
              <w:rPr>
                <w:color w:val="auto"/>
                <w:sz w:val="20"/>
                <w:szCs w:val="20"/>
              </w:rPr>
              <w:t xml:space="preserve"> CCG Major Incident Plan. </w:t>
            </w:r>
          </w:p>
          <w:p w:rsidR="00E7030F" w:rsidRPr="00A06382" w:rsidRDefault="00E7030F" w:rsidP="003A64EF">
            <w:pPr>
              <w:pStyle w:val="Default"/>
              <w:contextualSpacing/>
              <w:rPr>
                <w:color w:val="auto"/>
                <w:sz w:val="20"/>
                <w:szCs w:val="20"/>
              </w:rPr>
            </w:pPr>
          </w:p>
          <w:p w:rsidR="00E7030F" w:rsidRPr="00A06382" w:rsidRDefault="00E7030F" w:rsidP="003A64EF">
            <w:pPr>
              <w:pStyle w:val="Default"/>
              <w:contextualSpacing/>
              <w:rPr>
                <w:color w:val="auto"/>
                <w:sz w:val="20"/>
                <w:szCs w:val="20"/>
              </w:rPr>
            </w:pPr>
            <w:r w:rsidRPr="00A06382">
              <w:rPr>
                <w:color w:val="auto"/>
                <w:sz w:val="20"/>
                <w:szCs w:val="20"/>
              </w:rPr>
              <w:t xml:space="preserve">4.11.3 Media enquiries relating to Provider services on NHS </w:t>
            </w:r>
            <w:r w:rsidR="00F800E5">
              <w:rPr>
                <w:sz w:val="20"/>
              </w:rPr>
              <w:t>Tower Hamlets</w:t>
            </w:r>
            <w:r w:rsidRPr="00A06382">
              <w:rPr>
                <w:color w:val="auto"/>
                <w:sz w:val="20"/>
                <w:szCs w:val="20"/>
              </w:rPr>
              <w:t xml:space="preserve"> CCG premises will be handled in a professional, sensitive way adopting a partnership approach throughout and accurately reflecting the roles of both the provider and the NHS </w:t>
            </w:r>
            <w:r w:rsidR="00F800E5">
              <w:rPr>
                <w:sz w:val="20"/>
              </w:rPr>
              <w:t xml:space="preserve">Tower Hamlets </w:t>
            </w:r>
            <w:r w:rsidRPr="00A06382">
              <w:rPr>
                <w:color w:val="auto"/>
                <w:sz w:val="20"/>
                <w:szCs w:val="20"/>
              </w:rPr>
              <w:t xml:space="preserve">CCG as commissioner of the relevant services </w:t>
            </w:r>
          </w:p>
          <w:p w:rsidR="00E7030F" w:rsidRPr="00A06382" w:rsidRDefault="00E7030F" w:rsidP="003A64EF">
            <w:pPr>
              <w:spacing w:after="0"/>
              <w:contextualSpacing/>
              <w:rPr>
                <w:rFonts w:ascii="Arial" w:hAnsi="Arial" w:cs="Arial"/>
                <w:color w:val="009966"/>
                <w:sz w:val="20"/>
              </w:rPr>
            </w:pPr>
          </w:p>
          <w:p w:rsidR="00420BB6" w:rsidRPr="00A06382" w:rsidRDefault="00420BB6" w:rsidP="003A64EF">
            <w:pPr>
              <w:pStyle w:val="BodyText"/>
              <w:contextualSpacing/>
              <w:jc w:val="both"/>
              <w:rPr>
                <w:sz w:val="20"/>
                <w:szCs w:val="20"/>
              </w:rPr>
            </w:pPr>
          </w:p>
        </w:tc>
      </w:tr>
      <w:tr w:rsidR="00E7030F" w:rsidRPr="00296DE0" w:rsidTr="004B479E">
        <w:tc>
          <w:tcPr>
            <w:tcW w:w="8414" w:type="dxa"/>
            <w:shd w:val="clear" w:color="auto" w:fill="595959"/>
          </w:tcPr>
          <w:p w:rsidR="00E7030F" w:rsidRPr="00625178" w:rsidRDefault="00E7030F" w:rsidP="003A64EF">
            <w:pPr>
              <w:spacing w:after="0"/>
              <w:contextualSpacing/>
              <w:rPr>
                <w:rFonts w:ascii="Arial" w:hAnsi="Arial" w:cs="Arial"/>
                <w:b/>
                <w:color w:val="F79646"/>
                <w:szCs w:val="24"/>
              </w:rPr>
            </w:pPr>
            <w:r w:rsidRPr="00625178">
              <w:rPr>
                <w:rFonts w:ascii="Arial" w:hAnsi="Arial" w:cs="Arial"/>
                <w:b/>
                <w:color w:val="F79646"/>
                <w:szCs w:val="24"/>
              </w:rPr>
              <w:t>5. Contract Management</w:t>
            </w:r>
          </w:p>
        </w:tc>
      </w:tr>
      <w:tr w:rsidR="00E7030F" w:rsidRPr="00296DE0" w:rsidTr="00975080">
        <w:tc>
          <w:tcPr>
            <w:tcW w:w="8414" w:type="dxa"/>
            <w:shd w:val="clear" w:color="auto" w:fill="FFFFFF"/>
          </w:tcPr>
          <w:p w:rsidR="00E7030F" w:rsidRPr="00A06382" w:rsidRDefault="00E7030F" w:rsidP="003A64EF">
            <w:pPr>
              <w:spacing w:after="0"/>
              <w:contextualSpacing/>
              <w:rPr>
                <w:rFonts w:ascii="Arial" w:hAnsi="Arial" w:cs="Arial"/>
                <w:b/>
                <w:color w:val="F79646"/>
                <w:sz w:val="20"/>
              </w:rPr>
            </w:pPr>
          </w:p>
          <w:p w:rsidR="00E7030F" w:rsidRPr="00A06382" w:rsidRDefault="00690A4F" w:rsidP="003A64EF">
            <w:pPr>
              <w:spacing w:after="0"/>
              <w:contextualSpacing/>
              <w:rPr>
                <w:rFonts w:ascii="Arial" w:hAnsi="Arial" w:cs="Arial"/>
                <w:sz w:val="20"/>
              </w:rPr>
            </w:pPr>
            <w:r w:rsidRPr="00A06382">
              <w:rPr>
                <w:rFonts w:ascii="Arial" w:hAnsi="Arial" w:cs="Arial"/>
                <w:sz w:val="20"/>
              </w:rPr>
              <w:t>Nb: This section is to be agreed with the new provider as part of contract negotiations.</w:t>
            </w:r>
          </w:p>
          <w:p w:rsidR="00690A4F" w:rsidRPr="00A06382" w:rsidRDefault="00690A4F" w:rsidP="003A64EF">
            <w:pPr>
              <w:spacing w:after="0"/>
              <w:contextualSpacing/>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95"/>
              <w:gridCol w:w="1223"/>
              <w:gridCol w:w="1250"/>
              <w:gridCol w:w="1562"/>
              <w:gridCol w:w="1250"/>
            </w:tblGrid>
            <w:tr w:rsidR="00361EE7" w:rsidRPr="00A06382" w:rsidTr="00385FDF">
              <w:trPr>
                <w:trHeight w:val="1166"/>
              </w:trPr>
              <w:tc>
                <w:tcPr>
                  <w:tcW w:w="8908" w:type="dxa"/>
                  <w:gridSpan w:val="6"/>
                  <w:shd w:val="clear" w:color="auto" w:fill="BFBFBF"/>
                </w:tcPr>
                <w:p w:rsidR="00361EE7" w:rsidRPr="00F472E2" w:rsidRDefault="00361EE7" w:rsidP="003A64EF">
                  <w:pPr>
                    <w:pStyle w:val="Default"/>
                    <w:contextualSpacing/>
                  </w:pPr>
                  <w:r w:rsidRPr="00F472E2">
                    <w:rPr>
                      <w:b/>
                      <w:bCs/>
                    </w:rPr>
                    <w:t xml:space="preserve">5.1 Baseline Performance Targets – Quality, Performance &amp; Productivity </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Performance Indicator </w:t>
                  </w:r>
                </w:p>
              </w:tc>
              <w:tc>
                <w:tcPr>
                  <w:tcW w:w="1895"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Indicator </w:t>
                  </w:r>
                </w:p>
              </w:tc>
              <w:tc>
                <w:tcPr>
                  <w:tcW w:w="1223" w:type="dxa"/>
                </w:tcPr>
                <w:p w:rsidR="00361EE7" w:rsidRPr="00A06382" w:rsidRDefault="00AB10D4" w:rsidP="003A64EF">
                  <w:pPr>
                    <w:pStyle w:val="Default"/>
                    <w:contextualSpacing/>
                    <w:rPr>
                      <w:b/>
                      <w:bCs/>
                      <w:i/>
                      <w:iCs/>
                      <w:sz w:val="20"/>
                      <w:szCs w:val="20"/>
                    </w:rPr>
                  </w:pPr>
                  <w:r>
                    <w:rPr>
                      <w:b/>
                      <w:bCs/>
                      <w:i/>
                      <w:iCs/>
                      <w:sz w:val="20"/>
                      <w:szCs w:val="20"/>
                    </w:rPr>
                    <w:t>Target</w:t>
                  </w:r>
                </w:p>
              </w:tc>
              <w:tc>
                <w:tcPr>
                  <w:tcW w:w="1250"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Threshold </w:t>
                  </w:r>
                </w:p>
              </w:tc>
              <w:tc>
                <w:tcPr>
                  <w:tcW w:w="1562"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Method of </w:t>
                  </w:r>
                </w:p>
                <w:p w:rsidR="00361EE7" w:rsidRPr="00A06382" w:rsidRDefault="00361EE7" w:rsidP="003A64EF">
                  <w:pPr>
                    <w:pStyle w:val="Default"/>
                    <w:contextualSpacing/>
                    <w:rPr>
                      <w:sz w:val="20"/>
                      <w:szCs w:val="20"/>
                    </w:rPr>
                  </w:pPr>
                  <w:r w:rsidRPr="00A06382">
                    <w:rPr>
                      <w:b/>
                      <w:bCs/>
                      <w:i/>
                      <w:iCs/>
                      <w:sz w:val="20"/>
                      <w:szCs w:val="20"/>
                    </w:rPr>
                    <w:t xml:space="preserve">Measurement </w:t>
                  </w:r>
                </w:p>
              </w:tc>
              <w:tc>
                <w:tcPr>
                  <w:tcW w:w="1250"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Monitoring </w:t>
                  </w:r>
                </w:p>
                <w:p w:rsidR="00361EE7" w:rsidRPr="00A06382" w:rsidRDefault="00361EE7" w:rsidP="003A64EF">
                  <w:pPr>
                    <w:pStyle w:val="Default"/>
                    <w:contextualSpacing/>
                    <w:rPr>
                      <w:sz w:val="20"/>
                      <w:szCs w:val="20"/>
                    </w:rPr>
                  </w:pPr>
                  <w:r w:rsidRPr="00A06382">
                    <w:rPr>
                      <w:b/>
                      <w:bCs/>
                      <w:i/>
                      <w:iCs/>
                      <w:sz w:val="20"/>
                      <w:szCs w:val="20"/>
                    </w:rPr>
                    <w:t xml:space="preserve">Frequency </w:t>
                  </w:r>
                </w:p>
              </w:tc>
            </w:tr>
            <w:tr w:rsidR="00361EE7" w:rsidRPr="00A06382" w:rsidTr="00205109">
              <w:trPr>
                <w:trHeight w:val="509"/>
              </w:trPr>
              <w:tc>
                <w:tcPr>
                  <w:tcW w:w="8908" w:type="dxa"/>
                  <w:gridSpan w:val="6"/>
                  <w:shd w:val="clear" w:color="auto" w:fill="D9D9D9"/>
                </w:tcPr>
                <w:p w:rsidR="00361EE7" w:rsidRPr="00A06382" w:rsidRDefault="00361EE7" w:rsidP="003A64EF">
                  <w:pPr>
                    <w:pStyle w:val="Default"/>
                    <w:contextualSpacing/>
                    <w:rPr>
                      <w:sz w:val="20"/>
                      <w:szCs w:val="20"/>
                    </w:rPr>
                  </w:pPr>
                  <w:r w:rsidRPr="00A06382">
                    <w:rPr>
                      <w:b/>
                      <w:bCs/>
                      <w:sz w:val="20"/>
                      <w:szCs w:val="20"/>
                    </w:rPr>
                    <w:t xml:space="preserve">Quality </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Incidents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Number of and Description </w:t>
                  </w:r>
                </w:p>
              </w:tc>
              <w:tc>
                <w:tcPr>
                  <w:tcW w:w="1223" w:type="dxa"/>
                </w:tcPr>
                <w:p w:rsidR="00361EE7" w:rsidRPr="00A06382" w:rsidRDefault="00D32456" w:rsidP="003A64EF">
                  <w:pPr>
                    <w:pStyle w:val="Default"/>
                    <w:contextualSpacing/>
                    <w:rPr>
                      <w:sz w:val="20"/>
                      <w:szCs w:val="20"/>
                    </w:rPr>
                  </w:pPr>
                  <w:r>
                    <w:rPr>
                      <w:sz w:val="20"/>
                      <w:szCs w:val="20"/>
                    </w:rPr>
                    <w:t>100</w:t>
                  </w:r>
                  <w:r w:rsidR="00AB10D4">
                    <w:rPr>
                      <w:sz w:val="20"/>
                      <w:szCs w:val="20"/>
                    </w:rPr>
                    <w:t>%</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reported &amp; managed </w:t>
                  </w:r>
                </w:p>
              </w:tc>
              <w:tc>
                <w:tcPr>
                  <w:tcW w:w="1562"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Incident severity / risk rating </w:t>
                  </w:r>
                </w:p>
              </w:tc>
              <w:tc>
                <w:tcPr>
                  <w:tcW w:w="1250" w:type="dxa"/>
                  <w:shd w:val="clear" w:color="auto" w:fill="auto"/>
                </w:tcPr>
                <w:p w:rsidR="00361EE7" w:rsidRPr="00A06382" w:rsidRDefault="00361EE7" w:rsidP="003A64EF">
                  <w:pPr>
                    <w:pStyle w:val="Default"/>
                    <w:contextualSpacing/>
                    <w:rPr>
                      <w:sz w:val="20"/>
                      <w:szCs w:val="20"/>
                    </w:rPr>
                  </w:pPr>
                  <w:r>
                    <w:rPr>
                      <w:sz w:val="20"/>
                      <w:szCs w:val="20"/>
                    </w:rPr>
                    <w:t>Month</w:t>
                  </w:r>
                  <w:r w:rsidRPr="00A06382">
                    <w:rPr>
                      <w:sz w:val="20"/>
                      <w:szCs w:val="20"/>
                    </w:rPr>
                    <w:t xml:space="preserve">ly </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Serious Incidents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Number of and Description </w:t>
                  </w:r>
                </w:p>
              </w:tc>
              <w:tc>
                <w:tcPr>
                  <w:tcW w:w="1223" w:type="dxa"/>
                </w:tcPr>
                <w:p w:rsidR="00361EE7" w:rsidRPr="00A06382" w:rsidRDefault="00D32456" w:rsidP="003A64EF">
                  <w:pPr>
                    <w:pStyle w:val="Default"/>
                    <w:contextualSpacing/>
                    <w:rPr>
                      <w:sz w:val="20"/>
                      <w:szCs w:val="20"/>
                    </w:rPr>
                  </w:pPr>
                  <w:r>
                    <w:rPr>
                      <w:sz w:val="20"/>
                      <w:szCs w:val="20"/>
                    </w:rPr>
                    <w:t>100</w:t>
                  </w:r>
                  <w:r w:rsidR="00AB10D4">
                    <w:rPr>
                      <w:sz w:val="20"/>
                      <w:szCs w:val="20"/>
                    </w:rPr>
                    <w:t>%</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reported &amp; </w:t>
                  </w:r>
                  <w:r>
                    <w:rPr>
                      <w:sz w:val="20"/>
                      <w:szCs w:val="20"/>
                    </w:rPr>
                    <w:t>managed</w:t>
                  </w:r>
                </w:p>
              </w:tc>
              <w:tc>
                <w:tcPr>
                  <w:tcW w:w="1562"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Incident severity / risk </w:t>
                  </w:r>
                </w:p>
              </w:tc>
              <w:tc>
                <w:tcPr>
                  <w:tcW w:w="1250" w:type="dxa"/>
                  <w:shd w:val="clear" w:color="auto" w:fill="auto"/>
                </w:tcPr>
                <w:p w:rsidR="00361EE7" w:rsidRPr="00A06382" w:rsidRDefault="00361EE7" w:rsidP="003A64EF">
                  <w:pPr>
                    <w:pStyle w:val="Default"/>
                    <w:contextualSpacing/>
                    <w:rPr>
                      <w:sz w:val="20"/>
                      <w:szCs w:val="20"/>
                    </w:rPr>
                  </w:pPr>
                  <w:r>
                    <w:rPr>
                      <w:sz w:val="20"/>
                      <w:szCs w:val="20"/>
                    </w:rPr>
                    <w:t>Month</w:t>
                  </w:r>
                  <w:r w:rsidRPr="00A06382">
                    <w:rPr>
                      <w:sz w:val="20"/>
                      <w:szCs w:val="20"/>
                    </w:rPr>
                    <w:t>ly</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Compliments and Complaints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Number of and description </w:t>
                  </w:r>
                </w:p>
                <w:p w:rsidR="00361EE7" w:rsidRPr="00A06382" w:rsidRDefault="00361EE7" w:rsidP="003A64EF">
                  <w:pPr>
                    <w:pStyle w:val="Default"/>
                    <w:contextualSpacing/>
                    <w:rPr>
                      <w:sz w:val="20"/>
                      <w:szCs w:val="20"/>
                    </w:rPr>
                  </w:pPr>
                  <w:r w:rsidRPr="00A06382">
                    <w:rPr>
                      <w:sz w:val="20"/>
                      <w:szCs w:val="20"/>
                    </w:rPr>
                    <w:t xml:space="preserve">Actions taken in response </w:t>
                  </w:r>
                </w:p>
              </w:tc>
              <w:tc>
                <w:tcPr>
                  <w:tcW w:w="1223" w:type="dxa"/>
                </w:tcPr>
                <w:p w:rsidR="00361EE7" w:rsidRPr="00A06382" w:rsidRDefault="00D32456" w:rsidP="003A64EF">
                  <w:pPr>
                    <w:pStyle w:val="Default"/>
                    <w:contextualSpacing/>
                    <w:rPr>
                      <w:sz w:val="20"/>
                      <w:szCs w:val="20"/>
                    </w:rPr>
                  </w:pPr>
                  <w:r>
                    <w:rPr>
                      <w:sz w:val="20"/>
                      <w:szCs w:val="20"/>
                    </w:rPr>
                    <w:t>100</w:t>
                  </w:r>
                  <w:r w:rsidR="00AB10D4">
                    <w:rPr>
                      <w:sz w:val="20"/>
                      <w:szCs w:val="20"/>
                    </w:rPr>
                    <w:t>%</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reported &amp; managed </w:t>
                  </w:r>
                </w:p>
              </w:tc>
              <w:tc>
                <w:tcPr>
                  <w:tcW w:w="1562"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Severity rating </w:t>
                  </w:r>
                </w:p>
              </w:tc>
              <w:tc>
                <w:tcPr>
                  <w:tcW w:w="1250" w:type="dxa"/>
                  <w:shd w:val="clear" w:color="auto" w:fill="auto"/>
                </w:tcPr>
                <w:p w:rsidR="00361EE7" w:rsidRPr="00A06382" w:rsidRDefault="00361EE7" w:rsidP="003A64EF">
                  <w:pPr>
                    <w:pStyle w:val="Default"/>
                    <w:contextualSpacing/>
                    <w:rPr>
                      <w:sz w:val="20"/>
                      <w:szCs w:val="20"/>
                    </w:rPr>
                  </w:pPr>
                  <w:r>
                    <w:rPr>
                      <w:sz w:val="20"/>
                      <w:szCs w:val="20"/>
                    </w:rPr>
                    <w:t>Month</w:t>
                  </w:r>
                  <w:r w:rsidRPr="00A06382">
                    <w:rPr>
                      <w:sz w:val="20"/>
                      <w:szCs w:val="20"/>
                    </w:rPr>
                    <w:t>ly</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Service User Experience </w:t>
                  </w:r>
                </w:p>
                <w:p w:rsidR="00361EE7" w:rsidRPr="00A06382" w:rsidRDefault="00361EE7" w:rsidP="003A64EF">
                  <w:pPr>
                    <w:pStyle w:val="Default"/>
                    <w:contextualSpacing/>
                    <w:rPr>
                      <w:sz w:val="20"/>
                      <w:szCs w:val="20"/>
                    </w:rPr>
                  </w:pPr>
                  <w:r w:rsidRPr="00A06382">
                    <w:rPr>
                      <w:sz w:val="20"/>
                      <w:szCs w:val="20"/>
                    </w:rPr>
                    <w:t xml:space="preserve">a) Near time patient experience </w:t>
                  </w:r>
                </w:p>
                <w:p w:rsidR="00361EE7" w:rsidRPr="00A06382" w:rsidRDefault="00361EE7" w:rsidP="003A64EF">
                  <w:pPr>
                    <w:pStyle w:val="Default"/>
                    <w:contextualSpacing/>
                    <w:rPr>
                      <w:sz w:val="20"/>
                      <w:szCs w:val="20"/>
                    </w:rPr>
                  </w:pPr>
                  <w:r w:rsidRPr="00A06382">
                    <w:rPr>
                      <w:sz w:val="20"/>
                      <w:szCs w:val="20"/>
                    </w:rPr>
                    <w:t xml:space="preserve">b) survey response rate </w:t>
                  </w:r>
                </w:p>
                <w:p w:rsidR="00361EE7" w:rsidRPr="00A06382" w:rsidRDefault="00361EE7" w:rsidP="003A64EF">
                  <w:pPr>
                    <w:pStyle w:val="Default"/>
                    <w:contextualSpacing/>
                    <w:rPr>
                      <w:sz w:val="20"/>
                      <w:szCs w:val="20"/>
                    </w:rPr>
                  </w:pPr>
                  <w:r w:rsidRPr="00A06382">
                    <w:rPr>
                      <w:sz w:val="20"/>
                      <w:szCs w:val="20"/>
                    </w:rPr>
                    <w:t xml:space="preserve">c) positive rating </w:t>
                  </w:r>
                </w:p>
                <w:p w:rsidR="00361EE7" w:rsidRPr="00A06382" w:rsidRDefault="00361EE7" w:rsidP="003A64EF">
                  <w:pPr>
                    <w:pStyle w:val="Default"/>
                    <w:contextualSpacing/>
                    <w:rPr>
                      <w:sz w:val="20"/>
                      <w:szCs w:val="20"/>
                    </w:rPr>
                  </w:pPr>
                  <w:r w:rsidRPr="00A06382">
                    <w:rPr>
                      <w:sz w:val="20"/>
                      <w:szCs w:val="20"/>
                    </w:rPr>
                    <w:t xml:space="preserve">d) capturing feedback from vulnerable groups.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Patient questionnaires are received and there is evidence that the service has been improved in response </w:t>
                  </w:r>
                </w:p>
                <w:p w:rsidR="00361EE7" w:rsidRPr="00A06382" w:rsidRDefault="00361EE7" w:rsidP="003A64EF">
                  <w:pPr>
                    <w:pStyle w:val="Default"/>
                    <w:contextualSpacing/>
                    <w:rPr>
                      <w:sz w:val="20"/>
                      <w:szCs w:val="20"/>
                    </w:rPr>
                  </w:pPr>
                  <w:r w:rsidRPr="00A06382">
                    <w:rPr>
                      <w:sz w:val="20"/>
                      <w:szCs w:val="20"/>
                    </w:rPr>
                    <w:t xml:space="preserve">Good user satisfaction ratings </w:t>
                  </w:r>
                </w:p>
              </w:tc>
              <w:tc>
                <w:tcPr>
                  <w:tcW w:w="1223" w:type="dxa"/>
                </w:tcPr>
                <w:p w:rsidR="00361EE7" w:rsidRPr="00A06382" w:rsidRDefault="00D32456" w:rsidP="003A64EF">
                  <w:pPr>
                    <w:pStyle w:val="Default"/>
                    <w:contextualSpacing/>
                    <w:rPr>
                      <w:sz w:val="20"/>
                      <w:szCs w:val="20"/>
                    </w:rPr>
                  </w:pPr>
                  <w:r>
                    <w:rPr>
                      <w:sz w:val="20"/>
                      <w:szCs w:val="20"/>
                    </w:rPr>
                    <w:t>&gt;80</w:t>
                  </w:r>
                  <w:r w:rsidRPr="00A06382">
                    <w:rPr>
                      <w:sz w:val="20"/>
                      <w:szCs w:val="20"/>
                    </w:rPr>
                    <w:t>% good</w:t>
                  </w:r>
                  <w:r w:rsidRPr="00A06382">
                    <w:rPr>
                      <w:rFonts w:ascii="Cambria Math" w:hAnsi="Cambria Math" w:cs="Cambria Math"/>
                      <w:sz w:val="20"/>
                      <w:szCs w:val="20"/>
                    </w:rPr>
                    <w:t>‐</w:t>
                  </w:r>
                  <w:r w:rsidRPr="00A06382">
                    <w:rPr>
                      <w:sz w:val="20"/>
                      <w:szCs w:val="20"/>
                    </w:rPr>
                    <w:t xml:space="preserve"> excellent </w:t>
                  </w:r>
                </w:p>
              </w:tc>
              <w:tc>
                <w:tcPr>
                  <w:tcW w:w="1250" w:type="dxa"/>
                  <w:shd w:val="clear" w:color="auto" w:fill="auto"/>
                </w:tcPr>
                <w:p w:rsidR="00361EE7" w:rsidRPr="00A06382" w:rsidRDefault="00361EE7" w:rsidP="003A64EF">
                  <w:pPr>
                    <w:pStyle w:val="Default"/>
                    <w:contextualSpacing/>
                    <w:rPr>
                      <w:sz w:val="20"/>
                      <w:szCs w:val="20"/>
                    </w:rPr>
                  </w:pPr>
                  <w:r>
                    <w:rPr>
                      <w:sz w:val="20"/>
                      <w:szCs w:val="20"/>
                    </w:rPr>
                    <w:t>&gt;70</w:t>
                  </w:r>
                  <w:r w:rsidRPr="00A06382">
                    <w:rPr>
                      <w:sz w:val="20"/>
                      <w:szCs w:val="20"/>
                    </w:rPr>
                    <w:t>% good</w:t>
                  </w:r>
                  <w:r w:rsidRPr="00A06382">
                    <w:rPr>
                      <w:rFonts w:ascii="Cambria Math" w:hAnsi="Cambria Math" w:cs="Cambria Math"/>
                      <w:sz w:val="20"/>
                      <w:szCs w:val="20"/>
                    </w:rPr>
                    <w:t>‐</w:t>
                  </w:r>
                  <w:r w:rsidRPr="00A06382">
                    <w:rPr>
                      <w:sz w:val="20"/>
                      <w:szCs w:val="20"/>
                    </w:rPr>
                    <w:t xml:space="preserve"> excellent </w:t>
                  </w:r>
                </w:p>
              </w:tc>
              <w:tc>
                <w:tcPr>
                  <w:tcW w:w="1562"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Patient questionnaires </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Real time feedback </w:t>
                  </w:r>
                </w:p>
              </w:tc>
            </w:tr>
            <w:tr w:rsidR="00D32456" w:rsidRPr="00A06382" w:rsidTr="002F0288">
              <w:tc>
                <w:tcPr>
                  <w:tcW w:w="1728" w:type="dxa"/>
                  <w:shd w:val="clear" w:color="auto" w:fill="auto"/>
                </w:tcPr>
                <w:p w:rsidR="00361EE7" w:rsidRPr="00A06382" w:rsidRDefault="00361EE7" w:rsidP="003A64EF">
                  <w:pPr>
                    <w:pStyle w:val="Default"/>
                    <w:contextualSpacing/>
                    <w:rPr>
                      <w:b/>
                      <w:bCs/>
                      <w:sz w:val="20"/>
                      <w:szCs w:val="20"/>
                    </w:rPr>
                  </w:pPr>
                  <w:r>
                    <w:rPr>
                      <w:b/>
                      <w:bCs/>
                      <w:sz w:val="20"/>
                      <w:szCs w:val="20"/>
                    </w:rPr>
                    <w:t>Patient education and self-management</w:t>
                  </w:r>
                </w:p>
              </w:tc>
              <w:tc>
                <w:tcPr>
                  <w:tcW w:w="1895" w:type="dxa"/>
                  <w:shd w:val="clear" w:color="auto" w:fill="auto"/>
                </w:tcPr>
                <w:p w:rsidR="00361EE7" w:rsidRPr="00A06382" w:rsidRDefault="00361EE7" w:rsidP="003A64EF">
                  <w:pPr>
                    <w:pStyle w:val="Default"/>
                    <w:contextualSpacing/>
                    <w:rPr>
                      <w:sz w:val="20"/>
                      <w:szCs w:val="20"/>
                    </w:rPr>
                  </w:pPr>
                  <w:r>
                    <w:rPr>
                      <w:sz w:val="20"/>
                      <w:szCs w:val="20"/>
                    </w:rPr>
                    <w:t>Patient questionnaires including questions on whether the patient received educational material and whether they were given information on local services in relation that promote lifestyle changes</w:t>
                  </w:r>
                </w:p>
              </w:tc>
              <w:tc>
                <w:tcPr>
                  <w:tcW w:w="1223" w:type="dxa"/>
                </w:tcPr>
                <w:p w:rsidR="00361EE7" w:rsidRDefault="00D32456" w:rsidP="00D32456">
                  <w:pPr>
                    <w:pStyle w:val="Default"/>
                    <w:contextualSpacing/>
                    <w:rPr>
                      <w:sz w:val="20"/>
                      <w:szCs w:val="20"/>
                    </w:rPr>
                  </w:pPr>
                  <w:r>
                    <w:rPr>
                      <w:sz w:val="20"/>
                      <w:szCs w:val="20"/>
                    </w:rPr>
                    <w:t xml:space="preserve">&gt;80% positive responses to the relevant questions </w:t>
                  </w:r>
                </w:p>
              </w:tc>
              <w:tc>
                <w:tcPr>
                  <w:tcW w:w="1250" w:type="dxa"/>
                  <w:shd w:val="clear" w:color="auto" w:fill="auto"/>
                </w:tcPr>
                <w:p w:rsidR="00361EE7" w:rsidRPr="00A06382" w:rsidRDefault="00361EE7" w:rsidP="003A64EF">
                  <w:pPr>
                    <w:pStyle w:val="Default"/>
                    <w:contextualSpacing/>
                    <w:rPr>
                      <w:sz w:val="20"/>
                      <w:szCs w:val="20"/>
                    </w:rPr>
                  </w:pPr>
                  <w:r>
                    <w:rPr>
                      <w:sz w:val="20"/>
                      <w:szCs w:val="20"/>
                    </w:rPr>
                    <w:t>&gt;70% positive responses to the relevant questions</w:t>
                  </w:r>
                </w:p>
              </w:tc>
              <w:tc>
                <w:tcPr>
                  <w:tcW w:w="1562" w:type="dxa"/>
                  <w:shd w:val="clear" w:color="auto" w:fill="auto"/>
                </w:tcPr>
                <w:p w:rsidR="00361EE7" w:rsidRPr="00A06382" w:rsidRDefault="00361EE7" w:rsidP="003A64EF">
                  <w:pPr>
                    <w:pStyle w:val="Default"/>
                    <w:contextualSpacing/>
                    <w:rPr>
                      <w:sz w:val="20"/>
                      <w:szCs w:val="20"/>
                    </w:rPr>
                  </w:pPr>
                  <w:r>
                    <w:rPr>
                      <w:sz w:val="20"/>
                      <w:szCs w:val="20"/>
                    </w:rPr>
                    <w:t>Patient questionnaires</w:t>
                  </w:r>
                </w:p>
              </w:tc>
              <w:tc>
                <w:tcPr>
                  <w:tcW w:w="1250" w:type="dxa"/>
                  <w:shd w:val="clear" w:color="auto" w:fill="auto"/>
                </w:tcPr>
                <w:p w:rsidR="00361EE7" w:rsidRPr="00A06382" w:rsidRDefault="00361EE7" w:rsidP="003A64EF">
                  <w:pPr>
                    <w:pStyle w:val="Default"/>
                    <w:contextualSpacing/>
                    <w:rPr>
                      <w:sz w:val="20"/>
                      <w:szCs w:val="20"/>
                    </w:rPr>
                  </w:pPr>
                  <w:r>
                    <w:rPr>
                      <w:sz w:val="20"/>
                      <w:szCs w:val="20"/>
                    </w:rPr>
                    <w:t>Quarterly</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Reducing Barriers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Facilities comply with the Disability Discrimination Act </w:t>
                  </w:r>
                </w:p>
                <w:p w:rsidR="00361EE7" w:rsidRPr="00A06382" w:rsidRDefault="00361EE7" w:rsidP="003A64EF">
                  <w:pPr>
                    <w:pStyle w:val="Default"/>
                    <w:contextualSpacing/>
                    <w:rPr>
                      <w:sz w:val="20"/>
                      <w:szCs w:val="20"/>
                    </w:rPr>
                  </w:pPr>
                  <w:r w:rsidRPr="00A06382">
                    <w:rPr>
                      <w:sz w:val="20"/>
                      <w:szCs w:val="20"/>
                    </w:rPr>
                    <w:t xml:space="preserve">Service offers a range of appointments within / without core hours </w:t>
                  </w:r>
                </w:p>
              </w:tc>
              <w:tc>
                <w:tcPr>
                  <w:tcW w:w="1223" w:type="dxa"/>
                </w:tcPr>
                <w:p w:rsidR="00361EE7" w:rsidRPr="00A06382" w:rsidRDefault="00D32456" w:rsidP="003A64EF">
                  <w:pPr>
                    <w:pStyle w:val="Default"/>
                    <w:contextualSpacing/>
                    <w:rPr>
                      <w:sz w:val="20"/>
                      <w:szCs w:val="20"/>
                    </w:rPr>
                  </w:pPr>
                  <w:r>
                    <w:rPr>
                      <w:sz w:val="20"/>
                      <w:szCs w:val="20"/>
                    </w:rPr>
                    <w:t>100</w:t>
                  </w:r>
                  <w:r w:rsidR="00AB10D4">
                    <w:rPr>
                      <w:sz w:val="20"/>
                      <w:szCs w:val="20"/>
                    </w:rPr>
                    <w:t>%</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w:t>
                  </w:r>
                </w:p>
              </w:tc>
              <w:tc>
                <w:tcPr>
                  <w:tcW w:w="1562" w:type="dxa"/>
                  <w:shd w:val="clear" w:color="auto" w:fill="auto"/>
                </w:tcPr>
                <w:p w:rsidR="00361EE7" w:rsidRPr="00A06382" w:rsidRDefault="004A5DC6" w:rsidP="003A64EF">
                  <w:pPr>
                    <w:pStyle w:val="Default"/>
                    <w:contextualSpacing/>
                    <w:rPr>
                      <w:sz w:val="20"/>
                      <w:szCs w:val="20"/>
                    </w:rPr>
                  </w:pPr>
                  <w:r>
                    <w:rPr>
                      <w:sz w:val="20"/>
                      <w:szCs w:val="20"/>
                    </w:rPr>
                    <w:t xml:space="preserve">Provider </w:t>
                  </w:r>
                  <w:r w:rsidR="00361EE7" w:rsidRPr="00A06382">
                    <w:rPr>
                      <w:sz w:val="20"/>
                      <w:szCs w:val="20"/>
                    </w:rPr>
                    <w:t xml:space="preserve">data reporting system </w:t>
                  </w:r>
                </w:p>
              </w:tc>
              <w:tc>
                <w:tcPr>
                  <w:tcW w:w="1250" w:type="dxa"/>
                  <w:shd w:val="clear" w:color="auto" w:fill="auto"/>
                </w:tcPr>
                <w:p w:rsidR="00361EE7" w:rsidRPr="00A06382" w:rsidRDefault="00361EE7" w:rsidP="003A64EF">
                  <w:pPr>
                    <w:pStyle w:val="Default"/>
                    <w:contextualSpacing/>
                    <w:rPr>
                      <w:sz w:val="20"/>
                      <w:szCs w:val="20"/>
                    </w:rPr>
                  </w:pPr>
                  <w:r>
                    <w:rPr>
                      <w:sz w:val="20"/>
                      <w:szCs w:val="20"/>
                    </w:rPr>
                    <w:t>Quarterly</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Patient Profiling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To capture, using an Electronic Patient Profiling tool* key patient level data to Identify representation of patient demographics. </w:t>
                  </w:r>
                </w:p>
              </w:tc>
              <w:tc>
                <w:tcPr>
                  <w:tcW w:w="1223" w:type="dxa"/>
                </w:tcPr>
                <w:p w:rsidR="00361EE7" w:rsidRPr="00A06382" w:rsidRDefault="00D32456" w:rsidP="00AB10D4">
                  <w:pPr>
                    <w:pStyle w:val="Default"/>
                    <w:contextualSpacing/>
                    <w:rPr>
                      <w:sz w:val="20"/>
                      <w:szCs w:val="20"/>
                    </w:rPr>
                  </w:pPr>
                  <w:r>
                    <w:rPr>
                      <w:sz w:val="20"/>
                      <w:szCs w:val="20"/>
                    </w:rPr>
                    <w:t>100</w:t>
                  </w:r>
                  <w:r w:rsidR="00AB10D4">
                    <w:rPr>
                      <w:sz w:val="20"/>
                      <w:szCs w:val="20"/>
                    </w:rPr>
                    <w:t xml:space="preserve">% </w:t>
                  </w:r>
                </w:p>
              </w:tc>
              <w:tc>
                <w:tcPr>
                  <w:tcW w:w="1250" w:type="dxa"/>
                  <w:shd w:val="clear" w:color="auto" w:fill="auto"/>
                </w:tcPr>
                <w:p w:rsidR="00361EE7" w:rsidRPr="00A06382" w:rsidRDefault="00F472E2" w:rsidP="003A64EF">
                  <w:pPr>
                    <w:pStyle w:val="Default"/>
                    <w:contextualSpacing/>
                    <w:rPr>
                      <w:sz w:val="20"/>
                      <w:szCs w:val="20"/>
                    </w:rPr>
                  </w:pPr>
                  <w:r>
                    <w:rPr>
                      <w:sz w:val="20"/>
                      <w:szCs w:val="20"/>
                    </w:rPr>
                    <w:t>Y1 75</w:t>
                  </w:r>
                  <w:r w:rsidR="00361EE7" w:rsidRPr="00A06382">
                    <w:rPr>
                      <w:sz w:val="20"/>
                      <w:szCs w:val="20"/>
                    </w:rPr>
                    <w:t xml:space="preserve">% </w:t>
                  </w:r>
                </w:p>
                <w:p w:rsidR="00361EE7" w:rsidRPr="00A06382" w:rsidRDefault="00F472E2" w:rsidP="003A64EF">
                  <w:pPr>
                    <w:pStyle w:val="Default"/>
                    <w:contextualSpacing/>
                    <w:rPr>
                      <w:sz w:val="20"/>
                      <w:szCs w:val="20"/>
                    </w:rPr>
                  </w:pPr>
                  <w:r>
                    <w:rPr>
                      <w:sz w:val="20"/>
                      <w:szCs w:val="20"/>
                    </w:rPr>
                    <w:t>Y2 80</w:t>
                  </w:r>
                  <w:r w:rsidR="00361EE7" w:rsidRPr="00A06382">
                    <w:rPr>
                      <w:sz w:val="20"/>
                      <w:szCs w:val="20"/>
                    </w:rPr>
                    <w:t xml:space="preserve">% </w:t>
                  </w:r>
                </w:p>
                <w:p w:rsidR="00361EE7" w:rsidRDefault="00F472E2" w:rsidP="003A64EF">
                  <w:pPr>
                    <w:pStyle w:val="Default"/>
                    <w:contextualSpacing/>
                    <w:rPr>
                      <w:sz w:val="20"/>
                      <w:szCs w:val="20"/>
                    </w:rPr>
                  </w:pPr>
                  <w:r>
                    <w:rPr>
                      <w:sz w:val="20"/>
                      <w:szCs w:val="20"/>
                    </w:rPr>
                    <w:t>Y3 85</w:t>
                  </w:r>
                  <w:r w:rsidR="00361EE7" w:rsidRPr="00A06382">
                    <w:rPr>
                      <w:sz w:val="20"/>
                      <w:szCs w:val="20"/>
                    </w:rPr>
                    <w:t xml:space="preserve">% </w:t>
                  </w:r>
                </w:p>
                <w:p w:rsidR="004A5DC6" w:rsidRDefault="004A5DC6" w:rsidP="003A64EF">
                  <w:pPr>
                    <w:pStyle w:val="Default"/>
                    <w:contextualSpacing/>
                    <w:rPr>
                      <w:sz w:val="20"/>
                      <w:szCs w:val="20"/>
                    </w:rPr>
                  </w:pPr>
                  <w:r>
                    <w:rPr>
                      <w:sz w:val="20"/>
                      <w:szCs w:val="20"/>
                    </w:rPr>
                    <w:t>Y4</w:t>
                  </w:r>
                  <w:r w:rsidR="00F472E2">
                    <w:rPr>
                      <w:sz w:val="20"/>
                      <w:szCs w:val="20"/>
                    </w:rPr>
                    <w:t xml:space="preserve"> 90</w:t>
                  </w:r>
                  <w:r w:rsidRPr="00A06382">
                    <w:rPr>
                      <w:sz w:val="20"/>
                      <w:szCs w:val="20"/>
                    </w:rPr>
                    <w:t>%</w:t>
                  </w:r>
                </w:p>
                <w:p w:rsidR="004A5DC6" w:rsidRPr="00A06382" w:rsidRDefault="004A5DC6" w:rsidP="003A64EF">
                  <w:pPr>
                    <w:pStyle w:val="Default"/>
                    <w:contextualSpacing/>
                    <w:rPr>
                      <w:sz w:val="20"/>
                      <w:szCs w:val="20"/>
                    </w:rPr>
                  </w:pPr>
                  <w:r>
                    <w:rPr>
                      <w:sz w:val="20"/>
                      <w:szCs w:val="20"/>
                    </w:rPr>
                    <w:t>Y5</w:t>
                  </w:r>
                  <w:r w:rsidR="00F472E2">
                    <w:rPr>
                      <w:sz w:val="20"/>
                      <w:szCs w:val="20"/>
                    </w:rPr>
                    <w:t xml:space="preserve"> 95</w:t>
                  </w:r>
                  <w:r w:rsidRPr="00A06382">
                    <w:rPr>
                      <w:sz w:val="20"/>
                      <w:szCs w:val="20"/>
                    </w:rPr>
                    <w:t>%</w:t>
                  </w:r>
                </w:p>
              </w:tc>
              <w:tc>
                <w:tcPr>
                  <w:tcW w:w="1562" w:type="dxa"/>
                  <w:shd w:val="clear" w:color="auto" w:fill="auto"/>
                </w:tcPr>
                <w:p w:rsidR="00361EE7" w:rsidRPr="00A06382" w:rsidRDefault="004A5DC6" w:rsidP="003A64EF">
                  <w:pPr>
                    <w:pStyle w:val="Default"/>
                    <w:contextualSpacing/>
                    <w:rPr>
                      <w:sz w:val="20"/>
                      <w:szCs w:val="20"/>
                    </w:rPr>
                  </w:pPr>
                  <w:r>
                    <w:rPr>
                      <w:sz w:val="20"/>
                      <w:szCs w:val="20"/>
                    </w:rPr>
                    <w:t>Provider</w:t>
                  </w:r>
                  <w:r w:rsidR="00361EE7" w:rsidRPr="00A06382">
                    <w:rPr>
                      <w:sz w:val="20"/>
                      <w:szCs w:val="20"/>
                    </w:rPr>
                    <w:t xml:space="preserve"> data </w:t>
                  </w:r>
                </w:p>
                <w:p w:rsidR="00361EE7" w:rsidRPr="00A06382" w:rsidRDefault="00361EE7" w:rsidP="003A64EF">
                  <w:pPr>
                    <w:pStyle w:val="Default"/>
                    <w:contextualSpacing/>
                    <w:rPr>
                      <w:sz w:val="20"/>
                      <w:szCs w:val="20"/>
                    </w:rPr>
                  </w:pPr>
                  <w:r w:rsidRPr="00A06382">
                    <w:rPr>
                      <w:sz w:val="20"/>
                      <w:szCs w:val="20"/>
                    </w:rPr>
                    <w:t xml:space="preserve">reporting system </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6 Monthly </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Pr>
                      <w:b/>
                      <w:bCs/>
                      <w:sz w:val="20"/>
                      <w:szCs w:val="20"/>
                    </w:rPr>
                    <w:t>Comprehensive management plan</w:t>
                  </w:r>
                </w:p>
              </w:tc>
              <w:tc>
                <w:tcPr>
                  <w:tcW w:w="1895" w:type="dxa"/>
                  <w:shd w:val="clear" w:color="auto" w:fill="auto"/>
                </w:tcPr>
                <w:p w:rsidR="00361EE7" w:rsidRPr="00A06382" w:rsidRDefault="00361EE7" w:rsidP="00DE6B7D">
                  <w:pPr>
                    <w:pStyle w:val="Default"/>
                    <w:contextualSpacing/>
                    <w:rPr>
                      <w:sz w:val="20"/>
                      <w:szCs w:val="20"/>
                    </w:rPr>
                  </w:pPr>
                  <w:r w:rsidRPr="00A06382">
                    <w:rPr>
                      <w:sz w:val="20"/>
                      <w:szCs w:val="20"/>
                    </w:rPr>
                    <w:t xml:space="preserve">All patients to receive an individualised </w:t>
                  </w:r>
                  <w:r>
                    <w:rPr>
                      <w:sz w:val="20"/>
                      <w:szCs w:val="20"/>
                    </w:rPr>
                    <w:t>management</w:t>
                  </w:r>
                  <w:r w:rsidRPr="00A06382">
                    <w:rPr>
                      <w:sz w:val="20"/>
                      <w:szCs w:val="20"/>
                    </w:rPr>
                    <w:t xml:space="preserve"> plan </w:t>
                  </w:r>
                  <w:r>
                    <w:rPr>
                      <w:sz w:val="20"/>
                      <w:szCs w:val="20"/>
                    </w:rPr>
                    <w:t>communicated clearly in discharge letters</w:t>
                  </w:r>
                </w:p>
              </w:tc>
              <w:tc>
                <w:tcPr>
                  <w:tcW w:w="1223" w:type="dxa"/>
                </w:tcPr>
                <w:p w:rsidR="00361EE7" w:rsidRPr="00A06382" w:rsidRDefault="00D32456" w:rsidP="003A64EF">
                  <w:pPr>
                    <w:pStyle w:val="Default"/>
                    <w:contextualSpacing/>
                    <w:rPr>
                      <w:sz w:val="20"/>
                      <w:szCs w:val="20"/>
                    </w:rPr>
                  </w:pPr>
                  <w:r>
                    <w:rPr>
                      <w:sz w:val="20"/>
                      <w:szCs w:val="20"/>
                    </w:rPr>
                    <w:t>100</w:t>
                  </w:r>
                  <w:r w:rsidR="00AB10D4">
                    <w:rPr>
                      <w:sz w:val="20"/>
                      <w:szCs w:val="20"/>
                    </w:rPr>
                    <w:t>%</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w:t>
                  </w:r>
                </w:p>
              </w:tc>
              <w:tc>
                <w:tcPr>
                  <w:tcW w:w="1562"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Audit </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Annual </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Pr>
                      <w:b/>
                      <w:bCs/>
                      <w:sz w:val="20"/>
                      <w:szCs w:val="20"/>
                    </w:rPr>
                    <w:t xml:space="preserve">Education </w:t>
                  </w:r>
                  <w:r w:rsidRPr="00A06382">
                    <w:rPr>
                      <w:b/>
                      <w:bCs/>
                      <w:sz w:val="20"/>
                      <w:szCs w:val="20"/>
                    </w:rPr>
                    <w:t xml:space="preserve">delivered to GPs </w:t>
                  </w:r>
                </w:p>
              </w:tc>
              <w:tc>
                <w:tcPr>
                  <w:tcW w:w="1895" w:type="dxa"/>
                  <w:shd w:val="clear" w:color="auto" w:fill="auto"/>
                </w:tcPr>
                <w:p w:rsidR="00361EE7" w:rsidRDefault="00361EE7" w:rsidP="003A64EF">
                  <w:pPr>
                    <w:pStyle w:val="Default"/>
                    <w:contextualSpacing/>
                    <w:rPr>
                      <w:sz w:val="20"/>
                      <w:szCs w:val="20"/>
                    </w:rPr>
                  </w:pPr>
                  <w:r w:rsidRPr="00A06382">
                    <w:rPr>
                      <w:sz w:val="20"/>
                      <w:szCs w:val="20"/>
                    </w:rPr>
                    <w:t>Reporting at monitoring meeting and annual GP survey</w:t>
                  </w:r>
                  <w:r w:rsidR="004A5DC6">
                    <w:rPr>
                      <w:sz w:val="20"/>
                      <w:szCs w:val="20"/>
                    </w:rPr>
                    <w:t>,</w:t>
                  </w:r>
                </w:p>
                <w:p w:rsidR="00361EE7" w:rsidRDefault="00361EE7" w:rsidP="003A64EF">
                  <w:pPr>
                    <w:pStyle w:val="Default"/>
                    <w:contextualSpacing/>
                    <w:rPr>
                      <w:sz w:val="20"/>
                      <w:szCs w:val="20"/>
                    </w:rPr>
                  </w:pPr>
                  <w:r>
                    <w:rPr>
                      <w:sz w:val="20"/>
                      <w:szCs w:val="20"/>
                    </w:rPr>
                    <w:t>Website data</w:t>
                  </w:r>
                  <w:r w:rsidR="004A5DC6">
                    <w:rPr>
                      <w:sz w:val="20"/>
                      <w:szCs w:val="20"/>
                    </w:rPr>
                    <w:t>,</w:t>
                  </w:r>
                  <w:r w:rsidRPr="00A06382">
                    <w:rPr>
                      <w:sz w:val="20"/>
                      <w:szCs w:val="20"/>
                    </w:rPr>
                    <w:t xml:space="preserve"> </w:t>
                  </w:r>
                </w:p>
                <w:p w:rsidR="00361EE7" w:rsidRDefault="00361EE7" w:rsidP="003A64EF">
                  <w:pPr>
                    <w:pStyle w:val="Default"/>
                    <w:contextualSpacing/>
                    <w:rPr>
                      <w:sz w:val="20"/>
                      <w:szCs w:val="20"/>
                    </w:rPr>
                  </w:pPr>
                  <w:r>
                    <w:rPr>
                      <w:sz w:val="20"/>
                      <w:szCs w:val="20"/>
                    </w:rPr>
                    <w:t>Educational events delivered locally</w:t>
                  </w:r>
                </w:p>
                <w:p w:rsidR="006768EC" w:rsidRDefault="006768EC" w:rsidP="003A64EF">
                  <w:pPr>
                    <w:pStyle w:val="Default"/>
                    <w:contextualSpacing/>
                    <w:rPr>
                      <w:sz w:val="20"/>
                      <w:szCs w:val="20"/>
                    </w:rPr>
                  </w:pPr>
                </w:p>
                <w:p w:rsidR="006768EC" w:rsidRDefault="006768EC" w:rsidP="006768EC">
                  <w:pPr>
                    <w:pStyle w:val="Default"/>
                    <w:contextualSpacing/>
                    <w:rPr>
                      <w:sz w:val="20"/>
                      <w:szCs w:val="20"/>
                    </w:rPr>
                  </w:pPr>
                  <w:r>
                    <w:rPr>
                      <w:sz w:val="20"/>
                      <w:szCs w:val="20"/>
                    </w:rPr>
                    <w:t>Website: updated quarterly and reporting of activity/feedback comments from GPs</w:t>
                  </w:r>
                </w:p>
                <w:p w:rsidR="006768EC" w:rsidRPr="00A06382" w:rsidRDefault="006768EC" w:rsidP="003A64EF">
                  <w:pPr>
                    <w:pStyle w:val="Default"/>
                    <w:contextualSpacing/>
                    <w:rPr>
                      <w:sz w:val="20"/>
                      <w:szCs w:val="20"/>
                    </w:rPr>
                  </w:pPr>
                </w:p>
              </w:tc>
              <w:tc>
                <w:tcPr>
                  <w:tcW w:w="1223" w:type="dxa"/>
                </w:tcPr>
                <w:p w:rsidR="00D32456" w:rsidRDefault="00D32456" w:rsidP="00D32456">
                  <w:pPr>
                    <w:pStyle w:val="Default"/>
                    <w:contextualSpacing/>
                    <w:rPr>
                      <w:sz w:val="20"/>
                      <w:szCs w:val="20"/>
                    </w:rPr>
                  </w:pPr>
                  <w:r>
                    <w:rPr>
                      <w:sz w:val="20"/>
                      <w:szCs w:val="20"/>
                    </w:rPr>
                    <w:t xml:space="preserve">GP feedback: &gt;80% positive </w:t>
                  </w:r>
                </w:p>
                <w:p w:rsidR="00D32456" w:rsidRDefault="00D32456" w:rsidP="00D32456">
                  <w:pPr>
                    <w:pStyle w:val="Default"/>
                    <w:contextualSpacing/>
                    <w:rPr>
                      <w:sz w:val="20"/>
                      <w:szCs w:val="20"/>
                    </w:rPr>
                  </w:pPr>
                </w:p>
                <w:p w:rsidR="00361EE7" w:rsidRDefault="00361EE7" w:rsidP="00D32456">
                  <w:pPr>
                    <w:pStyle w:val="Default"/>
                    <w:contextualSpacing/>
                    <w:rPr>
                      <w:sz w:val="20"/>
                      <w:szCs w:val="20"/>
                    </w:rPr>
                  </w:pPr>
                </w:p>
              </w:tc>
              <w:tc>
                <w:tcPr>
                  <w:tcW w:w="1250" w:type="dxa"/>
                  <w:shd w:val="clear" w:color="auto" w:fill="auto"/>
                </w:tcPr>
                <w:p w:rsidR="00361EE7" w:rsidRDefault="00361EE7" w:rsidP="00DE6B7D">
                  <w:pPr>
                    <w:pStyle w:val="Default"/>
                    <w:contextualSpacing/>
                    <w:rPr>
                      <w:sz w:val="20"/>
                      <w:szCs w:val="20"/>
                    </w:rPr>
                  </w:pPr>
                  <w:r>
                    <w:rPr>
                      <w:sz w:val="20"/>
                      <w:szCs w:val="20"/>
                    </w:rPr>
                    <w:t>GP feedbac</w:t>
                  </w:r>
                  <w:r w:rsidR="004A5DC6">
                    <w:rPr>
                      <w:sz w:val="20"/>
                      <w:szCs w:val="20"/>
                    </w:rPr>
                    <w:t>k: &gt;70</w:t>
                  </w:r>
                  <w:r>
                    <w:rPr>
                      <w:sz w:val="20"/>
                      <w:szCs w:val="20"/>
                    </w:rPr>
                    <w:t xml:space="preserve">% positive </w:t>
                  </w:r>
                </w:p>
                <w:p w:rsidR="00361EE7" w:rsidRPr="00A06382" w:rsidRDefault="00361EE7" w:rsidP="006768EC">
                  <w:pPr>
                    <w:pStyle w:val="Default"/>
                    <w:contextualSpacing/>
                    <w:rPr>
                      <w:sz w:val="20"/>
                      <w:szCs w:val="20"/>
                    </w:rPr>
                  </w:pPr>
                </w:p>
              </w:tc>
              <w:tc>
                <w:tcPr>
                  <w:tcW w:w="1562" w:type="dxa"/>
                  <w:shd w:val="clear" w:color="auto" w:fill="auto"/>
                </w:tcPr>
                <w:p w:rsidR="00361EE7" w:rsidRDefault="00AB10D4" w:rsidP="003A64EF">
                  <w:pPr>
                    <w:pStyle w:val="Default"/>
                    <w:contextualSpacing/>
                    <w:rPr>
                      <w:sz w:val="20"/>
                      <w:szCs w:val="20"/>
                    </w:rPr>
                  </w:pPr>
                  <w:r>
                    <w:rPr>
                      <w:sz w:val="20"/>
                      <w:szCs w:val="20"/>
                    </w:rPr>
                    <w:t>Questionnaires developed by the provider / feedback score incorporated</w:t>
                  </w:r>
                  <w:r w:rsidR="00361EE7" w:rsidRPr="00A06382">
                    <w:rPr>
                      <w:sz w:val="20"/>
                      <w:szCs w:val="20"/>
                    </w:rPr>
                    <w:t xml:space="preserve"> </w:t>
                  </w:r>
                </w:p>
                <w:p w:rsidR="006768EC" w:rsidRDefault="006768EC" w:rsidP="003A64EF">
                  <w:pPr>
                    <w:pStyle w:val="Default"/>
                    <w:contextualSpacing/>
                    <w:rPr>
                      <w:sz w:val="20"/>
                      <w:szCs w:val="20"/>
                    </w:rPr>
                  </w:pPr>
                </w:p>
                <w:p w:rsidR="006768EC" w:rsidRPr="00A06382" w:rsidRDefault="006768EC" w:rsidP="003A64EF">
                  <w:pPr>
                    <w:pStyle w:val="Default"/>
                    <w:contextualSpacing/>
                    <w:rPr>
                      <w:sz w:val="20"/>
                      <w:szCs w:val="20"/>
                    </w:rPr>
                  </w:pPr>
                  <w:r>
                    <w:rPr>
                      <w:sz w:val="20"/>
                      <w:szCs w:val="20"/>
                    </w:rPr>
                    <w:t>Website monitoring feedback by Provider</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Quarterly </w:t>
                  </w:r>
                </w:p>
              </w:tc>
            </w:tr>
            <w:tr w:rsidR="00D32456"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CQC Compliance </w:t>
                  </w:r>
                </w:p>
              </w:tc>
              <w:tc>
                <w:tcPr>
                  <w:tcW w:w="1895" w:type="dxa"/>
                  <w:shd w:val="clear" w:color="auto" w:fill="auto"/>
                </w:tcPr>
                <w:p w:rsidR="00361EE7" w:rsidRDefault="00361EE7" w:rsidP="003A64EF">
                  <w:pPr>
                    <w:pStyle w:val="Default"/>
                    <w:contextualSpacing/>
                    <w:rPr>
                      <w:sz w:val="20"/>
                      <w:szCs w:val="20"/>
                    </w:rPr>
                  </w:pPr>
                  <w:r w:rsidRPr="00A06382">
                    <w:rPr>
                      <w:sz w:val="20"/>
                      <w:szCs w:val="20"/>
                    </w:rPr>
                    <w:t xml:space="preserve">Sharing of CQC reports and provider action plans where applicable </w:t>
                  </w:r>
                </w:p>
                <w:p w:rsidR="004A5DC6" w:rsidRPr="00A06382" w:rsidRDefault="004A5DC6" w:rsidP="003A64EF">
                  <w:pPr>
                    <w:pStyle w:val="Default"/>
                    <w:contextualSpacing/>
                    <w:rPr>
                      <w:sz w:val="20"/>
                      <w:szCs w:val="20"/>
                    </w:rPr>
                  </w:pPr>
                </w:p>
              </w:tc>
              <w:tc>
                <w:tcPr>
                  <w:tcW w:w="1223" w:type="dxa"/>
                </w:tcPr>
                <w:p w:rsidR="00361EE7" w:rsidRPr="00A06382" w:rsidRDefault="00AB10D4" w:rsidP="003A64EF">
                  <w:pPr>
                    <w:pStyle w:val="Default"/>
                    <w:contextualSpacing/>
                    <w:rPr>
                      <w:sz w:val="20"/>
                      <w:szCs w:val="20"/>
                    </w:rPr>
                  </w:pPr>
                  <w:r>
                    <w:rPr>
                      <w:sz w:val="20"/>
                      <w:szCs w:val="20"/>
                    </w:rPr>
                    <w:t>100%</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w:t>
                  </w:r>
                </w:p>
              </w:tc>
              <w:tc>
                <w:tcPr>
                  <w:tcW w:w="1562" w:type="dxa"/>
                  <w:shd w:val="clear" w:color="auto" w:fill="auto"/>
                </w:tcPr>
                <w:p w:rsidR="00361EE7" w:rsidRPr="00A06382" w:rsidRDefault="00361EE7" w:rsidP="003A64EF">
                  <w:pPr>
                    <w:pStyle w:val="Default"/>
                    <w:contextualSpacing/>
                    <w:rPr>
                      <w:sz w:val="20"/>
                      <w:szCs w:val="20"/>
                    </w:rPr>
                  </w:pPr>
                  <w:r w:rsidRPr="00A06382">
                    <w:rPr>
                      <w:i/>
                      <w:iCs/>
                      <w:sz w:val="20"/>
                      <w:szCs w:val="20"/>
                    </w:rPr>
                    <w:t xml:space="preserve">100% of visits reported </w:t>
                  </w:r>
                </w:p>
              </w:tc>
              <w:tc>
                <w:tcPr>
                  <w:tcW w:w="1250" w:type="dxa"/>
                  <w:shd w:val="clear" w:color="auto" w:fill="auto"/>
                </w:tcPr>
                <w:p w:rsidR="00361EE7" w:rsidRPr="00A06382" w:rsidRDefault="00361EE7" w:rsidP="003A64EF">
                  <w:pPr>
                    <w:pStyle w:val="Default"/>
                    <w:contextualSpacing/>
                    <w:rPr>
                      <w:sz w:val="20"/>
                      <w:szCs w:val="20"/>
                    </w:rPr>
                  </w:pPr>
                  <w:r w:rsidRPr="00A06382">
                    <w:rPr>
                      <w:i/>
                      <w:iCs/>
                      <w:sz w:val="20"/>
                      <w:szCs w:val="20"/>
                    </w:rPr>
                    <w:t xml:space="preserve">Yearly, and as visits occur </w:t>
                  </w:r>
                </w:p>
              </w:tc>
            </w:tr>
            <w:tr w:rsidR="00AB10D4" w:rsidRPr="00A06382" w:rsidTr="00205109">
              <w:trPr>
                <w:trHeight w:val="564"/>
              </w:trPr>
              <w:tc>
                <w:tcPr>
                  <w:tcW w:w="8908" w:type="dxa"/>
                  <w:gridSpan w:val="6"/>
                  <w:shd w:val="clear" w:color="auto" w:fill="D9D9D9"/>
                </w:tcPr>
                <w:p w:rsidR="00AB10D4" w:rsidRPr="00A06382" w:rsidRDefault="00AB10D4" w:rsidP="003A64EF">
                  <w:pPr>
                    <w:pStyle w:val="Default"/>
                    <w:contextualSpacing/>
                    <w:rPr>
                      <w:sz w:val="20"/>
                      <w:szCs w:val="20"/>
                    </w:rPr>
                  </w:pPr>
                  <w:r w:rsidRPr="00A06382">
                    <w:rPr>
                      <w:b/>
                      <w:bCs/>
                      <w:sz w:val="20"/>
                      <w:szCs w:val="20"/>
                    </w:rPr>
                    <w:t xml:space="preserve">Clinical Outcomes </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Performance Indicator </w:t>
                  </w:r>
                </w:p>
              </w:tc>
              <w:tc>
                <w:tcPr>
                  <w:tcW w:w="1895"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Indicator </w:t>
                  </w:r>
                </w:p>
              </w:tc>
              <w:tc>
                <w:tcPr>
                  <w:tcW w:w="1223" w:type="dxa"/>
                </w:tcPr>
                <w:p w:rsidR="00361EE7" w:rsidRPr="00A06382" w:rsidRDefault="00D32456" w:rsidP="003A64EF">
                  <w:pPr>
                    <w:pStyle w:val="Default"/>
                    <w:contextualSpacing/>
                    <w:rPr>
                      <w:b/>
                      <w:bCs/>
                      <w:i/>
                      <w:iCs/>
                      <w:sz w:val="20"/>
                      <w:szCs w:val="20"/>
                    </w:rPr>
                  </w:pPr>
                  <w:r>
                    <w:rPr>
                      <w:b/>
                      <w:bCs/>
                      <w:i/>
                      <w:iCs/>
                      <w:sz w:val="20"/>
                      <w:szCs w:val="20"/>
                    </w:rPr>
                    <w:t>Target</w:t>
                  </w:r>
                </w:p>
              </w:tc>
              <w:tc>
                <w:tcPr>
                  <w:tcW w:w="1250"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Threshold </w:t>
                  </w:r>
                </w:p>
              </w:tc>
              <w:tc>
                <w:tcPr>
                  <w:tcW w:w="1562"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Method of </w:t>
                  </w:r>
                </w:p>
                <w:p w:rsidR="00361EE7" w:rsidRPr="00A06382" w:rsidRDefault="00361EE7" w:rsidP="003A64EF">
                  <w:pPr>
                    <w:pStyle w:val="Default"/>
                    <w:contextualSpacing/>
                    <w:rPr>
                      <w:sz w:val="20"/>
                      <w:szCs w:val="20"/>
                    </w:rPr>
                  </w:pPr>
                  <w:r w:rsidRPr="00A06382">
                    <w:rPr>
                      <w:b/>
                      <w:bCs/>
                      <w:i/>
                      <w:iCs/>
                      <w:sz w:val="20"/>
                      <w:szCs w:val="20"/>
                    </w:rPr>
                    <w:t xml:space="preserve">Measurement </w:t>
                  </w:r>
                </w:p>
              </w:tc>
              <w:tc>
                <w:tcPr>
                  <w:tcW w:w="1250"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Monitoring </w:t>
                  </w:r>
                </w:p>
                <w:p w:rsidR="00361EE7" w:rsidRPr="00A06382" w:rsidRDefault="00361EE7" w:rsidP="003A64EF">
                  <w:pPr>
                    <w:pStyle w:val="Default"/>
                    <w:contextualSpacing/>
                    <w:rPr>
                      <w:sz w:val="20"/>
                      <w:szCs w:val="20"/>
                    </w:rPr>
                  </w:pPr>
                  <w:r w:rsidRPr="00A06382">
                    <w:rPr>
                      <w:b/>
                      <w:bCs/>
                      <w:i/>
                      <w:iCs/>
                      <w:sz w:val="20"/>
                      <w:szCs w:val="20"/>
                    </w:rPr>
                    <w:t xml:space="preserve">Frequency </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Patient Related Outcome Measure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EQ-5D (quality effectiveness tool) pre &amp; post intervention </w:t>
                  </w:r>
                  <w:r>
                    <w:rPr>
                      <w:sz w:val="20"/>
                      <w:szCs w:val="20"/>
                    </w:rPr>
                    <w:t>for persistent pain patients</w:t>
                  </w:r>
                </w:p>
              </w:tc>
              <w:tc>
                <w:tcPr>
                  <w:tcW w:w="1223" w:type="dxa"/>
                </w:tcPr>
                <w:p w:rsidR="00361EE7" w:rsidRPr="00A06382" w:rsidRDefault="00D32456" w:rsidP="003A64EF">
                  <w:pPr>
                    <w:pStyle w:val="Default"/>
                    <w:contextualSpacing/>
                    <w:rPr>
                      <w:sz w:val="20"/>
                      <w:szCs w:val="20"/>
                    </w:rPr>
                  </w:pPr>
                  <w:r>
                    <w:rPr>
                      <w:sz w:val="20"/>
                      <w:szCs w:val="20"/>
                    </w:rPr>
                    <w:t>%</w:t>
                  </w:r>
                  <w:r w:rsidR="006768EC">
                    <w:rPr>
                      <w:sz w:val="20"/>
                      <w:szCs w:val="20"/>
                    </w:rPr>
                    <w:t>100</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w:t>
                  </w:r>
                </w:p>
              </w:tc>
              <w:tc>
                <w:tcPr>
                  <w:tcW w:w="1562" w:type="dxa"/>
                  <w:shd w:val="clear" w:color="auto" w:fill="auto"/>
                </w:tcPr>
                <w:p w:rsidR="00361EE7" w:rsidRPr="00A06382" w:rsidRDefault="00D32456" w:rsidP="003A64EF">
                  <w:pPr>
                    <w:pStyle w:val="Default"/>
                    <w:contextualSpacing/>
                    <w:rPr>
                      <w:sz w:val="20"/>
                      <w:szCs w:val="20"/>
                    </w:rPr>
                  </w:pPr>
                  <w:r>
                    <w:rPr>
                      <w:sz w:val="20"/>
                      <w:szCs w:val="20"/>
                    </w:rPr>
                    <w:t xml:space="preserve">Provider </w:t>
                  </w:r>
                  <w:r w:rsidR="00361EE7" w:rsidRPr="00A06382">
                    <w:rPr>
                      <w:sz w:val="20"/>
                      <w:szCs w:val="20"/>
                    </w:rPr>
                    <w:t xml:space="preserve">data reporting system </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6 Monthly </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Condition Specific Outcome Measures </w:t>
                  </w:r>
                </w:p>
                <w:p w:rsidR="00361EE7" w:rsidRPr="00A06382" w:rsidRDefault="00361EE7" w:rsidP="007765AB">
                  <w:pPr>
                    <w:pStyle w:val="Default"/>
                    <w:contextualSpacing/>
                    <w:rPr>
                      <w:sz w:val="20"/>
                      <w:szCs w:val="20"/>
                    </w:rPr>
                  </w:pPr>
                  <w:r w:rsidRPr="00A06382">
                    <w:rPr>
                      <w:sz w:val="20"/>
                      <w:szCs w:val="20"/>
                    </w:rPr>
                    <w:t xml:space="preserve">As approved by the </w:t>
                  </w:r>
                  <w:r>
                    <w:rPr>
                      <w:sz w:val="20"/>
                      <w:szCs w:val="20"/>
                    </w:rPr>
                    <w:t>Planned Care Board</w:t>
                  </w:r>
                  <w:r w:rsidRPr="00A06382">
                    <w:rPr>
                      <w:sz w:val="20"/>
                      <w:szCs w:val="20"/>
                    </w:rPr>
                    <w:t xml:space="preserve">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Reports on compliance with condition specific outcome measures </w:t>
                  </w:r>
                </w:p>
              </w:tc>
              <w:tc>
                <w:tcPr>
                  <w:tcW w:w="1223" w:type="dxa"/>
                </w:tcPr>
                <w:p w:rsidR="00361EE7" w:rsidRPr="00A06382" w:rsidRDefault="00D32456" w:rsidP="003A64EF">
                  <w:pPr>
                    <w:pStyle w:val="Default"/>
                    <w:contextualSpacing/>
                    <w:rPr>
                      <w:sz w:val="20"/>
                      <w:szCs w:val="20"/>
                    </w:rPr>
                  </w:pPr>
                  <w:r>
                    <w:rPr>
                      <w:sz w:val="20"/>
                      <w:szCs w:val="20"/>
                    </w:rPr>
                    <w:t>tbc</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tbc </w:t>
                  </w:r>
                </w:p>
              </w:tc>
              <w:tc>
                <w:tcPr>
                  <w:tcW w:w="1562"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tbc </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6 monthly </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Appropriate utilisation of secondary care </w:t>
                  </w:r>
                  <w:r w:rsidRPr="00A06382">
                    <w:rPr>
                      <w:sz w:val="20"/>
                      <w:szCs w:val="20"/>
                    </w:rPr>
                    <w:t xml:space="preserve">Conversion rate to surgery </w:t>
                  </w:r>
                  <w:r w:rsidR="00F472E2">
                    <w:rPr>
                      <w:sz w:val="20"/>
                      <w:szCs w:val="20"/>
                    </w:rPr>
                    <w:t>for T&amp;O</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Conversion rate to surgery for main provider acute trusts </w:t>
                  </w:r>
                </w:p>
              </w:tc>
              <w:tc>
                <w:tcPr>
                  <w:tcW w:w="1223" w:type="dxa"/>
                </w:tcPr>
                <w:p w:rsidR="00361EE7" w:rsidRPr="00A06382" w:rsidRDefault="006768EC" w:rsidP="003A64EF">
                  <w:pPr>
                    <w:pStyle w:val="Default"/>
                    <w:contextualSpacing/>
                    <w:rPr>
                      <w:sz w:val="20"/>
                      <w:szCs w:val="20"/>
                    </w:rPr>
                  </w:pPr>
                  <w:r>
                    <w:rPr>
                      <w:sz w:val="20"/>
                      <w:szCs w:val="20"/>
                    </w:rPr>
                    <w:t>&gt;80%</w:t>
                  </w:r>
                </w:p>
              </w:tc>
              <w:tc>
                <w:tcPr>
                  <w:tcW w:w="1250" w:type="dxa"/>
                  <w:shd w:val="clear" w:color="auto" w:fill="auto"/>
                </w:tcPr>
                <w:p w:rsidR="00B77152" w:rsidRDefault="00B77152" w:rsidP="00B77152">
                  <w:pPr>
                    <w:pStyle w:val="Default"/>
                    <w:contextualSpacing/>
                    <w:rPr>
                      <w:sz w:val="20"/>
                      <w:szCs w:val="20"/>
                    </w:rPr>
                  </w:pPr>
                  <w:r>
                    <w:rPr>
                      <w:sz w:val="20"/>
                      <w:szCs w:val="20"/>
                    </w:rPr>
                    <w:t>Year 1 +% increase from 15/16</w:t>
                  </w:r>
                </w:p>
                <w:p w:rsidR="00B77152" w:rsidRDefault="00B77152" w:rsidP="00B77152">
                  <w:pPr>
                    <w:pStyle w:val="Default"/>
                    <w:contextualSpacing/>
                    <w:rPr>
                      <w:sz w:val="20"/>
                      <w:szCs w:val="20"/>
                    </w:rPr>
                  </w:pPr>
                </w:p>
                <w:p w:rsidR="00B77152" w:rsidRDefault="00B77152" w:rsidP="00B77152">
                  <w:pPr>
                    <w:pStyle w:val="Default"/>
                    <w:contextualSpacing/>
                    <w:rPr>
                      <w:sz w:val="20"/>
                      <w:szCs w:val="20"/>
                    </w:rPr>
                  </w:pPr>
                  <w:r>
                    <w:rPr>
                      <w:sz w:val="20"/>
                      <w:szCs w:val="20"/>
                    </w:rPr>
                    <w:t>Year 2 +% increase from 16/17</w:t>
                  </w:r>
                </w:p>
                <w:p w:rsidR="00B77152" w:rsidRDefault="00B77152" w:rsidP="00B77152">
                  <w:pPr>
                    <w:pStyle w:val="Default"/>
                    <w:contextualSpacing/>
                    <w:rPr>
                      <w:sz w:val="20"/>
                      <w:szCs w:val="20"/>
                    </w:rPr>
                  </w:pPr>
                </w:p>
                <w:p w:rsidR="00B77152" w:rsidRDefault="00B77152" w:rsidP="00B77152">
                  <w:pPr>
                    <w:pStyle w:val="Default"/>
                    <w:contextualSpacing/>
                    <w:rPr>
                      <w:sz w:val="20"/>
                      <w:szCs w:val="20"/>
                    </w:rPr>
                  </w:pPr>
                  <w:r>
                    <w:rPr>
                      <w:sz w:val="20"/>
                      <w:szCs w:val="20"/>
                    </w:rPr>
                    <w:t>Year 3 +% increase from 17/18</w:t>
                  </w:r>
                </w:p>
                <w:p w:rsidR="00B77152" w:rsidRDefault="00B77152" w:rsidP="00B77152">
                  <w:pPr>
                    <w:pStyle w:val="Default"/>
                    <w:contextualSpacing/>
                    <w:rPr>
                      <w:sz w:val="20"/>
                      <w:szCs w:val="20"/>
                    </w:rPr>
                  </w:pPr>
                </w:p>
                <w:p w:rsidR="00B77152" w:rsidRDefault="00B77152" w:rsidP="00B77152">
                  <w:pPr>
                    <w:pStyle w:val="Default"/>
                    <w:contextualSpacing/>
                    <w:rPr>
                      <w:sz w:val="20"/>
                      <w:szCs w:val="20"/>
                    </w:rPr>
                  </w:pPr>
                  <w:r>
                    <w:rPr>
                      <w:sz w:val="20"/>
                      <w:szCs w:val="20"/>
                    </w:rPr>
                    <w:t>Year 4 +% increase from 18/19</w:t>
                  </w:r>
                </w:p>
                <w:p w:rsidR="00B77152" w:rsidRDefault="00B77152" w:rsidP="00B77152">
                  <w:pPr>
                    <w:pStyle w:val="Default"/>
                    <w:contextualSpacing/>
                    <w:rPr>
                      <w:sz w:val="20"/>
                      <w:szCs w:val="20"/>
                    </w:rPr>
                  </w:pPr>
                </w:p>
                <w:p w:rsidR="00B77152" w:rsidRDefault="00B77152" w:rsidP="00B77152">
                  <w:pPr>
                    <w:pStyle w:val="Default"/>
                    <w:contextualSpacing/>
                    <w:rPr>
                      <w:sz w:val="20"/>
                      <w:szCs w:val="20"/>
                    </w:rPr>
                  </w:pPr>
                  <w:r>
                    <w:rPr>
                      <w:sz w:val="20"/>
                      <w:szCs w:val="20"/>
                    </w:rPr>
                    <w:t>Year 5 +% increase from 19/20</w:t>
                  </w:r>
                </w:p>
                <w:p w:rsidR="00F472E2" w:rsidRPr="00A06382" w:rsidRDefault="00F472E2" w:rsidP="003A64EF">
                  <w:pPr>
                    <w:pStyle w:val="Default"/>
                    <w:contextualSpacing/>
                    <w:rPr>
                      <w:sz w:val="20"/>
                      <w:szCs w:val="20"/>
                    </w:rPr>
                  </w:pPr>
                </w:p>
              </w:tc>
              <w:tc>
                <w:tcPr>
                  <w:tcW w:w="1562"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Provision by secondary care </w:t>
                  </w:r>
                </w:p>
              </w:tc>
              <w:tc>
                <w:tcPr>
                  <w:tcW w:w="1250" w:type="dxa"/>
                  <w:shd w:val="clear" w:color="auto" w:fill="auto"/>
                </w:tcPr>
                <w:p w:rsidR="00361EE7" w:rsidRPr="00A06382" w:rsidRDefault="00D32456" w:rsidP="003A64EF">
                  <w:pPr>
                    <w:pStyle w:val="Default"/>
                    <w:contextualSpacing/>
                    <w:rPr>
                      <w:sz w:val="20"/>
                      <w:szCs w:val="20"/>
                    </w:rPr>
                  </w:pPr>
                  <w:r>
                    <w:rPr>
                      <w:sz w:val="20"/>
                      <w:szCs w:val="20"/>
                    </w:rPr>
                    <w:t>Quarterly</w:t>
                  </w:r>
                  <w:r w:rsidR="00361EE7" w:rsidRPr="00A06382">
                    <w:rPr>
                      <w:sz w:val="20"/>
                      <w:szCs w:val="20"/>
                    </w:rPr>
                    <w:t xml:space="preserve"> </w:t>
                  </w:r>
                  <w:r w:rsidR="00F472E2">
                    <w:rPr>
                      <w:sz w:val="20"/>
                      <w:szCs w:val="20"/>
                    </w:rPr>
                    <w:t>– CCG will feedback to providers</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NICE Guidance </w:t>
                  </w:r>
                </w:p>
              </w:tc>
              <w:tc>
                <w:tcPr>
                  <w:tcW w:w="1895"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Review NICE guidance and report on service compliance </w:t>
                  </w:r>
                </w:p>
              </w:tc>
              <w:tc>
                <w:tcPr>
                  <w:tcW w:w="1223" w:type="dxa"/>
                </w:tcPr>
                <w:p w:rsidR="00361EE7" w:rsidRPr="00A06382" w:rsidRDefault="00F428AF" w:rsidP="003A64EF">
                  <w:pPr>
                    <w:pStyle w:val="Default"/>
                    <w:contextualSpacing/>
                    <w:rPr>
                      <w:sz w:val="20"/>
                      <w:szCs w:val="20"/>
                    </w:rPr>
                  </w:pPr>
                  <w:r>
                    <w:rPr>
                      <w:sz w:val="20"/>
                      <w:szCs w:val="20"/>
                    </w:rPr>
                    <w:t>100</w:t>
                  </w:r>
                  <w:r w:rsidR="00D32456">
                    <w:rPr>
                      <w:sz w:val="20"/>
                      <w:szCs w:val="20"/>
                    </w:rPr>
                    <w:t>%</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100% </w:t>
                  </w:r>
                </w:p>
              </w:tc>
              <w:tc>
                <w:tcPr>
                  <w:tcW w:w="1562" w:type="dxa"/>
                  <w:shd w:val="clear" w:color="auto" w:fill="auto"/>
                </w:tcPr>
                <w:p w:rsidR="00361EE7" w:rsidRPr="00A06382" w:rsidRDefault="00D32456" w:rsidP="003A64EF">
                  <w:pPr>
                    <w:pStyle w:val="Default"/>
                    <w:contextualSpacing/>
                    <w:rPr>
                      <w:sz w:val="20"/>
                      <w:szCs w:val="20"/>
                    </w:rPr>
                  </w:pPr>
                  <w:r>
                    <w:rPr>
                      <w:sz w:val="20"/>
                      <w:szCs w:val="20"/>
                    </w:rPr>
                    <w:t>Provider report</w:t>
                  </w:r>
                  <w:r w:rsidR="00361EE7" w:rsidRPr="00A06382">
                    <w:rPr>
                      <w:sz w:val="20"/>
                      <w:szCs w:val="20"/>
                    </w:rPr>
                    <w:t xml:space="preserve"> </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quarterly </w:t>
                  </w:r>
                </w:p>
              </w:tc>
            </w:tr>
            <w:tr w:rsidR="00F472E2" w:rsidRPr="00A06382" w:rsidTr="00205109">
              <w:trPr>
                <w:trHeight w:val="594"/>
              </w:trPr>
              <w:tc>
                <w:tcPr>
                  <w:tcW w:w="8908" w:type="dxa"/>
                  <w:gridSpan w:val="6"/>
                  <w:shd w:val="clear" w:color="auto" w:fill="D9D9D9"/>
                </w:tcPr>
                <w:p w:rsidR="00F472E2" w:rsidRPr="00A06382" w:rsidRDefault="00F472E2" w:rsidP="003A64EF">
                  <w:pPr>
                    <w:pStyle w:val="Default"/>
                    <w:contextualSpacing/>
                    <w:rPr>
                      <w:sz w:val="20"/>
                      <w:szCs w:val="20"/>
                    </w:rPr>
                  </w:pPr>
                  <w:r w:rsidRPr="00A06382">
                    <w:rPr>
                      <w:b/>
                      <w:bCs/>
                      <w:sz w:val="20"/>
                      <w:szCs w:val="20"/>
                    </w:rPr>
                    <w:t xml:space="preserve">Performance &amp; Productivity </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Performance Indicator </w:t>
                  </w:r>
                </w:p>
              </w:tc>
              <w:tc>
                <w:tcPr>
                  <w:tcW w:w="1895"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Indicator </w:t>
                  </w:r>
                </w:p>
              </w:tc>
              <w:tc>
                <w:tcPr>
                  <w:tcW w:w="1223" w:type="dxa"/>
                </w:tcPr>
                <w:p w:rsidR="00361EE7" w:rsidRPr="00A06382" w:rsidRDefault="00D32456" w:rsidP="003A64EF">
                  <w:pPr>
                    <w:pStyle w:val="Default"/>
                    <w:contextualSpacing/>
                    <w:rPr>
                      <w:b/>
                      <w:bCs/>
                      <w:i/>
                      <w:iCs/>
                      <w:sz w:val="20"/>
                      <w:szCs w:val="20"/>
                    </w:rPr>
                  </w:pPr>
                  <w:r>
                    <w:rPr>
                      <w:b/>
                      <w:bCs/>
                      <w:i/>
                      <w:iCs/>
                      <w:sz w:val="20"/>
                      <w:szCs w:val="20"/>
                    </w:rPr>
                    <w:t>Target</w:t>
                  </w:r>
                </w:p>
              </w:tc>
              <w:tc>
                <w:tcPr>
                  <w:tcW w:w="1250"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Threshold </w:t>
                  </w:r>
                </w:p>
              </w:tc>
              <w:tc>
                <w:tcPr>
                  <w:tcW w:w="1562"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Method of </w:t>
                  </w:r>
                </w:p>
                <w:p w:rsidR="00361EE7" w:rsidRPr="00A06382" w:rsidRDefault="00361EE7" w:rsidP="003A64EF">
                  <w:pPr>
                    <w:pStyle w:val="Default"/>
                    <w:contextualSpacing/>
                    <w:rPr>
                      <w:sz w:val="20"/>
                      <w:szCs w:val="20"/>
                    </w:rPr>
                  </w:pPr>
                  <w:r w:rsidRPr="00A06382">
                    <w:rPr>
                      <w:b/>
                      <w:bCs/>
                      <w:i/>
                      <w:iCs/>
                      <w:sz w:val="20"/>
                      <w:szCs w:val="20"/>
                    </w:rPr>
                    <w:t xml:space="preserve">Measurement </w:t>
                  </w:r>
                </w:p>
              </w:tc>
              <w:tc>
                <w:tcPr>
                  <w:tcW w:w="1250" w:type="dxa"/>
                  <w:shd w:val="clear" w:color="auto" w:fill="auto"/>
                </w:tcPr>
                <w:p w:rsidR="00361EE7" w:rsidRPr="00A06382" w:rsidRDefault="00361EE7" w:rsidP="003A64EF">
                  <w:pPr>
                    <w:pStyle w:val="Default"/>
                    <w:contextualSpacing/>
                    <w:rPr>
                      <w:sz w:val="20"/>
                      <w:szCs w:val="20"/>
                    </w:rPr>
                  </w:pPr>
                  <w:r w:rsidRPr="00A06382">
                    <w:rPr>
                      <w:b/>
                      <w:bCs/>
                      <w:i/>
                      <w:iCs/>
                      <w:sz w:val="20"/>
                      <w:szCs w:val="20"/>
                    </w:rPr>
                    <w:t xml:space="preserve">Monitoring </w:t>
                  </w:r>
                </w:p>
                <w:p w:rsidR="00361EE7" w:rsidRPr="00A06382" w:rsidRDefault="00361EE7" w:rsidP="003A64EF">
                  <w:pPr>
                    <w:pStyle w:val="Default"/>
                    <w:contextualSpacing/>
                    <w:rPr>
                      <w:sz w:val="20"/>
                      <w:szCs w:val="20"/>
                    </w:rPr>
                  </w:pPr>
                  <w:r w:rsidRPr="00A06382">
                    <w:rPr>
                      <w:b/>
                      <w:bCs/>
                      <w:i/>
                      <w:iCs/>
                      <w:sz w:val="20"/>
                      <w:szCs w:val="20"/>
                    </w:rPr>
                    <w:t xml:space="preserve">Frequency </w:t>
                  </w:r>
                </w:p>
              </w:tc>
            </w:tr>
            <w:tr w:rsidR="006768EC" w:rsidRPr="00A06382" w:rsidTr="002F0288">
              <w:tc>
                <w:tcPr>
                  <w:tcW w:w="1728" w:type="dxa"/>
                  <w:shd w:val="clear" w:color="auto" w:fill="auto"/>
                </w:tcPr>
                <w:p w:rsidR="00361EE7" w:rsidRPr="00A06382" w:rsidRDefault="00361EE7" w:rsidP="003A64EF">
                  <w:pPr>
                    <w:pStyle w:val="Default"/>
                    <w:contextualSpacing/>
                    <w:rPr>
                      <w:sz w:val="20"/>
                      <w:szCs w:val="20"/>
                    </w:rPr>
                  </w:pPr>
                  <w:r w:rsidRPr="00A06382">
                    <w:rPr>
                      <w:b/>
                      <w:bCs/>
                      <w:sz w:val="20"/>
                      <w:szCs w:val="20"/>
                    </w:rPr>
                    <w:t xml:space="preserve">DNA rates </w:t>
                  </w:r>
                </w:p>
              </w:tc>
              <w:tc>
                <w:tcPr>
                  <w:tcW w:w="1895" w:type="dxa"/>
                  <w:shd w:val="clear" w:color="auto" w:fill="auto"/>
                </w:tcPr>
                <w:p w:rsidR="00361EE7" w:rsidRPr="00A06382" w:rsidRDefault="00361EE7" w:rsidP="00D32456">
                  <w:pPr>
                    <w:pStyle w:val="Default"/>
                    <w:contextualSpacing/>
                    <w:rPr>
                      <w:sz w:val="20"/>
                      <w:szCs w:val="20"/>
                    </w:rPr>
                  </w:pPr>
                  <w:r w:rsidRPr="00A06382">
                    <w:rPr>
                      <w:sz w:val="20"/>
                      <w:szCs w:val="20"/>
                    </w:rPr>
                    <w:t xml:space="preserve">DNA </w:t>
                  </w:r>
                </w:p>
              </w:tc>
              <w:tc>
                <w:tcPr>
                  <w:tcW w:w="1223" w:type="dxa"/>
                </w:tcPr>
                <w:p w:rsidR="00361EE7" w:rsidRPr="00A06382" w:rsidRDefault="00D32456" w:rsidP="003A64EF">
                  <w:pPr>
                    <w:pStyle w:val="Default"/>
                    <w:contextualSpacing/>
                    <w:rPr>
                      <w:sz w:val="20"/>
                      <w:szCs w:val="20"/>
                    </w:rPr>
                  </w:pPr>
                  <w:r>
                    <w:rPr>
                      <w:sz w:val="20"/>
                      <w:szCs w:val="20"/>
                    </w:rPr>
                    <w:t>&lt;7</w:t>
                  </w:r>
                  <w:r w:rsidRPr="00A06382">
                    <w:rPr>
                      <w:sz w:val="20"/>
                      <w:szCs w:val="20"/>
                    </w:rPr>
                    <w:t>%</w:t>
                  </w:r>
                </w:p>
              </w:tc>
              <w:tc>
                <w:tcPr>
                  <w:tcW w:w="1250" w:type="dxa"/>
                  <w:shd w:val="clear" w:color="auto" w:fill="auto"/>
                </w:tcPr>
                <w:p w:rsidR="00361EE7" w:rsidRPr="00A06382" w:rsidRDefault="00D32456" w:rsidP="003A64EF">
                  <w:pPr>
                    <w:pStyle w:val="Default"/>
                    <w:contextualSpacing/>
                    <w:rPr>
                      <w:sz w:val="20"/>
                      <w:szCs w:val="20"/>
                    </w:rPr>
                  </w:pPr>
                  <w:r>
                    <w:rPr>
                      <w:sz w:val="20"/>
                      <w:szCs w:val="20"/>
                    </w:rPr>
                    <w:t>&lt;10</w:t>
                  </w:r>
                  <w:r w:rsidR="00361EE7" w:rsidRPr="00A06382">
                    <w:rPr>
                      <w:sz w:val="20"/>
                      <w:szCs w:val="20"/>
                    </w:rPr>
                    <w:t xml:space="preserve">% </w:t>
                  </w:r>
                </w:p>
              </w:tc>
              <w:tc>
                <w:tcPr>
                  <w:tcW w:w="1562" w:type="dxa"/>
                  <w:shd w:val="clear" w:color="auto" w:fill="auto"/>
                </w:tcPr>
                <w:p w:rsidR="00361EE7" w:rsidRPr="000E54C3" w:rsidRDefault="00493794" w:rsidP="003A64EF">
                  <w:pPr>
                    <w:pStyle w:val="Default"/>
                    <w:contextualSpacing/>
                    <w:rPr>
                      <w:sz w:val="20"/>
                      <w:szCs w:val="20"/>
                    </w:rPr>
                  </w:pPr>
                  <w:r>
                    <w:rPr>
                      <w:iCs/>
                      <w:sz w:val="20"/>
                      <w:szCs w:val="20"/>
                    </w:rPr>
                    <w:t>Provider data reporting system</w:t>
                  </w:r>
                </w:p>
              </w:tc>
              <w:tc>
                <w:tcPr>
                  <w:tcW w:w="1250" w:type="dxa"/>
                  <w:shd w:val="clear" w:color="auto" w:fill="auto"/>
                </w:tcPr>
                <w:p w:rsidR="00361EE7" w:rsidRPr="00A06382" w:rsidRDefault="00361EE7"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A06382" w:rsidRDefault="00493794" w:rsidP="003A64EF">
                  <w:pPr>
                    <w:pStyle w:val="Default"/>
                    <w:contextualSpacing/>
                    <w:rPr>
                      <w:b/>
                      <w:bCs/>
                      <w:sz w:val="20"/>
                      <w:szCs w:val="20"/>
                    </w:rPr>
                  </w:pPr>
                  <w:r>
                    <w:rPr>
                      <w:b/>
                      <w:bCs/>
                      <w:sz w:val="20"/>
                      <w:szCs w:val="20"/>
                    </w:rPr>
                    <w:t>Cancellations: Patients</w:t>
                  </w:r>
                </w:p>
              </w:tc>
              <w:tc>
                <w:tcPr>
                  <w:tcW w:w="1895" w:type="dxa"/>
                  <w:shd w:val="clear" w:color="auto" w:fill="auto"/>
                </w:tcPr>
                <w:p w:rsidR="00493794" w:rsidRPr="00493794" w:rsidRDefault="00493794" w:rsidP="00385FDF">
                  <w:pPr>
                    <w:pStyle w:val="Default"/>
                    <w:contextualSpacing/>
                    <w:rPr>
                      <w:bCs/>
                      <w:sz w:val="20"/>
                      <w:szCs w:val="20"/>
                    </w:rPr>
                  </w:pPr>
                  <w:r w:rsidRPr="00493794">
                    <w:rPr>
                      <w:bCs/>
                      <w:sz w:val="20"/>
                      <w:szCs w:val="20"/>
                    </w:rPr>
                    <w:t>Number of appointments cancelled by patient</w:t>
                  </w:r>
                </w:p>
              </w:tc>
              <w:tc>
                <w:tcPr>
                  <w:tcW w:w="1223" w:type="dxa"/>
                </w:tcPr>
                <w:p w:rsidR="00493794" w:rsidRDefault="00493794" w:rsidP="003A64EF">
                  <w:pPr>
                    <w:pStyle w:val="Default"/>
                    <w:contextualSpacing/>
                    <w:rPr>
                      <w:sz w:val="20"/>
                      <w:szCs w:val="20"/>
                    </w:rPr>
                  </w:pPr>
                  <w:r>
                    <w:rPr>
                      <w:sz w:val="20"/>
                      <w:szCs w:val="20"/>
                    </w:rPr>
                    <w:t>&lt;</w:t>
                  </w:r>
                  <w:r w:rsidR="00B77152">
                    <w:rPr>
                      <w:sz w:val="20"/>
                      <w:szCs w:val="20"/>
                    </w:rPr>
                    <w:t>7</w:t>
                  </w:r>
                  <w:r>
                    <w:rPr>
                      <w:sz w:val="20"/>
                      <w:szCs w:val="20"/>
                    </w:rPr>
                    <w:t>%</w:t>
                  </w:r>
                </w:p>
              </w:tc>
              <w:tc>
                <w:tcPr>
                  <w:tcW w:w="1250" w:type="dxa"/>
                  <w:shd w:val="clear" w:color="auto" w:fill="auto"/>
                </w:tcPr>
                <w:p w:rsidR="00493794" w:rsidRDefault="00493794" w:rsidP="003A64EF">
                  <w:pPr>
                    <w:pStyle w:val="Default"/>
                    <w:contextualSpacing/>
                    <w:rPr>
                      <w:sz w:val="20"/>
                      <w:szCs w:val="20"/>
                    </w:rPr>
                  </w:pPr>
                  <w:r>
                    <w:rPr>
                      <w:sz w:val="20"/>
                      <w:szCs w:val="20"/>
                    </w:rPr>
                    <w:t>&lt;</w:t>
                  </w:r>
                  <w:r w:rsidR="00B77152">
                    <w:rPr>
                      <w:sz w:val="20"/>
                      <w:szCs w:val="20"/>
                    </w:rPr>
                    <w:t>10</w:t>
                  </w:r>
                  <w:r>
                    <w:rPr>
                      <w:sz w:val="20"/>
                      <w:szCs w:val="20"/>
                    </w:rPr>
                    <w:t>%</w:t>
                  </w:r>
                </w:p>
              </w:tc>
              <w:tc>
                <w:tcPr>
                  <w:tcW w:w="1562" w:type="dxa"/>
                  <w:shd w:val="clear" w:color="auto" w:fill="auto"/>
                </w:tcPr>
                <w:p w:rsidR="00493794" w:rsidRPr="000E54C3" w:rsidRDefault="00493794" w:rsidP="003A64EF">
                  <w:pPr>
                    <w:pStyle w:val="Default"/>
                    <w:contextualSpacing/>
                    <w:rPr>
                      <w:iCs/>
                      <w:sz w:val="20"/>
                      <w:szCs w:val="20"/>
                    </w:rPr>
                  </w:pPr>
                  <w:r>
                    <w:rPr>
                      <w:iCs/>
                      <w:sz w:val="20"/>
                      <w:szCs w:val="20"/>
                    </w:rPr>
                    <w:t>Provider data reporting system</w:t>
                  </w:r>
                </w:p>
              </w:tc>
              <w:tc>
                <w:tcPr>
                  <w:tcW w:w="1250" w:type="dxa"/>
                  <w:shd w:val="clear" w:color="auto" w:fill="auto"/>
                </w:tcPr>
                <w:p w:rsidR="00493794" w:rsidRPr="00A06382" w:rsidRDefault="00493794" w:rsidP="00385FD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Default="00493794" w:rsidP="003A64EF">
                  <w:pPr>
                    <w:pStyle w:val="Default"/>
                    <w:contextualSpacing/>
                    <w:rPr>
                      <w:b/>
                      <w:bCs/>
                      <w:sz w:val="20"/>
                      <w:szCs w:val="20"/>
                    </w:rPr>
                  </w:pPr>
                  <w:r>
                    <w:rPr>
                      <w:b/>
                      <w:bCs/>
                      <w:sz w:val="20"/>
                      <w:szCs w:val="20"/>
                    </w:rPr>
                    <w:t>Cancellations: Provider</w:t>
                  </w:r>
                </w:p>
              </w:tc>
              <w:tc>
                <w:tcPr>
                  <w:tcW w:w="1895" w:type="dxa"/>
                  <w:shd w:val="clear" w:color="auto" w:fill="auto"/>
                </w:tcPr>
                <w:p w:rsidR="00493794" w:rsidRPr="00493794" w:rsidRDefault="00493794" w:rsidP="00385FDF">
                  <w:pPr>
                    <w:pStyle w:val="Default"/>
                    <w:contextualSpacing/>
                    <w:rPr>
                      <w:bCs/>
                      <w:sz w:val="20"/>
                      <w:szCs w:val="20"/>
                    </w:rPr>
                  </w:pPr>
                  <w:r w:rsidRPr="00493794">
                    <w:rPr>
                      <w:bCs/>
                      <w:sz w:val="20"/>
                      <w:szCs w:val="20"/>
                    </w:rPr>
                    <w:t>Number of appointments cancelled by Provider</w:t>
                  </w:r>
                </w:p>
              </w:tc>
              <w:tc>
                <w:tcPr>
                  <w:tcW w:w="1223" w:type="dxa"/>
                </w:tcPr>
                <w:p w:rsidR="00493794" w:rsidRDefault="00493794" w:rsidP="00385FDF">
                  <w:pPr>
                    <w:pStyle w:val="Default"/>
                    <w:contextualSpacing/>
                    <w:rPr>
                      <w:sz w:val="20"/>
                      <w:szCs w:val="20"/>
                    </w:rPr>
                  </w:pPr>
                  <w:r>
                    <w:rPr>
                      <w:sz w:val="20"/>
                      <w:szCs w:val="20"/>
                    </w:rPr>
                    <w:t>&lt;5%</w:t>
                  </w:r>
                </w:p>
              </w:tc>
              <w:tc>
                <w:tcPr>
                  <w:tcW w:w="1250" w:type="dxa"/>
                  <w:shd w:val="clear" w:color="auto" w:fill="auto"/>
                </w:tcPr>
                <w:p w:rsidR="00493794" w:rsidRDefault="00493794" w:rsidP="00385FDF">
                  <w:pPr>
                    <w:pStyle w:val="Default"/>
                    <w:contextualSpacing/>
                    <w:rPr>
                      <w:sz w:val="20"/>
                      <w:szCs w:val="20"/>
                    </w:rPr>
                  </w:pPr>
                  <w:r>
                    <w:rPr>
                      <w:sz w:val="20"/>
                      <w:szCs w:val="20"/>
                    </w:rPr>
                    <w:t>&lt;5%</w:t>
                  </w:r>
                </w:p>
              </w:tc>
              <w:tc>
                <w:tcPr>
                  <w:tcW w:w="1562" w:type="dxa"/>
                  <w:shd w:val="clear" w:color="auto" w:fill="auto"/>
                </w:tcPr>
                <w:p w:rsidR="00493794" w:rsidRPr="000E54C3" w:rsidRDefault="00493794" w:rsidP="003A64EF">
                  <w:pPr>
                    <w:pStyle w:val="Default"/>
                    <w:contextualSpacing/>
                    <w:rPr>
                      <w:iCs/>
                      <w:sz w:val="20"/>
                      <w:szCs w:val="20"/>
                    </w:rPr>
                  </w:pPr>
                  <w:r>
                    <w:rPr>
                      <w:iCs/>
                      <w:sz w:val="20"/>
                      <w:szCs w:val="20"/>
                    </w:rPr>
                    <w:t>Provider data reporting system</w:t>
                  </w:r>
                </w:p>
              </w:tc>
              <w:tc>
                <w:tcPr>
                  <w:tcW w:w="1250" w:type="dxa"/>
                  <w:shd w:val="clear" w:color="auto" w:fill="auto"/>
                </w:tcPr>
                <w:p w:rsidR="00493794" w:rsidRPr="00A06382" w:rsidRDefault="00493794" w:rsidP="00385FD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A06382" w:rsidRDefault="00493794" w:rsidP="003A64EF">
                  <w:pPr>
                    <w:pStyle w:val="Default"/>
                    <w:contextualSpacing/>
                    <w:rPr>
                      <w:sz w:val="20"/>
                      <w:szCs w:val="20"/>
                    </w:rPr>
                  </w:pPr>
                  <w:r w:rsidRPr="00A06382">
                    <w:rPr>
                      <w:b/>
                      <w:bCs/>
                      <w:sz w:val="20"/>
                      <w:szCs w:val="20"/>
                    </w:rPr>
                    <w:t xml:space="preserve">Sufficient appointment slots </w:t>
                  </w:r>
                  <w:r w:rsidRPr="00A06382">
                    <w:rPr>
                      <w:sz w:val="20"/>
                      <w:szCs w:val="20"/>
                    </w:rPr>
                    <w:t xml:space="preserve">on Choose and Book </w:t>
                  </w:r>
                </w:p>
              </w:tc>
              <w:tc>
                <w:tcPr>
                  <w:tcW w:w="1895"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Appointment slots available in waiting time </w:t>
                  </w:r>
                </w:p>
              </w:tc>
              <w:tc>
                <w:tcPr>
                  <w:tcW w:w="1223" w:type="dxa"/>
                </w:tcPr>
                <w:p w:rsidR="00493794" w:rsidRPr="00A06382" w:rsidRDefault="00493794" w:rsidP="003A64EF">
                  <w:pPr>
                    <w:pStyle w:val="Default"/>
                    <w:contextualSpacing/>
                    <w:rPr>
                      <w:sz w:val="20"/>
                      <w:szCs w:val="20"/>
                    </w:rPr>
                  </w:pPr>
                  <w:r>
                    <w:rPr>
                      <w:sz w:val="20"/>
                      <w:szCs w:val="20"/>
                    </w:rPr>
                    <w:t>100%</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95% </w:t>
                  </w:r>
                </w:p>
              </w:tc>
              <w:tc>
                <w:tcPr>
                  <w:tcW w:w="1562" w:type="dxa"/>
                  <w:shd w:val="clear" w:color="auto" w:fill="auto"/>
                </w:tcPr>
                <w:p w:rsidR="00493794" w:rsidRPr="000E54C3" w:rsidRDefault="00493794" w:rsidP="003A64EF">
                  <w:pPr>
                    <w:pStyle w:val="Default"/>
                    <w:contextualSpacing/>
                    <w:rPr>
                      <w:sz w:val="20"/>
                      <w:szCs w:val="20"/>
                    </w:rPr>
                  </w:pPr>
                  <w:r w:rsidRPr="000E54C3">
                    <w:rPr>
                      <w:iCs/>
                      <w:sz w:val="20"/>
                      <w:szCs w:val="20"/>
                    </w:rPr>
                    <w:t xml:space="preserve">Choose &amp; book </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A06382" w:rsidRDefault="00493794" w:rsidP="003A64EF">
                  <w:pPr>
                    <w:pStyle w:val="Default"/>
                    <w:contextualSpacing/>
                    <w:rPr>
                      <w:sz w:val="20"/>
                      <w:szCs w:val="20"/>
                    </w:rPr>
                  </w:pPr>
                  <w:r w:rsidRPr="00A06382">
                    <w:rPr>
                      <w:b/>
                      <w:bCs/>
                      <w:sz w:val="20"/>
                      <w:szCs w:val="20"/>
                    </w:rPr>
                    <w:t xml:space="preserve">Waiting Times: </w:t>
                  </w:r>
                </w:p>
                <w:p w:rsidR="00493794" w:rsidRPr="00A06382" w:rsidRDefault="00493794" w:rsidP="003A64EF">
                  <w:pPr>
                    <w:pStyle w:val="Default"/>
                    <w:contextualSpacing/>
                    <w:rPr>
                      <w:sz w:val="20"/>
                      <w:szCs w:val="20"/>
                    </w:rPr>
                  </w:pPr>
                  <w:r>
                    <w:rPr>
                      <w:sz w:val="20"/>
                      <w:szCs w:val="20"/>
                    </w:rPr>
                    <w:t>Triage</w:t>
                  </w:r>
                  <w:r w:rsidRPr="00A06382">
                    <w:rPr>
                      <w:sz w:val="20"/>
                      <w:szCs w:val="20"/>
                    </w:rPr>
                    <w:t xml:space="preserve"> </w:t>
                  </w:r>
                </w:p>
              </w:tc>
              <w:tc>
                <w:tcPr>
                  <w:tcW w:w="1895"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Paper triage within </w:t>
                  </w:r>
                  <w:r>
                    <w:rPr>
                      <w:sz w:val="20"/>
                      <w:szCs w:val="20"/>
                    </w:rPr>
                    <w:t>2</w:t>
                  </w:r>
                  <w:r w:rsidRPr="00A06382">
                    <w:rPr>
                      <w:sz w:val="20"/>
                      <w:szCs w:val="20"/>
                    </w:rPr>
                    <w:t xml:space="preserve"> working days of receipt of GP referral </w:t>
                  </w:r>
                </w:p>
              </w:tc>
              <w:tc>
                <w:tcPr>
                  <w:tcW w:w="1223" w:type="dxa"/>
                </w:tcPr>
                <w:p w:rsidR="00493794" w:rsidRPr="00A06382" w:rsidRDefault="00493794" w:rsidP="003A64EF">
                  <w:pPr>
                    <w:pStyle w:val="Default"/>
                    <w:contextualSpacing/>
                    <w:rPr>
                      <w:sz w:val="20"/>
                      <w:szCs w:val="20"/>
                    </w:rPr>
                  </w:pPr>
                  <w:r>
                    <w:rPr>
                      <w:sz w:val="20"/>
                      <w:szCs w:val="20"/>
                    </w:rPr>
                    <w:t>100%</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95%</w:t>
                  </w:r>
                  <w:r w:rsidRPr="00A06382">
                    <w:rPr>
                      <w:sz w:val="20"/>
                      <w:szCs w:val="20"/>
                    </w:rPr>
                    <w:t xml:space="preserve"> </w:t>
                  </w:r>
                </w:p>
              </w:tc>
              <w:tc>
                <w:tcPr>
                  <w:tcW w:w="1562" w:type="dxa"/>
                  <w:shd w:val="clear" w:color="auto" w:fill="auto"/>
                </w:tcPr>
                <w:p w:rsidR="00493794" w:rsidRPr="000E54C3" w:rsidRDefault="00493794" w:rsidP="003A64EF">
                  <w:pPr>
                    <w:pStyle w:val="Default"/>
                    <w:contextualSpacing/>
                    <w:rPr>
                      <w:sz w:val="20"/>
                      <w:szCs w:val="20"/>
                    </w:rPr>
                  </w:pPr>
                  <w:r w:rsidRPr="000E54C3">
                    <w:rPr>
                      <w:iCs/>
                      <w:sz w:val="20"/>
                      <w:szCs w:val="20"/>
                    </w:rPr>
                    <w:t xml:space="preserve">Choose &amp; book </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A06382" w:rsidRDefault="00493794" w:rsidP="00F428AF">
                  <w:pPr>
                    <w:pStyle w:val="Default"/>
                    <w:contextualSpacing/>
                    <w:rPr>
                      <w:sz w:val="20"/>
                      <w:szCs w:val="20"/>
                    </w:rPr>
                  </w:pPr>
                  <w:r w:rsidRPr="00A06382">
                    <w:rPr>
                      <w:b/>
                      <w:bCs/>
                      <w:sz w:val="20"/>
                      <w:szCs w:val="20"/>
                    </w:rPr>
                    <w:t xml:space="preserve">Waiting Times: </w:t>
                  </w:r>
                </w:p>
                <w:p w:rsidR="00493794" w:rsidRDefault="00493794" w:rsidP="00F428AF">
                  <w:pPr>
                    <w:pStyle w:val="Default"/>
                    <w:contextualSpacing/>
                    <w:rPr>
                      <w:sz w:val="20"/>
                      <w:szCs w:val="20"/>
                    </w:rPr>
                  </w:pPr>
                  <w:r>
                    <w:rPr>
                      <w:sz w:val="20"/>
                      <w:szCs w:val="20"/>
                    </w:rPr>
                    <w:t>GP Advice</w:t>
                  </w:r>
                </w:p>
                <w:p w:rsidR="00493794" w:rsidRPr="00A06382" w:rsidRDefault="00493794" w:rsidP="00F428AF">
                  <w:pPr>
                    <w:pStyle w:val="Default"/>
                    <w:contextualSpacing/>
                    <w:rPr>
                      <w:b/>
                      <w:bCs/>
                      <w:sz w:val="20"/>
                      <w:szCs w:val="20"/>
                    </w:rPr>
                  </w:pPr>
                </w:p>
              </w:tc>
              <w:tc>
                <w:tcPr>
                  <w:tcW w:w="1895" w:type="dxa"/>
                  <w:shd w:val="clear" w:color="auto" w:fill="auto"/>
                </w:tcPr>
                <w:p w:rsidR="00493794" w:rsidRPr="00A06382" w:rsidRDefault="00493794" w:rsidP="003A64EF">
                  <w:pPr>
                    <w:pStyle w:val="Default"/>
                    <w:contextualSpacing/>
                    <w:rPr>
                      <w:sz w:val="20"/>
                      <w:szCs w:val="20"/>
                    </w:rPr>
                  </w:pPr>
                  <w:r>
                    <w:rPr>
                      <w:sz w:val="20"/>
                      <w:szCs w:val="20"/>
                    </w:rPr>
                    <w:t>advice</w:t>
                  </w:r>
                  <w:r w:rsidRPr="00A06382">
                    <w:rPr>
                      <w:sz w:val="20"/>
                      <w:szCs w:val="20"/>
                    </w:rPr>
                    <w:t xml:space="preserve"> </w:t>
                  </w:r>
                  <w:r>
                    <w:rPr>
                      <w:sz w:val="20"/>
                      <w:szCs w:val="20"/>
                    </w:rPr>
                    <w:t>Sent back to GP within 2</w:t>
                  </w:r>
                  <w:r w:rsidRPr="00A06382">
                    <w:rPr>
                      <w:sz w:val="20"/>
                      <w:szCs w:val="20"/>
                    </w:rPr>
                    <w:t xml:space="preserve"> working days</w:t>
                  </w:r>
                </w:p>
              </w:tc>
              <w:tc>
                <w:tcPr>
                  <w:tcW w:w="1223" w:type="dxa"/>
                </w:tcPr>
                <w:p w:rsidR="00493794" w:rsidRPr="00A06382" w:rsidRDefault="00493794" w:rsidP="009407FC">
                  <w:pPr>
                    <w:pStyle w:val="Default"/>
                    <w:contextualSpacing/>
                    <w:rPr>
                      <w:sz w:val="20"/>
                      <w:szCs w:val="20"/>
                    </w:rPr>
                  </w:pPr>
                  <w:r>
                    <w:rPr>
                      <w:sz w:val="20"/>
                      <w:szCs w:val="20"/>
                    </w:rPr>
                    <w:t>100%</w:t>
                  </w:r>
                </w:p>
              </w:tc>
              <w:tc>
                <w:tcPr>
                  <w:tcW w:w="1250" w:type="dxa"/>
                  <w:shd w:val="clear" w:color="auto" w:fill="auto"/>
                </w:tcPr>
                <w:p w:rsidR="00493794" w:rsidRPr="00A06382" w:rsidRDefault="00493794" w:rsidP="009407FC">
                  <w:pPr>
                    <w:pStyle w:val="Default"/>
                    <w:contextualSpacing/>
                    <w:rPr>
                      <w:sz w:val="20"/>
                      <w:szCs w:val="20"/>
                    </w:rPr>
                  </w:pPr>
                  <w:r>
                    <w:rPr>
                      <w:sz w:val="20"/>
                      <w:szCs w:val="20"/>
                    </w:rPr>
                    <w:t>95%</w:t>
                  </w:r>
                  <w:r w:rsidRPr="00A06382">
                    <w:rPr>
                      <w:sz w:val="20"/>
                      <w:szCs w:val="20"/>
                    </w:rPr>
                    <w:t xml:space="preserve"> </w:t>
                  </w:r>
                </w:p>
              </w:tc>
              <w:tc>
                <w:tcPr>
                  <w:tcW w:w="1562" w:type="dxa"/>
                  <w:shd w:val="clear" w:color="auto" w:fill="auto"/>
                </w:tcPr>
                <w:p w:rsidR="00493794" w:rsidRPr="000E54C3" w:rsidRDefault="00493794" w:rsidP="003A64EF">
                  <w:pPr>
                    <w:pStyle w:val="Default"/>
                    <w:contextualSpacing/>
                    <w:rPr>
                      <w:iCs/>
                      <w:sz w:val="20"/>
                      <w:szCs w:val="20"/>
                    </w:rPr>
                  </w:pPr>
                  <w:r>
                    <w:rPr>
                      <w:iCs/>
                      <w:sz w:val="20"/>
                      <w:szCs w:val="20"/>
                    </w:rPr>
                    <w:t>Choose &amp; Book, Provider shared care system, email</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Monthly</w:t>
                  </w:r>
                </w:p>
              </w:tc>
            </w:tr>
            <w:tr w:rsidR="00493794" w:rsidRPr="00A06382" w:rsidTr="002F0288">
              <w:trPr>
                <w:trHeight w:val="833"/>
              </w:trPr>
              <w:tc>
                <w:tcPr>
                  <w:tcW w:w="1728" w:type="dxa"/>
                  <w:shd w:val="clear" w:color="auto" w:fill="auto"/>
                </w:tcPr>
                <w:p w:rsidR="00493794" w:rsidRPr="00A06382" w:rsidRDefault="00493794" w:rsidP="003A64EF">
                  <w:pPr>
                    <w:pStyle w:val="Default"/>
                    <w:contextualSpacing/>
                    <w:rPr>
                      <w:sz w:val="20"/>
                      <w:szCs w:val="20"/>
                    </w:rPr>
                  </w:pPr>
                  <w:r w:rsidRPr="00A06382">
                    <w:rPr>
                      <w:b/>
                      <w:bCs/>
                      <w:sz w:val="20"/>
                      <w:szCs w:val="20"/>
                    </w:rPr>
                    <w:t xml:space="preserve">Waiting Times: </w:t>
                  </w:r>
                </w:p>
                <w:p w:rsidR="00493794" w:rsidRPr="00A06382" w:rsidRDefault="00493794" w:rsidP="003A64EF">
                  <w:pPr>
                    <w:pStyle w:val="Default"/>
                    <w:contextualSpacing/>
                    <w:rPr>
                      <w:sz w:val="20"/>
                      <w:szCs w:val="20"/>
                    </w:rPr>
                  </w:pPr>
                  <w:r>
                    <w:rPr>
                      <w:sz w:val="20"/>
                      <w:szCs w:val="20"/>
                    </w:rPr>
                    <w:t>First Appointment</w:t>
                  </w:r>
                </w:p>
              </w:tc>
              <w:tc>
                <w:tcPr>
                  <w:tcW w:w="1895" w:type="dxa"/>
                  <w:shd w:val="clear" w:color="auto" w:fill="auto"/>
                </w:tcPr>
                <w:p w:rsidR="00493794" w:rsidRPr="00A06382" w:rsidRDefault="00493794" w:rsidP="003A64EF">
                  <w:pPr>
                    <w:pStyle w:val="Default"/>
                    <w:contextualSpacing/>
                    <w:rPr>
                      <w:sz w:val="20"/>
                      <w:szCs w:val="20"/>
                    </w:rPr>
                  </w:pPr>
                  <w:r w:rsidRPr="00A06382">
                    <w:rPr>
                      <w:sz w:val="20"/>
                      <w:szCs w:val="20"/>
                    </w:rPr>
                    <w:t>Seen within 6 weeks of</w:t>
                  </w:r>
                  <w:r>
                    <w:rPr>
                      <w:sz w:val="20"/>
                      <w:szCs w:val="20"/>
                    </w:rPr>
                    <w:t xml:space="preserve"> initial</w:t>
                  </w:r>
                  <w:r w:rsidRPr="00A06382">
                    <w:rPr>
                      <w:sz w:val="20"/>
                      <w:szCs w:val="20"/>
                    </w:rPr>
                    <w:t xml:space="preserve"> referral </w:t>
                  </w:r>
                </w:p>
              </w:tc>
              <w:tc>
                <w:tcPr>
                  <w:tcW w:w="1223" w:type="dxa"/>
                </w:tcPr>
                <w:p w:rsidR="00493794" w:rsidRPr="00A06382" w:rsidRDefault="00493794" w:rsidP="003A64EF">
                  <w:pPr>
                    <w:pStyle w:val="Default"/>
                    <w:contextualSpacing/>
                    <w:rPr>
                      <w:sz w:val="20"/>
                      <w:szCs w:val="20"/>
                    </w:rPr>
                  </w:pPr>
                  <w:r>
                    <w:rPr>
                      <w:sz w:val="20"/>
                      <w:szCs w:val="20"/>
                    </w:rPr>
                    <w:t>100%</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95</w:t>
                  </w:r>
                  <w:r w:rsidRPr="00A06382">
                    <w:rPr>
                      <w:sz w:val="20"/>
                      <w:szCs w:val="20"/>
                    </w:rPr>
                    <w:t xml:space="preserve">% </w:t>
                  </w:r>
                </w:p>
              </w:tc>
              <w:tc>
                <w:tcPr>
                  <w:tcW w:w="1562" w:type="dxa"/>
                  <w:shd w:val="clear" w:color="auto" w:fill="auto"/>
                </w:tcPr>
                <w:p w:rsidR="00493794" w:rsidRPr="000E54C3" w:rsidRDefault="00493794" w:rsidP="003A64EF">
                  <w:pPr>
                    <w:pStyle w:val="Default"/>
                    <w:contextualSpacing/>
                    <w:rPr>
                      <w:sz w:val="20"/>
                      <w:szCs w:val="20"/>
                    </w:rPr>
                  </w:pPr>
                  <w:r w:rsidRPr="000E54C3">
                    <w:rPr>
                      <w:iCs/>
                      <w:sz w:val="20"/>
                      <w:szCs w:val="20"/>
                    </w:rPr>
                    <w:t xml:space="preserve">Choose &amp; book </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A06382" w:rsidRDefault="00493794" w:rsidP="00F428AF">
                  <w:pPr>
                    <w:pStyle w:val="Default"/>
                    <w:contextualSpacing/>
                    <w:rPr>
                      <w:sz w:val="20"/>
                      <w:szCs w:val="20"/>
                    </w:rPr>
                  </w:pPr>
                  <w:r w:rsidRPr="00A06382">
                    <w:rPr>
                      <w:b/>
                      <w:bCs/>
                      <w:sz w:val="20"/>
                      <w:szCs w:val="20"/>
                    </w:rPr>
                    <w:t xml:space="preserve">Waiting Times: </w:t>
                  </w:r>
                </w:p>
                <w:p w:rsidR="00493794" w:rsidRPr="00A06382" w:rsidRDefault="00493794" w:rsidP="00F428AF">
                  <w:pPr>
                    <w:pStyle w:val="Default"/>
                    <w:contextualSpacing/>
                    <w:rPr>
                      <w:b/>
                      <w:bCs/>
                      <w:sz w:val="20"/>
                      <w:szCs w:val="20"/>
                    </w:rPr>
                  </w:pPr>
                  <w:r>
                    <w:rPr>
                      <w:sz w:val="20"/>
                      <w:szCs w:val="20"/>
                    </w:rPr>
                    <w:t xml:space="preserve">Clinically Prioritised ‘urgent’ </w:t>
                  </w:r>
                  <w:r w:rsidRPr="00A06382">
                    <w:rPr>
                      <w:sz w:val="20"/>
                      <w:szCs w:val="20"/>
                    </w:rPr>
                    <w:t>referrals</w:t>
                  </w:r>
                </w:p>
              </w:tc>
              <w:tc>
                <w:tcPr>
                  <w:tcW w:w="1895" w:type="dxa"/>
                  <w:shd w:val="clear" w:color="auto" w:fill="auto"/>
                </w:tcPr>
                <w:p w:rsidR="00493794" w:rsidRDefault="00493794" w:rsidP="003A64EF">
                  <w:pPr>
                    <w:pStyle w:val="Default"/>
                    <w:contextualSpacing/>
                    <w:rPr>
                      <w:sz w:val="20"/>
                      <w:szCs w:val="20"/>
                    </w:rPr>
                  </w:pPr>
                  <w:r>
                    <w:rPr>
                      <w:sz w:val="20"/>
                      <w:szCs w:val="20"/>
                    </w:rPr>
                    <w:t>Seen within 2 weeks of initial referral</w:t>
                  </w:r>
                </w:p>
              </w:tc>
              <w:tc>
                <w:tcPr>
                  <w:tcW w:w="1223" w:type="dxa"/>
                </w:tcPr>
                <w:p w:rsidR="00493794" w:rsidRPr="00A06382" w:rsidRDefault="00493794" w:rsidP="003A64EF">
                  <w:pPr>
                    <w:pStyle w:val="Default"/>
                    <w:contextualSpacing/>
                    <w:rPr>
                      <w:sz w:val="20"/>
                      <w:szCs w:val="20"/>
                    </w:rPr>
                  </w:pPr>
                  <w:r>
                    <w:rPr>
                      <w:sz w:val="20"/>
                      <w:szCs w:val="20"/>
                    </w:rPr>
                    <w:t>100%</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95%</w:t>
                  </w:r>
                </w:p>
              </w:tc>
              <w:tc>
                <w:tcPr>
                  <w:tcW w:w="1562" w:type="dxa"/>
                  <w:shd w:val="clear" w:color="auto" w:fill="auto"/>
                </w:tcPr>
                <w:p w:rsidR="00493794" w:rsidRPr="000E54C3" w:rsidRDefault="00493794" w:rsidP="003A64EF">
                  <w:pPr>
                    <w:pStyle w:val="Default"/>
                    <w:contextualSpacing/>
                    <w:rPr>
                      <w:iCs/>
                      <w:sz w:val="20"/>
                      <w:szCs w:val="20"/>
                    </w:rPr>
                  </w:pPr>
                  <w:r>
                    <w:rPr>
                      <w:iCs/>
                      <w:sz w:val="20"/>
                      <w:szCs w:val="20"/>
                    </w:rPr>
                    <w:t>Provider data reporting system</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Monthly</w:t>
                  </w:r>
                </w:p>
              </w:tc>
            </w:tr>
            <w:tr w:rsidR="00493794" w:rsidRPr="00A06382" w:rsidTr="002F0288">
              <w:tc>
                <w:tcPr>
                  <w:tcW w:w="1728" w:type="dxa"/>
                  <w:shd w:val="clear" w:color="auto" w:fill="auto"/>
                </w:tcPr>
                <w:p w:rsidR="00493794" w:rsidRPr="00A06382" w:rsidRDefault="00493794" w:rsidP="000E54C3">
                  <w:pPr>
                    <w:pStyle w:val="Default"/>
                    <w:contextualSpacing/>
                    <w:rPr>
                      <w:sz w:val="20"/>
                      <w:szCs w:val="20"/>
                    </w:rPr>
                  </w:pPr>
                  <w:r>
                    <w:rPr>
                      <w:b/>
                      <w:bCs/>
                      <w:sz w:val="20"/>
                      <w:szCs w:val="20"/>
                    </w:rPr>
                    <w:t>Response Times:</w:t>
                  </w:r>
                </w:p>
              </w:tc>
              <w:tc>
                <w:tcPr>
                  <w:tcW w:w="1895" w:type="dxa"/>
                  <w:shd w:val="clear" w:color="auto" w:fill="auto"/>
                </w:tcPr>
                <w:p w:rsidR="00493794" w:rsidRPr="00A06382" w:rsidRDefault="00493794" w:rsidP="003A64EF">
                  <w:pPr>
                    <w:pStyle w:val="Default"/>
                    <w:contextualSpacing/>
                    <w:rPr>
                      <w:sz w:val="20"/>
                      <w:szCs w:val="20"/>
                    </w:rPr>
                  </w:pPr>
                  <w:r>
                    <w:rPr>
                      <w:sz w:val="20"/>
                      <w:szCs w:val="20"/>
                    </w:rPr>
                    <w:t>To either notify the GP that the referral is outside the pathway or to give advice</w:t>
                  </w:r>
                  <w:r w:rsidRPr="00A06382">
                    <w:rPr>
                      <w:sz w:val="20"/>
                      <w:szCs w:val="20"/>
                    </w:rPr>
                    <w:t xml:space="preserve"> </w:t>
                  </w:r>
                  <w:r>
                    <w:rPr>
                      <w:sz w:val="20"/>
                      <w:szCs w:val="20"/>
                    </w:rPr>
                    <w:t>Sent back to GP within 2</w:t>
                  </w:r>
                  <w:r w:rsidRPr="00A06382">
                    <w:rPr>
                      <w:sz w:val="20"/>
                      <w:szCs w:val="20"/>
                    </w:rPr>
                    <w:t xml:space="preserve"> working days </w:t>
                  </w:r>
                </w:p>
              </w:tc>
              <w:tc>
                <w:tcPr>
                  <w:tcW w:w="1223" w:type="dxa"/>
                </w:tcPr>
                <w:p w:rsidR="00493794" w:rsidRPr="00A06382" w:rsidRDefault="00493794" w:rsidP="003A64EF">
                  <w:pPr>
                    <w:pStyle w:val="Default"/>
                    <w:contextualSpacing/>
                    <w:rPr>
                      <w:sz w:val="20"/>
                      <w:szCs w:val="20"/>
                    </w:rPr>
                  </w:pPr>
                  <w:r>
                    <w:rPr>
                      <w:sz w:val="20"/>
                      <w:szCs w:val="20"/>
                    </w:rPr>
                    <w:t>&lt;95%</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90</w:t>
                  </w:r>
                  <w:r w:rsidRPr="00A06382">
                    <w:rPr>
                      <w:sz w:val="20"/>
                      <w:szCs w:val="20"/>
                    </w:rPr>
                    <w:t xml:space="preserve">% </w:t>
                  </w:r>
                </w:p>
              </w:tc>
              <w:tc>
                <w:tcPr>
                  <w:tcW w:w="1562" w:type="dxa"/>
                  <w:shd w:val="clear" w:color="auto" w:fill="auto"/>
                </w:tcPr>
                <w:p w:rsidR="00493794" w:rsidRPr="00A06382" w:rsidRDefault="00493794" w:rsidP="003A64EF">
                  <w:pPr>
                    <w:pStyle w:val="Default"/>
                    <w:contextualSpacing/>
                    <w:rPr>
                      <w:sz w:val="20"/>
                      <w:szCs w:val="20"/>
                    </w:rPr>
                  </w:pPr>
                  <w:r w:rsidRPr="000E54C3">
                    <w:rPr>
                      <w:iCs/>
                      <w:sz w:val="20"/>
                      <w:szCs w:val="20"/>
                    </w:rPr>
                    <w:t>Choose &amp; book</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05109">
              <w:trPr>
                <w:trHeight w:val="610"/>
              </w:trPr>
              <w:tc>
                <w:tcPr>
                  <w:tcW w:w="8908" w:type="dxa"/>
                  <w:gridSpan w:val="6"/>
                  <w:shd w:val="clear" w:color="auto" w:fill="D9D9D9"/>
                </w:tcPr>
                <w:p w:rsidR="00493794" w:rsidRPr="00A06382" w:rsidRDefault="00493794" w:rsidP="003A64EF">
                  <w:pPr>
                    <w:pStyle w:val="Default"/>
                    <w:contextualSpacing/>
                    <w:rPr>
                      <w:sz w:val="20"/>
                      <w:szCs w:val="20"/>
                    </w:rPr>
                  </w:pPr>
                  <w:r w:rsidRPr="00A06382">
                    <w:rPr>
                      <w:b/>
                      <w:bCs/>
                      <w:sz w:val="20"/>
                      <w:szCs w:val="20"/>
                    </w:rPr>
                    <w:t xml:space="preserve">Activity </w:t>
                  </w:r>
                </w:p>
              </w:tc>
            </w:tr>
            <w:tr w:rsidR="00493794" w:rsidRPr="00A06382" w:rsidTr="002F0288">
              <w:tc>
                <w:tcPr>
                  <w:tcW w:w="1728" w:type="dxa"/>
                  <w:shd w:val="clear" w:color="auto" w:fill="auto"/>
                </w:tcPr>
                <w:p w:rsidR="00493794" w:rsidRPr="00A06382" w:rsidRDefault="00493794" w:rsidP="003A64EF">
                  <w:pPr>
                    <w:pStyle w:val="Default"/>
                    <w:contextualSpacing/>
                    <w:rPr>
                      <w:sz w:val="20"/>
                      <w:szCs w:val="20"/>
                    </w:rPr>
                  </w:pPr>
                  <w:r w:rsidRPr="00A06382">
                    <w:rPr>
                      <w:b/>
                      <w:bCs/>
                      <w:i/>
                      <w:iCs/>
                      <w:sz w:val="20"/>
                      <w:szCs w:val="20"/>
                    </w:rPr>
                    <w:t xml:space="preserve">Performance Indicator </w:t>
                  </w:r>
                </w:p>
              </w:tc>
              <w:tc>
                <w:tcPr>
                  <w:tcW w:w="1895" w:type="dxa"/>
                  <w:shd w:val="clear" w:color="auto" w:fill="auto"/>
                </w:tcPr>
                <w:p w:rsidR="00493794" w:rsidRPr="00A06382" w:rsidRDefault="00493794" w:rsidP="003A64EF">
                  <w:pPr>
                    <w:pStyle w:val="Default"/>
                    <w:contextualSpacing/>
                    <w:rPr>
                      <w:sz w:val="20"/>
                      <w:szCs w:val="20"/>
                    </w:rPr>
                  </w:pPr>
                  <w:r w:rsidRPr="00A06382">
                    <w:rPr>
                      <w:b/>
                      <w:bCs/>
                      <w:i/>
                      <w:iCs/>
                      <w:sz w:val="20"/>
                      <w:szCs w:val="20"/>
                    </w:rPr>
                    <w:t xml:space="preserve">Indicator </w:t>
                  </w:r>
                </w:p>
              </w:tc>
              <w:tc>
                <w:tcPr>
                  <w:tcW w:w="1223" w:type="dxa"/>
                </w:tcPr>
                <w:p w:rsidR="00493794" w:rsidRPr="00A06382" w:rsidRDefault="00493794" w:rsidP="003A64EF">
                  <w:pPr>
                    <w:pStyle w:val="Default"/>
                    <w:contextualSpacing/>
                    <w:rPr>
                      <w:b/>
                      <w:bCs/>
                      <w:i/>
                      <w:iCs/>
                      <w:sz w:val="20"/>
                      <w:szCs w:val="20"/>
                    </w:rPr>
                  </w:pPr>
                  <w:r>
                    <w:rPr>
                      <w:b/>
                      <w:bCs/>
                      <w:i/>
                      <w:iCs/>
                      <w:sz w:val="20"/>
                      <w:szCs w:val="20"/>
                    </w:rPr>
                    <w:t>Target</w:t>
                  </w:r>
                </w:p>
              </w:tc>
              <w:tc>
                <w:tcPr>
                  <w:tcW w:w="1250" w:type="dxa"/>
                  <w:shd w:val="clear" w:color="auto" w:fill="auto"/>
                </w:tcPr>
                <w:p w:rsidR="00493794" w:rsidRPr="00A06382" w:rsidRDefault="00493794" w:rsidP="003A64EF">
                  <w:pPr>
                    <w:pStyle w:val="Default"/>
                    <w:contextualSpacing/>
                    <w:rPr>
                      <w:sz w:val="20"/>
                      <w:szCs w:val="20"/>
                    </w:rPr>
                  </w:pPr>
                  <w:r w:rsidRPr="00A06382">
                    <w:rPr>
                      <w:b/>
                      <w:bCs/>
                      <w:i/>
                      <w:iCs/>
                      <w:sz w:val="20"/>
                      <w:szCs w:val="20"/>
                    </w:rPr>
                    <w:t xml:space="preserve">Threshold </w:t>
                  </w:r>
                </w:p>
              </w:tc>
              <w:tc>
                <w:tcPr>
                  <w:tcW w:w="1562" w:type="dxa"/>
                  <w:shd w:val="clear" w:color="auto" w:fill="auto"/>
                </w:tcPr>
                <w:p w:rsidR="00493794" w:rsidRPr="00A06382" w:rsidRDefault="00493794" w:rsidP="003A64EF">
                  <w:pPr>
                    <w:pStyle w:val="Default"/>
                    <w:contextualSpacing/>
                    <w:rPr>
                      <w:sz w:val="20"/>
                      <w:szCs w:val="20"/>
                    </w:rPr>
                  </w:pPr>
                  <w:r w:rsidRPr="00A06382">
                    <w:rPr>
                      <w:b/>
                      <w:bCs/>
                      <w:i/>
                      <w:iCs/>
                      <w:sz w:val="20"/>
                      <w:szCs w:val="20"/>
                    </w:rPr>
                    <w:t xml:space="preserve">Method of </w:t>
                  </w:r>
                </w:p>
                <w:p w:rsidR="00493794" w:rsidRPr="00A06382" w:rsidRDefault="00493794" w:rsidP="003A64EF">
                  <w:pPr>
                    <w:pStyle w:val="Default"/>
                    <w:contextualSpacing/>
                    <w:rPr>
                      <w:sz w:val="20"/>
                      <w:szCs w:val="20"/>
                    </w:rPr>
                  </w:pPr>
                  <w:r w:rsidRPr="00A06382">
                    <w:rPr>
                      <w:b/>
                      <w:bCs/>
                      <w:i/>
                      <w:iCs/>
                      <w:sz w:val="20"/>
                      <w:szCs w:val="20"/>
                    </w:rPr>
                    <w:t xml:space="preserve">Measurement </w:t>
                  </w:r>
                </w:p>
              </w:tc>
              <w:tc>
                <w:tcPr>
                  <w:tcW w:w="1250" w:type="dxa"/>
                  <w:shd w:val="clear" w:color="auto" w:fill="auto"/>
                </w:tcPr>
                <w:p w:rsidR="00493794" w:rsidRPr="00A06382" w:rsidRDefault="00493794" w:rsidP="003A64EF">
                  <w:pPr>
                    <w:pStyle w:val="Default"/>
                    <w:contextualSpacing/>
                    <w:rPr>
                      <w:sz w:val="20"/>
                      <w:szCs w:val="20"/>
                    </w:rPr>
                  </w:pPr>
                  <w:r w:rsidRPr="00A06382">
                    <w:rPr>
                      <w:b/>
                      <w:bCs/>
                      <w:i/>
                      <w:iCs/>
                      <w:sz w:val="20"/>
                      <w:szCs w:val="20"/>
                    </w:rPr>
                    <w:t xml:space="preserve">Monitoring </w:t>
                  </w:r>
                </w:p>
                <w:p w:rsidR="00493794" w:rsidRPr="00A06382" w:rsidRDefault="00493794" w:rsidP="003A64EF">
                  <w:pPr>
                    <w:pStyle w:val="Default"/>
                    <w:contextualSpacing/>
                    <w:rPr>
                      <w:sz w:val="20"/>
                      <w:szCs w:val="20"/>
                    </w:rPr>
                  </w:pPr>
                  <w:r w:rsidRPr="00A06382">
                    <w:rPr>
                      <w:b/>
                      <w:bCs/>
                      <w:i/>
                      <w:iCs/>
                      <w:sz w:val="20"/>
                      <w:szCs w:val="20"/>
                    </w:rPr>
                    <w:t xml:space="preserve">Frequency </w:t>
                  </w:r>
                </w:p>
              </w:tc>
            </w:tr>
            <w:tr w:rsidR="00493794" w:rsidRPr="00A06382" w:rsidTr="002F0288">
              <w:tc>
                <w:tcPr>
                  <w:tcW w:w="1728" w:type="dxa"/>
                  <w:shd w:val="clear" w:color="auto" w:fill="auto"/>
                </w:tcPr>
                <w:p w:rsidR="00493794" w:rsidRPr="000E54C3" w:rsidRDefault="00493794" w:rsidP="009C1B37">
                  <w:pPr>
                    <w:pStyle w:val="Default"/>
                    <w:contextualSpacing/>
                    <w:rPr>
                      <w:b/>
                      <w:sz w:val="20"/>
                      <w:szCs w:val="20"/>
                    </w:rPr>
                  </w:pPr>
                  <w:r>
                    <w:rPr>
                      <w:b/>
                      <w:sz w:val="20"/>
                      <w:szCs w:val="20"/>
                    </w:rPr>
                    <w:t>New referrals triaged</w:t>
                  </w:r>
                </w:p>
              </w:tc>
              <w:tc>
                <w:tcPr>
                  <w:tcW w:w="1895" w:type="dxa"/>
                  <w:shd w:val="clear" w:color="auto" w:fill="auto"/>
                </w:tcPr>
                <w:p w:rsidR="00493794" w:rsidRPr="00A06382" w:rsidRDefault="00493794" w:rsidP="002F0288">
                  <w:pPr>
                    <w:pStyle w:val="Default"/>
                    <w:contextualSpacing/>
                    <w:rPr>
                      <w:b/>
                      <w:bCs/>
                      <w:sz w:val="20"/>
                      <w:szCs w:val="20"/>
                    </w:rPr>
                  </w:pPr>
                  <w:r>
                    <w:rPr>
                      <w:b/>
                      <w:bCs/>
                      <w:sz w:val="20"/>
                      <w:szCs w:val="20"/>
                    </w:rPr>
                    <w:t>Number of referrals sent to Triage</w:t>
                  </w:r>
                </w:p>
              </w:tc>
              <w:tc>
                <w:tcPr>
                  <w:tcW w:w="1223" w:type="dxa"/>
                </w:tcPr>
                <w:p w:rsidR="00493794" w:rsidRDefault="00493794" w:rsidP="003A64EF">
                  <w:pPr>
                    <w:pStyle w:val="Default"/>
                    <w:contextualSpacing/>
                    <w:rPr>
                      <w:sz w:val="20"/>
                      <w:szCs w:val="20"/>
                    </w:rPr>
                  </w:pPr>
                  <w:r>
                    <w:rPr>
                      <w:sz w:val="20"/>
                      <w:szCs w:val="20"/>
                    </w:rPr>
                    <w:t>Year 1 –</w:t>
                  </w:r>
                  <w:r w:rsidR="00203BAA">
                    <w:rPr>
                      <w:sz w:val="20"/>
                      <w:szCs w:val="20"/>
                    </w:rPr>
                    <w:t xml:space="preserve"> 722</w:t>
                  </w:r>
                  <w:r>
                    <w:rPr>
                      <w:sz w:val="20"/>
                      <w:szCs w:val="20"/>
                    </w:rPr>
                    <w:t xml:space="preserve"> per month</w:t>
                  </w:r>
                </w:p>
                <w:p w:rsidR="00493794" w:rsidRDefault="00493794" w:rsidP="003A64EF">
                  <w:pPr>
                    <w:pStyle w:val="Default"/>
                    <w:contextualSpacing/>
                    <w:rPr>
                      <w:sz w:val="20"/>
                      <w:szCs w:val="20"/>
                    </w:rPr>
                  </w:pPr>
                </w:p>
                <w:p w:rsidR="00493794" w:rsidRDefault="00493794" w:rsidP="002F0288">
                  <w:pPr>
                    <w:pStyle w:val="Default"/>
                    <w:contextualSpacing/>
                    <w:rPr>
                      <w:sz w:val="20"/>
                      <w:szCs w:val="20"/>
                    </w:rPr>
                  </w:pPr>
                  <w:r>
                    <w:rPr>
                      <w:sz w:val="20"/>
                      <w:szCs w:val="20"/>
                    </w:rPr>
                    <w:t>Year 2 –</w:t>
                  </w:r>
                  <w:r w:rsidR="00203BAA">
                    <w:rPr>
                      <w:sz w:val="20"/>
                      <w:szCs w:val="20"/>
                    </w:rPr>
                    <w:t xml:space="preserve"> 747</w:t>
                  </w:r>
                  <w:r>
                    <w:rPr>
                      <w:sz w:val="20"/>
                      <w:szCs w:val="20"/>
                    </w:rPr>
                    <w:t xml:space="preserve"> per month</w:t>
                  </w: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2F0288">
                  <w:pPr>
                    <w:pStyle w:val="Default"/>
                    <w:contextualSpacing/>
                    <w:rPr>
                      <w:sz w:val="20"/>
                      <w:szCs w:val="20"/>
                    </w:rPr>
                  </w:pPr>
                  <w:r>
                    <w:rPr>
                      <w:sz w:val="20"/>
                      <w:szCs w:val="20"/>
                    </w:rPr>
                    <w:t>Year 3 –</w:t>
                  </w:r>
                  <w:r w:rsidR="00203BAA">
                    <w:rPr>
                      <w:sz w:val="20"/>
                      <w:szCs w:val="20"/>
                    </w:rPr>
                    <w:t xml:space="preserve"> 772</w:t>
                  </w:r>
                  <w:r>
                    <w:rPr>
                      <w:sz w:val="20"/>
                      <w:szCs w:val="20"/>
                    </w:rPr>
                    <w:t xml:space="preserve"> per month</w:t>
                  </w: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2F0288">
                  <w:pPr>
                    <w:pStyle w:val="Default"/>
                    <w:contextualSpacing/>
                    <w:rPr>
                      <w:sz w:val="20"/>
                      <w:szCs w:val="20"/>
                    </w:rPr>
                  </w:pPr>
                  <w:r>
                    <w:rPr>
                      <w:sz w:val="20"/>
                      <w:szCs w:val="20"/>
                    </w:rPr>
                    <w:t>Year 4 –</w:t>
                  </w:r>
                  <w:r w:rsidR="00203BAA">
                    <w:rPr>
                      <w:sz w:val="20"/>
                      <w:szCs w:val="20"/>
                    </w:rPr>
                    <w:t>799</w:t>
                  </w:r>
                  <w:r>
                    <w:rPr>
                      <w:sz w:val="20"/>
                      <w:szCs w:val="20"/>
                    </w:rPr>
                    <w:t xml:space="preserve"> per month</w:t>
                  </w: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2F0288">
                  <w:pPr>
                    <w:pStyle w:val="Default"/>
                    <w:contextualSpacing/>
                    <w:rPr>
                      <w:sz w:val="20"/>
                      <w:szCs w:val="20"/>
                    </w:rPr>
                  </w:pPr>
                  <w:r>
                    <w:rPr>
                      <w:sz w:val="20"/>
                      <w:szCs w:val="20"/>
                    </w:rPr>
                    <w:t xml:space="preserve">Year 5 – </w:t>
                  </w:r>
                  <w:r w:rsidR="00203BAA">
                    <w:rPr>
                      <w:sz w:val="20"/>
                      <w:szCs w:val="20"/>
                    </w:rPr>
                    <w:t>826</w:t>
                  </w:r>
                  <w:r>
                    <w:rPr>
                      <w:sz w:val="20"/>
                      <w:szCs w:val="20"/>
                    </w:rPr>
                    <w:t xml:space="preserve">  per month</w:t>
                  </w:r>
                </w:p>
                <w:p w:rsidR="00493794" w:rsidRDefault="00493794" w:rsidP="002F0288">
                  <w:pPr>
                    <w:pStyle w:val="Default"/>
                    <w:contextualSpacing/>
                    <w:rPr>
                      <w:sz w:val="20"/>
                      <w:szCs w:val="20"/>
                    </w:rPr>
                  </w:pPr>
                </w:p>
              </w:tc>
              <w:tc>
                <w:tcPr>
                  <w:tcW w:w="1250" w:type="dxa"/>
                  <w:shd w:val="clear" w:color="auto" w:fill="auto"/>
                </w:tcPr>
                <w:p w:rsidR="00493794" w:rsidRDefault="00493794" w:rsidP="003A64EF">
                  <w:pPr>
                    <w:pStyle w:val="Default"/>
                    <w:contextualSpacing/>
                    <w:rPr>
                      <w:sz w:val="20"/>
                      <w:szCs w:val="20"/>
                    </w:rPr>
                  </w:pPr>
                  <w:r>
                    <w:rPr>
                      <w:sz w:val="20"/>
                      <w:szCs w:val="20"/>
                    </w:rPr>
                    <w:t>Year 1 +/- 5%</w:t>
                  </w: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r>
                    <w:rPr>
                      <w:sz w:val="20"/>
                      <w:szCs w:val="20"/>
                    </w:rPr>
                    <w:t>Year 2 +/- 5%</w:t>
                  </w: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r>
                    <w:rPr>
                      <w:sz w:val="20"/>
                      <w:szCs w:val="20"/>
                    </w:rPr>
                    <w:t>Year 3 +/- 5%</w:t>
                  </w: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r>
                    <w:rPr>
                      <w:sz w:val="20"/>
                      <w:szCs w:val="20"/>
                    </w:rPr>
                    <w:t>Year 4 +/- 5%</w:t>
                  </w: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3A64EF">
                  <w:pPr>
                    <w:pStyle w:val="Default"/>
                    <w:contextualSpacing/>
                    <w:rPr>
                      <w:sz w:val="20"/>
                      <w:szCs w:val="20"/>
                    </w:rPr>
                  </w:pPr>
                </w:p>
                <w:p w:rsidR="00493794" w:rsidRDefault="00493794" w:rsidP="009407FC">
                  <w:pPr>
                    <w:pStyle w:val="Default"/>
                    <w:contextualSpacing/>
                    <w:rPr>
                      <w:sz w:val="20"/>
                      <w:szCs w:val="20"/>
                    </w:rPr>
                  </w:pPr>
                  <w:r>
                    <w:rPr>
                      <w:sz w:val="20"/>
                      <w:szCs w:val="20"/>
                    </w:rPr>
                    <w:t>Year 5 +/- 5%</w:t>
                  </w:r>
                </w:p>
              </w:tc>
              <w:tc>
                <w:tcPr>
                  <w:tcW w:w="1562" w:type="dxa"/>
                  <w:shd w:val="clear" w:color="auto" w:fill="auto"/>
                </w:tcPr>
                <w:p w:rsidR="00493794" w:rsidRPr="00A06382" w:rsidRDefault="00493794" w:rsidP="009407FC">
                  <w:pPr>
                    <w:pStyle w:val="Default"/>
                    <w:contextualSpacing/>
                    <w:rPr>
                      <w:sz w:val="20"/>
                      <w:szCs w:val="20"/>
                    </w:rPr>
                  </w:pPr>
                  <w:r w:rsidRPr="000E54C3">
                    <w:rPr>
                      <w:iCs/>
                      <w:sz w:val="20"/>
                      <w:szCs w:val="20"/>
                    </w:rPr>
                    <w:t>Choose &amp; book</w:t>
                  </w:r>
                </w:p>
              </w:tc>
              <w:tc>
                <w:tcPr>
                  <w:tcW w:w="1250" w:type="dxa"/>
                  <w:shd w:val="clear" w:color="auto" w:fill="auto"/>
                </w:tcPr>
                <w:p w:rsidR="00493794" w:rsidRPr="00A06382" w:rsidRDefault="00493794" w:rsidP="009407FC">
                  <w:pPr>
                    <w:pStyle w:val="Default"/>
                    <w:contextualSpacing/>
                    <w:rPr>
                      <w:sz w:val="20"/>
                      <w:szCs w:val="20"/>
                    </w:rPr>
                  </w:pPr>
                  <w:r w:rsidRPr="00A06382">
                    <w:rPr>
                      <w:sz w:val="20"/>
                      <w:szCs w:val="20"/>
                    </w:rPr>
                    <w:t xml:space="preserve">Monthly </w:t>
                  </w:r>
                </w:p>
              </w:tc>
            </w:tr>
            <w:tr w:rsidR="00FE635B" w:rsidRPr="00A06382" w:rsidTr="002F0288">
              <w:tc>
                <w:tcPr>
                  <w:tcW w:w="1728" w:type="dxa"/>
                  <w:shd w:val="clear" w:color="auto" w:fill="auto"/>
                </w:tcPr>
                <w:p w:rsidR="00FE635B" w:rsidRDefault="00FE635B" w:rsidP="009C1B37">
                  <w:pPr>
                    <w:pStyle w:val="Default"/>
                    <w:contextualSpacing/>
                    <w:rPr>
                      <w:b/>
                      <w:sz w:val="20"/>
                      <w:szCs w:val="20"/>
                    </w:rPr>
                  </w:pPr>
                  <w:r>
                    <w:rPr>
                      <w:b/>
                      <w:sz w:val="20"/>
                      <w:szCs w:val="20"/>
                    </w:rPr>
                    <w:t>First appointments</w:t>
                  </w:r>
                </w:p>
                <w:p w:rsidR="00FE635B" w:rsidRDefault="00FE635B" w:rsidP="009C1B37">
                  <w:pPr>
                    <w:pStyle w:val="Default"/>
                    <w:contextualSpacing/>
                    <w:rPr>
                      <w:b/>
                      <w:sz w:val="20"/>
                      <w:szCs w:val="20"/>
                    </w:rPr>
                  </w:pPr>
                </w:p>
              </w:tc>
              <w:tc>
                <w:tcPr>
                  <w:tcW w:w="1895" w:type="dxa"/>
                  <w:shd w:val="clear" w:color="auto" w:fill="auto"/>
                </w:tcPr>
                <w:p w:rsidR="00FE635B" w:rsidRDefault="00FE635B" w:rsidP="003A64EF">
                  <w:pPr>
                    <w:pStyle w:val="Default"/>
                    <w:contextualSpacing/>
                    <w:rPr>
                      <w:b/>
                      <w:bCs/>
                      <w:sz w:val="20"/>
                      <w:szCs w:val="20"/>
                    </w:rPr>
                  </w:pPr>
                  <w:r>
                    <w:rPr>
                      <w:b/>
                      <w:bCs/>
                      <w:sz w:val="20"/>
                      <w:szCs w:val="20"/>
                    </w:rPr>
                    <w:t>Number of initial face to face appointments</w:t>
                  </w:r>
                </w:p>
                <w:p w:rsidR="00FE635B" w:rsidRPr="00A06382" w:rsidRDefault="00FE635B" w:rsidP="003A64EF">
                  <w:pPr>
                    <w:pStyle w:val="Default"/>
                    <w:contextualSpacing/>
                    <w:rPr>
                      <w:b/>
                      <w:bCs/>
                      <w:sz w:val="20"/>
                      <w:szCs w:val="20"/>
                    </w:rPr>
                  </w:pPr>
                </w:p>
              </w:tc>
              <w:tc>
                <w:tcPr>
                  <w:tcW w:w="1223" w:type="dxa"/>
                </w:tcPr>
                <w:p w:rsidR="00FE635B" w:rsidRDefault="00FE635B" w:rsidP="009407FC">
                  <w:pPr>
                    <w:pStyle w:val="Default"/>
                    <w:contextualSpacing/>
                    <w:rPr>
                      <w:sz w:val="20"/>
                      <w:szCs w:val="20"/>
                    </w:rPr>
                  </w:pPr>
                  <w:r>
                    <w:rPr>
                      <w:sz w:val="20"/>
                      <w:szCs w:val="20"/>
                    </w:rPr>
                    <w:t>Year 1 – 449 per month</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2 – 465 per month</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3 – 482 per month</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4 –499 per month</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5 – 518  per month</w:t>
                  </w:r>
                </w:p>
                <w:p w:rsidR="00FE635B" w:rsidRDefault="00FE635B" w:rsidP="009407FC">
                  <w:pPr>
                    <w:pStyle w:val="Default"/>
                    <w:contextualSpacing/>
                    <w:rPr>
                      <w:sz w:val="20"/>
                      <w:szCs w:val="20"/>
                    </w:rPr>
                  </w:pPr>
                </w:p>
              </w:tc>
              <w:tc>
                <w:tcPr>
                  <w:tcW w:w="1250" w:type="dxa"/>
                  <w:shd w:val="clear" w:color="auto" w:fill="auto"/>
                </w:tcPr>
                <w:p w:rsidR="00FE635B" w:rsidRDefault="00FE635B" w:rsidP="009407FC">
                  <w:pPr>
                    <w:pStyle w:val="Default"/>
                    <w:contextualSpacing/>
                    <w:rPr>
                      <w:sz w:val="20"/>
                      <w:szCs w:val="20"/>
                    </w:rPr>
                  </w:pPr>
                  <w:r>
                    <w:rPr>
                      <w:sz w:val="20"/>
                      <w:szCs w:val="20"/>
                    </w:rPr>
                    <w:t>Year 1 +/- 5%</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2 +/- 5%</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3 +/- 5%</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4 +/- 5%</w:t>
                  </w: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p>
                <w:p w:rsidR="00FE635B" w:rsidRDefault="00FE635B" w:rsidP="009407FC">
                  <w:pPr>
                    <w:pStyle w:val="Default"/>
                    <w:contextualSpacing/>
                    <w:rPr>
                      <w:sz w:val="20"/>
                      <w:szCs w:val="20"/>
                    </w:rPr>
                  </w:pPr>
                  <w:r>
                    <w:rPr>
                      <w:sz w:val="20"/>
                      <w:szCs w:val="20"/>
                    </w:rPr>
                    <w:t>Year 5 +/- 5%</w:t>
                  </w:r>
                </w:p>
              </w:tc>
              <w:tc>
                <w:tcPr>
                  <w:tcW w:w="1562" w:type="dxa"/>
                  <w:shd w:val="clear" w:color="auto" w:fill="auto"/>
                </w:tcPr>
                <w:p w:rsidR="00FE635B" w:rsidRPr="00A06382" w:rsidRDefault="00FE635B" w:rsidP="00385FDF">
                  <w:pPr>
                    <w:pStyle w:val="Default"/>
                    <w:contextualSpacing/>
                    <w:rPr>
                      <w:sz w:val="20"/>
                      <w:szCs w:val="20"/>
                    </w:rPr>
                  </w:pPr>
                  <w:r w:rsidRPr="000E54C3">
                    <w:rPr>
                      <w:iCs/>
                      <w:sz w:val="20"/>
                      <w:szCs w:val="20"/>
                    </w:rPr>
                    <w:t>Choose &amp; book</w:t>
                  </w:r>
                </w:p>
              </w:tc>
              <w:tc>
                <w:tcPr>
                  <w:tcW w:w="1250" w:type="dxa"/>
                  <w:shd w:val="clear" w:color="auto" w:fill="auto"/>
                </w:tcPr>
                <w:p w:rsidR="00FE635B" w:rsidRPr="00A06382" w:rsidRDefault="00FE635B" w:rsidP="00385FDF">
                  <w:pPr>
                    <w:pStyle w:val="Default"/>
                    <w:contextualSpacing/>
                    <w:rPr>
                      <w:sz w:val="20"/>
                      <w:szCs w:val="20"/>
                    </w:rPr>
                  </w:pPr>
                  <w:r w:rsidRPr="00A06382">
                    <w:rPr>
                      <w:sz w:val="20"/>
                      <w:szCs w:val="20"/>
                    </w:rPr>
                    <w:t xml:space="preserve">Monthly </w:t>
                  </w:r>
                </w:p>
              </w:tc>
            </w:tr>
            <w:tr w:rsidR="00FE635B" w:rsidRPr="00A06382" w:rsidTr="002F0288">
              <w:tc>
                <w:tcPr>
                  <w:tcW w:w="1728" w:type="dxa"/>
                  <w:shd w:val="clear" w:color="auto" w:fill="auto"/>
                </w:tcPr>
                <w:p w:rsidR="00FE635B" w:rsidRDefault="00FE635B" w:rsidP="009C1B37">
                  <w:pPr>
                    <w:pStyle w:val="Default"/>
                    <w:contextualSpacing/>
                    <w:rPr>
                      <w:b/>
                      <w:sz w:val="20"/>
                      <w:szCs w:val="20"/>
                    </w:rPr>
                  </w:pPr>
                  <w:r>
                    <w:rPr>
                      <w:b/>
                      <w:sz w:val="20"/>
                      <w:szCs w:val="20"/>
                    </w:rPr>
                    <w:t>Follow Up appointments</w:t>
                  </w:r>
                </w:p>
              </w:tc>
              <w:tc>
                <w:tcPr>
                  <w:tcW w:w="1895" w:type="dxa"/>
                  <w:shd w:val="clear" w:color="auto" w:fill="auto"/>
                </w:tcPr>
                <w:p w:rsidR="00FE635B" w:rsidRDefault="00FE635B" w:rsidP="003A64EF">
                  <w:pPr>
                    <w:pStyle w:val="Default"/>
                    <w:contextualSpacing/>
                    <w:rPr>
                      <w:b/>
                      <w:bCs/>
                      <w:sz w:val="20"/>
                      <w:szCs w:val="20"/>
                    </w:rPr>
                  </w:pPr>
                  <w:r>
                    <w:rPr>
                      <w:b/>
                      <w:bCs/>
                      <w:sz w:val="20"/>
                      <w:szCs w:val="20"/>
                    </w:rPr>
                    <w:t>Number of follow up appointments</w:t>
                  </w:r>
                </w:p>
              </w:tc>
              <w:tc>
                <w:tcPr>
                  <w:tcW w:w="1223" w:type="dxa"/>
                </w:tcPr>
                <w:p w:rsidR="00FE635B" w:rsidRDefault="00FE635B" w:rsidP="00385FDF">
                  <w:pPr>
                    <w:pStyle w:val="Default"/>
                    <w:contextualSpacing/>
                    <w:rPr>
                      <w:sz w:val="20"/>
                      <w:szCs w:val="20"/>
                    </w:rPr>
                  </w:pPr>
                  <w:r>
                    <w:rPr>
                      <w:sz w:val="20"/>
                      <w:szCs w:val="20"/>
                    </w:rPr>
                    <w:t>Year 1 – 1,022 per month</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2 – 1,064 per month</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3 – 1,109 per month</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4 – 1,155 per month</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5 – 1,203  per month</w:t>
                  </w:r>
                </w:p>
                <w:p w:rsidR="00FE635B" w:rsidRDefault="00FE635B" w:rsidP="00385FDF">
                  <w:pPr>
                    <w:pStyle w:val="Default"/>
                    <w:contextualSpacing/>
                    <w:rPr>
                      <w:sz w:val="20"/>
                      <w:szCs w:val="20"/>
                    </w:rPr>
                  </w:pPr>
                </w:p>
              </w:tc>
              <w:tc>
                <w:tcPr>
                  <w:tcW w:w="1250" w:type="dxa"/>
                  <w:shd w:val="clear" w:color="auto" w:fill="auto"/>
                </w:tcPr>
                <w:p w:rsidR="00FE635B" w:rsidRDefault="00FE635B" w:rsidP="00385FDF">
                  <w:pPr>
                    <w:pStyle w:val="Default"/>
                    <w:contextualSpacing/>
                    <w:rPr>
                      <w:sz w:val="20"/>
                      <w:szCs w:val="20"/>
                    </w:rPr>
                  </w:pPr>
                  <w:r>
                    <w:rPr>
                      <w:sz w:val="20"/>
                      <w:szCs w:val="20"/>
                    </w:rPr>
                    <w:t>Year 1 +/- 5%</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2 +/- 5%</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3 +/- 5%</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4 +/- 5%</w:t>
                  </w: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p>
                <w:p w:rsidR="00FE635B" w:rsidRDefault="00FE635B" w:rsidP="00385FDF">
                  <w:pPr>
                    <w:pStyle w:val="Default"/>
                    <w:contextualSpacing/>
                    <w:rPr>
                      <w:sz w:val="20"/>
                      <w:szCs w:val="20"/>
                    </w:rPr>
                  </w:pPr>
                  <w:r>
                    <w:rPr>
                      <w:sz w:val="20"/>
                      <w:szCs w:val="20"/>
                    </w:rPr>
                    <w:t>Year 5 +/- 5%</w:t>
                  </w:r>
                </w:p>
              </w:tc>
              <w:tc>
                <w:tcPr>
                  <w:tcW w:w="1562" w:type="dxa"/>
                  <w:shd w:val="clear" w:color="auto" w:fill="auto"/>
                </w:tcPr>
                <w:p w:rsidR="00FE635B" w:rsidRPr="00A06382" w:rsidRDefault="00FE635B" w:rsidP="00385FDF">
                  <w:pPr>
                    <w:pStyle w:val="Default"/>
                    <w:contextualSpacing/>
                    <w:rPr>
                      <w:sz w:val="20"/>
                      <w:szCs w:val="20"/>
                    </w:rPr>
                  </w:pPr>
                  <w:r w:rsidRPr="000E54C3">
                    <w:rPr>
                      <w:iCs/>
                      <w:sz w:val="20"/>
                      <w:szCs w:val="20"/>
                    </w:rPr>
                    <w:t>Choose &amp; book</w:t>
                  </w:r>
                </w:p>
              </w:tc>
              <w:tc>
                <w:tcPr>
                  <w:tcW w:w="1250" w:type="dxa"/>
                  <w:shd w:val="clear" w:color="auto" w:fill="auto"/>
                </w:tcPr>
                <w:p w:rsidR="00FE635B" w:rsidRPr="00A06382" w:rsidRDefault="00FE635B" w:rsidP="00385FD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0E54C3" w:rsidRDefault="00493794" w:rsidP="003A64EF">
                  <w:pPr>
                    <w:pStyle w:val="Default"/>
                    <w:contextualSpacing/>
                    <w:rPr>
                      <w:b/>
                      <w:sz w:val="20"/>
                      <w:szCs w:val="20"/>
                    </w:rPr>
                  </w:pPr>
                  <w:r w:rsidRPr="000E54C3">
                    <w:rPr>
                      <w:b/>
                      <w:sz w:val="20"/>
                      <w:szCs w:val="20"/>
                    </w:rPr>
                    <w:t xml:space="preserve">Referral rates </w:t>
                  </w:r>
                </w:p>
              </w:tc>
              <w:tc>
                <w:tcPr>
                  <w:tcW w:w="1895" w:type="dxa"/>
                  <w:shd w:val="clear" w:color="auto" w:fill="auto"/>
                </w:tcPr>
                <w:p w:rsidR="00493794" w:rsidRPr="00A06382" w:rsidRDefault="0064057C" w:rsidP="003A64EF">
                  <w:pPr>
                    <w:pStyle w:val="Default"/>
                    <w:contextualSpacing/>
                    <w:rPr>
                      <w:sz w:val="20"/>
                      <w:szCs w:val="20"/>
                    </w:rPr>
                  </w:pPr>
                  <w:r>
                    <w:rPr>
                      <w:b/>
                      <w:bCs/>
                      <w:sz w:val="20"/>
                      <w:szCs w:val="20"/>
                    </w:rPr>
                    <w:t>Recorded number of</w:t>
                  </w:r>
                  <w:r w:rsidR="00493794" w:rsidRPr="00A06382">
                    <w:rPr>
                      <w:b/>
                      <w:bCs/>
                      <w:sz w:val="20"/>
                      <w:szCs w:val="20"/>
                    </w:rPr>
                    <w:t xml:space="preserve"> referrals received for month </w:t>
                  </w:r>
                </w:p>
                <w:p w:rsidR="00493794" w:rsidRPr="00A06382" w:rsidRDefault="00493794" w:rsidP="003A64EF">
                  <w:pPr>
                    <w:pStyle w:val="Default"/>
                    <w:contextualSpacing/>
                    <w:rPr>
                      <w:sz w:val="20"/>
                      <w:szCs w:val="20"/>
                    </w:rPr>
                  </w:pPr>
                  <w:r w:rsidRPr="00A06382">
                    <w:rPr>
                      <w:sz w:val="20"/>
                      <w:szCs w:val="20"/>
                    </w:rPr>
                    <w:t xml:space="preserve">a) By Practice </w:t>
                  </w:r>
                </w:p>
                <w:p w:rsidR="00493794" w:rsidRPr="00A06382" w:rsidRDefault="00493794" w:rsidP="003A64EF">
                  <w:pPr>
                    <w:pStyle w:val="Default"/>
                    <w:contextualSpacing/>
                    <w:rPr>
                      <w:sz w:val="20"/>
                      <w:szCs w:val="20"/>
                    </w:rPr>
                  </w:pPr>
                  <w:r w:rsidRPr="00A06382">
                    <w:rPr>
                      <w:sz w:val="20"/>
                      <w:szCs w:val="20"/>
                    </w:rPr>
                    <w:t xml:space="preserve">b) By Gender </w:t>
                  </w:r>
                </w:p>
                <w:p w:rsidR="00493794" w:rsidRPr="00A06382" w:rsidRDefault="00493794" w:rsidP="003A64EF">
                  <w:pPr>
                    <w:pStyle w:val="Default"/>
                    <w:contextualSpacing/>
                    <w:rPr>
                      <w:sz w:val="20"/>
                      <w:szCs w:val="20"/>
                    </w:rPr>
                  </w:pPr>
                  <w:r w:rsidRPr="00A06382">
                    <w:rPr>
                      <w:sz w:val="20"/>
                      <w:szCs w:val="20"/>
                    </w:rPr>
                    <w:t xml:space="preserve">c) By Ethnicity </w:t>
                  </w:r>
                </w:p>
                <w:p w:rsidR="00493794" w:rsidRPr="00A06382" w:rsidRDefault="00493794" w:rsidP="003A64EF">
                  <w:pPr>
                    <w:pStyle w:val="Default"/>
                    <w:contextualSpacing/>
                    <w:rPr>
                      <w:sz w:val="20"/>
                      <w:szCs w:val="20"/>
                    </w:rPr>
                  </w:pPr>
                  <w:r w:rsidRPr="00A06382">
                    <w:rPr>
                      <w:sz w:val="20"/>
                      <w:szCs w:val="20"/>
                    </w:rPr>
                    <w:t xml:space="preserve">d) By Age </w:t>
                  </w:r>
                </w:p>
              </w:tc>
              <w:tc>
                <w:tcPr>
                  <w:tcW w:w="1223" w:type="dxa"/>
                </w:tcPr>
                <w:p w:rsidR="00493794" w:rsidRPr="00A06382" w:rsidRDefault="00493794" w:rsidP="003A64EF">
                  <w:pPr>
                    <w:pStyle w:val="Default"/>
                    <w:contextualSpacing/>
                    <w:rPr>
                      <w:sz w:val="20"/>
                      <w:szCs w:val="20"/>
                    </w:rPr>
                  </w:pPr>
                  <w:r>
                    <w:rPr>
                      <w:sz w:val="20"/>
                      <w:szCs w:val="20"/>
                    </w:rPr>
                    <w:t>100%</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100%</w:t>
                  </w:r>
                </w:p>
              </w:tc>
              <w:tc>
                <w:tcPr>
                  <w:tcW w:w="1562"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Tbc in liaison with new Provider </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Quarterly</w:t>
                  </w:r>
                </w:p>
              </w:tc>
            </w:tr>
            <w:tr w:rsidR="00493794" w:rsidRPr="00A06382" w:rsidTr="002F0288">
              <w:tc>
                <w:tcPr>
                  <w:tcW w:w="1728" w:type="dxa"/>
                  <w:shd w:val="clear" w:color="auto" w:fill="auto"/>
                </w:tcPr>
                <w:p w:rsidR="00493794" w:rsidRPr="00A06382" w:rsidRDefault="00493794" w:rsidP="003A64EF">
                  <w:pPr>
                    <w:pStyle w:val="Default"/>
                    <w:contextualSpacing/>
                    <w:rPr>
                      <w:sz w:val="20"/>
                      <w:szCs w:val="20"/>
                    </w:rPr>
                  </w:pPr>
                  <w:r w:rsidRPr="00A06382">
                    <w:rPr>
                      <w:b/>
                      <w:bCs/>
                      <w:sz w:val="20"/>
                      <w:szCs w:val="20"/>
                    </w:rPr>
                    <w:t xml:space="preserve">Outcome of Paper Triage </w:t>
                  </w:r>
                </w:p>
              </w:tc>
              <w:tc>
                <w:tcPr>
                  <w:tcW w:w="1895" w:type="dxa"/>
                  <w:shd w:val="clear" w:color="auto" w:fill="auto"/>
                </w:tcPr>
                <w:p w:rsidR="00493794" w:rsidRPr="00A06382" w:rsidRDefault="0064057C" w:rsidP="003A64EF">
                  <w:pPr>
                    <w:pStyle w:val="Default"/>
                    <w:contextualSpacing/>
                    <w:rPr>
                      <w:sz w:val="20"/>
                      <w:szCs w:val="20"/>
                    </w:rPr>
                  </w:pPr>
                  <w:r>
                    <w:rPr>
                      <w:sz w:val="20"/>
                      <w:szCs w:val="20"/>
                    </w:rPr>
                    <w:t>Recorded outcome of activity t</w:t>
                  </w:r>
                  <w:r w:rsidR="00493794" w:rsidRPr="00A06382">
                    <w:rPr>
                      <w:sz w:val="20"/>
                      <w:szCs w:val="20"/>
                    </w:rPr>
                    <w:t xml:space="preserve">riaged to be seen in </w:t>
                  </w:r>
                </w:p>
                <w:p w:rsidR="00493794" w:rsidRPr="00A06382" w:rsidRDefault="00493794" w:rsidP="003A64EF">
                  <w:pPr>
                    <w:pStyle w:val="Default"/>
                    <w:contextualSpacing/>
                    <w:rPr>
                      <w:sz w:val="20"/>
                      <w:szCs w:val="20"/>
                    </w:rPr>
                  </w:pPr>
                  <w:r w:rsidRPr="00A06382">
                    <w:rPr>
                      <w:sz w:val="20"/>
                      <w:szCs w:val="20"/>
                    </w:rPr>
                    <w:t xml:space="preserve">a) </w:t>
                  </w:r>
                  <w:r>
                    <w:rPr>
                      <w:sz w:val="20"/>
                      <w:szCs w:val="20"/>
                    </w:rPr>
                    <w:t xml:space="preserve">Community Physiotherapy </w:t>
                  </w:r>
                </w:p>
                <w:p w:rsidR="00493794" w:rsidRPr="00A06382" w:rsidRDefault="00493794" w:rsidP="003A64EF">
                  <w:pPr>
                    <w:pStyle w:val="Default"/>
                    <w:contextualSpacing/>
                    <w:rPr>
                      <w:sz w:val="20"/>
                      <w:szCs w:val="20"/>
                    </w:rPr>
                  </w:pPr>
                  <w:r>
                    <w:rPr>
                      <w:sz w:val="20"/>
                      <w:szCs w:val="20"/>
                    </w:rPr>
                    <w:t>b) Health Trainers</w:t>
                  </w:r>
                  <w:r w:rsidRPr="00A06382">
                    <w:rPr>
                      <w:sz w:val="20"/>
                      <w:szCs w:val="20"/>
                    </w:rPr>
                    <w:t xml:space="preserve"> </w:t>
                  </w:r>
                </w:p>
                <w:p w:rsidR="00493794" w:rsidRPr="00A06382" w:rsidRDefault="00493794" w:rsidP="003A64EF">
                  <w:pPr>
                    <w:pStyle w:val="Default"/>
                    <w:contextualSpacing/>
                    <w:rPr>
                      <w:sz w:val="20"/>
                      <w:szCs w:val="20"/>
                    </w:rPr>
                  </w:pPr>
                  <w:r w:rsidRPr="00A06382">
                    <w:rPr>
                      <w:sz w:val="20"/>
                      <w:szCs w:val="20"/>
                    </w:rPr>
                    <w:t xml:space="preserve">c) </w:t>
                  </w:r>
                  <w:r>
                    <w:rPr>
                      <w:sz w:val="20"/>
                      <w:szCs w:val="20"/>
                    </w:rPr>
                    <w:t>Psychoeducational Courses</w:t>
                  </w:r>
                  <w:r w:rsidRPr="00A06382">
                    <w:rPr>
                      <w:sz w:val="20"/>
                      <w:szCs w:val="20"/>
                    </w:rPr>
                    <w:t xml:space="preserve"> </w:t>
                  </w:r>
                </w:p>
                <w:p w:rsidR="00493794" w:rsidRDefault="00493794" w:rsidP="00E4355D">
                  <w:pPr>
                    <w:pStyle w:val="Default"/>
                    <w:contextualSpacing/>
                    <w:rPr>
                      <w:sz w:val="20"/>
                      <w:szCs w:val="20"/>
                    </w:rPr>
                  </w:pPr>
                  <w:r w:rsidRPr="00A06382">
                    <w:rPr>
                      <w:sz w:val="20"/>
                      <w:szCs w:val="20"/>
                    </w:rPr>
                    <w:t xml:space="preserve">d) </w:t>
                  </w:r>
                  <w:r>
                    <w:rPr>
                      <w:sz w:val="20"/>
                      <w:szCs w:val="20"/>
                    </w:rPr>
                    <w:t xml:space="preserve">Integrated MSK &amp; Pain Team </w:t>
                  </w:r>
                </w:p>
                <w:p w:rsidR="00493794" w:rsidRPr="00A06382" w:rsidRDefault="00493794" w:rsidP="00E4355D">
                  <w:pPr>
                    <w:pStyle w:val="Default"/>
                    <w:contextualSpacing/>
                    <w:rPr>
                      <w:sz w:val="20"/>
                      <w:szCs w:val="20"/>
                    </w:rPr>
                  </w:pPr>
                  <w:r>
                    <w:rPr>
                      <w:sz w:val="20"/>
                      <w:szCs w:val="20"/>
                    </w:rPr>
                    <w:t xml:space="preserve">e) </w:t>
                  </w:r>
                  <w:r w:rsidRPr="00A06382">
                    <w:rPr>
                      <w:sz w:val="20"/>
                      <w:szCs w:val="20"/>
                    </w:rPr>
                    <w:t xml:space="preserve">Triaged directly to other (please specify) </w:t>
                  </w:r>
                </w:p>
              </w:tc>
              <w:tc>
                <w:tcPr>
                  <w:tcW w:w="1223" w:type="dxa"/>
                </w:tcPr>
                <w:p w:rsidR="00493794" w:rsidRPr="00A06382" w:rsidRDefault="00493794" w:rsidP="00975080">
                  <w:pPr>
                    <w:pStyle w:val="Heading1Char"/>
                    <w:contextualSpacing/>
                    <w:rPr>
                      <w:rFonts w:ascii="Arial" w:hAnsi="Arial" w:cs="Arial"/>
                      <w:sz w:val="20"/>
                    </w:rPr>
                  </w:pPr>
                  <w:r>
                    <w:rPr>
                      <w:rFonts w:ascii="Arial" w:hAnsi="Arial" w:cs="Arial"/>
                      <w:sz w:val="20"/>
                    </w:rPr>
                    <w:t>100%</w:t>
                  </w:r>
                </w:p>
              </w:tc>
              <w:tc>
                <w:tcPr>
                  <w:tcW w:w="1250" w:type="dxa"/>
                  <w:shd w:val="clear" w:color="auto" w:fill="auto"/>
                </w:tcPr>
                <w:p w:rsidR="00493794" w:rsidRPr="00A06382" w:rsidRDefault="00493794" w:rsidP="00975080">
                  <w:pPr>
                    <w:pStyle w:val="Heading1Char"/>
                    <w:contextualSpacing/>
                    <w:rPr>
                      <w:rFonts w:ascii="Arial" w:hAnsi="Arial" w:cs="Arial"/>
                      <w:sz w:val="20"/>
                    </w:rPr>
                  </w:pPr>
                  <w:r>
                    <w:rPr>
                      <w:rFonts w:ascii="Arial" w:hAnsi="Arial" w:cs="Arial"/>
                      <w:sz w:val="20"/>
                    </w:rPr>
                    <w:t>100%</w:t>
                  </w:r>
                </w:p>
              </w:tc>
              <w:tc>
                <w:tcPr>
                  <w:tcW w:w="1562" w:type="dxa"/>
                  <w:shd w:val="clear" w:color="auto" w:fill="auto"/>
                </w:tcPr>
                <w:p w:rsidR="00493794" w:rsidRPr="00A06382" w:rsidRDefault="00493794" w:rsidP="00975080">
                  <w:pPr>
                    <w:pStyle w:val="Heading1Char"/>
                    <w:contextualSpacing/>
                    <w:rPr>
                      <w:rFonts w:ascii="Arial" w:hAnsi="Arial" w:cs="Arial"/>
                      <w:sz w:val="20"/>
                    </w:rPr>
                  </w:pPr>
                  <w:r w:rsidRPr="00A06382">
                    <w:rPr>
                      <w:rFonts w:ascii="Arial" w:hAnsi="Arial" w:cs="Arial"/>
                      <w:sz w:val="20"/>
                    </w:rPr>
                    <w:t xml:space="preserve">Tbc in liaison with new Provider </w:t>
                  </w:r>
                </w:p>
              </w:tc>
              <w:tc>
                <w:tcPr>
                  <w:tcW w:w="1250" w:type="dxa"/>
                  <w:shd w:val="clear" w:color="auto" w:fill="auto"/>
                </w:tcPr>
                <w:p w:rsidR="00493794" w:rsidRPr="00A06382" w:rsidRDefault="00493794" w:rsidP="00975080">
                  <w:pPr>
                    <w:pStyle w:val="Heading1Char"/>
                    <w:contextualSpacing/>
                    <w:rPr>
                      <w:rFonts w:ascii="Arial" w:hAnsi="Arial" w:cs="Arial"/>
                      <w:sz w:val="20"/>
                    </w:rPr>
                  </w:pPr>
                  <w:r w:rsidRPr="00A06382">
                    <w:rPr>
                      <w:rFonts w:ascii="Arial" w:hAnsi="Arial" w:cs="Arial"/>
                      <w:sz w:val="20"/>
                    </w:rPr>
                    <w:t xml:space="preserve">Monthly </w:t>
                  </w:r>
                </w:p>
              </w:tc>
            </w:tr>
            <w:tr w:rsidR="00493794" w:rsidRPr="00A06382" w:rsidTr="002F0288">
              <w:tc>
                <w:tcPr>
                  <w:tcW w:w="1728" w:type="dxa"/>
                  <w:shd w:val="clear" w:color="auto" w:fill="auto"/>
                </w:tcPr>
                <w:p w:rsidR="00493794" w:rsidRPr="00A06382" w:rsidRDefault="00493794" w:rsidP="00BE5C69">
                  <w:pPr>
                    <w:pStyle w:val="Default"/>
                    <w:contextualSpacing/>
                    <w:rPr>
                      <w:sz w:val="20"/>
                      <w:szCs w:val="20"/>
                    </w:rPr>
                  </w:pPr>
                  <w:r w:rsidRPr="00A06382">
                    <w:rPr>
                      <w:b/>
                      <w:bCs/>
                      <w:sz w:val="20"/>
                      <w:szCs w:val="20"/>
                    </w:rPr>
                    <w:t xml:space="preserve">Referrals </w:t>
                  </w:r>
                  <w:r>
                    <w:rPr>
                      <w:b/>
                      <w:bCs/>
                      <w:sz w:val="20"/>
                      <w:szCs w:val="20"/>
                    </w:rPr>
                    <w:t xml:space="preserve"> discharged back to the GP</w:t>
                  </w:r>
                </w:p>
              </w:tc>
              <w:tc>
                <w:tcPr>
                  <w:tcW w:w="1895"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Numbers of patients discharged directly back to the GP </w:t>
                  </w:r>
                </w:p>
              </w:tc>
              <w:tc>
                <w:tcPr>
                  <w:tcW w:w="1223" w:type="dxa"/>
                </w:tcPr>
                <w:p w:rsidR="00493794" w:rsidRPr="00A06382" w:rsidRDefault="00493794" w:rsidP="003A64EF">
                  <w:pPr>
                    <w:pStyle w:val="Default"/>
                    <w:contextualSpacing/>
                    <w:rPr>
                      <w:sz w:val="20"/>
                      <w:szCs w:val="20"/>
                    </w:rPr>
                  </w:pPr>
                  <w:r>
                    <w:rPr>
                      <w:sz w:val="20"/>
                      <w:szCs w:val="20"/>
                    </w:rPr>
                    <w:t>&lt;5%</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&lt;10%</w:t>
                  </w:r>
                </w:p>
              </w:tc>
              <w:tc>
                <w:tcPr>
                  <w:tcW w:w="1562"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Tbc in liaison with new Provider </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Default="00493794" w:rsidP="00E4355D">
                  <w:pPr>
                    <w:pStyle w:val="Default"/>
                    <w:contextualSpacing/>
                    <w:rPr>
                      <w:sz w:val="20"/>
                      <w:szCs w:val="20"/>
                    </w:rPr>
                  </w:pPr>
                  <w:r w:rsidRPr="00A06382">
                    <w:rPr>
                      <w:b/>
                      <w:bCs/>
                      <w:sz w:val="20"/>
                      <w:szCs w:val="20"/>
                    </w:rPr>
                    <w:t xml:space="preserve">Total Initial Assessments for the month </w:t>
                  </w:r>
                  <w:r>
                    <w:rPr>
                      <w:sz w:val="20"/>
                      <w:szCs w:val="20"/>
                    </w:rPr>
                    <w:t>(excludes DNAs)</w:t>
                  </w:r>
                </w:p>
                <w:p w:rsidR="00493794" w:rsidRPr="00A06382" w:rsidRDefault="00493794" w:rsidP="003A64EF">
                  <w:pPr>
                    <w:pStyle w:val="Default"/>
                    <w:contextualSpacing/>
                    <w:rPr>
                      <w:sz w:val="20"/>
                      <w:szCs w:val="20"/>
                    </w:rPr>
                  </w:pPr>
                </w:p>
              </w:tc>
              <w:tc>
                <w:tcPr>
                  <w:tcW w:w="1895" w:type="dxa"/>
                  <w:shd w:val="clear" w:color="auto" w:fill="auto"/>
                </w:tcPr>
                <w:p w:rsidR="00493794" w:rsidRPr="00A06382" w:rsidRDefault="00493794" w:rsidP="00E4355D">
                  <w:pPr>
                    <w:pStyle w:val="Default"/>
                    <w:contextualSpacing/>
                    <w:rPr>
                      <w:sz w:val="20"/>
                      <w:szCs w:val="20"/>
                    </w:rPr>
                  </w:pPr>
                  <w:r w:rsidRPr="00A06382">
                    <w:rPr>
                      <w:sz w:val="20"/>
                      <w:szCs w:val="20"/>
                    </w:rPr>
                    <w:t xml:space="preserve">a) </w:t>
                  </w:r>
                  <w:r>
                    <w:rPr>
                      <w:sz w:val="20"/>
                      <w:szCs w:val="20"/>
                    </w:rPr>
                    <w:t xml:space="preserve">Community Physiotherapy </w:t>
                  </w:r>
                </w:p>
                <w:p w:rsidR="00493794" w:rsidRPr="00A06382" w:rsidRDefault="00493794" w:rsidP="00E4355D">
                  <w:pPr>
                    <w:pStyle w:val="Default"/>
                    <w:contextualSpacing/>
                    <w:rPr>
                      <w:sz w:val="20"/>
                      <w:szCs w:val="20"/>
                    </w:rPr>
                  </w:pPr>
                  <w:r>
                    <w:rPr>
                      <w:sz w:val="20"/>
                      <w:szCs w:val="20"/>
                    </w:rPr>
                    <w:t>b) Health Trainers</w:t>
                  </w:r>
                  <w:r w:rsidRPr="00A06382">
                    <w:rPr>
                      <w:sz w:val="20"/>
                      <w:szCs w:val="20"/>
                    </w:rPr>
                    <w:t xml:space="preserve"> </w:t>
                  </w:r>
                </w:p>
                <w:p w:rsidR="00493794" w:rsidRPr="00A06382" w:rsidRDefault="00493794" w:rsidP="00E4355D">
                  <w:pPr>
                    <w:pStyle w:val="Default"/>
                    <w:contextualSpacing/>
                    <w:rPr>
                      <w:sz w:val="20"/>
                      <w:szCs w:val="20"/>
                    </w:rPr>
                  </w:pPr>
                  <w:r w:rsidRPr="00A06382">
                    <w:rPr>
                      <w:sz w:val="20"/>
                      <w:szCs w:val="20"/>
                    </w:rPr>
                    <w:t xml:space="preserve">c) </w:t>
                  </w:r>
                  <w:r>
                    <w:rPr>
                      <w:sz w:val="20"/>
                      <w:szCs w:val="20"/>
                    </w:rPr>
                    <w:t>Psycho</w:t>
                  </w:r>
                  <w:r w:rsidR="0064057C">
                    <w:rPr>
                      <w:sz w:val="20"/>
                      <w:szCs w:val="20"/>
                    </w:rPr>
                    <w:t>-</w:t>
                  </w:r>
                  <w:r>
                    <w:rPr>
                      <w:sz w:val="20"/>
                      <w:szCs w:val="20"/>
                    </w:rPr>
                    <w:t>educational Courses</w:t>
                  </w:r>
                  <w:r w:rsidRPr="00A06382">
                    <w:rPr>
                      <w:sz w:val="20"/>
                      <w:szCs w:val="20"/>
                    </w:rPr>
                    <w:t xml:space="preserve"> </w:t>
                  </w:r>
                </w:p>
                <w:p w:rsidR="00493794" w:rsidRDefault="00493794" w:rsidP="00E4355D">
                  <w:pPr>
                    <w:pStyle w:val="Default"/>
                    <w:contextualSpacing/>
                    <w:rPr>
                      <w:sz w:val="20"/>
                      <w:szCs w:val="20"/>
                    </w:rPr>
                  </w:pPr>
                  <w:r w:rsidRPr="00A06382">
                    <w:rPr>
                      <w:sz w:val="20"/>
                      <w:szCs w:val="20"/>
                    </w:rPr>
                    <w:t xml:space="preserve">d) </w:t>
                  </w:r>
                  <w:r>
                    <w:rPr>
                      <w:sz w:val="20"/>
                      <w:szCs w:val="20"/>
                    </w:rPr>
                    <w:t xml:space="preserve">Integrated MSK &amp; Pain Team </w:t>
                  </w:r>
                </w:p>
                <w:p w:rsidR="00493794" w:rsidRPr="00A06382" w:rsidRDefault="00493794" w:rsidP="00E4355D">
                  <w:pPr>
                    <w:pStyle w:val="Default"/>
                    <w:contextualSpacing/>
                    <w:rPr>
                      <w:sz w:val="20"/>
                      <w:szCs w:val="20"/>
                    </w:rPr>
                  </w:pPr>
                  <w:r>
                    <w:rPr>
                      <w:sz w:val="20"/>
                      <w:szCs w:val="20"/>
                    </w:rPr>
                    <w:t xml:space="preserve">e) </w:t>
                  </w:r>
                  <w:r w:rsidRPr="00A06382">
                    <w:rPr>
                      <w:sz w:val="20"/>
                      <w:szCs w:val="20"/>
                    </w:rPr>
                    <w:t>Triaged directly to other (please specify)</w:t>
                  </w:r>
                </w:p>
              </w:tc>
              <w:tc>
                <w:tcPr>
                  <w:tcW w:w="1223" w:type="dxa"/>
                </w:tcPr>
                <w:p w:rsidR="00493794" w:rsidRPr="00A06382" w:rsidRDefault="00493794" w:rsidP="00975080">
                  <w:pPr>
                    <w:pStyle w:val="Heading1Char"/>
                    <w:contextualSpacing/>
                    <w:rPr>
                      <w:rFonts w:ascii="Arial" w:hAnsi="Arial" w:cs="Arial"/>
                      <w:sz w:val="20"/>
                    </w:rPr>
                  </w:pPr>
                </w:p>
              </w:tc>
              <w:tc>
                <w:tcPr>
                  <w:tcW w:w="1250" w:type="dxa"/>
                  <w:shd w:val="clear" w:color="auto" w:fill="auto"/>
                </w:tcPr>
                <w:p w:rsidR="00493794" w:rsidRPr="00A06382" w:rsidRDefault="00493794" w:rsidP="00975080">
                  <w:pPr>
                    <w:pStyle w:val="Heading1Char"/>
                    <w:contextualSpacing/>
                    <w:rPr>
                      <w:rFonts w:ascii="Arial" w:hAnsi="Arial" w:cs="Arial"/>
                      <w:sz w:val="20"/>
                    </w:rPr>
                  </w:pPr>
                </w:p>
              </w:tc>
              <w:tc>
                <w:tcPr>
                  <w:tcW w:w="1562" w:type="dxa"/>
                  <w:shd w:val="clear" w:color="auto" w:fill="auto"/>
                </w:tcPr>
                <w:p w:rsidR="00493794" w:rsidRPr="00A06382" w:rsidRDefault="00493794" w:rsidP="00975080">
                  <w:pPr>
                    <w:pStyle w:val="Heading1Char"/>
                    <w:contextualSpacing/>
                    <w:rPr>
                      <w:rFonts w:ascii="Arial" w:hAnsi="Arial" w:cs="Arial"/>
                      <w:sz w:val="20"/>
                    </w:rPr>
                  </w:pPr>
                  <w:r w:rsidRPr="00A06382">
                    <w:rPr>
                      <w:rFonts w:ascii="Arial" w:hAnsi="Arial" w:cs="Arial"/>
                      <w:sz w:val="20"/>
                    </w:rPr>
                    <w:t>T</w:t>
                  </w:r>
                  <w:r>
                    <w:rPr>
                      <w:rFonts w:ascii="Arial" w:hAnsi="Arial" w:cs="Arial"/>
                      <w:sz w:val="20"/>
                    </w:rPr>
                    <w:t>bc in liaison with new Provider</w:t>
                  </w:r>
                </w:p>
              </w:tc>
              <w:tc>
                <w:tcPr>
                  <w:tcW w:w="1250" w:type="dxa"/>
                  <w:shd w:val="clear" w:color="auto" w:fill="auto"/>
                </w:tcPr>
                <w:p w:rsidR="00493794" w:rsidRPr="00A06382" w:rsidRDefault="00493794" w:rsidP="00975080">
                  <w:pPr>
                    <w:pStyle w:val="Heading1Char"/>
                    <w:contextualSpacing/>
                    <w:rPr>
                      <w:rFonts w:ascii="Arial" w:hAnsi="Arial" w:cs="Arial"/>
                      <w:sz w:val="20"/>
                    </w:rPr>
                  </w:pPr>
                  <w:r w:rsidRPr="00A06382">
                    <w:rPr>
                      <w:rFonts w:ascii="Arial" w:hAnsi="Arial" w:cs="Arial"/>
                      <w:sz w:val="20"/>
                    </w:rPr>
                    <w:t xml:space="preserve">Monthly </w:t>
                  </w:r>
                </w:p>
              </w:tc>
            </w:tr>
            <w:tr w:rsidR="00493794" w:rsidRPr="00A06382" w:rsidTr="002F0288">
              <w:tc>
                <w:tcPr>
                  <w:tcW w:w="1728" w:type="dxa"/>
                  <w:shd w:val="clear" w:color="auto" w:fill="auto"/>
                </w:tcPr>
                <w:p w:rsidR="00493794" w:rsidRPr="00A06382" w:rsidRDefault="00493794" w:rsidP="003A64EF">
                  <w:pPr>
                    <w:pStyle w:val="Default"/>
                    <w:contextualSpacing/>
                    <w:rPr>
                      <w:sz w:val="20"/>
                      <w:szCs w:val="20"/>
                    </w:rPr>
                  </w:pPr>
                  <w:r w:rsidRPr="00A06382">
                    <w:rPr>
                      <w:b/>
                      <w:bCs/>
                      <w:sz w:val="20"/>
                      <w:szCs w:val="20"/>
                    </w:rPr>
                    <w:t xml:space="preserve">Rates of referral for </w:t>
                  </w:r>
                </w:p>
              </w:tc>
              <w:tc>
                <w:tcPr>
                  <w:tcW w:w="1895" w:type="dxa"/>
                  <w:shd w:val="clear" w:color="auto" w:fill="auto"/>
                </w:tcPr>
                <w:p w:rsidR="00493794" w:rsidRPr="00BE5C69" w:rsidRDefault="00493794" w:rsidP="003A64EF">
                  <w:pPr>
                    <w:pStyle w:val="Default"/>
                    <w:contextualSpacing/>
                    <w:rPr>
                      <w:sz w:val="20"/>
                      <w:szCs w:val="20"/>
                    </w:rPr>
                  </w:pPr>
                  <w:r w:rsidRPr="00BE5C69">
                    <w:rPr>
                      <w:bCs/>
                      <w:sz w:val="20"/>
                      <w:szCs w:val="20"/>
                    </w:rPr>
                    <w:t xml:space="preserve">Investigations ordered </w:t>
                  </w:r>
                </w:p>
              </w:tc>
              <w:tc>
                <w:tcPr>
                  <w:tcW w:w="1223" w:type="dxa"/>
                </w:tcPr>
                <w:p w:rsidR="00493794" w:rsidRPr="00A06382" w:rsidRDefault="00493794" w:rsidP="003A64EF">
                  <w:pPr>
                    <w:pStyle w:val="Default"/>
                    <w:contextualSpacing/>
                    <w:rPr>
                      <w:sz w:val="20"/>
                      <w:szCs w:val="20"/>
                    </w:rPr>
                  </w:pPr>
                  <w:r>
                    <w:rPr>
                      <w:sz w:val="20"/>
                      <w:szCs w:val="20"/>
                    </w:rPr>
                    <w:t>tbc</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tbc</w:t>
                  </w:r>
                </w:p>
              </w:tc>
              <w:tc>
                <w:tcPr>
                  <w:tcW w:w="1562"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Tbc in liaison </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A06382" w:rsidRDefault="00493794" w:rsidP="003A64EF">
                  <w:pPr>
                    <w:pStyle w:val="Default"/>
                    <w:contextualSpacing/>
                    <w:rPr>
                      <w:sz w:val="20"/>
                      <w:szCs w:val="20"/>
                    </w:rPr>
                  </w:pPr>
                  <w:r w:rsidRPr="00A06382">
                    <w:rPr>
                      <w:b/>
                      <w:bCs/>
                      <w:sz w:val="20"/>
                      <w:szCs w:val="20"/>
                    </w:rPr>
                    <w:t xml:space="preserve">Outcome of all discharged patients for the month: </w:t>
                  </w:r>
                </w:p>
              </w:tc>
              <w:tc>
                <w:tcPr>
                  <w:tcW w:w="1895"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a) Onward referral to Trauma and Orthopaedics </w:t>
                  </w:r>
                </w:p>
                <w:p w:rsidR="00493794" w:rsidRDefault="00493794" w:rsidP="003A64EF">
                  <w:pPr>
                    <w:pStyle w:val="Default"/>
                    <w:contextualSpacing/>
                    <w:rPr>
                      <w:sz w:val="20"/>
                      <w:szCs w:val="20"/>
                    </w:rPr>
                  </w:pPr>
                  <w:r w:rsidRPr="00A06382">
                    <w:rPr>
                      <w:sz w:val="20"/>
                      <w:szCs w:val="20"/>
                    </w:rPr>
                    <w:t xml:space="preserve">b) </w:t>
                  </w:r>
                  <w:r>
                    <w:rPr>
                      <w:sz w:val="20"/>
                      <w:szCs w:val="20"/>
                    </w:rPr>
                    <w:t>Onward referral to Acute Pain</w:t>
                  </w:r>
                </w:p>
                <w:p w:rsidR="00493794" w:rsidRPr="00A06382" w:rsidRDefault="00493794" w:rsidP="003A64EF">
                  <w:pPr>
                    <w:pStyle w:val="Default"/>
                    <w:contextualSpacing/>
                    <w:rPr>
                      <w:sz w:val="20"/>
                      <w:szCs w:val="20"/>
                    </w:rPr>
                  </w:pPr>
                  <w:r>
                    <w:rPr>
                      <w:sz w:val="20"/>
                      <w:szCs w:val="20"/>
                    </w:rPr>
                    <w:t xml:space="preserve">c) </w:t>
                  </w:r>
                  <w:r w:rsidRPr="00A06382">
                    <w:rPr>
                      <w:sz w:val="20"/>
                      <w:szCs w:val="20"/>
                    </w:rPr>
                    <w:t xml:space="preserve">Onward referral to Rheumatology </w:t>
                  </w:r>
                </w:p>
                <w:p w:rsidR="00493794" w:rsidRPr="00A06382" w:rsidRDefault="00493794" w:rsidP="003A64EF">
                  <w:pPr>
                    <w:pStyle w:val="Default"/>
                    <w:contextualSpacing/>
                    <w:rPr>
                      <w:sz w:val="20"/>
                      <w:szCs w:val="20"/>
                    </w:rPr>
                  </w:pPr>
                  <w:r>
                    <w:rPr>
                      <w:sz w:val="20"/>
                      <w:szCs w:val="20"/>
                    </w:rPr>
                    <w:t>d</w:t>
                  </w:r>
                  <w:r w:rsidRPr="00A06382">
                    <w:rPr>
                      <w:sz w:val="20"/>
                      <w:szCs w:val="20"/>
                    </w:rPr>
                    <w:t xml:space="preserve">) Onward referral to other (please specify) </w:t>
                  </w:r>
                </w:p>
                <w:p w:rsidR="00493794" w:rsidRPr="00A06382" w:rsidRDefault="00493794" w:rsidP="003A64EF">
                  <w:pPr>
                    <w:pStyle w:val="Default"/>
                    <w:contextualSpacing/>
                    <w:rPr>
                      <w:sz w:val="20"/>
                      <w:szCs w:val="20"/>
                    </w:rPr>
                  </w:pPr>
                  <w:r>
                    <w:rPr>
                      <w:sz w:val="20"/>
                      <w:szCs w:val="20"/>
                    </w:rPr>
                    <w:t>e</w:t>
                  </w:r>
                  <w:r w:rsidRPr="00A06382">
                    <w:rPr>
                      <w:sz w:val="20"/>
                      <w:szCs w:val="20"/>
                    </w:rPr>
                    <w:t xml:space="preserve">) Discharged to GP </w:t>
                  </w:r>
                </w:p>
              </w:tc>
              <w:tc>
                <w:tcPr>
                  <w:tcW w:w="1223" w:type="dxa"/>
                </w:tcPr>
                <w:p w:rsidR="00493794" w:rsidRPr="00385FDF" w:rsidRDefault="00493794" w:rsidP="00975080">
                  <w:pPr>
                    <w:spacing w:after="0"/>
                    <w:contextualSpacing/>
                    <w:rPr>
                      <w:rFonts w:ascii="Arial" w:hAnsi="Arial" w:cs="Arial"/>
                      <w:color w:val="000000"/>
                      <w:sz w:val="20"/>
                    </w:rPr>
                  </w:pPr>
                  <w:r w:rsidRPr="00385FDF">
                    <w:rPr>
                      <w:rFonts w:ascii="Arial" w:hAnsi="Arial" w:cs="Arial"/>
                      <w:color w:val="000000"/>
                      <w:sz w:val="20"/>
                    </w:rPr>
                    <w:t>100%</w:t>
                  </w:r>
                </w:p>
              </w:tc>
              <w:tc>
                <w:tcPr>
                  <w:tcW w:w="1250" w:type="dxa"/>
                  <w:shd w:val="clear" w:color="auto" w:fill="auto"/>
                </w:tcPr>
                <w:p w:rsidR="00493794" w:rsidRPr="00385FDF" w:rsidRDefault="00493794" w:rsidP="00975080">
                  <w:pPr>
                    <w:spacing w:after="0"/>
                    <w:contextualSpacing/>
                    <w:rPr>
                      <w:rFonts w:ascii="Arial" w:hAnsi="Arial" w:cs="Arial"/>
                      <w:color w:val="000000"/>
                      <w:sz w:val="20"/>
                    </w:rPr>
                  </w:pPr>
                  <w:r w:rsidRPr="00385FDF">
                    <w:rPr>
                      <w:rFonts w:ascii="Arial" w:hAnsi="Arial" w:cs="Arial"/>
                      <w:color w:val="000000"/>
                      <w:sz w:val="20"/>
                    </w:rPr>
                    <w:t>100%</w:t>
                  </w:r>
                </w:p>
              </w:tc>
              <w:tc>
                <w:tcPr>
                  <w:tcW w:w="1562"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Tbc in liaison with new Provider </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Pr="00A06382" w:rsidRDefault="00493794" w:rsidP="003A64EF">
                  <w:pPr>
                    <w:pStyle w:val="Default"/>
                    <w:contextualSpacing/>
                    <w:rPr>
                      <w:sz w:val="20"/>
                      <w:szCs w:val="20"/>
                    </w:rPr>
                  </w:pPr>
                  <w:r w:rsidRPr="00A06382">
                    <w:rPr>
                      <w:b/>
                      <w:bCs/>
                      <w:sz w:val="20"/>
                      <w:szCs w:val="20"/>
                    </w:rPr>
                    <w:t>First to follow</w:t>
                  </w:r>
                  <w:r w:rsidRPr="00A06382">
                    <w:rPr>
                      <w:rFonts w:ascii="Cambria Math" w:hAnsi="Cambria Math" w:cs="Cambria Math"/>
                      <w:sz w:val="20"/>
                      <w:szCs w:val="20"/>
                    </w:rPr>
                    <w:t>‐</w:t>
                  </w:r>
                  <w:r w:rsidRPr="00A06382">
                    <w:rPr>
                      <w:b/>
                      <w:bCs/>
                      <w:sz w:val="20"/>
                      <w:szCs w:val="20"/>
                    </w:rPr>
                    <w:t>up ratio</w:t>
                  </w:r>
                  <w:r>
                    <w:rPr>
                      <w:b/>
                      <w:bCs/>
                      <w:sz w:val="20"/>
                      <w:szCs w:val="20"/>
                    </w:rPr>
                    <w:t xml:space="preserve"> for MSK conditions</w:t>
                  </w:r>
                  <w:r w:rsidRPr="00A06382">
                    <w:rPr>
                      <w:b/>
                      <w:bCs/>
                      <w:sz w:val="20"/>
                      <w:szCs w:val="20"/>
                    </w:rPr>
                    <w:t xml:space="preserve"> </w:t>
                  </w:r>
                </w:p>
              </w:tc>
              <w:tc>
                <w:tcPr>
                  <w:tcW w:w="1895" w:type="dxa"/>
                  <w:shd w:val="clear" w:color="auto" w:fill="auto"/>
                </w:tcPr>
                <w:p w:rsidR="00493794" w:rsidRPr="00A06382" w:rsidRDefault="00493794" w:rsidP="003A64EF">
                  <w:pPr>
                    <w:pStyle w:val="Default"/>
                    <w:contextualSpacing/>
                    <w:rPr>
                      <w:sz w:val="20"/>
                      <w:szCs w:val="20"/>
                    </w:rPr>
                  </w:pPr>
                  <w:r w:rsidRPr="00A06382">
                    <w:rPr>
                      <w:sz w:val="20"/>
                      <w:szCs w:val="20"/>
                    </w:rPr>
                    <w:t>R</w:t>
                  </w:r>
                  <w:r w:rsidR="00524843">
                    <w:rPr>
                      <w:sz w:val="20"/>
                      <w:szCs w:val="20"/>
                    </w:rPr>
                    <w:t>atio =1:2</w:t>
                  </w:r>
                  <w:r w:rsidRPr="00A06382">
                    <w:rPr>
                      <w:sz w:val="20"/>
                      <w:szCs w:val="20"/>
                    </w:rPr>
                    <w:t xml:space="preserve"> </w:t>
                  </w:r>
                </w:p>
              </w:tc>
              <w:tc>
                <w:tcPr>
                  <w:tcW w:w="1223" w:type="dxa"/>
                </w:tcPr>
                <w:p w:rsidR="00493794" w:rsidRPr="00A06382" w:rsidRDefault="00493794" w:rsidP="003A64EF">
                  <w:pPr>
                    <w:pStyle w:val="Default"/>
                    <w:contextualSpacing/>
                    <w:rPr>
                      <w:sz w:val="20"/>
                      <w:szCs w:val="20"/>
                    </w:rPr>
                  </w:pPr>
                  <w:r>
                    <w:rPr>
                      <w:sz w:val="20"/>
                      <w:szCs w:val="20"/>
                    </w:rPr>
                    <w:t>95%</w:t>
                  </w:r>
                </w:p>
              </w:tc>
              <w:tc>
                <w:tcPr>
                  <w:tcW w:w="1250" w:type="dxa"/>
                  <w:shd w:val="clear" w:color="auto" w:fill="auto"/>
                </w:tcPr>
                <w:p w:rsidR="00493794" w:rsidRPr="00A06382" w:rsidRDefault="00493794" w:rsidP="003A64EF">
                  <w:pPr>
                    <w:pStyle w:val="Default"/>
                    <w:contextualSpacing/>
                    <w:rPr>
                      <w:sz w:val="20"/>
                      <w:szCs w:val="20"/>
                    </w:rPr>
                  </w:pPr>
                  <w:r>
                    <w:rPr>
                      <w:sz w:val="20"/>
                      <w:szCs w:val="20"/>
                    </w:rPr>
                    <w:t>85%</w:t>
                  </w:r>
                </w:p>
              </w:tc>
              <w:tc>
                <w:tcPr>
                  <w:tcW w:w="1562"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Tbc in liaison with new Provider </w:t>
                  </w:r>
                </w:p>
              </w:tc>
              <w:tc>
                <w:tcPr>
                  <w:tcW w:w="1250" w:type="dxa"/>
                  <w:shd w:val="clear" w:color="auto" w:fill="auto"/>
                </w:tcPr>
                <w:p w:rsidR="00493794" w:rsidRPr="00A06382" w:rsidRDefault="00493794" w:rsidP="003A64EF">
                  <w:pPr>
                    <w:pStyle w:val="Default"/>
                    <w:contextualSpacing/>
                    <w:rPr>
                      <w:sz w:val="20"/>
                      <w:szCs w:val="20"/>
                    </w:rPr>
                  </w:pPr>
                  <w:r w:rsidRPr="00A06382">
                    <w:rPr>
                      <w:sz w:val="20"/>
                      <w:szCs w:val="20"/>
                    </w:rPr>
                    <w:t xml:space="preserve">Monthly </w:t>
                  </w:r>
                </w:p>
              </w:tc>
            </w:tr>
            <w:tr w:rsidR="00493794" w:rsidRPr="00A06382" w:rsidTr="002F0288">
              <w:tc>
                <w:tcPr>
                  <w:tcW w:w="1728" w:type="dxa"/>
                  <w:shd w:val="clear" w:color="auto" w:fill="auto"/>
                </w:tcPr>
                <w:p w:rsidR="00493794" w:rsidRDefault="00493794" w:rsidP="004E6377">
                  <w:pPr>
                    <w:pStyle w:val="Default"/>
                    <w:contextualSpacing/>
                    <w:rPr>
                      <w:b/>
                      <w:bCs/>
                      <w:sz w:val="20"/>
                      <w:szCs w:val="20"/>
                    </w:rPr>
                  </w:pPr>
                  <w:r w:rsidRPr="00A06382">
                    <w:rPr>
                      <w:b/>
                      <w:bCs/>
                      <w:sz w:val="20"/>
                      <w:szCs w:val="20"/>
                    </w:rPr>
                    <w:t>First to follow</w:t>
                  </w:r>
                  <w:r w:rsidRPr="00A06382">
                    <w:rPr>
                      <w:rFonts w:ascii="Cambria Math" w:hAnsi="Cambria Math" w:cs="Cambria Math"/>
                      <w:sz w:val="20"/>
                      <w:szCs w:val="20"/>
                    </w:rPr>
                    <w:t>‐</w:t>
                  </w:r>
                  <w:r w:rsidRPr="00A06382">
                    <w:rPr>
                      <w:b/>
                      <w:bCs/>
                      <w:sz w:val="20"/>
                      <w:szCs w:val="20"/>
                    </w:rPr>
                    <w:t xml:space="preserve">up ratio </w:t>
                  </w:r>
                  <w:r>
                    <w:rPr>
                      <w:b/>
                      <w:bCs/>
                      <w:sz w:val="20"/>
                      <w:szCs w:val="20"/>
                    </w:rPr>
                    <w:t>for Persistent Pain conditions</w:t>
                  </w:r>
                </w:p>
                <w:p w:rsidR="00493794" w:rsidRPr="00A06382" w:rsidRDefault="00493794" w:rsidP="004E6377">
                  <w:pPr>
                    <w:pStyle w:val="Default"/>
                    <w:contextualSpacing/>
                    <w:rPr>
                      <w:sz w:val="20"/>
                      <w:szCs w:val="20"/>
                    </w:rPr>
                  </w:pPr>
                </w:p>
              </w:tc>
              <w:tc>
                <w:tcPr>
                  <w:tcW w:w="1895" w:type="dxa"/>
                  <w:shd w:val="clear" w:color="auto" w:fill="auto"/>
                </w:tcPr>
                <w:p w:rsidR="00493794" w:rsidRPr="00A06382" w:rsidRDefault="00493794" w:rsidP="004E6377">
                  <w:pPr>
                    <w:pStyle w:val="Default"/>
                    <w:contextualSpacing/>
                    <w:rPr>
                      <w:sz w:val="20"/>
                      <w:szCs w:val="20"/>
                    </w:rPr>
                  </w:pPr>
                  <w:r w:rsidRPr="00A06382">
                    <w:rPr>
                      <w:sz w:val="20"/>
                      <w:szCs w:val="20"/>
                    </w:rPr>
                    <w:t>R</w:t>
                  </w:r>
                  <w:r w:rsidR="00203BAA">
                    <w:rPr>
                      <w:sz w:val="20"/>
                      <w:szCs w:val="20"/>
                    </w:rPr>
                    <w:t>atio =1:</w:t>
                  </w:r>
                  <w:r w:rsidR="00524843">
                    <w:rPr>
                      <w:sz w:val="20"/>
                      <w:szCs w:val="20"/>
                    </w:rPr>
                    <w:t>2</w:t>
                  </w:r>
                  <w:r w:rsidRPr="00A06382">
                    <w:rPr>
                      <w:sz w:val="20"/>
                      <w:szCs w:val="20"/>
                    </w:rPr>
                    <w:t xml:space="preserve"> </w:t>
                  </w:r>
                </w:p>
              </w:tc>
              <w:tc>
                <w:tcPr>
                  <w:tcW w:w="1223" w:type="dxa"/>
                </w:tcPr>
                <w:p w:rsidR="00493794" w:rsidRPr="00A06382" w:rsidRDefault="00493794" w:rsidP="004E6377">
                  <w:pPr>
                    <w:pStyle w:val="Default"/>
                    <w:contextualSpacing/>
                    <w:rPr>
                      <w:sz w:val="20"/>
                      <w:szCs w:val="20"/>
                    </w:rPr>
                  </w:pPr>
                  <w:r>
                    <w:rPr>
                      <w:sz w:val="20"/>
                      <w:szCs w:val="20"/>
                    </w:rPr>
                    <w:t>95%</w:t>
                  </w:r>
                </w:p>
              </w:tc>
              <w:tc>
                <w:tcPr>
                  <w:tcW w:w="1250" w:type="dxa"/>
                  <w:shd w:val="clear" w:color="auto" w:fill="auto"/>
                </w:tcPr>
                <w:p w:rsidR="00493794" w:rsidRPr="00A06382" w:rsidRDefault="00493794" w:rsidP="004E6377">
                  <w:pPr>
                    <w:pStyle w:val="Default"/>
                    <w:contextualSpacing/>
                    <w:rPr>
                      <w:sz w:val="20"/>
                      <w:szCs w:val="20"/>
                    </w:rPr>
                  </w:pPr>
                  <w:r>
                    <w:rPr>
                      <w:sz w:val="20"/>
                      <w:szCs w:val="20"/>
                    </w:rPr>
                    <w:t>85%</w:t>
                  </w:r>
                </w:p>
              </w:tc>
              <w:tc>
                <w:tcPr>
                  <w:tcW w:w="1562" w:type="dxa"/>
                  <w:shd w:val="clear" w:color="auto" w:fill="auto"/>
                </w:tcPr>
                <w:p w:rsidR="00493794" w:rsidRPr="00A06382" w:rsidRDefault="00493794" w:rsidP="004E6377">
                  <w:pPr>
                    <w:pStyle w:val="Default"/>
                    <w:contextualSpacing/>
                    <w:rPr>
                      <w:sz w:val="20"/>
                      <w:szCs w:val="20"/>
                    </w:rPr>
                  </w:pPr>
                  <w:r w:rsidRPr="00A06382">
                    <w:rPr>
                      <w:sz w:val="20"/>
                      <w:szCs w:val="20"/>
                    </w:rPr>
                    <w:t xml:space="preserve">Tbc in liaison with new Provider </w:t>
                  </w:r>
                </w:p>
              </w:tc>
              <w:tc>
                <w:tcPr>
                  <w:tcW w:w="1250" w:type="dxa"/>
                  <w:shd w:val="clear" w:color="auto" w:fill="auto"/>
                </w:tcPr>
                <w:p w:rsidR="00493794" w:rsidRPr="00A06382" w:rsidRDefault="00493794" w:rsidP="004E6377">
                  <w:pPr>
                    <w:pStyle w:val="Default"/>
                    <w:contextualSpacing/>
                    <w:rPr>
                      <w:sz w:val="20"/>
                      <w:szCs w:val="20"/>
                    </w:rPr>
                  </w:pPr>
                  <w:r w:rsidRPr="00A06382">
                    <w:rPr>
                      <w:sz w:val="20"/>
                      <w:szCs w:val="20"/>
                    </w:rPr>
                    <w:t xml:space="preserve">Monthly </w:t>
                  </w:r>
                </w:p>
              </w:tc>
            </w:tr>
            <w:tr w:rsidR="00FA1A8F" w:rsidRPr="00A06382" w:rsidTr="00FA1A8F">
              <w:trPr>
                <w:trHeight w:val="371"/>
              </w:trPr>
              <w:tc>
                <w:tcPr>
                  <w:tcW w:w="8908" w:type="dxa"/>
                  <w:gridSpan w:val="6"/>
                  <w:shd w:val="clear" w:color="auto" w:fill="auto"/>
                </w:tcPr>
                <w:p w:rsidR="00FA1A8F" w:rsidRPr="004E6377" w:rsidRDefault="00FA1A8F" w:rsidP="00FA1A8F">
                  <w:pPr>
                    <w:spacing w:after="0"/>
                    <w:contextualSpacing/>
                    <w:rPr>
                      <w:rFonts w:ascii="Arial" w:hAnsi="Arial" w:cs="Arial"/>
                      <w:b/>
                      <w:color w:val="000000"/>
                      <w:sz w:val="20"/>
                    </w:rPr>
                  </w:pPr>
                  <w:r w:rsidRPr="004E6377">
                    <w:rPr>
                      <w:rFonts w:ascii="Arial" w:hAnsi="Arial" w:cs="Arial"/>
                      <w:b/>
                      <w:color w:val="000000"/>
                      <w:sz w:val="20"/>
                    </w:rPr>
                    <w:t>*All the above information to be contain no Patient Identifiable Data</w:t>
                  </w:r>
                </w:p>
                <w:p w:rsidR="00FA1A8F" w:rsidRPr="00F472E2" w:rsidRDefault="00FA1A8F" w:rsidP="00975080">
                  <w:pPr>
                    <w:autoSpaceDE w:val="0"/>
                    <w:autoSpaceDN w:val="0"/>
                    <w:adjustRightInd w:val="0"/>
                    <w:spacing w:after="0"/>
                    <w:contextualSpacing/>
                    <w:rPr>
                      <w:rFonts w:ascii="Arial" w:eastAsia="Calibri" w:hAnsi="Arial" w:cs="Arial"/>
                      <w:b/>
                      <w:bCs/>
                      <w:color w:val="000000"/>
                      <w:szCs w:val="24"/>
                      <w:lang w:val="en-GB" w:eastAsia="en-GB"/>
                    </w:rPr>
                  </w:pPr>
                </w:p>
              </w:tc>
            </w:tr>
          </w:tbl>
          <w:p w:rsidR="00361EE7" w:rsidRDefault="00361EE7" w:rsidP="003A64EF">
            <w:pPr>
              <w:spacing w:after="0"/>
              <w:contextualSpacing/>
              <w:rPr>
                <w:rFonts w:ascii="Arial" w:hAnsi="Arial" w:cs="Arial"/>
                <w:b/>
                <w:color w:val="F79646"/>
                <w:sz w:val="20"/>
              </w:rPr>
            </w:pPr>
          </w:p>
          <w:p w:rsidR="00361EE7" w:rsidRDefault="00361EE7" w:rsidP="003A64EF">
            <w:pPr>
              <w:spacing w:after="0"/>
              <w:contextualSpacing/>
              <w:rPr>
                <w:rFonts w:ascii="Arial" w:hAnsi="Arial" w:cs="Arial"/>
                <w:b/>
                <w:color w:val="F79646"/>
                <w:sz w:val="20"/>
              </w:rPr>
            </w:pPr>
          </w:p>
          <w:p w:rsidR="00E7030F" w:rsidRPr="00A06382" w:rsidRDefault="00E7030F" w:rsidP="003A64EF">
            <w:pPr>
              <w:spacing w:after="0"/>
              <w:contextualSpacing/>
              <w:rPr>
                <w:rFonts w:ascii="Arial" w:hAnsi="Arial" w:cs="Arial"/>
                <w:b/>
                <w:color w:val="F79646"/>
                <w:sz w:val="20"/>
              </w:rPr>
            </w:pPr>
          </w:p>
          <w:p w:rsidR="00E7030F" w:rsidRPr="00A06382" w:rsidRDefault="00E7030F" w:rsidP="003A64EF">
            <w:pPr>
              <w:spacing w:after="0"/>
              <w:contextualSpacing/>
              <w:rPr>
                <w:rFonts w:ascii="Arial" w:hAnsi="Arial" w:cs="Arial"/>
                <w:b/>
                <w:color w:val="F79646"/>
                <w:sz w:val="20"/>
              </w:rPr>
            </w:pPr>
          </w:p>
        </w:tc>
      </w:tr>
      <w:tr w:rsidR="00420BB6" w:rsidRPr="00296DE0" w:rsidTr="004B479E">
        <w:tc>
          <w:tcPr>
            <w:tcW w:w="8414" w:type="dxa"/>
            <w:shd w:val="clear" w:color="auto" w:fill="595959"/>
          </w:tcPr>
          <w:p w:rsidR="00420BB6" w:rsidRPr="00296DE0" w:rsidRDefault="00E7030F" w:rsidP="003A64EF">
            <w:pPr>
              <w:spacing w:after="0"/>
              <w:contextualSpacing/>
              <w:rPr>
                <w:rFonts w:ascii="Arial" w:hAnsi="Arial" w:cs="Arial"/>
                <w:b/>
                <w:color w:val="F79646"/>
              </w:rPr>
            </w:pPr>
            <w:r>
              <w:rPr>
                <w:rFonts w:ascii="Arial" w:hAnsi="Arial" w:cs="Arial"/>
                <w:b/>
                <w:color w:val="F79646"/>
              </w:rPr>
              <w:t>6</w:t>
            </w:r>
            <w:r w:rsidR="00420BB6" w:rsidRPr="00296DE0">
              <w:rPr>
                <w:rFonts w:ascii="Arial" w:hAnsi="Arial" w:cs="Arial"/>
                <w:b/>
                <w:color w:val="F79646"/>
              </w:rPr>
              <w:t>.</w:t>
            </w:r>
            <w:r w:rsidR="00420BB6" w:rsidRPr="00296DE0">
              <w:rPr>
                <w:rFonts w:ascii="Arial" w:hAnsi="Arial" w:cs="Arial"/>
                <w:b/>
                <w:color w:val="F79646"/>
              </w:rPr>
              <w:tab/>
              <w:t>Applicable quality requirements and CQUIN goals</w:t>
            </w:r>
          </w:p>
        </w:tc>
      </w:tr>
      <w:tr w:rsidR="00420BB6" w:rsidRPr="00296DE0" w:rsidTr="004B479E">
        <w:tc>
          <w:tcPr>
            <w:tcW w:w="8414" w:type="dxa"/>
            <w:shd w:val="clear" w:color="auto" w:fill="auto"/>
          </w:tcPr>
          <w:p w:rsidR="00420BB6" w:rsidRPr="00296DE0" w:rsidRDefault="00420BB6" w:rsidP="003A64EF">
            <w:pPr>
              <w:spacing w:after="0"/>
              <w:contextualSpacing/>
              <w:rPr>
                <w:rFonts w:ascii="Arial" w:hAnsi="Arial" w:cs="Arial"/>
                <w:color w:val="009966"/>
                <w:sz w:val="20"/>
              </w:rPr>
            </w:pPr>
          </w:p>
          <w:p w:rsidR="00420BB6" w:rsidRPr="00D47FCE" w:rsidRDefault="00420BB6" w:rsidP="00665FD4">
            <w:pPr>
              <w:pStyle w:val="ListParagraph"/>
              <w:numPr>
                <w:ilvl w:val="1"/>
                <w:numId w:val="2"/>
              </w:numPr>
              <w:ind w:left="743" w:hanging="743"/>
              <w:contextualSpacing/>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quality requirements</w:t>
            </w:r>
            <w:r>
              <w:rPr>
                <w:rFonts w:ascii="Arial" w:hAnsi="Arial" w:cs="Arial"/>
                <w:b/>
                <w:color w:val="00B050"/>
                <w:sz w:val="20"/>
                <w:szCs w:val="20"/>
              </w:rPr>
              <w:t xml:space="preserve"> (See Schedule 4 Parts A-D)</w:t>
            </w:r>
          </w:p>
          <w:p w:rsidR="00420BB6" w:rsidRPr="00D47FCE" w:rsidRDefault="00420BB6" w:rsidP="003A64EF">
            <w:pPr>
              <w:pStyle w:val="ListParagraph"/>
              <w:ind w:left="743"/>
              <w:contextualSpacing/>
              <w:rPr>
                <w:rFonts w:ascii="Arial" w:hAnsi="Arial" w:cs="Arial"/>
                <w:b/>
                <w:color w:val="00B050"/>
                <w:sz w:val="20"/>
                <w:szCs w:val="20"/>
              </w:rPr>
            </w:pPr>
          </w:p>
          <w:p w:rsidR="00420BB6" w:rsidRPr="00D47FCE" w:rsidRDefault="00420BB6" w:rsidP="00665FD4">
            <w:pPr>
              <w:pStyle w:val="ListParagraph"/>
              <w:numPr>
                <w:ilvl w:val="1"/>
                <w:numId w:val="2"/>
              </w:numPr>
              <w:ind w:left="743" w:hanging="743"/>
              <w:contextualSpacing/>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CQUIN goals</w:t>
            </w:r>
            <w:r>
              <w:rPr>
                <w:rFonts w:ascii="Arial" w:hAnsi="Arial" w:cs="Arial"/>
                <w:b/>
                <w:color w:val="00B050"/>
                <w:sz w:val="20"/>
                <w:szCs w:val="20"/>
              </w:rPr>
              <w:t xml:space="preserve"> (See Schedule 4 Part E)</w:t>
            </w:r>
          </w:p>
          <w:p w:rsidR="00420BB6" w:rsidRPr="00296DE0" w:rsidRDefault="00420BB6" w:rsidP="003A64EF">
            <w:pPr>
              <w:spacing w:after="0"/>
              <w:contextualSpacing/>
              <w:rPr>
                <w:rFonts w:ascii="Arial" w:hAnsi="Arial" w:cs="Arial"/>
                <w:color w:val="009966"/>
                <w:sz w:val="20"/>
              </w:rPr>
            </w:pPr>
          </w:p>
          <w:p w:rsidR="00420BB6" w:rsidRPr="00296DE0" w:rsidRDefault="00420BB6" w:rsidP="003A64EF">
            <w:pPr>
              <w:spacing w:after="0"/>
              <w:contextualSpacing/>
              <w:rPr>
                <w:rFonts w:ascii="Arial" w:hAnsi="Arial" w:cs="Arial"/>
                <w:color w:val="009966"/>
                <w:sz w:val="20"/>
              </w:rPr>
            </w:pPr>
          </w:p>
          <w:p w:rsidR="00420BB6" w:rsidRPr="00296DE0" w:rsidRDefault="00420BB6" w:rsidP="003A64EF">
            <w:pPr>
              <w:spacing w:after="0"/>
              <w:contextualSpacing/>
              <w:rPr>
                <w:rFonts w:ascii="Arial" w:hAnsi="Arial" w:cs="Arial"/>
                <w:color w:val="009966"/>
                <w:sz w:val="20"/>
              </w:rPr>
            </w:pPr>
          </w:p>
          <w:p w:rsidR="00420BB6" w:rsidRPr="00296DE0" w:rsidRDefault="00420BB6" w:rsidP="003A64EF">
            <w:pPr>
              <w:spacing w:after="0"/>
              <w:contextualSpacing/>
              <w:rPr>
                <w:rFonts w:ascii="Arial" w:hAnsi="Arial" w:cs="Arial"/>
                <w:sz w:val="20"/>
              </w:rPr>
            </w:pPr>
          </w:p>
        </w:tc>
      </w:tr>
      <w:tr w:rsidR="00420BB6" w:rsidRPr="00296DE0" w:rsidTr="004B479E">
        <w:tc>
          <w:tcPr>
            <w:tcW w:w="8414" w:type="dxa"/>
            <w:shd w:val="clear" w:color="auto" w:fill="595959"/>
          </w:tcPr>
          <w:p w:rsidR="00420BB6" w:rsidRPr="00296DE0" w:rsidRDefault="00E7030F" w:rsidP="003A64EF">
            <w:pPr>
              <w:spacing w:after="0"/>
              <w:contextualSpacing/>
              <w:rPr>
                <w:rFonts w:ascii="Arial" w:hAnsi="Arial" w:cs="Arial"/>
                <w:b/>
                <w:color w:val="F79646"/>
              </w:rPr>
            </w:pPr>
            <w:r>
              <w:rPr>
                <w:rFonts w:ascii="Arial" w:hAnsi="Arial" w:cs="Arial"/>
                <w:b/>
                <w:color w:val="F79646"/>
              </w:rPr>
              <w:t>7</w:t>
            </w:r>
            <w:r w:rsidR="00420BB6" w:rsidRPr="00296DE0">
              <w:rPr>
                <w:rFonts w:ascii="Arial" w:hAnsi="Arial" w:cs="Arial"/>
                <w:b/>
                <w:color w:val="F79646"/>
              </w:rPr>
              <w:t>.</w:t>
            </w:r>
            <w:r w:rsidR="00420BB6" w:rsidRPr="00296DE0">
              <w:rPr>
                <w:rFonts w:ascii="Arial" w:hAnsi="Arial" w:cs="Arial"/>
                <w:b/>
                <w:color w:val="F79646"/>
              </w:rPr>
              <w:tab/>
              <w:t>Location of Provider Premises</w:t>
            </w:r>
          </w:p>
        </w:tc>
      </w:tr>
      <w:tr w:rsidR="00420BB6" w:rsidRPr="00296DE0" w:rsidTr="004B479E">
        <w:tc>
          <w:tcPr>
            <w:tcW w:w="8414" w:type="dxa"/>
            <w:shd w:val="clear" w:color="auto" w:fill="auto"/>
          </w:tcPr>
          <w:p w:rsidR="00420BB6" w:rsidRPr="00296DE0" w:rsidRDefault="00420BB6" w:rsidP="003A64EF">
            <w:pPr>
              <w:spacing w:after="0"/>
              <w:contextualSpacing/>
              <w:rPr>
                <w:rFonts w:ascii="Arial" w:hAnsi="Arial" w:cs="Arial"/>
                <w:sz w:val="20"/>
              </w:rPr>
            </w:pPr>
          </w:p>
          <w:p w:rsidR="00420BB6" w:rsidRPr="00296DE0" w:rsidRDefault="00420BB6" w:rsidP="003A64EF">
            <w:pPr>
              <w:spacing w:after="0"/>
              <w:contextualSpacing/>
              <w:rPr>
                <w:rFonts w:ascii="Arial" w:hAnsi="Arial" w:cs="Arial"/>
                <w:b/>
                <w:color w:val="009966"/>
                <w:sz w:val="20"/>
              </w:rPr>
            </w:pPr>
            <w:r w:rsidRPr="00296DE0">
              <w:rPr>
                <w:rFonts w:ascii="Arial" w:hAnsi="Arial" w:cs="Arial"/>
                <w:b/>
                <w:color w:val="009966"/>
                <w:sz w:val="20"/>
              </w:rPr>
              <w:t>The Provider’s Premises are located at:</w:t>
            </w:r>
          </w:p>
          <w:p w:rsidR="00420BB6" w:rsidRPr="00296DE0" w:rsidRDefault="00420BB6" w:rsidP="003A64EF">
            <w:pPr>
              <w:spacing w:after="0"/>
              <w:contextualSpacing/>
              <w:rPr>
                <w:rFonts w:ascii="Arial" w:hAnsi="Arial" w:cs="Arial"/>
                <w:color w:val="009966"/>
                <w:sz w:val="20"/>
              </w:rPr>
            </w:pPr>
          </w:p>
          <w:p w:rsidR="00025679" w:rsidRDefault="00025679" w:rsidP="003A64EF">
            <w:pPr>
              <w:pStyle w:val="BodyText"/>
              <w:contextualSpacing/>
              <w:jc w:val="both"/>
              <w:rPr>
                <w:sz w:val="20"/>
                <w:szCs w:val="20"/>
              </w:rPr>
            </w:pPr>
            <w:r>
              <w:rPr>
                <w:sz w:val="20"/>
                <w:szCs w:val="20"/>
              </w:rPr>
              <w:t xml:space="preserve">The service location will be within the boundaries of London Borough of </w:t>
            </w:r>
            <w:r w:rsidR="00F843F8">
              <w:rPr>
                <w:sz w:val="20"/>
                <w:szCs w:val="20"/>
              </w:rPr>
              <w:t>Tower Hamlets</w:t>
            </w:r>
            <w:r>
              <w:rPr>
                <w:sz w:val="20"/>
                <w:szCs w:val="20"/>
              </w:rPr>
              <w:t xml:space="preserve">.  </w:t>
            </w:r>
          </w:p>
          <w:p w:rsidR="00420BB6" w:rsidRPr="00296DE0" w:rsidRDefault="00420BB6" w:rsidP="003A64EF">
            <w:pPr>
              <w:spacing w:after="0"/>
              <w:contextualSpacing/>
              <w:rPr>
                <w:rFonts w:ascii="Arial" w:hAnsi="Arial" w:cs="Arial"/>
                <w:sz w:val="20"/>
              </w:rPr>
            </w:pPr>
          </w:p>
        </w:tc>
      </w:tr>
      <w:tr w:rsidR="00420BB6" w:rsidRPr="00296DE0" w:rsidTr="00385FDF">
        <w:tc>
          <w:tcPr>
            <w:tcW w:w="8414" w:type="dxa"/>
            <w:shd w:val="clear" w:color="auto" w:fill="595959"/>
          </w:tcPr>
          <w:p w:rsidR="00420BB6" w:rsidRPr="00385FDF" w:rsidRDefault="00E7030F" w:rsidP="00153F12">
            <w:pPr>
              <w:spacing w:after="0"/>
              <w:contextualSpacing/>
              <w:rPr>
                <w:rFonts w:ascii="Arial" w:hAnsi="Arial" w:cs="Arial"/>
                <w:b/>
                <w:color w:val="F79646"/>
              </w:rPr>
            </w:pPr>
            <w:r w:rsidRPr="00385FDF">
              <w:rPr>
                <w:rFonts w:ascii="Arial" w:hAnsi="Arial" w:cs="Arial"/>
                <w:b/>
                <w:color w:val="F79646"/>
              </w:rPr>
              <w:t>8</w:t>
            </w:r>
            <w:r w:rsidR="00420BB6" w:rsidRPr="00385FDF">
              <w:rPr>
                <w:rFonts w:ascii="Arial" w:hAnsi="Arial" w:cs="Arial"/>
                <w:b/>
                <w:color w:val="F79646"/>
              </w:rPr>
              <w:t>.</w:t>
            </w:r>
            <w:r w:rsidR="00420BB6" w:rsidRPr="00385FDF">
              <w:rPr>
                <w:rFonts w:ascii="Arial" w:hAnsi="Arial" w:cs="Arial"/>
                <w:b/>
                <w:color w:val="F79646"/>
              </w:rPr>
              <w:tab/>
            </w:r>
            <w:r w:rsidR="00153F12" w:rsidRPr="00385FDF">
              <w:rPr>
                <w:rFonts w:ascii="Arial" w:hAnsi="Arial" w:cs="Arial"/>
                <w:b/>
                <w:color w:val="F79646"/>
              </w:rPr>
              <w:t>Finance for services</w:t>
            </w:r>
          </w:p>
        </w:tc>
      </w:tr>
      <w:tr w:rsidR="00420BB6" w:rsidRPr="00296DE0" w:rsidTr="004B479E">
        <w:tc>
          <w:tcPr>
            <w:tcW w:w="8414" w:type="dxa"/>
            <w:shd w:val="clear" w:color="auto" w:fill="auto"/>
          </w:tcPr>
          <w:p w:rsidR="00205109" w:rsidRDefault="00205109" w:rsidP="00153F12">
            <w:pPr>
              <w:spacing w:after="0"/>
              <w:contextualSpacing/>
              <w:jc w:val="both"/>
              <w:rPr>
                <w:rFonts w:ascii="Arial" w:hAnsi="Arial" w:cs="Arial"/>
                <w:b/>
                <w:color w:val="000000"/>
                <w:sz w:val="20"/>
              </w:rPr>
            </w:pPr>
          </w:p>
          <w:p w:rsidR="00205109" w:rsidRDefault="00205109" w:rsidP="00153F12">
            <w:pPr>
              <w:spacing w:after="0"/>
              <w:contextualSpacing/>
              <w:jc w:val="both"/>
              <w:rPr>
                <w:rFonts w:ascii="Arial" w:hAnsi="Arial" w:cs="Arial"/>
                <w:b/>
                <w:color w:val="000000"/>
                <w:sz w:val="20"/>
              </w:rPr>
            </w:pPr>
          </w:p>
          <w:p w:rsidR="0039293A" w:rsidRDefault="0039293A" w:rsidP="00153F12">
            <w:pPr>
              <w:spacing w:after="0"/>
              <w:contextualSpacing/>
              <w:jc w:val="both"/>
              <w:rPr>
                <w:rFonts w:ascii="Arial" w:hAnsi="Arial" w:cs="Arial"/>
                <w:b/>
                <w:color w:val="000000"/>
                <w:sz w:val="20"/>
              </w:rPr>
            </w:pPr>
            <w:r>
              <w:rPr>
                <w:rFonts w:ascii="Arial" w:hAnsi="Arial" w:cs="Arial"/>
                <w:b/>
                <w:color w:val="000000"/>
                <w:sz w:val="20"/>
              </w:rPr>
              <w:t>Block Outcomes Based Contract</w:t>
            </w:r>
          </w:p>
          <w:p w:rsidR="0039293A" w:rsidRPr="0039293A" w:rsidRDefault="0039293A" w:rsidP="00153F12">
            <w:pPr>
              <w:spacing w:after="0"/>
              <w:contextualSpacing/>
              <w:jc w:val="both"/>
              <w:rPr>
                <w:rFonts w:ascii="Arial" w:hAnsi="Arial" w:cs="Arial"/>
                <w:color w:val="000000"/>
                <w:sz w:val="20"/>
              </w:rPr>
            </w:pPr>
            <w:r>
              <w:rPr>
                <w:rFonts w:ascii="Arial" w:hAnsi="Arial" w:cs="Arial"/>
                <w:b/>
                <w:color w:val="000000"/>
                <w:sz w:val="20"/>
              </w:rPr>
              <w:t xml:space="preserve">8.1 </w:t>
            </w:r>
            <w:r w:rsidRPr="00ED5322">
              <w:rPr>
                <w:rFonts w:ascii="Arial" w:hAnsi="Arial" w:cs="Arial"/>
                <w:color w:val="000000"/>
                <w:sz w:val="20"/>
              </w:rPr>
              <w:t xml:space="preserve">The </w:t>
            </w:r>
            <w:r>
              <w:rPr>
                <w:rFonts w:ascii="Arial" w:hAnsi="Arial" w:cs="Arial"/>
                <w:color w:val="000000"/>
                <w:sz w:val="20"/>
              </w:rPr>
              <w:t xml:space="preserve">commissioner, NHS Tower Hamlets </w:t>
            </w:r>
            <w:r w:rsidRPr="00ED5322">
              <w:rPr>
                <w:rFonts w:ascii="Arial" w:hAnsi="Arial" w:cs="Arial"/>
                <w:color w:val="000000"/>
                <w:sz w:val="20"/>
              </w:rPr>
              <w:t xml:space="preserve">CCG will commission </w:t>
            </w:r>
            <w:r>
              <w:rPr>
                <w:rFonts w:ascii="Arial" w:hAnsi="Arial" w:cs="Arial"/>
                <w:color w:val="000000"/>
                <w:sz w:val="20"/>
              </w:rPr>
              <w:t>a service that is supported by a block outcomes based contract. This means that the successful bidder will be awarded part payment upon award of the contract, with the remainder value upon successful evidence of the e</w:t>
            </w:r>
            <w:r w:rsidR="002443DC">
              <w:rPr>
                <w:rFonts w:ascii="Arial" w:hAnsi="Arial" w:cs="Arial"/>
                <w:color w:val="000000"/>
                <w:sz w:val="20"/>
              </w:rPr>
              <w:t xml:space="preserve">xpected outcomes measured by the </w:t>
            </w:r>
            <w:r>
              <w:rPr>
                <w:rFonts w:ascii="Arial" w:hAnsi="Arial" w:cs="Arial"/>
                <w:color w:val="000000"/>
                <w:sz w:val="20"/>
              </w:rPr>
              <w:t>KPI’s</w:t>
            </w:r>
            <w:r w:rsidR="002443DC">
              <w:rPr>
                <w:rFonts w:ascii="Arial" w:hAnsi="Arial" w:cs="Arial"/>
                <w:color w:val="000000"/>
                <w:sz w:val="20"/>
              </w:rPr>
              <w:t xml:space="preserve"> defined within the contract</w:t>
            </w:r>
            <w:r>
              <w:rPr>
                <w:rFonts w:ascii="Arial" w:hAnsi="Arial" w:cs="Arial"/>
                <w:color w:val="000000"/>
                <w:sz w:val="20"/>
              </w:rPr>
              <w:t>.</w:t>
            </w:r>
          </w:p>
          <w:p w:rsidR="0039293A" w:rsidRDefault="0039293A" w:rsidP="00153F12">
            <w:pPr>
              <w:spacing w:after="0"/>
              <w:contextualSpacing/>
              <w:jc w:val="both"/>
              <w:rPr>
                <w:rFonts w:ascii="Arial" w:hAnsi="Arial" w:cs="Arial"/>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4"/>
              <w:gridCol w:w="1484"/>
              <w:gridCol w:w="1484"/>
              <w:gridCol w:w="1484"/>
              <w:gridCol w:w="1484"/>
            </w:tblGrid>
            <w:tr w:rsidR="00205109" w:rsidRPr="00385FDF" w:rsidTr="00385FDF">
              <w:trPr>
                <w:trHeight w:val="774"/>
              </w:trPr>
              <w:tc>
                <w:tcPr>
                  <w:tcW w:w="8903" w:type="dxa"/>
                  <w:gridSpan w:val="6"/>
                  <w:shd w:val="clear" w:color="auto" w:fill="BFBFBF"/>
                </w:tcPr>
                <w:p w:rsidR="00205109" w:rsidRPr="00385FDF" w:rsidRDefault="0039293A" w:rsidP="00385FDF">
                  <w:pPr>
                    <w:spacing w:after="0"/>
                    <w:contextualSpacing/>
                    <w:jc w:val="both"/>
                    <w:rPr>
                      <w:rFonts w:ascii="Arial" w:hAnsi="Arial" w:cs="Arial"/>
                      <w:b/>
                      <w:color w:val="BFBFBF"/>
                      <w:sz w:val="20"/>
                    </w:rPr>
                  </w:pPr>
                  <w:r w:rsidRPr="00385FDF">
                    <w:rPr>
                      <w:rFonts w:ascii="Arial" w:eastAsia="Calibri" w:hAnsi="Arial" w:cs="Arial"/>
                      <w:b/>
                      <w:bCs/>
                      <w:color w:val="000000"/>
                      <w:szCs w:val="24"/>
                      <w:lang w:val="en-GB" w:eastAsia="en-GB"/>
                    </w:rPr>
                    <w:t>Contract</w:t>
                  </w:r>
                  <w:r w:rsidR="00205109" w:rsidRPr="00385FDF">
                    <w:rPr>
                      <w:rFonts w:ascii="Arial" w:eastAsia="Calibri" w:hAnsi="Arial" w:cs="Arial"/>
                      <w:b/>
                      <w:bCs/>
                      <w:color w:val="000000"/>
                      <w:szCs w:val="24"/>
                      <w:lang w:val="en-GB" w:eastAsia="en-GB"/>
                    </w:rPr>
                    <w:t xml:space="preserve"> Activity </w:t>
                  </w:r>
                  <w:r w:rsidR="0055721F" w:rsidRPr="00385FDF">
                    <w:rPr>
                      <w:rFonts w:ascii="Arial" w:eastAsia="Calibri" w:hAnsi="Arial" w:cs="Arial"/>
                      <w:b/>
                      <w:bCs/>
                      <w:color w:val="000000"/>
                      <w:szCs w:val="24"/>
                      <w:lang w:val="en-GB" w:eastAsia="en-GB"/>
                    </w:rPr>
                    <w:t>/ Finance</w:t>
                  </w:r>
                  <w:r w:rsidR="00205109" w:rsidRPr="00385FDF">
                    <w:rPr>
                      <w:rFonts w:ascii="Arial" w:eastAsia="Calibri" w:hAnsi="Arial" w:cs="Arial"/>
                      <w:b/>
                      <w:bCs/>
                      <w:color w:val="000000"/>
                      <w:szCs w:val="24"/>
                      <w:lang w:val="en-GB" w:eastAsia="en-GB"/>
                    </w:rPr>
                    <w:t xml:space="preserve"> Management Plan</w:t>
                  </w:r>
                  <w:r w:rsidR="007722D9" w:rsidRPr="00385FDF">
                    <w:rPr>
                      <w:rFonts w:ascii="Arial" w:eastAsia="Calibri" w:hAnsi="Arial" w:cs="Arial"/>
                      <w:b/>
                      <w:bCs/>
                      <w:color w:val="000000"/>
                      <w:szCs w:val="24"/>
                      <w:lang w:val="en-GB" w:eastAsia="en-GB"/>
                    </w:rPr>
                    <w:t xml:space="preserve"> – 5 Year Award</w:t>
                  </w:r>
                </w:p>
              </w:tc>
            </w:tr>
            <w:tr w:rsidR="00205109" w:rsidRPr="00385FDF" w:rsidTr="00385FDF">
              <w:tc>
                <w:tcPr>
                  <w:tcW w:w="1483" w:type="dxa"/>
                  <w:shd w:val="clear" w:color="auto" w:fill="D9D9D9"/>
                </w:tcPr>
                <w:p w:rsidR="00205109" w:rsidRPr="00385FDF" w:rsidRDefault="00C91DE2" w:rsidP="00385FDF">
                  <w:pPr>
                    <w:pStyle w:val="Default"/>
                    <w:contextualSpacing/>
                    <w:rPr>
                      <w:b/>
                      <w:sz w:val="20"/>
                      <w:szCs w:val="20"/>
                    </w:rPr>
                  </w:pPr>
                  <w:r w:rsidRPr="00385FDF">
                    <w:rPr>
                      <w:b/>
                      <w:sz w:val="20"/>
                      <w:szCs w:val="20"/>
                    </w:rPr>
                    <w:t>Financial Year</w:t>
                  </w:r>
                </w:p>
              </w:tc>
              <w:tc>
                <w:tcPr>
                  <w:tcW w:w="1484" w:type="dxa"/>
                  <w:shd w:val="clear" w:color="auto" w:fill="D9D9D9"/>
                </w:tcPr>
                <w:p w:rsidR="00205109" w:rsidRPr="00385FDF" w:rsidRDefault="00C91DE2" w:rsidP="00C91DE2">
                  <w:pPr>
                    <w:pStyle w:val="Default"/>
                    <w:contextualSpacing/>
                    <w:rPr>
                      <w:b/>
                      <w:sz w:val="20"/>
                      <w:szCs w:val="20"/>
                    </w:rPr>
                  </w:pPr>
                  <w:r w:rsidRPr="00385FDF">
                    <w:rPr>
                      <w:b/>
                      <w:sz w:val="20"/>
                      <w:szCs w:val="20"/>
                    </w:rPr>
                    <w:t>Basis of Contract</w:t>
                  </w:r>
                </w:p>
              </w:tc>
              <w:tc>
                <w:tcPr>
                  <w:tcW w:w="1484" w:type="dxa"/>
                  <w:shd w:val="clear" w:color="auto" w:fill="D9D9D9"/>
                </w:tcPr>
                <w:p w:rsidR="00205109" w:rsidRPr="00385FDF" w:rsidRDefault="00C91DE2" w:rsidP="00385FDF">
                  <w:pPr>
                    <w:pStyle w:val="Default"/>
                    <w:contextualSpacing/>
                    <w:rPr>
                      <w:b/>
                      <w:sz w:val="20"/>
                      <w:szCs w:val="20"/>
                    </w:rPr>
                  </w:pPr>
                  <w:r w:rsidRPr="00385FDF">
                    <w:rPr>
                      <w:b/>
                      <w:sz w:val="20"/>
                      <w:szCs w:val="20"/>
                    </w:rPr>
                    <w:t>Currency</w:t>
                  </w:r>
                </w:p>
              </w:tc>
              <w:tc>
                <w:tcPr>
                  <w:tcW w:w="1484" w:type="dxa"/>
                  <w:shd w:val="clear" w:color="auto" w:fill="D9D9D9"/>
                </w:tcPr>
                <w:p w:rsidR="00205109" w:rsidRPr="00385FDF" w:rsidRDefault="00C91DE2" w:rsidP="00385FDF">
                  <w:pPr>
                    <w:pStyle w:val="Default"/>
                    <w:contextualSpacing/>
                    <w:rPr>
                      <w:b/>
                      <w:sz w:val="20"/>
                      <w:szCs w:val="20"/>
                    </w:rPr>
                  </w:pPr>
                  <w:r w:rsidRPr="00385FDF">
                    <w:rPr>
                      <w:b/>
                      <w:sz w:val="20"/>
                      <w:szCs w:val="20"/>
                    </w:rPr>
                    <w:t>Payment</w:t>
                  </w:r>
                  <w:r w:rsidR="00205109" w:rsidRPr="00385FDF">
                    <w:rPr>
                      <w:b/>
                      <w:sz w:val="20"/>
                      <w:szCs w:val="20"/>
                    </w:rPr>
                    <w:t xml:space="preserve"> </w:t>
                  </w:r>
                  <w:r w:rsidRPr="00385FDF">
                    <w:rPr>
                      <w:b/>
                      <w:sz w:val="20"/>
                      <w:szCs w:val="20"/>
                    </w:rPr>
                    <w:t>Method</w:t>
                  </w:r>
                </w:p>
              </w:tc>
              <w:tc>
                <w:tcPr>
                  <w:tcW w:w="1484" w:type="dxa"/>
                  <w:shd w:val="clear" w:color="auto" w:fill="D9D9D9"/>
                </w:tcPr>
                <w:p w:rsidR="00205109" w:rsidRPr="00385FDF" w:rsidRDefault="00205109" w:rsidP="00385FDF">
                  <w:pPr>
                    <w:pStyle w:val="Default"/>
                    <w:contextualSpacing/>
                    <w:rPr>
                      <w:b/>
                      <w:sz w:val="20"/>
                      <w:szCs w:val="20"/>
                    </w:rPr>
                  </w:pPr>
                  <w:r w:rsidRPr="00385FDF">
                    <w:rPr>
                      <w:b/>
                      <w:sz w:val="20"/>
                      <w:szCs w:val="20"/>
                    </w:rPr>
                    <w:t xml:space="preserve">Thresholds </w:t>
                  </w:r>
                </w:p>
              </w:tc>
              <w:tc>
                <w:tcPr>
                  <w:tcW w:w="1484" w:type="dxa"/>
                  <w:shd w:val="clear" w:color="auto" w:fill="D9D9D9"/>
                </w:tcPr>
                <w:p w:rsidR="00205109" w:rsidRPr="00385FDF" w:rsidRDefault="00205109" w:rsidP="00385FDF">
                  <w:pPr>
                    <w:pStyle w:val="Default"/>
                    <w:contextualSpacing/>
                    <w:rPr>
                      <w:b/>
                      <w:sz w:val="20"/>
                      <w:szCs w:val="20"/>
                    </w:rPr>
                  </w:pPr>
                  <w:r w:rsidRPr="00385FDF">
                    <w:rPr>
                      <w:b/>
                      <w:sz w:val="20"/>
                      <w:szCs w:val="20"/>
                    </w:rPr>
                    <w:t xml:space="preserve">Annual Contract Value </w:t>
                  </w:r>
                </w:p>
              </w:tc>
            </w:tr>
            <w:tr w:rsidR="00205109" w:rsidRPr="00385FDF" w:rsidTr="00385FDF">
              <w:tc>
                <w:tcPr>
                  <w:tcW w:w="1483" w:type="dxa"/>
                  <w:shd w:val="clear" w:color="auto" w:fill="auto"/>
                </w:tcPr>
                <w:p w:rsidR="00205109" w:rsidRPr="00385FDF" w:rsidRDefault="00C91DE2" w:rsidP="00385FDF">
                  <w:pPr>
                    <w:spacing w:after="0"/>
                    <w:contextualSpacing/>
                    <w:rPr>
                      <w:rFonts w:ascii="Arial" w:hAnsi="Arial" w:cs="Arial"/>
                      <w:b/>
                      <w:color w:val="000000"/>
                      <w:sz w:val="20"/>
                    </w:rPr>
                  </w:pPr>
                  <w:r w:rsidRPr="00385FDF">
                    <w:rPr>
                      <w:rFonts w:ascii="Arial" w:hAnsi="Arial" w:cs="Arial"/>
                      <w:b/>
                      <w:color w:val="000000"/>
                      <w:sz w:val="20"/>
                    </w:rPr>
                    <w:t>2016/17</w:t>
                  </w:r>
                </w:p>
              </w:tc>
              <w:tc>
                <w:tcPr>
                  <w:tcW w:w="1484" w:type="dxa"/>
                  <w:shd w:val="clear" w:color="auto" w:fill="auto"/>
                </w:tcPr>
                <w:p w:rsidR="00205109" w:rsidRPr="00385FDF" w:rsidRDefault="00C91DE2" w:rsidP="00385FDF">
                  <w:pPr>
                    <w:spacing w:after="0"/>
                    <w:contextualSpacing/>
                    <w:rPr>
                      <w:rFonts w:ascii="Arial" w:hAnsi="Arial" w:cs="Arial"/>
                      <w:color w:val="F79646"/>
                      <w:sz w:val="20"/>
                    </w:rPr>
                  </w:pPr>
                  <w:r w:rsidRPr="00385FDF">
                    <w:rPr>
                      <w:rFonts w:ascii="Arial" w:hAnsi="Arial" w:cs="Arial"/>
                      <w:color w:val="000000"/>
                      <w:sz w:val="20"/>
                    </w:rPr>
                    <w:t>Block / Outcomes Based</w:t>
                  </w:r>
                </w:p>
              </w:tc>
              <w:tc>
                <w:tcPr>
                  <w:tcW w:w="1484" w:type="dxa"/>
                  <w:shd w:val="clear" w:color="auto" w:fill="auto"/>
                </w:tcPr>
                <w:p w:rsidR="00205109" w:rsidRPr="00385FDF" w:rsidRDefault="00C91DE2" w:rsidP="00385FDF">
                  <w:pPr>
                    <w:pStyle w:val="Default"/>
                    <w:contextualSpacing/>
                    <w:rPr>
                      <w:b/>
                      <w:bCs/>
                      <w:sz w:val="20"/>
                      <w:szCs w:val="20"/>
                    </w:rPr>
                  </w:pPr>
                  <w:r w:rsidRPr="00385FDF">
                    <w:rPr>
                      <w:b/>
                      <w:bCs/>
                      <w:sz w:val="20"/>
                      <w:szCs w:val="20"/>
                    </w:rPr>
                    <w:t>£GBP</w:t>
                  </w:r>
                </w:p>
              </w:tc>
              <w:tc>
                <w:tcPr>
                  <w:tcW w:w="1484" w:type="dxa"/>
                  <w:shd w:val="clear" w:color="auto" w:fill="auto"/>
                </w:tcPr>
                <w:p w:rsidR="00C91DE2" w:rsidRPr="00385FDF" w:rsidRDefault="0082710E" w:rsidP="00C91DE2">
                  <w:pPr>
                    <w:pStyle w:val="Default"/>
                    <w:contextualSpacing/>
                    <w:rPr>
                      <w:sz w:val="20"/>
                      <w:szCs w:val="20"/>
                    </w:rPr>
                  </w:pPr>
                  <w:r>
                    <w:rPr>
                      <w:sz w:val="20"/>
                      <w:szCs w:val="20"/>
                    </w:rPr>
                    <w:t>7</w:t>
                  </w:r>
                  <w:r w:rsidR="00C91DE2" w:rsidRPr="00385FDF">
                    <w:rPr>
                      <w:sz w:val="20"/>
                      <w:szCs w:val="20"/>
                    </w:rPr>
                    <w:t>0% Upfront Payment</w:t>
                  </w:r>
                </w:p>
                <w:p w:rsidR="00C91DE2" w:rsidRPr="00385FDF" w:rsidRDefault="00C91DE2" w:rsidP="00C91DE2">
                  <w:pPr>
                    <w:pStyle w:val="Default"/>
                    <w:contextualSpacing/>
                    <w:rPr>
                      <w:sz w:val="20"/>
                      <w:szCs w:val="20"/>
                    </w:rPr>
                  </w:pPr>
                </w:p>
                <w:p w:rsidR="00C91DE2" w:rsidRPr="00385FDF" w:rsidRDefault="0082710E" w:rsidP="00C91DE2">
                  <w:pPr>
                    <w:pStyle w:val="Default"/>
                    <w:contextualSpacing/>
                    <w:rPr>
                      <w:sz w:val="20"/>
                      <w:szCs w:val="20"/>
                    </w:rPr>
                  </w:pPr>
                  <w:r>
                    <w:rPr>
                      <w:sz w:val="20"/>
                      <w:szCs w:val="20"/>
                    </w:rPr>
                    <w:t>3</w:t>
                  </w:r>
                  <w:r w:rsidR="00C91DE2" w:rsidRPr="00385FDF">
                    <w:rPr>
                      <w:sz w:val="20"/>
                      <w:szCs w:val="20"/>
                    </w:rPr>
                    <w:t>0% Outcomes Based Payment</w:t>
                  </w:r>
                </w:p>
              </w:tc>
              <w:tc>
                <w:tcPr>
                  <w:tcW w:w="1484" w:type="dxa"/>
                  <w:shd w:val="clear" w:color="auto" w:fill="auto"/>
                </w:tcPr>
                <w:p w:rsidR="00205109" w:rsidRPr="00385FDF" w:rsidRDefault="00C91DE2" w:rsidP="00385FDF">
                  <w:pPr>
                    <w:pStyle w:val="Default"/>
                    <w:contextualSpacing/>
                    <w:rPr>
                      <w:sz w:val="20"/>
                      <w:szCs w:val="20"/>
                    </w:rPr>
                  </w:pPr>
                  <w:r w:rsidRPr="00385FDF">
                    <w:rPr>
                      <w:sz w:val="20"/>
                      <w:szCs w:val="20"/>
                    </w:rPr>
                    <w:t>70</w:t>
                  </w:r>
                  <w:r w:rsidR="00205109" w:rsidRPr="00385FDF">
                    <w:rPr>
                      <w:sz w:val="20"/>
                      <w:szCs w:val="20"/>
                    </w:rPr>
                    <w:t xml:space="preserve">% </w:t>
                  </w:r>
                  <w:r w:rsidR="000A3472" w:rsidRPr="00385FDF">
                    <w:rPr>
                      <w:sz w:val="20"/>
                      <w:szCs w:val="20"/>
                    </w:rPr>
                    <w:t>Outcomes threshold above activity plan</w:t>
                  </w:r>
                </w:p>
              </w:tc>
              <w:tc>
                <w:tcPr>
                  <w:tcW w:w="1484" w:type="dxa"/>
                  <w:shd w:val="clear" w:color="auto" w:fill="auto"/>
                </w:tcPr>
                <w:p w:rsidR="00205109" w:rsidRPr="00385FDF" w:rsidRDefault="00205109" w:rsidP="0082710E">
                  <w:pPr>
                    <w:pStyle w:val="Default"/>
                    <w:contextualSpacing/>
                    <w:rPr>
                      <w:sz w:val="20"/>
                      <w:szCs w:val="20"/>
                    </w:rPr>
                  </w:pPr>
                  <w:r w:rsidRPr="00385FDF">
                    <w:rPr>
                      <w:bCs/>
                      <w:sz w:val="20"/>
                      <w:szCs w:val="20"/>
                    </w:rPr>
                    <w:t xml:space="preserve">£ </w:t>
                  </w:r>
                  <w:r w:rsidR="0082710E">
                    <w:rPr>
                      <w:bCs/>
                      <w:sz w:val="20"/>
                      <w:szCs w:val="20"/>
                    </w:rPr>
                    <w:t>955,422</w:t>
                  </w:r>
                </w:p>
              </w:tc>
            </w:tr>
            <w:tr w:rsidR="00C91DE2" w:rsidRPr="00385FDF" w:rsidTr="00385FDF">
              <w:tc>
                <w:tcPr>
                  <w:tcW w:w="1483" w:type="dxa"/>
                  <w:shd w:val="clear" w:color="auto" w:fill="auto"/>
                </w:tcPr>
                <w:p w:rsidR="00C91DE2" w:rsidRPr="00385FDF" w:rsidRDefault="00C91DE2" w:rsidP="00385FDF">
                  <w:pPr>
                    <w:spacing w:after="0"/>
                    <w:contextualSpacing/>
                    <w:rPr>
                      <w:rFonts w:ascii="Arial" w:hAnsi="Arial" w:cs="Arial"/>
                      <w:b/>
                      <w:color w:val="000000"/>
                      <w:sz w:val="20"/>
                    </w:rPr>
                  </w:pPr>
                  <w:r w:rsidRPr="00385FDF">
                    <w:rPr>
                      <w:rFonts w:ascii="Arial" w:hAnsi="Arial" w:cs="Arial"/>
                      <w:b/>
                      <w:color w:val="000000"/>
                      <w:sz w:val="20"/>
                    </w:rPr>
                    <w:t>2017/18</w:t>
                  </w:r>
                </w:p>
              </w:tc>
              <w:tc>
                <w:tcPr>
                  <w:tcW w:w="1484" w:type="dxa"/>
                  <w:shd w:val="clear" w:color="auto" w:fill="auto"/>
                </w:tcPr>
                <w:p w:rsidR="00C91DE2" w:rsidRPr="00385FDF" w:rsidRDefault="00C91DE2" w:rsidP="00385FDF">
                  <w:pPr>
                    <w:spacing w:after="0"/>
                    <w:contextualSpacing/>
                    <w:rPr>
                      <w:rFonts w:ascii="Arial" w:hAnsi="Arial" w:cs="Arial"/>
                      <w:color w:val="F79646"/>
                      <w:sz w:val="20"/>
                    </w:rPr>
                  </w:pPr>
                  <w:r w:rsidRPr="00385FDF">
                    <w:rPr>
                      <w:rFonts w:ascii="Arial" w:hAnsi="Arial" w:cs="Arial"/>
                      <w:color w:val="000000"/>
                      <w:sz w:val="20"/>
                    </w:rPr>
                    <w:t>Block / Outcomes Based</w:t>
                  </w:r>
                </w:p>
              </w:tc>
              <w:tc>
                <w:tcPr>
                  <w:tcW w:w="1484" w:type="dxa"/>
                  <w:shd w:val="clear" w:color="auto" w:fill="auto"/>
                </w:tcPr>
                <w:p w:rsidR="00C91DE2" w:rsidRPr="00385FDF" w:rsidRDefault="00C91DE2">
                  <w:pPr>
                    <w:rPr>
                      <w:rFonts w:ascii="Arial" w:hAnsi="Arial" w:cs="Arial"/>
                    </w:rPr>
                  </w:pPr>
                  <w:r w:rsidRPr="00385FDF">
                    <w:rPr>
                      <w:rFonts w:ascii="Arial" w:hAnsi="Arial" w:cs="Arial"/>
                      <w:b/>
                      <w:bCs/>
                      <w:sz w:val="20"/>
                    </w:rPr>
                    <w:t>£GBP</w:t>
                  </w:r>
                </w:p>
              </w:tc>
              <w:tc>
                <w:tcPr>
                  <w:tcW w:w="1484" w:type="dxa"/>
                  <w:shd w:val="clear" w:color="auto" w:fill="auto"/>
                </w:tcPr>
                <w:p w:rsidR="0082710E" w:rsidRPr="00385FDF" w:rsidRDefault="0082710E" w:rsidP="0082710E">
                  <w:pPr>
                    <w:pStyle w:val="Default"/>
                    <w:contextualSpacing/>
                    <w:rPr>
                      <w:sz w:val="20"/>
                      <w:szCs w:val="20"/>
                    </w:rPr>
                  </w:pPr>
                  <w:r>
                    <w:rPr>
                      <w:sz w:val="20"/>
                      <w:szCs w:val="20"/>
                    </w:rPr>
                    <w:t>7</w:t>
                  </w:r>
                  <w:r w:rsidRPr="00385FDF">
                    <w:rPr>
                      <w:sz w:val="20"/>
                      <w:szCs w:val="20"/>
                    </w:rPr>
                    <w:t>0% Upfront Payment</w:t>
                  </w:r>
                </w:p>
                <w:p w:rsidR="0082710E" w:rsidRPr="00385FDF" w:rsidRDefault="0082710E" w:rsidP="0082710E">
                  <w:pPr>
                    <w:pStyle w:val="Default"/>
                    <w:contextualSpacing/>
                    <w:rPr>
                      <w:sz w:val="20"/>
                      <w:szCs w:val="20"/>
                    </w:rPr>
                  </w:pPr>
                </w:p>
                <w:p w:rsidR="00C91DE2" w:rsidRPr="00385FDF" w:rsidRDefault="0082710E" w:rsidP="0082710E">
                  <w:pPr>
                    <w:pStyle w:val="Default"/>
                    <w:contextualSpacing/>
                    <w:rPr>
                      <w:sz w:val="20"/>
                      <w:szCs w:val="20"/>
                    </w:rPr>
                  </w:pPr>
                  <w:r>
                    <w:rPr>
                      <w:sz w:val="20"/>
                      <w:szCs w:val="20"/>
                    </w:rPr>
                    <w:t>3</w:t>
                  </w:r>
                  <w:r w:rsidRPr="00385FDF">
                    <w:rPr>
                      <w:sz w:val="20"/>
                      <w:szCs w:val="20"/>
                    </w:rPr>
                    <w:t xml:space="preserve">0% Outcomes Based Payment </w:t>
                  </w:r>
                </w:p>
              </w:tc>
              <w:tc>
                <w:tcPr>
                  <w:tcW w:w="1484" w:type="dxa"/>
                  <w:shd w:val="clear" w:color="auto" w:fill="auto"/>
                </w:tcPr>
                <w:p w:rsidR="00C91DE2" w:rsidRPr="00385FDF" w:rsidRDefault="000A3472" w:rsidP="00385FDF">
                  <w:pPr>
                    <w:pStyle w:val="Default"/>
                    <w:contextualSpacing/>
                    <w:rPr>
                      <w:sz w:val="20"/>
                      <w:szCs w:val="20"/>
                    </w:rPr>
                  </w:pPr>
                  <w:r w:rsidRPr="00385FDF">
                    <w:rPr>
                      <w:sz w:val="20"/>
                      <w:szCs w:val="20"/>
                    </w:rPr>
                    <w:t>70% Outcomes threshold above activity plan</w:t>
                  </w:r>
                </w:p>
              </w:tc>
              <w:tc>
                <w:tcPr>
                  <w:tcW w:w="1484" w:type="dxa"/>
                  <w:shd w:val="clear" w:color="auto" w:fill="auto"/>
                </w:tcPr>
                <w:p w:rsidR="00C91DE2" w:rsidRPr="00385FDF" w:rsidRDefault="0082710E" w:rsidP="0082710E">
                  <w:pPr>
                    <w:pStyle w:val="Default"/>
                    <w:contextualSpacing/>
                    <w:rPr>
                      <w:sz w:val="20"/>
                      <w:szCs w:val="20"/>
                    </w:rPr>
                  </w:pPr>
                  <w:r>
                    <w:rPr>
                      <w:bCs/>
                      <w:sz w:val="20"/>
                      <w:szCs w:val="20"/>
                    </w:rPr>
                    <w:t>£ 934,403</w:t>
                  </w:r>
                </w:p>
              </w:tc>
            </w:tr>
            <w:tr w:rsidR="00C91DE2" w:rsidRPr="00385FDF" w:rsidTr="00385FDF">
              <w:tc>
                <w:tcPr>
                  <w:tcW w:w="1483" w:type="dxa"/>
                  <w:shd w:val="clear" w:color="auto" w:fill="auto"/>
                </w:tcPr>
                <w:p w:rsidR="00C91DE2" w:rsidRPr="00385FDF" w:rsidRDefault="00C91DE2" w:rsidP="00385FDF">
                  <w:pPr>
                    <w:spacing w:after="0"/>
                    <w:contextualSpacing/>
                    <w:rPr>
                      <w:rFonts w:ascii="Arial" w:hAnsi="Arial" w:cs="Arial"/>
                      <w:b/>
                      <w:color w:val="000000"/>
                      <w:sz w:val="20"/>
                    </w:rPr>
                  </w:pPr>
                  <w:r w:rsidRPr="00385FDF">
                    <w:rPr>
                      <w:rFonts w:ascii="Arial" w:hAnsi="Arial" w:cs="Arial"/>
                      <w:b/>
                      <w:color w:val="000000"/>
                      <w:sz w:val="20"/>
                    </w:rPr>
                    <w:t>2018/19</w:t>
                  </w:r>
                </w:p>
              </w:tc>
              <w:tc>
                <w:tcPr>
                  <w:tcW w:w="1484" w:type="dxa"/>
                  <w:shd w:val="clear" w:color="auto" w:fill="auto"/>
                </w:tcPr>
                <w:p w:rsidR="00C91DE2" w:rsidRPr="00385FDF" w:rsidRDefault="00C91DE2" w:rsidP="00385FDF">
                  <w:pPr>
                    <w:spacing w:after="0"/>
                    <w:contextualSpacing/>
                    <w:rPr>
                      <w:rFonts w:ascii="Arial" w:hAnsi="Arial" w:cs="Arial"/>
                      <w:color w:val="F79646"/>
                      <w:sz w:val="20"/>
                    </w:rPr>
                  </w:pPr>
                  <w:r w:rsidRPr="00385FDF">
                    <w:rPr>
                      <w:rFonts w:ascii="Arial" w:hAnsi="Arial" w:cs="Arial"/>
                      <w:color w:val="000000"/>
                      <w:sz w:val="20"/>
                    </w:rPr>
                    <w:t>Block / Outcomes Based</w:t>
                  </w:r>
                </w:p>
              </w:tc>
              <w:tc>
                <w:tcPr>
                  <w:tcW w:w="1484" w:type="dxa"/>
                  <w:shd w:val="clear" w:color="auto" w:fill="auto"/>
                </w:tcPr>
                <w:p w:rsidR="00C91DE2" w:rsidRPr="00385FDF" w:rsidRDefault="00C91DE2">
                  <w:pPr>
                    <w:rPr>
                      <w:rFonts w:ascii="Arial" w:hAnsi="Arial" w:cs="Arial"/>
                    </w:rPr>
                  </w:pPr>
                  <w:r w:rsidRPr="00385FDF">
                    <w:rPr>
                      <w:rFonts w:ascii="Arial" w:hAnsi="Arial" w:cs="Arial"/>
                      <w:b/>
                      <w:bCs/>
                      <w:sz w:val="20"/>
                    </w:rPr>
                    <w:t>£GBP</w:t>
                  </w:r>
                </w:p>
              </w:tc>
              <w:tc>
                <w:tcPr>
                  <w:tcW w:w="1484" w:type="dxa"/>
                  <w:shd w:val="clear" w:color="auto" w:fill="auto"/>
                </w:tcPr>
                <w:p w:rsidR="0082710E" w:rsidRPr="00385FDF" w:rsidRDefault="0082710E" w:rsidP="0082710E">
                  <w:pPr>
                    <w:pStyle w:val="Default"/>
                    <w:contextualSpacing/>
                    <w:rPr>
                      <w:sz w:val="20"/>
                      <w:szCs w:val="20"/>
                    </w:rPr>
                  </w:pPr>
                  <w:r>
                    <w:rPr>
                      <w:sz w:val="20"/>
                      <w:szCs w:val="20"/>
                    </w:rPr>
                    <w:t>7</w:t>
                  </w:r>
                  <w:r w:rsidRPr="00385FDF">
                    <w:rPr>
                      <w:sz w:val="20"/>
                      <w:szCs w:val="20"/>
                    </w:rPr>
                    <w:t>0% Upfront Payment</w:t>
                  </w:r>
                </w:p>
                <w:p w:rsidR="0082710E" w:rsidRPr="00385FDF" w:rsidRDefault="0082710E" w:rsidP="0082710E">
                  <w:pPr>
                    <w:pStyle w:val="Default"/>
                    <w:contextualSpacing/>
                    <w:rPr>
                      <w:sz w:val="20"/>
                      <w:szCs w:val="20"/>
                    </w:rPr>
                  </w:pPr>
                </w:p>
                <w:p w:rsidR="00C91DE2" w:rsidRPr="00385FDF" w:rsidRDefault="0082710E" w:rsidP="0082710E">
                  <w:pPr>
                    <w:pStyle w:val="Default"/>
                    <w:contextualSpacing/>
                    <w:rPr>
                      <w:sz w:val="20"/>
                      <w:szCs w:val="20"/>
                    </w:rPr>
                  </w:pPr>
                  <w:r>
                    <w:rPr>
                      <w:sz w:val="20"/>
                      <w:szCs w:val="20"/>
                    </w:rPr>
                    <w:t>3</w:t>
                  </w:r>
                  <w:r w:rsidRPr="00385FDF">
                    <w:rPr>
                      <w:sz w:val="20"/>
                      <w:szCs w:val="20"/>
                    </w:rPr>
                    <w:t>0% Outcomes Based Payment</w:t>
                  </w:r>
                </w:p>
              </w:tc>
              <w:tc>
                <w:tcPr>
                  <w:tcW w:w="1484" w:type="dxa"/>
                  <w:shd w:val="clear" w:color="auto" w:fill="auto"/>
                </w:tcPr>
                <w:p w:rsidR="00C91DE2" w:rsidRPr="00385FDF" w:rsidRDefault="000A3472" w:rsidP="00385FDF">
                  <w:pPr>
                    <w:pStyle w:val="Default"/>
                    <w:contextualSpacing/>
                    <w:rPr>
                      <w:sz w:val="20"/>
                      <w:szCs w:val="20"/>
                    </w:rPr>
                  </w:pPr>
                  <w:r w:rsidRPr="00385FDF">
                    <w:rPr>
                      <w:sz w:val="20"/>
                      <w:szCs w:val="20"/>
                    </w:rPr>
                    <w:t>70% Outcomes threshold above activity plan</w:t>
                  </w:r>
                </w:p>
              </w:tc>
              <w:tc>
                <w:tcPr>
                  <w:tcW w:w="1484" w:type="dxa"/>
                  <w:shd w:val="clear" w:color="auto" w:fill="auto"/>
                </w:tcPr>
                <w:p w:rsidR="00C91DE2" w:rsidRPr="00385FDF" w:rsidRDefault="00C91DE2" w:rsidP="0082710E">
                  <w:pPr>
                    <w:pStyle w:val="Default"/>
                    <w:contextualSpacing/>
                    <w:rPr>
                      <w:sz w:val="20"/>
                      <w:szCs w:val="20"/>
                    </w:rPr>
                  </w:pPr>
                  <w:r w:rsidRPr="00385FDF">
                    <w:rPr>
                      <w:bCs/>
                      <w:sz w:val="20"/>
                      <w:szCs w:val="20"/>
                    </w:rPr>
                    <w:t xml:space="preserve">£ </w:t>
                  </w:r>
                  <w:r w:rsidR="0082710E">
                    <w:rPr>
                      <w:bCs/>
                      <w:sz w:val="20"/>
                      <w:szCs w:val="20"/>
                    </w:rPr>
                    <w:t>913,846</w:t>
                  </w:r>
                </w:p>
              </w:tc>
            </w:tr>
            <w:tr w:rsidR="00C91DE2" w:rsidRPr="00385FDF" w:rsidTr="00385FDF">
              <w:tc>
                <w:tcPr>
                  <w:tcW w:w="1483" w:type="dxa"/>
                  <w:shd w:val="clear" w:color="auto" w:fill="auto"/>
                </w:tcPr>
                <w:p w:rsidR="00C91DE2" w:rsidRPr="00385FDF" w:rsidRDefault="00C91DE2" w:rsidP="00385FDF">
                  <w:pPr>
                    <w:spacing w:after="0"/>
                    <w:contextualSpacing/>
                    <w:rPr>
                      <w:rFonts w:ascii="Arial" w:hAnsi="Arial" w:cs="Arial"/>
                      <w:b/>
                      <w:color w:val="000000"/>
                      <w:sz w:val="20"/>
                    </w:rPr>
                  </w:pPr>
                  <w:r w:rsidRPr="00385FDF">
                    <w:rPr>
                      <w:rFonts w:ascii="Arial" w:hAnsi="Arial" w:cs="Arial"/>
                      <w:b/>
                      <w:color w:val="000000"/>
                      <w:sz w:val="20"/>
                    </w:rPr>
                    <w:t>2019/20</w:t>
                  </w:r>
                </w:p>
              </w:tc>
              <w:tc>
                <w:tcPr>
                  <w:tcW w:w="1484" w:type="dxa"/>
                  <w:shd w:val="clear" w:color="auto" w:fill="auto"/>
                </w:tcPr>
                <w:p w:rsidR="00C91DE2" w:rsidRPr="00385FDF" w:rsidRDefault="00C91DE2" w:rsidP="00385FDF">
                  <w:pPr>
                    <w:spacing w:after="0"/>
                    <w:contextualSpacing/>
                    <w:rPr>
                      <w:rFonts w:ascii="Arial" w:hAnsi="Arial" w:cs="Arial"/>
                      <w:color w:val="F79646"/>
                      <w:sz w:val="20"/>
                    </w:rPr>
                  </w:pPr>
                  <w:r w:rsidRPr="00385FDF">
                    <w:rPr>
                      <w:rFonts w:ascii="Arial" w:hAnsi="Arial" w:cs="Arial"/>
                      <w:color w:val="000000"/>
                      <w:sz w:val="20"/>
                    </w:rPr>
                    <w:t>Block / Outcomes Based</w:t>
                  </w:r>
                </w:p>
              </w:tc>
              <w:tc>
                <w:tcPr>
                  <w:tcW w:w="1484" w:type="dxa"/>
                  <w:shd w:val="clear" w:color="auto" w:fill="auto"/>
                </w:tcPr>
                <w:p w:rsidR="00C91DE2" w:rsidRPr="00385FDF" w:rsidRDefault="00C91DE2">
                  <w:pPr>
                    <w:rPr>
                      <w:rFonts w:ascii="Arial" w:hAnsi="Arial" w:cs="Arial"/>
                    </w:rPr>
                  </w:pPr>
                  <w:r w:rsidRPr="00385FDF">
                    <w:rPr>
                      <w:rFonts w:ascii="Arial" w:hAnsi="Arial" w:cs="Arial"/>
                      <w:b/>
                      <w:bCs/>
                      <w:sz w:val="20"/>
                    </w:rPr>
                    <w:t>£GBP</w:t>
                  </w:r>
                </w:p>
              </w:tc>
              <w:tc>
                <w:tcPr>
                  <w:tcW w:w="1484" w:type="dxa"/>
                  <w:shd w:val="clear" w:color="auto" w:fill="auto"/>
                </w:tcPr>
                <w:p w:rsidR="0082710E" w:rsidRPr="00385FDF" w:rsidRDefault="0082710E" w:rsidP="0082710E">
                  <w:pPr>
                    <w:pStyle w:val="Default"/>
                    <w:contextualSpacing/>
                    <w:rPr>
                      <w:sz w:val="20"/>
                      <w:szCs w:val="20"/>
                    </w:rPr>
                  </w:pPr>
                  <w:r>
                    <w:rPr>
                      <w:sz w:val="20"/>
                      <w:szCs w:val="20"/>
                    </w:rPr>
                    <w:t>7</w:t>
                  </w:r>
                  <w:r w:rsidRPr="00385FDF">
                    <w:rPr>
                      <w:sz w:val="20"/>
                      <w:szCs w:val="20"/>
                    </w:rPr>
                    <w:t>0% Upfront Payment</w:t>
                  </w:r>
                </w:p>
                <w:p w:rsidR="0082710E" w:rsidRPr="00385FDF" w:rsidRDefault="0082710E" w:rsidP="0082710E">
                  <w:pPr>
                    <w:pStyle w:val="Default"/>
                    <w:contextualSpacing/>
                    <w:rPr>
                      <w:sz w:val="20"/>
                      <w:szCs w:val="20"/>
                    </w:rPr>
                  </w:pPr>
                </w:p>
                <w:p w:rsidR="00C91DE2" w:rsidRPr="00385FDF" w:rsidRDefault="0082710E" w:rsidP="0082710E">
                  <w:pPr>
                    <w:pStyle w:val="Default"/>
                    <w:contextualSpacing/>
                    <w:rPr>
                      <w:sz w:val="20"/>
                      <w:szCs w:val="20"/>
                    </w:rPr>
                  </w:pPr>
                  <w:r>
                    <w:rPr>
                      <w:sz w:val="20"/>
                      <w:szCs w:val="20"/>
                    </w:rPr>
                    <w:t>3</w:t>
                  </w:r>
                  <w:r w:rsidRPr="00385FDF">
                    <w:rPr>
                      <w:sz w:val="20"/>
                      <w:szCs w:val="20"/>
                    </w:rPr>
                    <w:t>0% Outcomes Based Payment</w:t>
                  </w:r>
                </w:p>
              </w:tc>
              <w:tc>
                <w:tcPr>
                  <w:tcW w:w="1484" w:type="dxa"/>
                  <w:shd w:val="clear" w:color="auto" w:fill="auto"/>
                </w:tcPr>
                <w:p w:rsidR="00C91DE2" w:rsidRPr="00385FDF" w:rsidRDefault="000A3472" w:rsidP="00385FDF">
                  <w:pPr>
                    <w:pStyle w:val="Default"/>
                    <w:contextualSpacing/>
                    <w:rPr>
                      <w:sz w:val="20"/>
                      <w:szCs w:val="20"/>
                    </w:rPr>
                  </w:pPr>
                  <w:r w:rsidRPr="00385FDF">
                    <w:rPr>
                      <w:sz w:val="20"/>
                      <w:szCs w:val="20"/>
                    </w:rPr>
                    <w:t>70% Outcomes threshold above activity plan</w:t>
                  </w:r>
                </w:p>
              </w:tc>
              <w:tc>
                <w:tcPr>
                  <w:tcW w:w="1484" w:type="dxa"/>
                  <w:shd w:val="clear" w:color="auto" w:fill="auto"/>
                </w:tcPr>
                <w:p w:rsidR="00C91DE2" w:rsidRPr="00385FDF" w:rsidRDefault="00C91DE2" w:rsidP="0082710E">
                  <w:pPr>
                    <w:pStyle w:val="Default"/>
                    <w:contextualSpacing/>
                    <w:rPr>
                      <w:sz w:val="20"/>
                      <w:szCs w:val="20"/>
                    </w:rPr>
                  </w:pPr>
                  <w:r w:rsidRPr="00385FDF">
                    <w:rPr>
                      <w:bCs/>
                      <w:sz w:val="20"/>
                      <w:szCs w:val="20"/>
                    </w:rPr>
                    <w:t xml:space="preserve">£ </w:t>
                  </w:r>
                  <w:r w:rsidR="0082710E">
                    <w:rPr>
                      <w:bCs/>
                      <w:sz w:val="20"/>
                      <w:szCs w:val="20"/>
                    </w:rPr>
                    <w:t>893,742</w:t>
                  </w:r>
                </w:p>
              </w:tc>
            </w:tr>
            <w:tr w:rsidR="00C91DE2" w:rsidRPr="00385FDF" w:rsidTr="00385FDF">
              <w:tc>
                <w:tcPr>
                  <w:tcW w:w="1483" w:type="dxa"/>
                  <w:shd w:val="clear" w:color="auto" w:fill="auto"/>
                </w:tcPr>
                <w:p w:rsidR="00C91DE2" w:rsidRPr="00385FDF" w:rsidRDefault="00C91DE2" w:rsidP="00385FDF">
                  <w:pPr>
                    <w:spacing w:after="0"/>
                    <w:contextualSpacing/>
                    <w:rPr>
                      <w:rFonts w:ascii="Arial" w:hAnsi="Arial" w:cs="Arial"/>
                      <w:b/>
                      <w:color w:val="000000"/>
                      <w:sz w:val="20"/>
                    </w:rPr>
                  </w:pPr>
                  <w:r w:rsidRPr="00385FDF">
                    <w:rPr>
                      <w:rFonts w:ascii="Arial" w:hAnsi="Arial" w:cs="Arial"/>
                      <w:b/>
                      <w:color w:val="000000"/>
                      <w:sz w:val="20"/>
                    </w:rPr>
                    <w:t>2020/21</w:t>
                  </w:r>
                </w:p>
              </w:tc>
              <w:tc>
                <w:tcPr>
                  <w:tcW w:w="1484" w:type="dxa"/>
                  <w:shd w:val="clear" w:color="auto" w:fill="auto"/>
                </w:tcPr>
                <w:p w:rsidR="00C91DE2" w:rsidRPr="00385FDF" w:rsidRDefault="00C91DE2" w:rsidP="00385FDF">
                  <w:pPr>
                    <w:spacing w:after="0"/>
                    <w:contextualSpacing/>
                    <w:rPr>
                      <w:rFonts w:ascii="Arial" w:hAnsi="Arial" w:cs="Arial"/>
                      <w:color w:val="F79646"/>
                      <w:sz w:val="20"/>
                    </w:rPr>
                  </w:pPr>
                  <w:r w:rsidRPr="00385FDF">
                    <w:rPr>
                      <w:rFonts w:ascii="Arial" w:hAnsi="Arial" w:cs="Arial"/>
                      <w:color w:val="000000"/>
                      <w:sz w:val="20"/>
                    </w:rPr>
                    <w:t>Block / Outcomes Based</w:t>
                  </w:r>
                </w:p>
              </w:tc>
              <w:tc>
                <w:tcPr>
                  <w:tcW w:w="1484" w:type="dxa"/>
                  <w:shd w:val="clear" w:color="auto" w:fill="auto"/>
                </w:tcPr>
                <w:p w:rsidR="00C91DE2" w:rsidRPr="00385FDF" w:rsidRDefault="00C91DE2">
                  <w:pPr>
                    <w:rPr>
                      <w:rFonts w:ascii="Arial" w:hAnsi="Arial" w:cs="Arial"/>
                    </w:rPr>
                  </w:pPr>
                  <w:r w:rsidRPr="00385FDF">
                    <w:rPr>
                      <w:rFonts w:ascii="Arial" w:hAnsi="Arial" w:cs="Arial"/>
                      <w:b/>
                      <w:bCs/>
                      <w:sz w:val="20"/>
                    </w:rPr>
                    <w:t>£GBP</w:t>
                  </w:r>
                </w:p>
              </w:tc>
              <w:tc>
                <w:tcPr>
                  <w:tcW w:w="1484" w:type="dxa"/>
                  <w:shd w:val="clear" w:color="auto" w:fill="auto"/>
                </w:tcPr>
                <w:p w:rsidR="0082710E" w:rsidRPr="00385FDF" w:rsidRDefault="0082710E" w:rsidP="0082710E">
                  <w:pPr>
                    <w:pStyle w:val="Default"/>
                    <w:contextualSpacing/>
                    <w:rPr>
                      <w:sz w:val="20"/>
                      <w:szCs w:val="20"/>
                    </w:rPr>
                  </w:pPr>
                  <w:r>
                    <w:rPr>
                      <w:sz w:val="20"/>
                      <w:szCs w:val="20"/>
                    </w:rPr>
                    <w:t>7</w:t>
                  </w:r>
                  <w:r w:rsidRPr="00385FDF">
                    <w:rPr>
                      <w:sz w:val="20"/>
                      <w:szCs w:val="20"/>
                    </w:rPr>
                    <w:t>0% Upfront Payment</w:t>
                  </w:r>
                </w:p>
                <w:p w:rsidR="0082710E" w:rsidRPr="00385FDF" w:rsidRDefault="0082710E" w:rsidP="0082710E">
                  <w:pPr>
                    <w:pStyle w:val="Default"/>
                    <w:contextualSpacing/>
                    <w:rPr>
                      <w:sz w:val="20"/>
                      <w:szCs w:val="20"/>
                    </w:rPr>
                  </w:pPr>
                </w:p>
                <w:p w:rsidR="00C91DE2" w:rsidRPr="00385FDF" w:rsidRDefault="0082710E" w:rsidP="0082710E">
                  <w:pPr>
                    <w:pStyle w:val="Default"/>
                    <w:contextualSpacing/>
                    <w:rPr>
                      <w:sz w:val="20"/>
                      <w:szCs w:val="20"/>
                    </w:rPr>
                  </w:pPr>
                  <w:r>
                    <w:rPr>
                      <w:sz w:val="20"/>
                      <w:szCs w:val="20"/>
                    </w:rPr>
                    <w:t>3</w:t>
                  </w:r>
                  <w:r w:rsidRPr="00385FDF">
                    <w:rPr>
                      <w:sz w:val="20"/>
                      <w:szCs w:val="20"/>
                    </w:rPr>
                    <w:t>0% Outcomes Based Payment</w:t>
                  </w:r>
                </w:p>
              </w:tc>
              <w:tc>
                <w:tcPr>
                  <w:tcW w:w="1484" w:type="dxa"/>
                  <w:shd w:val="clear" w:color="auto" w:fill="auto"/>
                </w:tcPr>
                <w:p w:rsidR="00C91DE2" w:rsidRPr="00385FDF" w:rsidRDefault="000A3472" w:rsidP="00385FDF">
                  <w:pPr>
                    <w:pStyle w:val="Default"/>
                    <w:contextualSpacing/>
                    <w:rPr>
                      <w:sz w:val="20"/>
                      <w:szCs w:val="20"/>
                    </w:rPr>
                  </w:pPr>
                  <w:r w:rsidRPr="00385FDF">
                    <w:rPr>
                      <w:sz w:val="20"/>
                      <w:szCs w:val="20"/>
                    </w:rPr>
                    <w:t>70% Outcomes threshold above activity plan</w:t>
                  </w:r>
                </w:p>
              </w:tc>
              <w:tc>
                <w:tcPr>
                  <w:tcW w:w="1484" w:type="dxa"/>
                  <w:shd w:val="clear" w:color="auto" w:fill="auto"/>
                </w:tcPr>
                <w:p w:rsidR="00C91DE2" w:rsidRPr="00385FDF" w:rsidRDefault="00C91DE2" w:rsidP="0082710E">
                  <w:pPr>
                    <w:pStyle w:val="Default"/>
                    <w:contextualSpacing/>
                    <w:rPr>
                      <w:sz w:val="20"/>
                      <w:szCs w:val="20"/>
                    </w:rPr>
                  </w:pPr>
                  <w:r w:rsidRPr="00385FDF">
                    <w:rPr>
                      <w:bCs/>
                      <w:sz w:val="20"/>
                      <w:szCs w:val="20"/>
                    </w:rPr>
                    <w:t xml:space="preserve">£ </w:t>
                  </w:r>
                  <w:r w:rsidR="0082710E">
                    <w:rPr>
                      <w:bCs/>
                      <w:sz w:val="20"/>
                      <w:szCs w:val="20"/>
                    </w:rPr>
                    <w:t>874,079</w:t>
                  </w:r>
                </w:p>
              </w:tc>
            </w:tr>
            <w:tr w:rsidR="00C91DE2" w:rsidRPr="00385FDF" w:rsidTr="00385FDF">
              <w:tc>
                <w:tcPr>
                  <w:tcW w:w="1483" w:type="dxa"/>
                  <w:shd w:val="clear" w:color="auto" w:fill="auto"/>
                </w:tcPr>
                <w:p w:rsidR="00C91DE2" w:rsidRPr="00385FDF" w:rsidRDefault="00C91DE2" w:rsidP="00385FDF">
                  <w:pPr>
                    <w:spacing w:after="0"/>
                    <w:contextualSpacing/>
                    <w:rPr>
                      <w:rFonts w:ascii="Arial" w:hAnsi="Arial" w:cs="Arial"/>
                      <w:b/>
                      <w:color w:val="000000"/>
                      <w:sz w:val="20"/>
                    </w:rPr>
                  </w:pPr>
                  <w:r w:rsidRPr="00385FDF">
                    <w:rPr>
                      <w:rFonts w:ascii="Arial" w:hAnsi="Arial" w:cs="Arial"/>
                      <w:b/>
                      <w:color w:val="000000"/>
                      <w:sz w:val="20"/>
                    </w:rPr>
                    <w:t>TOTAL</w:t>
                  </w:r>
                </w:p>
              </w:tc>
              <w:tc>
                <w:tcPr>
                  <w:tcW w:w="1484" w:type="dxa"/>
                  <w:shd w:val="clear" w:color="auto" w:fill="auto"/>
                </w:tcPr>
                <w:p w:rsidR="00C91DE2" w:rsidRPr="00385FDF" w:rsidRDefault="00C91DE2" w:rsidP="00385FDF">
                  <w:pPr>
                    <w:spacing w:after="0"/>
                    <w:contextualSpacing/>
                    <w:rPr>
                      <w:rFonts w:ascii="Arial" w:hAnsi="Arial" w:cs="Arial"/>
                      <w:color w:val="000000"/>
                      <w:sz w:val="20"/>
                    </w:rPr>
                  </w:pPr>
                </w:p>
              </w:tc>
              <w:tc>
                <w:tcPr>
                  <w:tcW w:w="1484" w:type="dxa"/>
                  <w:shd w:val="clear" w:color="auto" w:fill="auto"/>
                </w:tcPr>
                <w:p w:rsidR="00C91DE2" w:rsidRPr="00385FDF" w:rsidRDefault="00C91DE2">
                  <w:pPr>
                    <w:rPr>
                      <w:rFonts w:ascii="Arial" w:hAnsi="Arial" w:cs="Arial"/>
                      <w:b/>
                      <w:bCs/>
                      <w:sz w:val="20"/>
                    </w:rPr>
                  </w:pPr>
                </w:p>
              </w:tc>
              <w:tc>
                <w:tcPr>
                  <w:tcW w:w="1484" w:type="dxa"/>
                  <w:shd w:val="clear" w:color="auto" w:fill="auto"/>
                </w:tcPr>
                <w:p w:rsidR="00C91DE2" w:rsidRPr="00385FDF" w:rsidRDefault="00C91DE2" w:rsidP="00C91DE2">
                  <w:pPr>
                    <w:pStyle w:val="Default"/>
                    <w:contextualSpacing/>
                    <w:rPr>
                      <w:sz w:val="20"/>
                      <w:szCs w:val="20"/>
                    </w:rPr>
                  </w:pPr>
                </w:p>
              </w:tc>
              <w:tc>
                <w:tcPr>
                  <w:tcW w:w="1484" w:type="dxa"/>
                  <w:shd w:val="clear" w:color="auto" w:fill="auto"/>
                </w:tcPr>
                <w:p w:rsidR="00C91DE2" w:rsidRPr="00385FDF" w:rsidRDefault="00C91DE2" w:rsidP="00385FDF">
                  <w:pPr>
                    <w:pStyle w:val="Default"/>
                    <w:contextualSpacing/>
                    <w:rPr>
                      <w:sz w:val="20"/>
                      <w:szCs w:val="20"/>
                    </w:rPr>
                  </w:pPr>
                </w:p>
              </w:tc>
              <w:tc>
                <w:tcPr>
                  <w:tcW w:w="1484" w:type="dxa"/>
                  <w:shd w:val="clear" w:color="auto" w:fill="auto"/>
                </w:tcPr>
                <w:p w:rsidR="00C91DE2" w:rsidRPr="00385FDF" w:rsidRDefault="0082710E" w:rsidP="00385FDF">
                  <w:pPr>
                    <w:pStyle w:val="Default"/>
                    <w:contextualSpacing/>
                    <w:rPr>
                      <w:bCs/>
                      <w:sz w:val="20"/>
                      <w:szCs w:val="20"/>
                    </w:rPr>
                  </w:pPr>
                  <w:r>
                    <w:rPr>
                      <w:bCs/>
                      <w:sz w:val="20"/>
                      <w:szCs w:val="20"/>
                    </w:rPr>
                    <w:t>£4,571,492</w:t>
                  </w:r>
                </w:p>
              </w:tc>
            </w:tr>
          </w:tbl>
          <w:p w:rsidR="00205109" w:rsidRDefault="00205109" w:rsidP="00153F12">
            <w:pPr>
              <w:spacing w:after="0"/>
              <w:contextualSpacing/>
              <w:jc w:val="both"/>
              <w:rPr>
                <w:rFonts w:ascii="Arial" w:hAnsi="Arial" w:cs="Arial"/>
                <w:b/>
                <w:color w:val="000000"/>
                <w:sz w:val="20"/>
              </w:rPr>
            </w:pPr>
          </w:p>
          <w:p w:rsidR="00ED5322" w:rsidRDefault="00ED5322" w:rsidP="00153F12">
            <w:pPr>
              <w:spacing w:after="0"/>
              <w:contextualSpacing/>
              <w:jc w:val="both"/>
              <w:rPr>
                <w:rFonts w:ascii="Arial" w:hAnsi="Arial" w:cs="Arial"/>
                <w:b/>
                <w:color w:val="000000"/>
                <w:sz w:val="20"/>
              </w:rPr>
            </w:pPr>
          </w:p>
          <w:p w:rsidR="00ED5322" w:rsidRDefault="00ED5322" w:rsidP="00153F12">
            <w:pPr>
              <w:spacing w:after="0"/>
              <w:contextualSpacing/>
              <w:jc w:val="both"/>
              <w:rPr>
                <w:rFonts w:ascii="Arial" w:hAnsi="Arial" w:cs="Arial"/>
                <w:b/>
                <w:color w:val="000000"/>
                <w:sz w:val="20"/>
              </w:rPr>
            </w:pPr>
          </w:p>
          <w:p w:rsidR="00ED5322" w:rsidRDefault="00ED5322" w:rsidP="00153F12">
            <w:pPr>
              <w:spacing w:after="0"/>
              <w:contextualSpacing/>
              <w:jc w:val="both"/>
              <w:rPr>
                <w:rFonts w:ascii="Arial" w:hAnsi="Arial" w:cs="Arial"/>
                <w:b/>
                <w:color w:val="000000"/>
                <w:sz w:val="20"/>
              </w:rPr>
            </w:pPr>
            <w:r>
              <w:rPr>
                <w:rFonts w:ascii="Arial" w:hAnsi="Arial" w:cs="Arial"/>
                <w:b/>
                <w:color w:val="000000"/>
                <w:sz w:val="20"/>
              </w:rPr>
              <w:t xml:space="preserve">8.2 Block </w:t>
            </w:r>
            <w:r w:rsidR="007722D9">
              <w:rPr>
                <w:rFonts w:ascii="Arial" w:hAnsi="Arial" w:cs="Arial"/>
                <w:b/>
                <w:color w:val="000000"/>
                <w:sz w:val="20"/>
              </w:rPr>
              <w:t>Payment</w:t>
            </w:r>
          </w:p>
          <w:p w:rsidR="00ED5322" w:rsidRPr="00ED5322" w:rsidRDefault="00ED5322" w:rsidP="00153F12">
            <w:pPr>
              <w:spacing w:after="0"/>
              <w:contextualSpacing/>
              <w:jc w:val="both"/>
              <w:rPr>
                <w:rFonts w:ascii="Arial" w:hAnsi="Arial" w:cs="Arial"/>
                <w:color w:val="000000"/>
                <w:sz w:val="20"/>
              </w:rPr>
            </w:pPr>
            <w:r w:rsidRPr="00ED5322">
              <w:rPr>
                <w:rFonts w:ascii="Arial" w:hAnsi="Arial" w:cs="Arial"/>
                <w:color w:val="000000"/>
                <w:sz w:val="20"/>
              </w:rPr>
              <w:t xml:space="preserve">The </w:t>
            </w:r>
            <w:r>
              <w:rPr>
                <w:rFonts w:ascii="Arial" w:hAnsi="Arial" w:cs="Arial"/>
                <w:color w:val="000000"/>
                <w:sz w:val="20"/>
              </w:rPr>
              <w:t xml:space="preserve">commissioner, NHS Tower Hamlets </w:t>
            </w:r>
            <w:r w:rsidRPr="00ED5322">
              <w:rPr>
                <w:rFonts w:ascii="Arial" w:hAnsi="Arial" w:cs="Arial"/>
                <w:color w:val="000000"/>
                <w:sz w:val="20"/>
              </w:rPr>
              <w:t xml:space="preserve">CCG will </w:t>
            </w:r>
            <w:r w:rsidR="00ED5ED1">
              <w:rPr>
                <w:rFonts w:ascii="Arial" w:hAnsi="Arial" w:cs="Arial"/>
                <w:color w:val="000000"/>
                <w:sz w:val="20"/>
              </w:rPr>
              <w:t>commission this service paying 7</w:t>
            </w:r>
            <w:r w:rsidRPr="00ED5322">
              <w:rPr>
                <w:rFonts w:ascii="Arial" w:hAnsi="Arial" w:cs="Arial"/>
                <w:color w:val="000000"/>
                <w:sz w:val="20"/>
              </w:rPr>
              <w:t xml:space="preserve">0% of the contract Value to the Prime Contractor </w:t>
            </w:r>
            <w:r>
              <w:rPr>
                <w:rFonts w:ascii="Arial" w:hAnsi="Arial" w:cs="Arial"/>
                <w:color w:val="000000"/>
                <w:sz w:val="20"/>
              </w:rPr>
              <w:t>u</w:t>
            </w:r>
            <w:r w:rsidRPr="00ED5322">
              <w:rPr>
                <w:rFonts w:ascii="Arial" w:hAnsi="Arial" w:cs="Arial"/>
                <w:color w:val="000000"/>
                <w:sz w:val="20"/>
              </w:rPr>
              <w:t>pfront</w:t>
            </w:r>
            <w:r>
              <w:rPr>
                <w:rFonts w:ascii="Arial" w:hAnsi="Arial" w:cs="Arial"/>
                <w:color w:val="000000"/>
                <w:sz w:val="20"/>
              </w:rPr>
              <w:t xml:space="preserve"> upon commencement of the service</w:t>
            </w:r>
            <w:r w:rsidRPr="00ED5322">
              <w:rPr>
                <w:rFonts w:ascii="Arial" w:hAnsi="Arial" w:cs="Arial"/>
                <w:color w:val="000000"/>
                <w:sz w:val="20"/>
              </w:rPr>
              <w:t>. The minimum contract value that will be awarded to the successful bidder has been outlined by year below:</w:t>
            </w:r>
          </w:p>
          <w:p w:rsidR="00ED5322" w:rsidRDefault="00ED5322" w:rsidP="00153F12">
            <w:pPr>
              <w:spacing w:after="0"/>
              <w:contextualSpacing/>
              <w:jc w:val="both"/>
              <w:rPr>
                <w:rFonts w:ascii="Arial" w:hAnsi="Arial" w:cs="Arial"/>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4"/>
              <w:gridCol w:w="1484"/>
              <w:gridCol w:w="1484"/>
              <w:gridCol w:w="1484"/>
              <w:gridCol w:w="1484"/>
            </w:tblGrid>
            <w:tr w:rsidR="00ED5322" w:rsidRPr="00385FDF" w:rsidTr="00385FDF">
              <w:trPr>
                <w:trHeight w:val="774"/>
              </w:trPr>
              <w:tc>
                <w:tcPr>
                  <w:tcW w:w="8903" w:type="dxa"/>
                  <w:gridSpan w:val="6"/>
                  <w:shd w:val="clear" w:color="auto" w:fill="BFBFBF"/>
                </w:tcPr>
                <w:p w:rsidR="00ED5322" w:rsidRPr="00385FDF" w:rsidRDefault="00ED5322" w:rsidP="00385FDF">
                  <w:pPr>
                    <w:spacing w:after="0"/>
                    <w:contextualSpacing/>
                    <w:jc w:val="both"/>
                    <w:rPr>
                      <w:rFonts w:ascii="Arial" w:hAnsi="Arial" w:cs="Arial"/>
                      <w:b/>
                      <w:color w:val="BFBFBF"/>
                      <w:sz w:val="20"/>
                    </w:rPr>
                  </w:pPr>
                  <w:r w:rsidRPr="00385FDF">
                    <w:rPr>
                      <w:rFonts w:ascii="Arial" w:eastAsia="Calibri" w:hAnsi="Arial" w:cs="Arial"/>
                      <w:b/>
                      <w:bCs/>
                      <w:color w:val="000000"/>
                      <w:szCs w:val="24"/>
                      <w:lang w:val="en-GB" w:eastAsia="en-GB"/>
                    </w:rPr>
                    <w:t>Block Payment Schedule</w:t>
                  </w:r>
                </w:p>
              </w:tc>
            </w:tr>
            <w:tr w:rsidR="00ED5322" w:rsidRPr="00385FDF" w:rsidTr="00385FDF">
              <w:tc>
                <w:tcPr>
                  <w:tcW w:w="1483" w:type="dxa"/>
                  <w:shd w:val="clear" w:color="auto" w:fill="D9D9D9"/>
                </w:tcPr>
                <w:p w:rsidR="00ED5322" w:rsidRPr="00385FDF" w:rsidRDefault="00ED5322" w:rsidP="00385FDF">
                  <w:pPr>
                    <w:pStyle w:val="Default"/>
                    <w:contextualSpacing/>
                    <w:rPr>
                      <w:b/>
                      <w:sz w:val="20"/>
                      <w:szCs w:val="20"/>
                    </w:rPr>
                  </w:pPr>
                  <w:r w:rsidRPr="00385FDF">
                    <w:rPr>
                      <w:b/>
                      <w:sz w:val="20"/>
                      <w:szCs w:val="20"/>
                    </w:rPr>
                    <w:t>Financial Year</w:t>
                  </w:r>
                </w:p>
              </w:tc>
              <w:tc>
                <w:tcPr>
                  <w:tcW w:w="1484" w:type="dxa"/>
                  <w:shd w:val="clear" w:color="auto" w:fill="D9D9D9"/>
                </w:tcPr>
                <w:p w:rsidR="00ED5322" w:rsidRPr="00385FDF" w:rsidRDefault="00ED5322" w:rsidP="00385FDF">
                  <w:pPr>
                    <w:pStyle w:val="Default"/>
                    <w:contextualSpacing/>
                    <w:rPr>
                      <w:b/>
                      <w:sz w:val="20"/>
                      <w:szCs w:val="20"/>
                    </w:rPr>
                  </w:pPr>
                  <w:r w:rsidRPr="00385FDF">
                    <w:rPr>
                      <w:b/>
                      <w:sz w:val="20"/>
                      <w:szCs w:val="20"/>
                    </w:rPr>
                    <w:t>Payment Method</w:t>
                  </w:r>
                </w:p>
              </w:tc>
              <w:tc>
                <w:tcPr>
                  <w:tcW w:w="1484" w:type="dxa"/>
                  <w:shd w:val="clear" w:color="auto" w:fill="D9D9D9"/>
                </w:tcPr>
                <w:p w:rsidR="00ED5322" w:rsidRPr="00385FDF" w:rsidRDefault="00ED5322" w:rsidP="00385FDF">
                  <w:pPr>
                    <w:pStyle w:val="Default"/>
                    <w:contextualSpacing/>
                    <w:rPr>
                      <w:b/>
                      <w:sz w:val="20"/>
                      <w:szCs w:val="20"/>
                    </w:rPr>
                  </w:pPr>
                  <w:r w:rsidRPr="00385FDF">
                    <w:rPr>
                      <w:b/>
                      <w:sz w:val="20"/>
                      <w:szCs w:val="20"/>
                    </w:rPr>
                    <w:t>Currency</w:t>
                  </w:r>
                </w:p>
              </w:tc>
              <w:tc>
                <w:tcPr>
                  <w:tcW w:w="1484" w:type="dxa"/>
                  <w:shd w:val="clear" w:color="auto" w:fill="D9D9D9"/>
                </w:tcPr>
                <w:p w:rsidR="00ED5322" w:rsidRPr="00385FDF" w:rsidRDefault="00ED5322" w:rsidP="00385FDF">
                  <w:pPr>
                    <w:pStyle w:val="Default"/>
                    <w:contextualSpacing/>
                    <w:rPr>
                      <w:b/>
                      <w:sz w:val="20"/>
                      <w:szCs w:val="20"/>
                    </w:rPr>
                  </w:pPr>
                  <w:r w:rsidRPr="00385FDF">
                    <w:rPr>
                      <w:b/>
                      <w:sz w:val="20"/>
                      <w:szCs w:val="20"/>
                    </w:rPr>
                    <w:t>Payment Method</w:t>
                  </w:r>
                </w:p>
              </w:tc>
              <w:tc>
                <w:tcPr>
                  <w:tcW w:w="1484" w:type="dxa"/>
                  <w:shd w:val="clear" w:color="auto" w:fill="D9D9D9"/>
                </w:tcPr>
                <w:p w:rsidR="00ED5322" w:rsidRPr="00385FDF" w:rsidRDefault="00ED5322" w:rsidP="00385FDF">
                  <w:pPr>
                    <w:pStyle w:val="Default"/>
                    <w:contextualSpacing/>
                    <w:rPr>
                      <w:b/>
                      <w:sz w:val="20"/>
                      <w:szCs w:val="20"/>
                    </w:rPr>
                  </w:pPr>
                  <w:r w:rsidRPr="00385FDF">
                    <w:rPr>
                      <w:b/>
                      <w:sz w:val="20"/>
                      <w:szCs w:val="20"/>
                    </w:rPr>
                    <w:t xml:space="preserve">Thresholds </w:t>
                  </w:r>
                </w:p>
              </w:tc>
              <w:tc>
                <w:tcPr>
                  <w:tcW w:w="1484" w:type="dxa"/>
                  <w:shd w:val="clear" w:color="auto" w:fill="D9D9D9"/>
                </w:tcPr>
                <w:p w:rsidR="00ED5322" w:rsidRPr="00385FDF" w:rsidRDefault="00ED5322" w:rsidP="00385FDF">
                  <w:pPr>
                    <w:pStyle w:val="Default"/>
                    <w:contextualSpacing/>
                    <w:rPr>
                      <w:b/>
                      <w:sz w:val="20"/>
                      <w:szCs w:val="20"/>
                    </w:rPr>
                  </w:pPr>
                  <w:r w:rsidRPr="00385FDF">
                    <w:rPr>
                      <w:b/>
                      <w:sz w:val="20"/>
                      <w:szCs w:val="20"/>
                    </w:rPr>
                    <w:t xml:space="preserve">Annual Contract Value </w:t>
                  </w:r>
                </w:p>
              </w:tc>
            </w:tr>
            <w:tr w:rsidR="00ED5322" w:rsidRPr="00385FDF" w:rsidTr="00385FDF">
              <w:tc>
                <w:tcPr>
                  <w:tcW w:w="1483" w:type="dxa"/>
                  <w:shd w:val="clear" w:color="auto" w:fill="auto"/>
                </w:tcPr>
                <w:p w:rsidR="00ED5322" w:rsidRPr="00385FDF" w:rsidRDefault="00ED5322" w:rsidP="00385FDF">
                  <w:pPr>
                    <w:spacing w:after="0"/>
                    <w:contextualSpacing/>
                    <w:rPr>
                      <w:rFonts w:ascii="Arial" w:hAnsi="Arial" w:cs="Arial"/>
                      <w:b/>
                      <w:color w:val="000000"/>
                      <w:sz w:val="20"/>
                    </w:rPr>
                  </w:pPr>
                  <w:r w:rsidRPr="00385FDF">
                    <w:rPr>
                      <w:rFonts w:ascii="Arial" w:hAnsi="Arial" w:cs="Arial"/>
                      <w:b/>
                      <w:color w:val="000000"/>
                      <w:sz w:val="20"/>
                    </w:rPr>
                    <w:t>2016/17</w:t>
                  </w:r>
                </w:p>
              </w:tc>
              <w:tc>
                <w:tcPr>
                  <w:tcW w:w="1484" w:type="dxa"/>
                  <w:shd w:val="clear" w:color="auto" w:fill="auto"/>
                </w:tcPr>
                <w:p w:rsidR="00ED5322" w:rsidRPr="00385FDF" w:rsidRDefault="00ED5322" w:rsidP="00385FDF">
                  <w:pPr>
                    <w:spacing w:after="0"/>
                    <w:contextualSpacing/>
                    <w:rPr>
                      <w:rFonts w:ascii="Arial" w:hAnsi="Arial" w:cs="Arial"/>
                      <w:color w:val="F79646"/>
                      <w:sz w:val="20"/>
                    </w:rPr>
                  </w:pPr>
                  <w:r w:rsidRPr="00385FDF">
                    <w:rPr>
                      <w:rFonts w:ascii="Arial" w:hAnsi="Arial" w:cs="Arial"/>
                      <w:color w:val="000000"/>
                      <w:sz w:val="20"/>
                    </w:rPr>
                    <w:t xml:space="preserve">Block </w:t>
                  </w:r>
                </w:p>
              </w:tc>
              <w:tc>
                <w:tcPr>
                  <w:tcW w:w="1484" w:type="dxa"/>
                  <w:shd w:val="clear" w:color="auto" w:fill="auto"/>
                </w:tcPr>
                <w:p w:rsidR="00ED5322" w:rsidRPr="00385FDF" w:rsidRDefault="00ED5322" w:rsidP="00385FDF">
                  <w:pPr>
                    <w:pStyle w:val="Default"/>
                    <w:contextualSpacing/>
                    <w:rPr>
                      <w:b/>
                      <w:bCs/>
                      <w:sz w:val="20"/>
                      <w:szCs w:val="20"/>
                    </w:rPr>
                  </w:pPr>
                  <w:r w:rsidRPr="00385FDF">
                    <w:rPr>
                      <w:b/>
                      <w:bCs/>
                      <w:sz w:val="20"/>
                      <w:szCs w:val="20"/>
                    </w:rPr>
                    <w:t>£GBP</w:t>
                  </w:r>
                </w:p>
              </w:tc>
              <w:tc>
                <w:tcPr>
                  <w:tcW w:w="1484" w:type="dxa"/>
                  <w:shd w:val="clear" w:color="auto" w:fill="auto"/>
                </w:tcPr>
                <w:p w:rsidR="00ED5322" w:rsidRPr="00385FDF" w:rsidRDefault="00ED5ED1" w:rsidP="00385FDF">
                  <w:pPr>
                    <w:pStyle w:val="Default"/>
                    <w:contextualSpacing/>
                    <w:rPr>
                      <w:sz w:val="20"/>
                      <w:szCs w:val="20"/>
                    </w:rPr>
                  </w:pPr>
                  <w:r>
                    <w:rPr>
                      <w:sz w:val="20"/>
                      <w:szCs w:val="20"/>
                    </w:rPr>
                    <w:t>7</w:t>
                  </w:r>
                  <w:r w:rsidR="00ED5322" w:rsidRPr="00385FDF">
                    <w:rPr>
                      <w:sz w:val="20"/>
                      <w:szCs w:val="20"/>
                    </w:rPr>
                    <w:t>0% of total contract value as an upfront Payment</w:t>
                  </w:r>
                </w:p>
                <w:p w:rsidR="00ED5322" w:rsidRPr="00385FDF" w:rsidRDefault="00ED5322" w:rsidP="00385FDF">
                  <w:pPr>
                    <w:pStyle w:val="Default"/>
                    <w:contextualSpacing/>
                    <w:rPr>
                      <w:sz w:val="20"/>
                      <w:szCs w:val="20"/>
                    </w:rPr>
                  </w:pPr>
                </w:p>
              </w:tc>
              <w:tc>
                <w:tcPr>
                  <w:tcW w:w="1484" w:type="dxa"/>
                  <w:shd w:val="clear" w:color="auto" w:fill="auto"/>
                </w:tcPr>
                <w:p w:rsidR="00ED5322" w:rsidRPr="00385FDF" w:rsidRDefault="00ED5322" w:rsidP="00385FDF">
                  <w:pPr>
                    <w:pStyle w:val="Default"/>
                    <w:contextualSpacing/>
                    <w:rPr>
                      <w:sz w:val="20"/>
                      <w:szCs w:val="20"/>
                    </w:rPr>
                  </w:pPr>
                  <w:r w:rsidRPr="00385FDF">
                    <w:rPr>
                      <w:sz w:val="20"/>
                      <w:szCs w:val="20"/>
                    </w:rPr>
                    <w:t>Award of Tender</w:t>
                  </w:r>
                </w:p>
              </w:tc>
              <w:tc>
                <w:tcPr>
                  <w:tcW w:w="1484" w:type="dxa"/>
                  <w:shd w:val="clear" w:color="auto" w:fill="auto"/>
                </w:tcPr>
                <w:p w:rsidR="00ED5322" w:rsidRPr="00385FDF" w:rsidRDefault="00ED5322" w:rsidP="00ED5ED1">
                  <w:pPr>
                    <w:pStyle w:val="Default"/>
                    <w:contextualSpacing/>
                    <w:rPr>
                      <w:sz w:val="20"/>
                      <w:szCs w:val="20"/>
                    </w:rPr>
                  </w:pPr>
                  <w:r w:rsidRPr="00385FDF">
                    <w:rPr>
                      <w:bCs/>
                      <w:sz w:val="20"/>
                      <w:szCs w:val="20"/>
                    </w:rPr>
                    <w:t xml:space="preserve">£ </w:t>
                  </w:r>
                  <w:r w:rsidR="00ED5ED1">
                    <w:rPr>
                      <w:bCs/>
                      <w:sz w:val="20"/>
                      <w:szCs w:val="20"/>
                    </w:rPr>
                    <w:t>668,796</w:t>
                  </w:r>
                </w:p>
              </w:tc>
            </w:tr>
            <w:tr w:rsidR="00ED5322" w:rsidRPr="00385FDF" w:rsidTr="00385FDF">
              <w:tc>
                <w:tcPr>
                  <w:tcW w:w="1483" w:type="dxa"/>
                  <w:shd w:val="clear" w:color="auto" w:fill="auto"/>
                </w:tcPr>
                <w:p w:rsidR="00ED5322" w:rsidRPr="00385FDF" w:rsidRDefault="00ED5322" w:rsidP="00385FDF">
                  <w:pPr>
                    <w:spacing w:after="0"/>
                    <w:contextualSpacing/>
                    <w:rPr>
                      <w:rFonts w:ascii="Arial" w:hAnsi="Arial" w:cs="Arial"/>
                      <w:b/>
                      <w:color w:val="000000"/>
                      <w:sz w:val="20"/>
                    </w:rPr>
                  </w:pPr>
                  <w:r w:rsidRPr="00385FDF">
                    <w:rPr>
                      <w:rFonts w:ascii="Arial" w:hAnsi="Arial" w:cs="Arial"/>
                      <w:b/>
                      <w:color w:val="000000"/>
                      <w:sz w:val="20"/>
                    </w:rPr>
                    <w:t>2017/18</w:t>
                  </w:r>
                </w:p>
              </w:tc>
              <w:tc>
                <w:tcPr>
                  <w:tcW w:w="1484" w:type="dxa"/>
                  <w:shd w:val="clear" w:color="auto" w:fill="auto"/>
                </w:tcPr>
                <w:p w:rsidR="00ED5322" w:rsidRPr="00385FDF" w:rsidRDefault="00ED5322" w:rsidP="00385FDF">
                  <w:pPr>
                    <w:spacing w:after="0"/>
                    <w:contextualSpacing/>
                    <w:rPr>
                      <w:rFonts w:ascii="Arial" w:hAnsi="Arial" w:cs="Arial"/>
                      <w:color w:val="F79646"/>
                      <w:sz w:val="20"/>
                    </w:rPr>
                  </w:pPr>
                  <w:r w:rsidRPr="00385FDF">
                    <w:rPr>
                      <w:rFonts w:ascii="Arial" w:hAnsi="Arial" w:cs="Arial"/>
                      <w:color w:val="000000"/>
                      <w:sz w:val="20"/>
                    </w:rPr>
                    <w:t xml:space="preserve">Block </w:t>
                  </w:r>
                </w:p>
              </w:tc>
              <w:tc>
                <w:tcPr>
                  <w:tcW w:w="1484" w:type="dxa"/>
                  <w:shd w:val="clear" w:color="auto" w:fill="auto"/>
                </w:tcPr>
                <w:p w:rsidR="00ED5322" w:rsidRPr="00385FDF" w:rsidRDefault="00ED5322" w:rsidP="00385FDF">
                  <w:pPr>
                    <w:rPr>
                      <w:rFonts w:ascii="Arial" w:hAnsi="Arial" w:cs="Arial"/>
                    </w:rPr>
                  </w:pPr>
                  <w:r w:rsidRPr="00385FDF">
                    <w:rPr>
                      <w:rFonts w:ascii="Arial" w:hAnsi="Arial" w:cs="Arial"/>
                      <w:b/>
                      <w:bCs/>
                      <w:sz w:val="20"/>
                    </w:rPr>
                    <w:t>£GBP</w:t>
                  </w:r>
                </w:p>
              </w:tc>
              <w:tc>
                <w:tcPr>
                  <w:tcW w:w="1484" w:type="dxa"/>
                  <w:shd w:val="clear" w:color="auto" w:fill="auto"/>
                </w:tcPr>
                <w:p w:rsidR="00ED5322" w:rsidRPr="00385FDF" w:rsidRDefault="00ED5ED1" w:rsidP="00385FDF">
                  <w:pPr>
                    <w:pStyle w:val="Default"/>
                    <w:contextualSpacing/>
                    <w:rPr>
                      <w:sz w:val="20"/>
                      <w:szCs w:val="20"/>
                    </w:rPr>
                  </w:pPr>
                  <w:r>
                    <w:rPr>
                      <w:sz w:val="20"/>
                      <w:szCs w:val="20"/>
                    </w:rPr>
                    <w:t>7</w:t>
                  </w:r>
                  <w:r w:rsidR="00ED5322" w:rsidRPr="00385FDF">
                    <w:rPr>
                      <w:sz w:val="20"/>
                      <w:szCs w:val="20"/>
                    </w:rPr>
                    <w:t>0% of total contract value as an upfront Payment</w:t>
                  </w:r>
                </w:p>
                <w:p w:rsidR="00ED5322" w:rsidRPr="00385FDF" w:rsidRDefault="00ED5322" w:rsidP="00385FDF">
                  <w:pPr>
                    <w:pStyle w:val="Default"/>
                    <w:contextualSpacing/>
                    <w:rPr>
                      <w:sz w:val="20"/>
                      <w:szCs w:val="20"/>
                    </w:rPr>
                  </w:pPr>
                </w:p>
              </w:tc>
              <w:tc>
                <w:tcPr>
                  <w:tcW w:w="1484" w:type="dxa"/>
                  <w:shd w:val="clear" w:color="auto" w:fill="auto"/>
                </w:tcPr>
                <w:p w:rsidR="00ED5322" w:rsidRPr="00385FDF" w:rsidRDefault="00ED5322" w:rsidP="00385FDF">
                  <w:pPr>
                    <w:pStyle w:val="Default"/>
                    <w:contextualSpacing/>
                    <w:rPr>
                      <w:sz w:val="20"/>
                      <w:szCs w:val="20"/>
                    </w:rPr>
                  </w:pPr>
                  <w:r w:rsidRPr="00385FDF">
                    <w:rPr>
                      <w:sz w:val="20"/>
                      <w:szCs w:val="20"/>
                    </w:rPr>
                    <w:t>Award of Tender</w:t>
                  </w:r>
                </w:p>
              </w:tc>
              <w:tc>
                <w:tcPr>
                  <w:tcW w:w="1484" w:type="dxa"/>
                  <w:shd w:val="clear" w:color="auto" w:fill="auto"/>
                </w:tcPr>
                <w:p w:rsidR="00ED5322" w:rsidRPr="00385FDF" w:rsidRDefault="00ED5322" w:rsidP="00ED5ED1">
                  <w:pPr>
                    <w:pStyle w:val="Default"/>
                    <w:contextualSpacing/>
                    <w:rPr>
                      <w:sz w:val="20"/>
                      <w:szCs w:val="20"/>
                    </w:rPr>
                  </w:pPr>
                  <w:r w:rsidRPr="00385FDF">
                    <w:rPr>
                      <w:bCs/>
                      <w:sz w:val="20"/>
                      <w:szCs w:val="20"/>
                    </w:rPr>
                    <w:t xml:space="preserve">£ </w:t>
                  </w:r>
                  <w:r w:rsidR="00ED5ED1">
                    <w:rPr>
                      <w:bCs/>
                      <w:sz w:val="20"/>
                      <w:szCs w:val="20"/>
                    </w:rPr>
                    <w:t>654,082</w:t>
                  </w:r>
                </w:p>
              </w:tc>
            </w:tr>
            <w:tr w:rsidR="00ED5322" w:rsidRPr="00385FDF" w:rsidTr="00385FDF">
              <w:tc>
                <w:tcPr>
                  <w:tcW w:w="1483" w:type="dxa"/>
                  <w:shd w:val="clear" w:color="auto" w:fill="auto"/>
                </w:tcPr>
                <w:p w:rsidR="00ED5322" w:rsidRPr="00385FDF" w:rsidRDefault="00ED5322" w:rsidP="00385FDF">
                  <w:pPr>
                    <w:spacing w:after="0"/>
                    <w:contextualSpacing/>
                    <w:rPr>
                      <w:rFonts w:ascii="Arial" w:hAnsi="Arial" w:cs="Arial"/>
                      <w:b/>
                      <w:color w:val="000000"/>
                      <w:sz w:val="20"/>
                    </w:rPr>
                  </w:pPr>
                  <w:r w:rsidRPr="00385FDF">
                    <w:rPr>
                      <w:rFonts w:ascii="Arial" w:hAnsi="Arial" w:cs="Arial"/>
                      <w:b/>
                      <w:color w:val="000000"/>
                      <w:sz w:val="20"/>
                    </w:rPr>
                    <w:t>2018/19</w:t>
                  </w:r>
                </w:p>
              </w:tc>
              <w:tc>
                <w:tcPr>
                  <w:tcW w:w="1484" w:type="dxa"/>
                  <w:shd w:val="clear" w:color="auto" w:fill="auto"/>
                </w:tcPr>
                <w:p w:rsidR="00ED5322" w:rsidRPr="00385FDF" w:rsidRDefault="00ED5322" w:rsidP="00385FDF">
                  <w:pPr>
                    <w:spacing w:after="0"/>
                    <w:contextualSpacing/>
                    <w:rPr>
                      <w:rFonts w:ascii="Arial" w:hAnsi="Arial" w:cs="Arial"/>
                      <w:color w:val="F79646"/>
                      <w:sz w:val="20"/>
                    </w:rPr>
                  </w:pPr>
                  <w:r w:rsidRPr="00385FDF">
                    <w:rPr>
                      <w:rFonts w:ascii="Arial" w:hAnsi="Arial" w:cs="Arial"/>
                      <w:color w:val="000000"/>
                      <w:sz w:val="20"/>
                    </w:rPr>
                    <w:t xml:space="preserve">Block </w:t>
                  </w:r>
                </w:p>
              </w:tc>
              <w:tc>
                <w:tcPr>
                  <w:tcW w:w="1484" w:type="dxa"/>
                  <w:shd w:val="clear" w:color="auto" w:fill="auto"/>
                </w:tcPr>
                <w:p w:rsidR="00ED5322" w:rsidRPr="00385FDF" w:rsidRDefault="00ED5322" w:rsidP="00385FDF">
                  <w:pPr>
                    <w:rPr>
                      <w:rFonts w:ascii="Arial" w:hAnsi="Arial" w:cs="Arial"/>
                    </w:rPr>
                  </w:pPr>
                  <w:r w:rsidRPr="00385FDF">
                    <w:rPr>
                      <w:rFonts w:ascii="Arial" w:hAnsi="Arial" w:cs="Arial"/>
                      <w:b/>
                      <w:bCs/>
                      <w:sz w:val="20"/>
                    </w:rPr>
                    <w:t>£GBP</w:t>
                  </w:r>
                </w:p>
              </w:tc>
              <w:tc>
                <w:tcPr>
                  <w:tcW w:w="1484" w:type="dxa"/>
                  <w:shd w:val="clear" w:color="auto" w:fill="auto"/>
                </w:tcPr>
                <w:p w:rsidR="00ED5322" w:rsidRPr="00385FDF" w:rsidRDefault="00ED5ED1" w:rsidP="00385FDF">
                  <w:pPr>
                    <w:pStyle w:val="Default"/>
                    <w:contextualSpacing/>
                    <w:rPr>
                      <w:sz w:val="20"/>
                      <w:szCs w:val="20"/>
                    </w:rPr>
                  </w:pPr>
                  <w:r>
                    <w:rPr>
                      <w:sz w:val="20"/>
                      <w:szCs w:val="20"/>
                    </w:rPr>
                    <w:t>7</w:t>
                  </w:r>
                  <w:r w:rsidR="00ED5322" w:rsidRPr="00385FDF">
                    <w:rPr>
                      <w:sz w:val="20"/>
                      <w:szCs w:val="20"/>
                    </w:rPr>
                    <w:t>0% of total contract value as an upfront Payment</w:t>
                  </w:r>
                </w:p>
                <w:p w:rsidR="00ED5322" w:rsidRPr="00385FDF" w:rsidRDefault="00ED5322" w:rsidP="00385FDF">
                  <w:pPr>
                    <w:pStyle w:val="Default"/>
                    <w:contextualSpacing/>
                    <w:rPr>
                      <w:sz w:val="20"/>
                      <w:szCs w:val="20"/>
                    </w:rPr>
                  </w:pPr>
                </w:p>
              </w:tc>
              <w:tc>
                <w:tcPr>
                  <w:tcW w:w="1484" w:type="dxa"/>
                  <w:shd w:val="clear" w:color="auto" w:fill="auto"/>
                </w:tcPr>
                <w:p w:rsidR="00ED5322" w:rsidRPr="00385FDF" w:rsidRDefault="00ED5322" w:rsidP="00385FDF">
                  <w:pPr>
                    <w:pStyle w:val="Default"/>
                    <w:contextualSpacing/>
                    <w:rPr>
                      <w:sz w:val="20"/>
                      <w:szCs w:val="20"/>
                    </w:rPr>
                  </w:pPr>
                  <w:r w:rsidRPr="00385FDF">
                    <w:rPr>
                      <w:sz w:val="20"/>
                      <w:szCs w:val="20"/>
                    </w:rPr>
                    <w:t>Award of Tender</w:t>
                  </w:r>
                </w:p>
              </w:tc>
              <w:tc>
                <w:tcPr>
                  <w:tcW w:w="1484" w:type="dxa"/>
                  <w:shd w:val="clear" w:color="auto" w:fill="auto"/>
                </w:tcPr>
                <w:p w:rsidR="00ED5322" w:rsidRPr="00385FDF" w:rsidRDefault="00ED5322" w:rsidP="00ED5ED1">
                  <w:pPr>
                    <w:pStyle w:val="Default"/>
                    <w:contextualSpacing/>
                    <w:rPr>
                      <w:sz w:val="20"/>
                      <w:szCs w:val="20"/>
                    </w:rPr>
                  </w:pPr>
                  <w:r w:rsidRPr="00385FDF">
                    <w:rPr>
                      <w:bCs/>
                      <w:sz w:val="20"/>
                      <w:szCs w:val="20"/>
                    </w:rPr>
                    <w:t xml:space="preserve">£ </w:t>
                  </w:r>
                  <w:r w:rsidR="00ED5ED1">
                    <w:rPr>
                      <w:bCs/>
                      <w:sz w:val="20"/>
                      <w:szCs w:val="20"/>
                    </w:rPr>
                    <w:t>639,692</w:t>
                  </w:r>
                </w:p>
              </w:tc>
            </w:tr>
            <w:tr w:rsidR="00ED5322" w:rsidRPr="00385FDF" w:rsidTr="00385FDF">
              <w:tc>
                <w:tcPr>
                  <w:tcW w:w="1483" w:type="dxa"/>
                  <w:shd w:val="clear" w:color="auto" w:fill="auto"/>
                </w:tcPr>
                <w:p w:rsidR="00ED5322" w:rsidRPr="00385FDF" w:rsidRDefault="00ED5322" w:rsidP="00385FDF">
                  <w:pPr>
                    <w:spacing w:after="0"/>
                    <w:contextualSpacing/>
                    <w:rPr>
                      <w:rFonts w:ascii="Arial" w:hAnsi="Arial" w:cs="Arial"/>
                      <w:b/>
                      <w:color w:val="000000"/>
                      <w:sz w:val="20"/>
                    </w:rPr>
                  </w:pPr>
                  <w:r w:rsidRPr="00385FDF">
                    <w:rPr>
                      <w:rFonts w:ascii="Arial" w:hAnsi="Arial" w:cs="Arial"/>
                      <w:b/>
                      <w:color w:val="000000"/>
                      <w:sz w:val="20"/>
                    </w:rPr>
                    <w:t>2019/20</w:t>
                  </w:r>
                </w:p>
              </w:tc>
              <w:tc>
                <w:tcPr>
                  <w:tcW w:w="1484" w:type="dxa"/>
                  <w:shd w:val="clear" w:color="auto" w:fill="auto"/>
                </w:tcPr>
                <w:p w:rsidR="00ED5322" w:rsidRPr="00385FDF" w:rsidRDefault="00ED5322" w:rsidP="00385FDF">
                  <w:pPr>
                    <w:spacing w:after="0"/>
                    <w:contextualSpacing/>
                    <w:rPr>
                      <w:rFonts w:ascii="Arial" w:hAnsi="Arial" w:cs="Arial"/>
                      <w:color w:val="F79646"/>
                      <w:sz w:val="20"/>
                    </w:rPr>
                  </w:pPr>
                  <w:r w:rsidRPr="00385FDF">
                    <w:rPr>
                      <w:rFonts w:ascii="Arial" w:hAnsi="Arial" w:cs="Arial"/>
                      <w:color w:val="000000"/>
                      <w:sz w:val="20"/>
                    </w:rPr>
                    <w:t xml:space="preserve">Block </w:t>
                  </w:r>
                </w:p>
              </w:tc>
              <w:tc>
                <w:tcPr>
                  <w:tcW w:w="1484" w:type="dxa"/>
                  <w:shd w:val="clear" w:color="auto" w:fill="auto"/>
                </w:tcPr>
                <w:p w:rsidR="00ED5322" w:rsidRPr="00385FDF" w:rsidRDefault="00ED5322" w:rsidP="00385FDF">
                  <w:pPr>
                    <w:rPr>
                      <w:rFonts w:ascii="Arial" w:hAnsi="Arial" w:cs="Arial"/>
                    </w:rPr>
                  </w:pPr>
                  <w:r w:rsidRPr="00385FDF">
                    <w:rPr>
                      <w:rFonts w:ascii="Arial" w:hAnsi="Arial" w:cs="Arial"/>
                      <w:b/>
                      <w:bCs/>
                      <w:sz w:val="20"/>
                    </w:rPr>
                    <w:t>£GBP</w:t>
                  </w:r>
                </w:p>
              </w:tc>
              <w:tc>
                <w:tcPr>
                  <w:tcW w:w="1484" w:type="dxa"/>
                  <w:shd w:val="clear" w:color="auto" w:fill="auto"/>
                </w:tcPr>
                <w:p w:rsidR="00ED5322" w:rsidRPr="00385FDF" w:rsidRDefault="00ED5ED1" w:rsidP="00385FDF">
                  <w:pPr>
                    <w:pStyle w:val="Default"/>
                    <w:contextualSpacing/>
                    <w:rPr>
                      <w:sz w:val="20"/>
                      <w:szCs w:val="20"/>
                    </w:rPr>
                  </w:pPr>
                  <w:r>
                    <w:rPr>
                      <w:sz w:val="20"/>
                      <w:szCs w:val="20"/>
                    </w:rPr>
                    <w:t>7</w:t>
                  </w:r>
                  <w:r w:rsidR="00ED5322" w:rsidRPr="00385FDF">
                    <w:rPr>
                      <w:sz w:val="20"/>
                      <w:szCs w:val="20"/>
                    </w:rPr>
                    <w:t>0% of total contract value as an upfront Payment</w:t>
                  </w:r>
                </w:p>
                <w:p w:rsidR="00ED5322" w:rsidRPr="00385FDF" w:rsidRDefault="00ED5322" w:rsidP="00385FDF">
                  <w:pPr>
                    <w:pStyle w:val="Default"/>
                    <w:contextualSpacing/>
                    <w:rPr>
                      <w:sz w:val="20"/>
                      <w:szCs w:val="20"/>
                    </w:rPr>
                  </w:pPr>
                </w:p>
              </w:tc>
              <w:tc>
                <w:tcPr>
                  <w:tcW w:w="1484" w:type="dxa"/>
                  <w:shd w:val="clear" w:color="auto" w:fill="auto"/>
                </w:tcPr>
                <w:p w:rsidR="00ED5322" w:rsidRPr="00385FDF" w:rsidRDefault="00ED5322" w:rsidP="00385FDF">
                  <w:pPr>
                    <w:pStyle w:val="Default"/>
                    <w:contextualSpacing/>
                    <w:rPr>
                      <w:sz w:val="20"/>
                      <w:szCs w:val="20"/>
                    </w:rPr>
                  </w:pPr>
                  <w:r w:rsidRPr="00385FDF">
                    <w:rPr>
                      <w:sz w:val="20"/>
                      <w:szCs w:val="20"/>
                    </w:rPr>
                    <w:t>Award of Tender</w:t>
                  </w:r>
                </w:p>
              </w:tc>
              <w:tc>
                <w:tcPr>
                  <w:tcW w:w="1484" w:type="dxa"/>
                  <w:shd w:val="clear" w:color="auto" w:fill="auto"/>
                </w:tcPr>
                <w:p w:rsidR="00ED5322" w:rsidRPr="00385FDF" w:rsidRDefault="00ED5322" w:rsidP="00ED5ED1">
                  <w:pPr>
                    <w:pStyle w:val="Default"/>
                    <w:contextualSpacing/>
                    <w:rPr>
                      <w:sz w:val="20"/>
                      <w:szCs w:val="20"/>
                    </w:rPr>
                  </w:pPr>
                  <w:r w:rsidRPr="00385FDF">
                    <w:rPr>
                      <w:bCs/>
                      <w:sz w:val="20"/>
                      <w:szCs w:val="20"/>
                    </w:rPr>
                    <w:t xml:space="preserve">£ </w:t>
                  </w:r>
                  <w:r w:rsidR="00ED5ED1">
                    <w:rPr>
                      <w:bCs/>
                      <w:sz w:val="20"/>
                      <w:szCs w:val="20"/>
                    </w:rPr>
                    <w:t>625,619</w:t>
                  </w:r>
                </w:p>
              </w:tc>
            </w:tr>
            <w:tr w:rsidR="00ED5322" w:rsidRPr="00385FDF" w:rsidTr="00385FDF">
              <w:tc>
                <w:tcPr>
                  <w:tcW w:w="1483" w:type="dxa"/>
                  <w:shd w:val="clear" w:color="auto" w:fill="auto"/>
                </w:tcPr>
                <w:p w:rsidR="00ED5322" w:rsidRPr="00385FDF" w:rsidRDefault="00ED5322" w:rsidP="00385FDF">
                  <w:pPr>
                    <w:spacing w:after="0"/>
                    <w:contextualSpacing/>
                    <w:rPr>
                      <w:rFonts w:ascii="Arial" w:hAnsi="Arial" w:cs="Arial"/>
                      <w:b/>
                      <w:color w:val="000000"/>
                      <w:sz w:val="20"/>
                    </w:rPr>
                  </w:pPr>
                  <w:r w:rsidRPr="00385FDF">
                    <w:rPr>
                      <w:rFonts w:ascii="Arial" w:hAnsi="Arial" w:cs="Arial"/>
                      <w:b/>
                      <w:color w:val="000000"/>
                      <w:sz w:val="20"/>
                    </w:rPr>
                    <w:t>2020/21</w:t>
                  </w:r>
                </w:p>
              </w:tc>
              <w:tc>
                <w:tcPr>
                  <w:tcW w:w="1484" w:type="dxa"/>
                  <w:shd w:val="clear" w:color="auto" w:fill="auto"/>
                </w:tcPr>
                <w:p w:rsidR="00ED5322" w:rsidRPr="00385FDF" w:rsidRDefault="00ED5322" w:rsidP="00385FDF">
                  <w:pPr>
                    <w:spacing w:after="0"/>
                    <w:contextualSpacing/>
                    <w:rPr>
                      <w:rFonts w:ascii="Arial" w:hAnsi="Arial" w:cs="Arial"/>
                      <w:color w:val="F79646"/>
                      <w:sz w:val="20"/>
                    </w:rPr>
                  </w:pPr>
                  <w:r w:rsidRPr="00385FDF">
                    <w:rPr>
                      <w:rFonts w:ascii="Arial" w:hAnsi="Arial" w:cs="Arial"/>
                      <w:color w:val="000000"/>
                      <w:sz w:val="20"/>
                    </w:rPr>
                    <w:t xml:space="preserve">Block </w:t>
                  </w:r>
                </w:p>
              </w:tc>
              <w:tc>
                <w:tcPr>
                  <w:tcW w:w="1484" w:type="dxa"/>
                  <w:shd w:val="clear" w:color="auto" w:fill="auto"/>
                </w:tcPr>
                <w:p w:rsidR="00ED5322" w:rsidRPr="00385FDF" w:rsidRDefault="00ED5322" w:rsidP="00385FDF">
                  <w:pPr>
                    <w:rPr>
                      <w:rFonts w:ascii="Arial" w:hAnsi="Arial" w:cs="Arial"/>
                    </w:rPr>
                  </w:pPr>
                  <w:r w:rsidRPr="00385FDF">
                    <w:rPr>
                      <w:rFonts w:ascii="Arial" w:hAnsi="Arial" w:cs="Arial"/>
                      <w:b/>
                      <w:bCs/>
                      <w:sz w:val="20"/>
                    </w:rPr>
                    <w:t>£GBP</w:t>
                  </w:r>
                </w:p>
              </w:tc>
              <w:tc>
                <w:tcPr>
                  <w:tcW w:w="1484" w:type="dxa"/>
                  <w:shd w:val="clear" w:color="auto" w:fill="auto"/>
                </w:tcPr>
                <w:p w:rsidR="00ED5322" w:rsidRPr="00385FDF" w:rsidRDefault="00ED5ED1" w:rsidP="00385FDF">
                  <w:pPr>
                    <w:pStyle w:val="Default"/>
                    <w:contextualSpacing/>
                    <w:rPr>
                      <w:sz w:val="20"/>
                      <w:szCs w:val="20"/>
                    </w:rPr>
                  </w:pPr>
                  <w:r>
                    <w:rPr>
                      <w:sz w:val="20"/>
                      <w:szCs w:val="20"/>
                    </w:rPr>
                    <w:t>7</w:t>
                  </w:r>
                  <w:r w:rsidR="00ED5322" w:rsidRPr="00385FDF">
                    <w:rPr>
                      <w:sz w:val="20"/>
                      <w:szCs w:val="20"/>
                    </w:rPr>
                    <w:t>0% of total contract value as an upfront Payment</w:t>
                  </w:r>
                </w:p>
                <w:p w:rsidR="00ED5322" w:rsidRPr="00385FDF" w:rsidRDefault="00ED5322" w:rsidP="00385FDF">
                  <w:pPr>
                    <w:pStyle w:val="Default"/>
                    <w:contextualSpacing/>
                    <w:rPr>
                      <w:sz w:val="20"/>
                      <w:szCs w:val="20"/>
                    </w:rPr>
                  </w:pPr>
                </w:p>
              </w:tc>
              <w:tc>
                <w:tcPr>
                  <w:tcW w:w="1484" w:type="dxa"/>
                  <w:shd w:val="clear" w:color="auto" w:fill="auto"/>
                </w:tcPr>
                <w:p w:rsidR="00ED5322" w:rsidRPr="00385FDF" w:rsidRDefault="00ED5322" w:rsidP="00385FDF">
                  <w:pPr>
                    <w:pStyle w:val="Default"/>
                    <w:contextualSpacing/>
                    <w:rPr>
                      <w:sz w:val="20"/>
                      <w:szCs w:val="20"/>
                    </w:rPr>
                  </w:pPr>
                  <w:r w:rsidRPr="00385FDF">
                    <w:rPr>
                      <w:sz w:val="20"/>
                      <w:szCs w:val="20"/>
                    </w:rPr>
                    <w:t>Award of Tender</w:t>
                  </w:r>
                </w:p>
              </w:tc>
              <w:tc>
                <w:tcPr>
                  <w:tcW w:w="1484" w:type="dxa"/>
                  <w:shd w:val="clear" w:color="auto" w:fill="auto"/>
                </w:tcPr>
                <w:p w:rsidR="00ED5322" w:rsidRPr="00385FDF" w:rsidRDefault="00ED5322" w:rsidP="00ED5ED1">
                  <w:pPr>
                    <w:pStyle w:val="Default"/>
                    <w:contextualSpacing/>
                    <w:rPr>
                      <w:sz w:val="20"/>
                      <w:szCs w:val="20"/>
                    </w:rPr>
                  </w:pPr>
                  <w:r w:rsidRPr="00385FDF">
                    <w:rPr>
                      <w:bCs/>
                      <w:sz w:val="20"/>
                      <w:szCs w:val="20"/>
                    </w:rPr>
                    <w:t xml:space="preserve">£ </w:t>
                  </w:r>
                  <w:r w:rsidR="00ED5ED1">
                    <w:rPr>
                      <w:bCs/>
                      <w:sz w:val="20"/>
                      <w:szCs w:val="20"/>
                    </w:rPr>
                    <w:t>611,855</w:t>
                  </w:r>
                </w:p>
              </w:tc>
            </w:tr>
            <w:tr w:rsidR="00C57523" w:rsidRPr="00385FDF" w:rsidTr="00385FDF">
              <w:tc>
                <w:tcPr>
                  <w:tcW w:w="1483" w:type="dxa"/>
                  <w:shd w:val="clear" w:color="auto" w:fill="auto"/>
                </w:tcPr>
                <w:p w:rsidR="00C57523" w:rsidRPr="00385FDF" w:rsidRDefault="00C57523" w:rsidP="00385FDF">
                  <w:pPr>
                    <w:spacing w:after="0"/>
                    <w:contextualSpacing/>
                    <w:rPr>
                      <w:rFonts w:ascii="Arial" w:hAnsi="Arial" w:cs="Arial"/>
                      <w:b/>
                      <w:color w:val="000000"/>
                      <w:sz w:val="20"/>
                    </w:rPr>
                  </w:pPr>
                  <w:r w:rsidRPr="00385FDF">
                    <w:rPr>
                      <w:rFonts w:ascii="Arial" w:hAnsi="Arial" w:cs="Arial"/>
                      <w:b/>
                      <w:color w:val="000000"/>
                      <w:sz w:val="20"/>
                    </w:rPr>
                    <w:t>TOTAL over 5 year contract period</w:t>
                  </w:r>
                </w:p>
              </w:tc>
              <w:tc>
                <w:tcPr>
                  <w:tcW w:w="1484" w:type="dxa"/>
                  <w:shd w:val="clear" w:color="auto" w:fill="auto"/>
                </w:tcPr>
                <w:p w:rsidR="00C57523" w:rsidRPr="00385FDF" w:rsidRDefault="00C57523" w:rsidP="00385FDF">
                  <w:pPr>
                    <w:spacing w:after="0"/>
                    <w:contextualSpacing/>
                    <w:rPr>
                      <w:rFonts w:ascii="Arial" w:hAnsi="Arial" w:cs="Arial"/>
                      <w:color w:val="F79646"/>
                      <w:sz w:val="20"/>
                    </w:rPr>
                  </w:pPr>
                  <w:r w:rsidRPr="00385FDF">
                    <w:rPr>
                      <w:rFonts w:ascii="Arial" w:hAnsi="Arial" w:cs="Arial"/>
                      <w:color w:val="000000"/>
                      <w:sz w:val="20"/>
                    </w:rPr>
                    <w:t xml:space="preserve">Block </w:t>
                  </w:r>
                </w:p>
              </w:tc>
              <w:tc>
                <w:tcPr>
                  <w:tcW w:w="1484" w:type="dxa"/>
                  <w:shd w:val="clear" w:color="auto" w:fill="auto"/>
                </w:tcPr>
                <w:p w:rsidR="00C57523" w:rsidRPr="00385FDF" w:rsidRDefault="00C57523" w:rsidP="00385FDF">
                  <w:pPr>
                    <w:rPr>
                      <w:rFonts w:ascii="Arial" w:hAnsi="Arial" w:cs="Arial"/>
                    </w:rPr>
                  </w:pPr>
                  <w:r w:rsidRPr="00385FDF">
                    <w:rPr>
                      <w:rFonts w:ascii="Arial" w:hAnsi="Arial" w:cs="Arial"/>
                      <w:b/>
                      <w:bCs/>
                      <w:sz w:val="20"/>
                    </w:rPr>
                    <w:t>£GBP</w:t>
                  </w:r>
                </w:p>
              </w:tc>
              <w:tc>
                <w:tcPr>
                  <w:tcW w:w="1484" w:type="dxa"/>
                  <w:shd w:val="clear" w:color="auto" w:fill="auto"/>
                </w:tcPr>
                <w:p w:rsidR="00C57523" w:rsidRPr="00385FDF" w:rsidRDefault="00ED5ED1" w:rsidP="00385FDF">
                  <w:pPr>
                    <w:pStyle w:val="Default"/>
                    <w:contextualSpacing/>
                    <w:rPr>
                      <w:sz w:val="20"/>
                      <w:szCs w:val="20"/>
                    </w:rPr>
                  </w:pPr>
                  <w:r>
                    <w:rPr>
                      <w:sz w:val="20"/>
                      <w:szCs w:val="20"/>
                    </w:rPr>
                    <w:t>7</w:t>
                  </w:r>
                  <w:r w:rsidR="00C57523" w:rsidRPr="00385FDF">
                    <w:rPr>
                      <w:sz w:val="20"/>
                      <w:szCs w:val="20"/>
                    </w:rPr>
                    <w:t>0% of total contract value as an upfront Payment</w:t>
                  </w:r>
                </w:p>
                <w:p w:rsidR="00C57523" w:rsidRPr="00385FDF" w:rsidRDefault="00C57523" w:rsidP="00385FDF">
                  <w:pPr>
                    <w:pStyle w:val="Default"/>
                    <w:contextualSpacing/>
                    <w:rPr>
                      <w:sz w:val="20"/>
                      <w:szCs w:val="20"/>
                    </w:rPr>
                  </w:pPr>
                </w:p>
              </w:tc>
              <w:tc>
                <w:tcPr>
                  <w:tcW w:w="1484" w:type="dxa"/>
                  <w:shd w:val="clear" w:color="auto" w:fill="auto"/>
                </w:tcPr>
                <w:p w:rsidR="00C57523" w:rsidRPr="00385FDF" w:rsidRDefault="00C57523" w:rsidP="00385FDF">
                  <w:pPr>
                    <w:pStyle w:val="Default"/>
                    <w:contextualSpacing/>
                    <w:rPr>
                      <w:sz w:val="20"/>
                      <w:szCs w:val="20"/>
                    </w:rPr>
                  </w:pPr>
                  <w:r w:rsidRPr="00385FDF">
                    <w:rPr>
                      <w:sz w:val="20"/>
                      <w:szCs w:val="20"/>
                    </w:rPr>
                    <w:t>Award of Tender</w:t>
                  </w:r>
                </w:p>
              </w:tc>
              <w:tc>
                <w:tcPr>
                  <w:tcW w:w="1484" w:type="dxa"/>
                  <w:shd w:val="clear" w:color="auto" w:fill="auto"/>
                </w:tcPr>
                <w:p w:rsidR="00C57523" w:rsidRPr="00385FDF" w:rsidRDefault="00ED5ED1" w:rsidP="00AB7902">
                  <w:pPr>
                    <w:pStyle w:val="Default"/>
                    <w:contextualSpacing/>
                    <w:rPr>
                      <w:bCs/>
                      <w:sz w:val="20"/>
                      <w:szCs w:val="20"/>
                    </w:rPr>
                  </w:pPr>
                  <w:r>
                    <w:rPr>
                      <w:bCs/>
                      <w:sz w:val="20"/>
                      <w:szCs w:val="20"/>
                    </w:rPr>
                    <w:t>£3,200,045</w:t>
                  </w:r>
                </w:p>
              </w:tc>
            </w:tr>
          </w:tbl>
          <w:p w:rsidR="00ED5322" w:rsidRDefault="00ED5322" w:rsidP="00153F12">
            <w:pPr>
              <w:spacing w:after="0"/>
              <w:contextualSpacing/>
              <w:jc w:val="both"/>
              <w:rPr>
                <w:rFonts w:ascii="Arial" w:hAnsi="Arial" w:cs="Arial"/>
                <w:b/>
                <w:color w:val="000000"/>
                <w:sz w:val="20"/>
              </w:rPr>
            </w:pPr>
          </w:p>
          <w:p w:rsidR="00205109" w:rsidRDefault="00205109" w:rsidP="00153F12">
            <w:pPr>
              <w:spacing w:after="0"/>
              <w:contextualSpacing/>
              <w:jc w:val="both"/>
              <w:rPr>
                <w:rFonts w:ascii="Arial" w:hAnsi="Arial" w:cs="Arial"/>
                <w:b/>
                <w:color w:val="000000"/>
                <w:sz w:val="20"/>
              </w:rPr>
            </w:pPr>
          </w:p>
          <w:p w:rsidR="000A3472" w:rsidRDefault="00205109" w:rsidP="00153F12">
            <w:pPr>
              <w:spacing w:after="0"/>
              <w:contextualSpacing/>
              <w:jc w:val="both"/>
              <w:rPr>
                <w:rFonts w:ascii="Arial" w:hAnsi="Arial" w:cs="Arial"/>
                <w:b/>
                <w:color w:val="000000"/>
                <w:sz w:val="20"/>
              </w:rPr>
            </w:pPr>
            <w:r>
              <w:rPr>
                <w:rFonts w:ascii="Arial" w:hAnsi="Arial" w:cs="Arial"/>
                <w:b/>
                <w:color w:val="000000"/>
                <w:sz w:val="20"/>
              </w:rPr>
              <w:t xml:space="preserve">8.2 </w:t>
            </w:r>
            <w:r w:rsidR="000A3472">
              <w:rPr>
                <w:rFonts w:ascii="Arial" w:hAnsi="Arial" w:cs="Arial"/>
                <w:b/>
                <w:color w:val="000000"/>
                <w:sz w:val="20"/>
              </w:rPr>
              <w:t xml:space="preserve">Outcomes </w:t>
            </w:r>
            <w:r w:rsidR="007722D9">
              <w:rPr>
                <w:rFonts w:ascii="Arial" w:hAnsi="Arial" w:cs="Arial"/>
                <w:b/>
                <w:color w:val="000000"/>
                <w:sz w:val="20"/>
              </w:rPr>
              <w:t>Payment</w:t>
            </w:r>
          </w:p>
          <w:p w:rsidR="000A3472" w:rsidRDefault="000A3472" w:rsidP="00153F12">
            <w:pPr>
              <w:spacing w:after="0"/>
              <w:contextualSpacing/>
              <w:jc w:val="both"/>
              <w:rPr>
                <w:rFonts w:ascii="Arial" w:hAnsi="Arial" w:cs="Arial"/>
                <w:b/>
                <w:color w:val="000000"/>
                <w:sz w:val="20"/>
              </w:rPr>
            </w:pPr>
          </w:p>
          <w:p w:rsidR="002443DC" w:rsidRPr="00ED5322" w:rsidRDefault="002443DC" w:rsidP="002443DC">
            <w:pPr>
              <w:spacing w:after="0"/>
              <w:contextualSpacing/>
              <w:jc w:val="both"/>
              <w:rPr>
                <w:rFonts w:ascii="Arial" w:hAnsi="Arial" w:cs="Arial"/>
                <w:color w:val="000000"/>
                <w:sz w:val="20"/>
              </w:rPr>
            </w:pPr>
            <w:r w:rsidRPr="00ED5322">
              <w:rPr>
                <w:rFonts w:ascii="Arial" w:hAnsi="Arial" w:cs="Arial"/>
                <w:color w:val="000000"/>
                <w:sz w:val="20"/>
              </w:rPr>
              <w:t xml:space="preserve">The </w:t>
            </w:r>
            <w:r>
              <w:rPr>
                <w:rFonts w:ascii="Arial" w:hAnsi="Arial" w:cs="Arial"/>
                <w:color w:val="000000"/>
                <w:sz w:val="20"/>
              </w:rPr>
              <w:t xml:space="preserve">commissioner, NHS Tower Hamlets </w:t>
            </w:r>
            <w:r w:rsidRPr="00ED5322">
              <w:rPr>
                <w:rFonts w:ascii="Arial" w:hAnsi="Arial" w:cs="Arial"/>
                <w:color w:val="000000"/>
                <w:sz w:val="20"/>
              </w:rPr>
              <w:t>CCG will c</w:t>
            </w:r>
            <w:r w:rsidR="00ED5ED1">
              <w:rPr>
                <w:rFonts w:ascii="Arial" w:hAnsi="Arial" w:cs="Arial"/>
                <w:color w:val="000000"/>
                <w:sz w:val="20"/>
              </w:rPr>
              <w:t>ommission this service paying 3</w:t>
            </w:r>
            <w:r>
              <w:rPr>
                <w:rFonts w:ascii="Arial" w:hAnsi="Arial" w:cs="Arial"/>
                <w:color w:val="000000"/>
                <w:sz w:val="20"/>
              </w:rPr>
              <w:t>0</w:t>
            </w:r>
            <w:r w:rsidRPr="00ED5322">
              <w:rPr>
                <w:rFonts w:ascii="Arial" w:hAnsi="Arial" w:cs="Arial"/>
                <w:color w:val="000000"/>
                <w:sz w:val="20"/>
              </w:rPr>
              <w:t xml:space="preserve">% of the contract Value to the Prime Contractor </w:t>
            </w:r>
            <w:r>
              <w:rPr>
                <w:rFonts w:ascii="Arial" w:hAnsi="Arial" w:cs="Arial"/>
                <w:color w:val="000000"/>
                <w:sz w:val="20"/>
              </w:rPr>
              <w:t>upon outcomes defined by the KPI’s listed within the contract</w:t>
            </w:r>
            <w:r w:rsidRPr="00ED5322">
              <w:rPr>
                <w:rFonts w:ascii="Arial" w:hAnsi="Arial" w:cs="Arial"/>
                <w:color w:val="000000"/>
                <w:sz w:val="20"/>
              </w:rPr>
              <w:t xml:space="preserve">. The contract value </w:t>
            </w:r>
            <w:r>
              <w:rPr>
                <w:rFonts w:ascii="Arial" w:hAnsi="Arial" w:cs="Arial"/>
                <w:color w:val="000000"/>
                <w:sz w:val="20"/>
              </w:rPr>
              <w:t xml:space="preserve">for producing outcomes </w:t>
            </w:r>
            <w:r w:rsidRPr="00ED5322">
              <w:rPr>
                <w:rFonts w:ascii="Arial" w:hAnsi="Arial" w:cs="Arial"/>
                <w:color w:val="000000"/>
                <w:sz w:val="20"/>
              </w:rPr>
              <w:t>that will be awarded to the successful bidder has been outlined by year below:</w:t>
            </w:r>
          </w:p>
          <w:p w:rsidR="00153F12" w:rsidRPr="00153F12" w:rsidRDefault="00153F12" w:rsidP="00153F12">
            <w:pPr>
              <w:spacing w:after="0"/>
              <w:contextualSpacing/>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4451"/>
            </w:tblGrid>
            <w:tr w:rsidR="00153F12" w:rsidRPr="00385FDF" w:rsidTr="00385FDF">
              <w:tc>
                <w:tcPr>
                  <w:tcW w:w="4505" w:type="dxa"/>
                  <w:shd w:val="clear" w:color="auto" w:fill="auto"/>
                </w:tcPr>
                <w:p w:rsidR="00153F12" w:rsidRPr="00385FDF" w:rsidRDefault="00153F12" w:rsidP="00385FDF">
                  <w:pPr>
                    <w:spacing w:after="0"/>
                    <w:contextualSpacing/>
                    <w:jc w:val="both"/>
                    <w:rPr>
                      <w:rFonts w:ascii="Arial" w:hAnsi="Arial" w:cs="Arial"/>
                      <w:b/>
                      <w:color w:val="000000"/>
                      <w:sz w:val="20"/>
                    </w:rPr>
                  </w:pPr>
                  <w:r w:rsidRPr="00385FDF">
                    <w:rPr>
                      <w:rFonts w:ascii="Arial" w:hAnsi="Arial" w:cs="Arial"/>
                      <w:b/>
                      <w:color w:val="000000"/>
                      <w:sz w:val="20"/>
                    </w:rPr>
                    <w:t>Achievement Threshold</w:t>
                  </w:r>
                </w:p>
              </w:tc>
              <w:tc>
                <w:tcPr>
                  <w:tcW w:w="4506" w:type="dxa"/>
                  <w:shd w:val="clear" w:color="auto" w:fill="auto"/>
                </w:tcPr>
                <w:p w:rsidR="00153F12" w:rsidRPr="00385FDF" w:rsidRDefault="00153F12" w:rsidP="00385FDF">
                  <w:pPr>
                    <w:spacing w:after="0"/>
                    <w:contextualSpacing/>
                    <w:jc w:val="both"/>
                    <w:rPr>
                      <w:rFonts w:ascii="Arial" w:hAnsi="Arial" w:cs="Arial"/>
                      <w:b/>
                      <w:color w:val="000000"/>
                      <w:sz w:val="20"/>
                    </w:rPr>
                  </w:pPr>
                  <w:r w:rsidRPr="00385FDF">
                    <w:rPr>
                      <w:rFonts w:ascii="Arial" w:hAnsi="Arial" w:cs="Arial"/>
                      <w:b/>
                      <w:color w:val="000000"/>
                      <w:sz w:val="20"/>
                    </w:rPr>
                    <w:t>% of contract Value Paid</w:t>
                  </w:r>
                </w:p>
              </w:tc>
            </w:tr>
            <w:tr w:rsidR="00153F12" w:rsidRPr="00385FDF" w:rsidTr="00385FDF">
              <w:tc>
                <w:tcPr>
                  <w:tcW w:w="4505" w:type="dxa"/>
                  <w:shd w:val="clear" w:color="auto" w:fill="auto"/>
                </w:tcPr>
                <w:p w:rsidR="00153F12" w:rsidRPr="00385FDF" w:rsidRDefault="002443DC" w:rsidP="00385FDF">
                  <w:pPr>
                    <w:spacing w:after="0"/>
                    <w:contextualSpacing/>
                    <w:rPr>
                      <w:rFonts w:ascii="Arial" w:hAnsi="Arial" w:cs="Arial"/>
                      <w:color w:val="000000"/>
                      <w:sz w:val="20"/>
                    </w:rPr>
                  </w:pPr>
                  <w:r w:rsidRPr="00385FDF">
                    <w:rPr>
                      <w:rFonts w:ascii="Arial" w:hAnsi="Arial" w:cs="Arial"/>
                      <w:color w:val="000000"/>
                      <w:sz w:val="20"/>
                    </w:rPr>
                    <w:t xml:space="preserve">0% - </w:t>
                  </w:r>
                  <w:r w:rsidR="0032304D" w:rsidRPr="00385FDF">
                    <w:rPr>
                      <w:rFonts w:ascii="Arial" w:hAnsi="Arial" w:cs="Arial"/>
                      <w:color w:val="000000"/>
                      <w:sz w:val="20"/>
                    </w:rPr>
                    <w:t>24.99</w:t>
                  </w:r>
                  <w:r w:rsidR="00153F12" w:rsidRPr="00385FDF">
                    <w:rPr>
                      <w:rFonts w:ascii="Arial" w:hAnsi="Arial" w:cs="Arial"/>
                      <w:color w:val="000000"/>
                      <w:sz w:val="20"/>
                    </w:rPr>
                    <w:t>%</w:t>
                  </w:r>
                </w:p>
              </w:tc>
              <w:tc>
                <w:tcPr>
                  <w:tcW w:w="4506" w:type="dxa"/>
                  <w:shd w:val="clear" w:color="auto" w:fill="auto"/>
                </w:tcPr>
                <w:p w:rsidR="00153F12" w:rsidRPr="00385FDF" w:rsidRDefault="00153F12" w:rsidP="00385FDF">
                  <w:pPr>
                    <w:spacing w:after="0"/>
                    <w:contextualSpacing/>
                    <w:rPr>
                      <w:rFonts w:ascii="Arial" w:hAnsi="Arial" w:cs="Arial"/>
                      <w:color w:val="000000"/>
                      <w:sz w:val="20"/>
                    </w:rPr>
                  </w:pPr>
                  <w:r w:rsidRPr="00385FDF">
                    <w:rPr>
                      <w:rFonts w:ascii="Arial" w:hAnsi="Arial" w:cs="Arial"/>
                      <w:color w:val="000000"/>
                      <w:sz w:val="20"/>
                    </w:rPr>
                    <w:t>0%</w:t>
                  </w:r>
                </w:p>
              </w:tc>
            </w:tr>
            <w:tr w:rsidR="00153F12" w:rsidRPr="00385FDF" w:rsidTr="00385FDF">
              <w:tc>
                <w:tcPr>
                  <w:tcW w:w="4505" w:type="dxa"/>
                  <w:shd w:val="clear" w:color="auto" w:fill="auto"/>
                </w:tcPr>
                <w:p w:rsidR="00153F12" w:rsidRPr="00385FDF" w:rsidRDefault="002443DC" w:rsidP="00385FDF">
                  <w:pPr>
                    <w:spacing w:after="0"/>
                    <w:contextualSpacing/>
                    <w:rPr>
                      <w:rFonts w:ascii="Arial" w:hAnsi="Arial" w:cs="Arial"/>
                      <w:color w:val="000000"/>
                      <w:sz w:val="20"/>
                    </w:rPr>
                  </w:pPr>
                  <w:r w:rsidRPr="00385FDF">
                    <w:rPr>
                      <w:rFonts w:ascii="Arial" w:hAnsi="Arial" w:cs="Arial"/>
                      <w:color w:val="000000"/>
                      <w:sz w:val="20"/>
                    </w:rPr>
                    <w:t>2</w:t>
                  </w:r>
                  <w:r w:rsidR="0032304D" w:rsidRPr="00385FDF">
                    <w:rPr>
                      <w:rFonts w:ascii="Arial" w:hAnsi="Arial" w:cs="Arial"/>
                      <w:color w:val="000000"/>
                      <w:sz w:val="20"/>
                    </w:rPr>
                    <w:t>5</w:t>
                  </w:r>
                  <w:r w:rsidRPr="00385FDF">
                    <w:rPr>
                      <w:rFonts w:ascii="Arial" w:hAnsi="Arial" w:cs="Arial"/>
                      <w:color w:val="000000"/>
                      <w:sz w:val="20"/>
                    </w:rPr>
                    <w:t xml:space="preserve">% - </w:t>
                  </w:r>
                  <w:r w:rsidR="0032304D" w:rsidRPr="00385FDF">
                    <w:rPr>
                      <w:rFonts w:ascii="Arial" w:hAnsi="Arial" w:cs="Arial"/>
                      <w:color w:val="000000"/>
                      <w:sz w:val="20"/>
                    </w:rPr>
                    <w:t>39.99</w:t>
                  </w:r>
                  <w:r w:rsidR="00153F12" w:rsidRPr="00385FDF">
                    <w:rPr>
                      <w:rFonts w:ascii="Arial" w:hAnsi="Arial" w:cs="Arial"/>
                      <w:color w:val="000000"/>
                      <w:sz w:val="20"/>
                    </w:rPr>
                    <w:t>%</w:t>
                  </w:r>
                </w:p>
              </w:tc>
              <w:tc>
                <w:tcPr>
                  <w:tcW w:w="4506" w:type="dxa"/>
                  <w:shd w:val="clear" w:color="auto" w:fill="auto"/>
                </w:tcPr>
                <w:p w:rsidR="00153F12" w:rsidRPr="00385FDF" w:rsidRDefault="002443DC" w:rsidP="00385FDF">
                  <w:pPr>
                    <w:spacing w:after="0"/>
                    <w:contextualSpacing/>
                    <w:rPr>
                      <w:rFonts w:ascii="Arial" w:hAnsi="Arial" w:cs="Arial"/>
                      <w:color w:val="000000"/>
                      <w:sz w:val="20"/>
                    </w:rPr>
                  </w:pPr>
                  <w:r w:rsidRPr="00385FDF">
                    <w:rPr>
                      <w:rFonts w:ascii="Arial" w:hAnsi="Arial" w:cs="Arial"/>
                      <w:color w:val="000000"/>
                      <w:sz w:val="20"/>
                    </w:rPr>
                    <w:t>25</w:t>
                  </w:r>
                  <w:r w:rsidR="00153F12" w:rsidRPr="00385FDF">
                    <w:rPr>
                      <w:rFonts w:ascii="Arial" w:hAnsi="Arial" w:cs="Arial"/>
                      <w:color w:val="000000"/>
                      <w:sz w:val="20"/>
                    </w:rPr>
                    <w:t>%</w:t>
                  </w:r>
                </w:p>
              </w:tc>
            </w:tr>
            <w:tr w:rsidR="00153F12" w:rsidRPr="00385FDF" w:rsidTr="00385FDF">
              <w:tc>
                <w:tcPr>
                  <w:tcW w:w="4505" w:type="dxa"/>
                  <w:shd w:val="clear" w:color="auto" w:fill="auto"/>
                </w:tcPr>
                <w:p w:rsidR="00153F12" w:rsidRPr="00385FDF" w:rsidRDefault="002443DC" w:rsidP="00385FDF">
                  <w:pPr>
                    <w:spacing w:after="0"/>
                    <w:contextualSpacing/>
                    <w:rPr>
                      <w:rFonts w:ascii="Arial" w:hAnsi="Arial" w:cs="Arial"/>
                      <w:color w:val="000000"/>
                      <w:sz w:val="20"/>
                    </w:rPr>
                  </w:pPr>
                  <w:r w:rsidRPr="00385FDF">
                    <w:rPr>
                      <w:rFonts w:ascii="Arial" w:hAnsi="Arial" w:cs="Arial"/>
                      <w:color w:val="000000"/>
                      <w:sz w:val="20"/>
                    </w:rPr>
                    <w:t>4</w:t>
                  </w:r>
                  <w:r w:rsidR="0032304D" w:rsidRPr="00385FDF">
                    <w:rPr>
                      <w:rFonts w:ascii="Arial" w:hAnsi="Arial" w:cs="Arial"/>
                      <w:color w:val="000000"/>
                      <w:sz w:val="20"/>
                    </w:rPr>
                    <w:t>0% - 54.99</w:t>
                  </w:r>
                  <w:r w:rsidR="00153F12" w:rsidRPr="00385FDF">
                    <w:rPr>
                      <w:rFonts w:ascii="Arial" w:hAnsi="Arial" w:cs="Arial"/>
                      <w:color w:val="000000"/>
                      <w:sz w:val="20"/>
                    </w:rPr>
                    <w:t>%</w:t>
                  </w:r>
                </w:p>
              </w:tc>
              <w:tc>
                <w:tcPr>
                  <w:tcW w:w="4506" w:type="dxa"/>
                  <w:shd w:val="clear" w:color="auto" w:fill="auto"/>
                </w:tcPr>
                <w:p w:rsidR="00153F12" w:rsidRPr="00385FDF" w:rsidRDefault="0032304D" w:rsidP="00385FDF">
                  <w:pPr>
                    <w:spacing w:after="0"/>
                    <w:contextualSpacing/>
                    <w:rPr>
                      <w:rFonts w:ascii="Arial" w:hAnsi="Arial" w:cs="Arial"/>
                      <w:color w:val="000000"/>
                      <w:sz w:val="20"/>
                    </w:rPr>
                  </w:pPr>
                  <w:r w:rsidRPr="00385FDF">
                    <w:rPr>
                      <w:rFonts w:ascii="Arial" w:hAnsi="Arial" w:cs="Arial"/>
                      <w:color w:val="000000"/>
                      <w:sz w:val="20"/>
                    </w:rPr>
                    <w:t>50</w:t>
                  </w:r>
                  <w:r w:rsidR="00153F12" w:rsidRPr="00385FDF">
                    <w:rPr>
                      <w:rFonts w:ascii="Arial" w:hAnsi="Arial" w:cs="Arial"/>
                      <w:color w:val="000000"/>
                      <w:sz w:val="20"/>
                    </w:rPr>
                    <w:t>%</w:t>
                  </w:r>
                </w:p>
              </w:tc>
            </w:tr>
            <w:tr w:rsidR="00153F12" w:rsidRPr="00385FDF" w:rsidTr="00385FDF">
              <w:trPr>
                <w:trHeight w:val="77"/>
              </w:trPr>
              <w:tc>
                <w:tcPr>
                  <w:tcW w:w="4505" w:type="dxa"/>
                  <w:shd w:val="clear" w:color="auto" w:fill="auto"/>
                </w:tcPr>
                <w:p w:rsidR="00153F12" w:rsidRPr="00385FDF" w:rsidRDefault="0032304D" w:rsidP="00385FDF">
                  <w:pPr>
                    <w:spacing w:after="0"/>
                    <w:contextualSpacing/>
                    <w:rPr>
                      <w:rFonts w:ascii="Arial" w:hAnsi="Arial" w:cs="Arial"/>
                      <w:color w:val="000000"/>
                      <w:sz w:val="20"/>
                    </w:rPr>
                  </w:pPr>
                  <w:r w:rsidRPr="00385FDF">
                    <w:rPr>
                      <w:rFonts w:ascii="Arial" w:hAnsi="Arial" w:cs="Arial"/>
                      <w:color w:val="000000"/>
                      <w:sz w:val="20"/>
                    </w:rPr>
                    <w:t>55% - 69.99</w:t>
                  </w:r>
                  <w:r w:rsidR="00153F12" w:rsidRPr="00385FDF">
                    <w:rPr>
                      <w:rFonts w:ascii="Arial" w:hAnsi="Arial" w:cs="Arial"/>
                      <w:color w:val="000000"/>
                      <w:sz w:val="20"/>
                    </w:rPr>
                    <w:t>%</w:t>
                  </w:r>
                </w:p>
              </w:tc>
              <w:tc>
                <w:tcPr>
                  <w:tcW w:w="4506" w:type="dxa"/>
                  <w:shd w:val="clear" w:color="auto" w:fill="auto"/>
                </w:tcPr>
                <w:p w:rsidR="00153F12" w:rsidRPr="00385FDF" w:rsidRDefault="0032304D" w:rsidP="00385FDF">
                  <w:pPr>
                    <w:spacing w:after="0"/>
                    <w:contextualSpacing/>
                    <w:rPr>
                      <w:rFonts w:ascii="Arial" w:hAnsi="Arial" w:cs="Arial"/>
                      <w:color w:val="000000"/>
                      <w:sz w:val="20"/>
                    </w:rPr>
                  </w:pPr>
                  <w:r w:rsidRPr="00385FDF">
                    <w:rPr>
                      <w:rFonts w:ascii="Arial" w:hAnsi="Arial" w:cs="Arial"/>
                      <w:color w:val="000000"/>
                      <w:sz w:val="20"/>
                    </w:rPr>
                    <w:t>7</w:t>
                  </w:r>
                  <w:r w:rsidR="00153F12" w:rsidRPr="00385FDF">
                    <w:rPr>
                      <w:rFonts w:ascii="Arial" w:hAnsi="Arial" w:cs="Arial"/>
                      <w:color w:val="000000"/>
                      <w:sz w:val="20"/>
                    </w:rPr>
                    <w:t>5%</w:t>
                  </w:r>
                </w:p>
              </w:tc>
            </w:tr>
            <w:tr w:rsidR="00153F12" w:rsidRPr="00385FDF" w:rsidTr="00385FDF">
              <w:tc>
                <w:tcPr>
                  <w:tcW w:w="4505" w:type="dxa"/>
                  <w:shd w:val="clear" w:color="auto" w:fill="auto"/>
                </w:tcPr>
                <w:p w:rsidR="00153F12" w:rsidRPr="00385FDF" w:rsidRDefault="0032304D" w:rsidP="00385FDF">
                  <w:pPr>
                    <w:spacing w:after="0"/>
                    <w:contextualSpacing/>
                    <w:rPr>
                      <w:rFonts w:ascii="Arial" w:hAnsi="Arial" w:cs="Arial"/>
                      <w:color w:val="000000"/>
                      <w:sz w:val="20"/>
                    </w:rPr>
                  </w:pPr>
                  <w:r w:rsidRPr="00385FDF">
                    <w:rPr>
                      <w:rFonts w:ascii="Arial" w:hAnsi="Arial" w:cs="Arial"/>
                      <w:color w:val="000000"/>
                      <w:sz w:val="20"/>
                    </w:rPr>
                    <w:t>7</w:t>
                  </w:r>
                  <w:r w:rsidR="00153F12" w:rsidRPr="00385FDF">
                    <w:rPr>
                      <w:rFonts w:ascii="Arial" w:hAnsi="Arial" w:cs="Arial"/>
                      <w:color w:val="000000"/>
                      <w:sz w:val="20"/>
                    </w:rPr>
                    <w:t>0% &gt;</w:t>
                  </w:r>
                </w:p>
              </w:tc>
              <w:tc>
                <w:tcPr>
                  <w:tcW w:w="4506" w:type="dxa"/>
                  <w:shd w:val="clear" w:color="auto" w:fill="auto"/>
                </w:tcPr>
                <w:p w:rsidR="00153F12" w:rsidRPr="00385FDF" w:rsidRDefault="00153F12" w:rsidP="00385FDF">
                  <w:pPr>
                    <w:spacing w:after="0"/>
                    <w:contextualSpacing/>
                    <w:rPr>
                      <w:rFonts w:ascii="Arial" w:hAnsi="Arial" w:cs="Arial"/>
                      <w:color w:val="000000"/>
                      <w:sz w:val="20"/>
                    </w:rPr>
                  </w:pPr>
                  <w:r w:rsidRPr="00385FDF">
                    <w:rPr>
                      <w:rFonts w:ascii="Arial" w:hAnsi="Arial" w:cs="Arial"/>
                      <w:color w:val="000000"/>
                      <w:sz w:val="20"/>
                    </w:rPr>
                    <w:t>100%</w:t>
                  </w:r>
                </w:p>
              </w:tc>
            </w:tr>
          </w:tbl>
          <w:p w:rsidR="00153F12" w:rsidRPr="00153F12" w:rsidRDefault="00153F12" w:rsidP="00153F12">
            <w:pPr>
              <w:spacing w:after="0"/>
              <w:contextualSpacing/>
              <w:jc w:val="both"/>
              <w:rPr>
                <w:rFonts w:ascii="Arial" w:hAnsi="Arial" w:cs="Arial"/>
                <w:color w:val="00B050"/>
                <w:sz w:val="20"/>
              </w:rPr>
            </w:pPr>
          </w:p>
          <w:p w:rsidR="00153F12" w:rsidRDefault="00153F12" w:rsidP="00153F12">
            <w:pPr>
              <w:spacing w:after="0"/>
              <w:contextualSpacing/>
              <w:jc w:val="both"/>
              <w:rPr>
                <w:rFonts w:ascii="Arial" w:hAnsi="Arial" w:cs="Arial"/>
                <w:b/>
                <w:sz w:val="20"/>
              </w:rPr>
            </w:pPr>
            <w:r w:rsidRPr="00153F12">
              <w:rPr>
                <w:rFonts w:ascii="Arial" w:hAnsi="Arial" w:cs="Arial"/>
                <w:b/>
                <w:sz w:val="20"/>
              </w:rPr>
              <w:t xml:space="preserve">Achievement threshold/ payment to be reiterated during procurement &amp; </w:t>
            </w:r>
            <w:r w:rsidR="00207E54">
              <w:rPr>
                <w:rFonts w:ascii="Arial" w:hAnsi="Arial" w:cs="Arial"/>
                <w:b/>
                <w:sz w:val="20"/>
              </w:rPr>
              <w:t>mobilization</w:t>
            </w:r>
          </w:p>
          <w:p w:rsidR="00207E54" w:rsidRDefault="00207E54" w:rsidP="00153F12">
            <w:pPr>
              <w:spacing w:after="0"/>
              <w:contextualSpacing/>
              <w:jc w:val="both"/>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237"/>
              <w:gridCol w:w="1262"/>
              <w:gridCol w:w="1256"/>
              <w:gridCol w:w="1375"/>
              <w:gridCol w:w="1294"/>
              <w:gridCol w:w="1230"/>
            </w:tblGrid>
            <w:tr w:rsidR="007722D9" w:rsidRPr="00385FDF" w:rsidTr="00385FDF">
              <w:trPr>
                <w:trHeight w:val="774"/>
              </w:trPr>
              <w:tc>
                <w:tcPr>
                  <w:tcW w:w="8908" w:type="dxa"/>
                  <w:gridSpan w:val="7"/>
                  <w:shd w:val="clear" w:color="auto" w:fill="BFBFBF"/>
                </w:tcPr>
                <w:p w:rsidR="007722D9" w:rsidRPr="00385FDF" w:rsidRDefault="007722D9" w:rsidP="00385FDF">
                  <w:pPr>
                    <w:spacing w:after="0"/>
                    <w:contextualSpacing/>
                    <w:jc w:val="both"/>
                    <w:rPr>
                      <w:rFonts w:ascii="Arial" w:hAnsi="Arial" w:cs="Arial"/>
                      <w:b/>
                      <w:color w:val="BFBFBF"/>
                      <w:sz w:val="20"/>
                    </w:rPr>
                  </w:pPr>
                  <w:r w:rsidRPr="00385FDF">
                    <w:rPr>
                      <w:rFonts w:ascii="Arial" w:eastAsia="Calibri" w:hAnsi="Arial" w:cs="Arial"/>
                      <w:b/>
                      <w:bCs/>
                      <w:color w:val="000000"/>
                      <w:szCs w:val="24"/>
                      <w:lang w:val="en-GB" w:eastAsia="en-GB"/>
                    </w:rPr>
                    <w:t>Outcomes Payment Schedule</w:t>
                  </w:r>
                </w:p>
              </w:tc>
            </w:tr>
            <w:tr w:rsidR="006500D4" w:rsidRPr="00385FDF" w:rsidTr="00385FDF">
              <w:tc>
                <w:tcPr>
                  <w:tcW w:w="1254" w:type="dxa"/>
                  <w:shd w:val="clear" w:color="auto" w:fill="D9D9D9"/>
                </w:tcPr>
                <w:p w:rsidR="006500D4" w:rsidRPr="00385FDF" w:rsidRDefault="006500D4" w:rsidP="00385FDF">
                  <w:pPr>
                    <w:pStyle w:val="Default"/>
                    <w:contextualSpacing/>
                    <w:rPr>
                      <w:b/>
                      <w:sz w:val="20"/>
                      <w:szCs w:val="20"/>
                    </w:rPr>
                  </w:pPr>
                  <w:r w:rsidRPr="00385FDF">
                    <w:rPr>
                      <w:b/>
                      <w:sz w:val="20"/>
                      <w:szCs w:val="20"/>
                    </w:rPr>
                    <w:t>Financial Year</w:t>
                  </w:r>
                </w:p>
              </w:tc>
              <w:tc>
                <w:tcPr>
                  <w:tcW w:w="1237" w:type="dxa"/>
                  <w:shd w:val="clear" w:color="auto" w:fill="D9D9D9"/>
                </w:tcPr>
                <w:p w:rsidR="006500D4" w:rsidRPr="00385FDF" w:rsidRDefault="006500D4" w:rsidP="00385FDF">
                  <w:pPr>
                    <w:pStyle w:val="Default"/>
                    <w:contextualSpacing/>
                    <w:rPr>
                      <w:b/>
                      <w:sz w:val="20"/>
                      <w:szCs w:val="20"/>
                    </w:rPr>
                  </w:pPr>
                  <w:r w:rsidRPr="00385FDF">
                    <w:rPr>
                      <w:b/>
                      <w:sz w:val="20"/>
                      <w:szCs w:val="20"/>
                    </w:rPr>
                    <w:t>Payment Method</w:t>
                  </w:r>
                </w:p>
              </w:tc>
              <w:tc>
                <w:tcPr>
                  <w:tcW w:w="1262" w:type="dxa"/>
                  <w:shd w:val="clear" w:color="auto" w:fill="D9D9D9"/>
                </w:tcPr>
                <w:p w:rsidR="006500D4" w:rsidRPr="00385FDF" w:rsidRDefault="006500D4" w:rsidP="00385FDF">
                  <w:pPr>
                    <w:pStyle w:val="Default"/>
                    <w:contextualSpacing/>
                    <w:rPr>
                      <w:b/>
                      <w:sz w:val="20"/>
                      <w:szCs w:val="20"/>
                    </w:rPr>
                  </w:pPr>
                  <w:r w:rsidRPr="00385FDF">
                    <w:rPr>
                      <w:b/>
                      <w:sz w:val="20"/>
                      <w:szCs w:val="20"/>
                    </w:rPr>
                    <w:t>Currency</w:t>
                  </w:r>
                </w:p>
              </w:tc>
              <w:tc>
                <w:tcPr>
                  <w:tcW w:w="1256" w:type="dxa"/>
                  <w:shd w:val="clear" w:color="auto" w:fill="D9D9D9"/>
                </w:tcPr>
                <w:p w:rsidR="006500D4" w:rsidRPr="00385FDF" w:rsidRDefault="006500D4" w:rsidP="00385FDF">
                  <w:pPr>
                    <w:pStyle w:val="Default"/>
                    <w:contextualSpacing/>
                    <w:rPr>
                      <w:b/>
                      <w:sz w:val="20"/>
                      <w:szCs w:val="20"/>
                    </w:rPr>
                  </w:pPr>
                  <w:r w:rsidRPr="00385FDF">
                    <w:rPr>
                      <w:b/>
                      <w:sz w:val="20"/>
                      <w:szCs w:val="20"/>
                    </w:rPr>
                    <w:t>Payment Method</w:t>
                  </w:r>
                </w:p>
              </w:tc>
              <w:tc>
                <w:tcPr>
                  <w:tcW w:w="1375" w:type="dxa"/>
                  <w:shd w:val="clear" w:color="auto" w:fill="D9D9D9"/>
                </w:tcPr>
                <w:p w:rsidR="006500D4" w:rsidRPr="00385FDF" w:rsidRDefault="006500D4" w:rsidP="00385FDF">
                  <w:pPr>
                    <w:pStyle w:val="Default"/>
                    <w:contextualSpacing/>
                    <w:rPr>
                      <w:b/>
                      <w:sz w:val="20"/>
                      <w:szCs w:val="20"/>
                    </w:rPr>
                  </w:pPr>
                  <w:r w:rsidRPr="00385FDF">
                    <w:rPr>
                      <w:b/>
                      <w:sz w:val="20"/>
                      <w:szCs w:val="20"/>
                    </w:rPr>
                    <w:t>Thresholds - Delivery</w:t>
                  </w:r>
                </w:p>
              </w:tc>
              <w:tc>
                <w:tcPr>
                  <w:tcW w:w="1294" w:type="dxa"/>
                  <w:shd w:val="clear" w:color="auto" w:fill="D9D9D9"/>
                </w:tcPr>
                <w:p w:rsidR="006500D4" w:rsidRPr="00385FDF" w:rsidRDefault="006500D4" w:rsidP="00385FDF">
                  <w:pPr>
                    <w:pStyle w:val="Default"/>
                    <w:contextualSpacing/>
                    <w:rPr>
                      <w:b/>
                      <w:sz w:val="20"/>
                      <w:szCs w:val="20"/>
                    </w:rPr>
                  </w:pPr>
                  <w:r w:rsidRPr="00385FDF">
                    <w:rPr>
                      <w:b/>
                      <w:sz w:val="20"/>
                      <w:szCs w:val="20"/>
                    </w:rPr>
                    <w:t>Thresholds - Award</w:t>
                  </w:r>
                </w:p>
              </w:tc>
              <w:tc>
                <w:tcPr>
                  <w:tcW w:w="1230" w:type="dxa"/>
                  <w:shd w:val="clear" w:color="auto" w:fill="D9D9D9"/>
                </w:tcPr>
                <w:p w:rsidR="006500D4" w:rsidRPr="00385FDF" w:rsidRDefault="006500D4" w:rsidP="00385FDF">
                  <w:pPr>
                    <w:pStyle w:val="Default"/>
                    <w:contextualSpacing/>
                    <w:rPr>
                      <w:b/>
                      <w:sz w:val="20"/>
                      <w:szCs w:val="20"/>
                    </w:rPr>
                  </w:pPr>
                  <w:r w:rsidRPr="00385FDF">
                    <w:rPr>
                      <w:b/>
                      <w:sz w:val="20"/>
                      <w:szCs w:val="20"/>
                    </w:rPr>
                    <w:t xml:space="preserve">Annual Contract Value </w:t>
                  </w:r>
                </w:p>
              </w:tc>
            </w:tr>
            <w:tr w:rsidR="00C57523" w:rsidRPr="00385FDF" w:rsidTr="00385FDF">
              <w:trPr>
                <w:trHeight w:val="261"/>
              </w:trPr>
              <w:tc>
                <w:tcPr>
                  <w:tcW w:w="1254" w:type="dxa"/>
                  <w:vMerge w:val="restart"/>
                  <w:shd w:val="clear" w:color="auto" w:fill="auto"/>
                </w:tcPr>
                <w:p w:rsidR="00C57523" w:rsidRPr="00385FDF" w:rsidRDefault="00C57523" w:rsidP="00385FDF">
                  <w:pPr>
                    <w:spacing w:after="0"/>
                    <w:contextualSpacing/>
                    <w:rPr>
                      <w:rFonts w:ascii="Arial" w:hAnsi="Arial" w:cs="Arial"/>
                      <w:b/>
                      <w:color w:val="000000"/>
                      <w:sz w:val="20"/>
                    </w:rPr>
                  </w:pPr>
                  <w:r w:rsidRPr="00385FDF">
                    <w:rPr>
                      <w:rFonts w:ascii="Arial" w:hAnsi="Arial" w:cs="Arial"/>
                      <w:b/>
                      <w:color w:val="000000"/>
                      <w:sz w:val="20"/>
                    </w:rPr>
                    <w:t>2016/17</w:t>
                  </w:r>
                </w:p>
              </w:tc>
              <w:tc>
                <w:tcPr>
                  <w:tcW w:w="1237" w:type="dxa"/>
                  <w:vMerge w:val="restart"/>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Outcomes</w:t>
                  </w:r>
                </w:p>
              </w:tc>
              <w:tc>
                <w:tcPr>
                  <w:tcW w:w="1262" w:type="dxa"/>
                  <w:vMerge w:val="restart"/>
                  <w:shd w:val="clear" w:color="auto" w:fill="auto"/>
                </w:tcPr>
                <w:p w:rsidR="00C57523" w:rsidRPr="00385FDF" w:rsidRDefault="00C57523" w:rsidP="00385FDF">
                  <w:pPr>
                    <w:pStyle w:val="Default"/>
                    <w:contextualSpacing/>
                    <w:rPr>
                      <w:b/>
                      <w:bCs/>
                      <w:sz w:val="20"/>
                      <w:szCs w:val="20"/>
                    </w:rPr>
                  </w:pPr>
                  <w:r w:rsidRPr="00385FDF">
                    <w:rPr>
                      <w:b/>
                      <w:bCs/>
                      <w:sz w:val="20"/>
                      <w:szCs w:val="20"/>
                    </w:rPr>
                    <w:t>£GBP</w:t>
                  </w:r>
                </w:p>
              </w:tc>
              <w:tc>
                <w:tcPr>
                  <w:tcW w:w="1256" w:type="dxa"/>
                  <w:vMerge w:val="restart"/>
                  <w:shd w:val="clear" w:color="auto" w:fill="auto"/>
                </w:tcPr>
                <w:p w:rsidR="00C57523" w:rsidRPr="00385FDF" w:rsidRDefault="00ED5ED1" w:rsidP="00385FDF">
                  <w:pPr>
                    <w:pStyle w:val="Default"/>
                    <w:contextualSpacing/>
                    <w:rPr>
                      <w:sz w:val="20"/>
                      <w:szCs w:val="20"/>
                    </w:rPr>
                  </w:pPr>
                  <w:r>
                    <w:rPr>
                      <w:sz w:val="20"/>
                      <w:szCs w:val="20"/>
                    </w:rPr>
                    <w:t>Up to 3</w:t>
                  </w:r>
                  <w:r w:rsidR="00C57523" w:rsidRPr="00385FDF">
                    <w:rPr>
                      <w:sz w:val="20"/>
                      <w:szCs w:val="20"/>
                    </w:rPr>
                    <w:t>0% of total contract value upon delivery of outcomes</w:t>
                  </w:r>
                </w:p>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 - 24.99%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w:t>
                  </w:r>
                </w:p>
              </w:tc>
              <w:tc>
                <w:tcPr>
                  <w:tcW w:w="1230" w:type="dxa"/>
                  <w:shd w:val="clear" w:color="auto" w:fill="auto"/>
                </w:tcPr>
                <w:p w:rsidR="00C57523" w:rsidRPr="00385FDF" w:rsidRDefault="00C57523" w:rsidP="00385FDF">
                  <w:pPr>
                    <w:pStyle w:val="Default"/>
                    <w:contextualSpacing/>
                    <w:rPr>
                      <w:sz w:val="20"/>
                      <w:szCs w:val="20"/>
                    </w:rPr>
                  </w:pPr>
                  <w:r w:rsidRPr="00385FDF">
                    <w:rPr>
                      <w:sz w:val="20"/>
                      <w:szCs w:val="20"/>
                    </w:rPr>
                    <w:t>0</w:t>
                  </w:r>
                </w:p>
              </w:tc>
            </w:tr>
            <w:tr w:rsidR="00C57523" w:rsidRPr="00385FDF" w:rsidTr="00385FDF">
              <w:trPr>
                <w:trHeight w:val="257"/>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pStyle w:val="Default"/>
                    <w:contextualSpacing/>
                    <w:rPr>
                      <w:b/>
                      <w:bCs/>
                      <w:sz w:val="20"/>
                      <w:szCs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25% - 39.99%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25%</w:t>
                  </w:r>
                </w:p>
              </w:tc>
              <w:tc>
                <w:tcPr>
                  <w:tcW w:w="1230" w:type="dxa"/>
                  <w:shd w:val="clear" w:color="auto" w:fill="auto"/>
                </w:tcPr>
                <w:p w:rsidR="00C57523" w:rsidRPr="00385FDF" w:rsidRDefault="00ED5ED1" w:rsidP="00385FDF">
                  <w:pPr>
                    <w:pStyle w:val="Default"/>
                    <w:contextualSpacing/>
                    <w:rPr>
                      <w:bCs/>
                      <w:sz w:val="20"/>
                      <w:szCs w:val="20"/>
                    </w:rPr>
                  </w:pPr>
                  <w:r>
                    <w:rPr>
                      <w:bCs/>
                      <w:sz w:val="20"/>
                      <w:szCs w:val="20"/>
                    </w:rPr>
                    <w:t>71,657</w:t>
                  </w:r>
                </w:p>
              </w:tc>
            </w:tr>
            <w:tr w:rsidR="00C57523" w:rsidRPr="00385FDF" w:rsidTr="00385FDF">
              <w:trPr>
                <w:trHeight w:val="257"/>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pStyle w:val="Default"/>
                    <w:contextualSpacing/>
                    <w:rPr>
                      <w:b/>
                      <w:bCs/>
                      <w:sz w:val="20"/>
                      <w:szCs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40% - 54.99%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50%</w:t>
                  </w:r>
                </w:p>
              </w:tc>
              <w:tc>
                <w:tcPr>
                  <w:tcW w:w="1230" w:type="dxa"/>
                  <w:shd w:val="clear" w:color="auto" w:fill="auto"/>
                </w:tcPr>
                <w:p w:rsidR="00C57523" w:rsidRPr="00385FDF" w:rsidRDefault="00ED5ED1" w:rsidP="00385FDF">
                  <w:pPr>
                    <w:pStyle w:val="Default"/>
                    <w:contextualSpacing/>
                    <w:rPr>
                      <w:bCs/>
                      <w:sz w:val="20"/>
                      <w:szCs w:val="20"/>
                    </w:rPr>
                  </w:pPr>
                  <w:r>
                    <w:rPr>
                      <w:bCs/>
                      <w:sz w:val="20"/>
                      <w:szCs w:val="20"/>
                    </w:rPr>
                    <w:t>143,313</w:t>
                  </w:r>
                </w:p>
              </w:tc>
            </w:tr>
            <w:tr w:rsidR="00C57523" w:rsidRPr="00385FDF" w:rsidTr="00385FDF">
              <w:trPr>
                <w:trHeight w:val="257"/>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pStyle w:val="Default"/>
                    <w:contextualSpacing/>
                    <w:rPr>
                      <w:b/>
                      <w:bCs/>
                      <w:sz w:val="20"/>
                      <w:szCs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55% - 69.99%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75%</w:t>
                  </w:r>
                </w:p>
              </w:tc>
              <w:tc>
                <w:tcPr>
                  <w:tcW w:w="1230" w:type="dxa"/>
                  <w:shd w:val="clear" w:color="auto" w:fill="auto"/>
                </w:tcPr>
                <w:p w:rsidR="00C57523" w:rsidRPr="00385FDF" w:rsidRDefault="00ED5ED1" w:rsidP="00385FDF">
                  <w:pPr>
                    <w:pStyle w:val="Default"/>
                    <w:contextualSpacing/>
                    <w:rPr>
                      <w:bCs/>
                      <w:sz w:val="20"/>
                      <w:szCs w:val="20"/>
                    </w:rPr>
                  </w:pPr>
                  <w:r>
                    <w:rPr>
                      <w:bCs/>
                      <w:sz w:val="20"/>
                      <w:szCs w:val="20"/>
                    </w:rPr>
                    <w:t>214,970</w:t>
                  </w:r>
                </w:p>
              </w:tc>
            </w:tr>
            <w:tr w:rsidR="00C57523" w:rsidRPr="00385FDF" w:rsidTr="00385FDF">
              <w:trPr>
                <w:trHeight w:val="257"/>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pStyle w:val="Default"/>
                    <w:contextualSpacing/>
                    <w:rPr>
                      <w:b/>
                      <w:bCs/>
                      <w:sz w:val="20"/>
                      <w:szCs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70% &gt;</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100%</w:t>
                  </w:r>
                </w:p>
              </w:tc>
              <w:tc>
                <w:tcPr>
                  <w:tcW w:w="1230" w:type="dxa"/>
                  <w:shd w:val="clear" w:color="auto" w:fill="auto"/>
                </w:tcPr>
                <w:p w:rsidR="00C57523" w:rsidRPr="00385FDF" w:rsidRDefault="00ED5ED1" w:rsidP="00385FDF">
                  <w:pPr>
                    <w:pStyle w:val="Default"/>
                    <w:contextualSpacing/>
                    <w:rPr>
                      <w:bCs/>
                      <w:sz w:val="20"/>
                      <w:szCs w:val="20"/>
                    </w:rPr>
                  </w:pPr>
                  <w:r>
                    <w:rPr>
                      <w:bCs/>
                      <w:sz w:val="20"/>
                      <w:szCs w:val="20"/>
                    </w:rPr>
                    <w:t>286,627</w:t>
                  </w:r>
                </w:p>
              </w:tc>
            </w:tr>
            <w:tr w:rsidR="00C57523" w:rsidRPr="00385FDF" w:rsidTr="00385FDF">
              <w:trPr>
                <w:trHeight w:val="308"/>
              </w:trPr>
              <w:tc>
                <w:tcPr>
                  <w:tcW w:w="1254" w:type="dxa"/>
                  <w:vMerge w:val="restart"/>
                  <w:shd w:val="clear" w:color="auto" w:fill="auto"/>
                </w:tcPr>
                <w:p w:rsidR="00C57523" w:rsidRPr="00385FDF" w:rsidRDefault="00C57523" w:rsidP="00385FDF">
                  <w:pPr>
                    <w:spacing w:after="0"/>
                    <w:contextualSpacing/>
                    <w:rPr>
                      <w:rFonts w:ascii="Arial" w:hAnsi="Arial" w:cs="Arial"/>
                      <w:b/>
                      <w:color w:val="000000"/>
                      <w:sz w:val="20"/>
                    </w:rPr>
                  </w:pPr>
                  <w:r w:rsidRPr="00385FDF">
                    <w:rPr>
                      <w:rFonts w:ascii="Arial" w:hAnsi="Arial" w:cs="Arial"/>
                      <w:b/>
                      <w:color w:val="000000"/>
                      <w:sz w:val="20"/>
                    </w:rPr>
                    <w:t>2017/18</w:t>
                  </w:r>
                </w:p>
              </w:tc>
              <w:tc>
                <w:tcPr>
                  <w:tcW w:w="1237" w:type="dxa"/>
                  <w:vMerge w:val="restart"/>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Outcomes</w:t>
                  </w:r>
                </w:p>
              </w:tc>
              <w:tc>
                <w:tcPr>
                  <w:tcW w:w="1262" w:type="dxa"/>
                  <w:vMerge w:val="restart"/>
                  <w:shd w:val="clear" w:color="auto" w:fill="auto"/>
                </w:tcPr>
                <w:p w:rsidR="00C57523" w:rsidRPr="00385FDF" w:rsidRDefault="00C57523" w:rsidP="00385FDF">
                  <w:pPr>
                    <w:rPr>
                      <w:rFonts w:ascii="Arial" w:hAnsi="Arial" w:cs="Arial"/>
                    </w:rPr>
                  </w:pPr>
                  <w:r w:rsidRPr="00385FDF">
                    <w:rPr>
                      <w:rFonts w:ascii="Arial" w:hAnsi="Arial" w:cs="Arial"/>
                      <w:b/>
                      <w:bCs/>
                      <w:sz w:val="20"/>
                    </w:rPr>
                    <w:t>£GBP</w:t>
                  </w:r>
                </w:p>
              </w:tc>
              <w:tc>
                <w:tcPr>
                  <w:tcW w:w="1256" w:type="dxa"/>
                  <w:vMerge w:val="restart"/>
                  <w:shd w:val="clear" w:color="auto" w:fill="auto"/>
                </w:tcPr>
                <w:p w:rsidR="00C57523" w:rsidRPr="00385FDF" w:rsidRDefault="00ED5ED1" w:rsidP="00385FDF">
                  <w:pPr>
                    <w:pStyle w:val="Default"/>
                    <w:contextualSpacing/>
                    <w:rPr>
                      <w:sz w:val="20"/>
                      <w:szCs w:val="20"/>
                    </w:rPr>
                  </w:pPr>
                  <w:r>
                    <w:rPr>
                      <w:sz w:val="20"/>
                      <w:szCs w:val="20"/>
                    </w:rPr>
                    <w:t>Up to 3</w:t>
                  </w:r>
                  <w:r w:rsidR="00C57523" w:rsidRPr="00385FDF">
                    <w:rPr>
                      <w:sz w:val="20"/>
                      <w:szCs w:val="20"/>
                    </w:rPr>
                    <w:t>0% of total contract value upon delivery of outcomes</w:t>
                  </w:r>
                </w:p>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 - 24.99%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w:t>
                  </w:r>
                </w:p>
              </w:tc>
              <w:tc>
                <w:tcPr>
                  <w:tcW w:w="1230" w:type="dxa"/>
                  <w:shd w:val="clear" w:color="auto" w:fill="auto"/>
                </w:tcPr>
                <w:p w:rsidR="00C57523" w:rsidRPr="00385FDF" w:rsidRDefault="00C57523" w:rsidP="00385FDF">
                  <w:pPr>
                    <w:pStyle w:val="Default"/>
                    <w:contextualSpacing/>
                    <w:rPr>
                      <w:sz w:val="20"/>
                      <w:szCs w:val="20"/>
                    </w:rPr>
                  </w:pPr>
                  <w:r w:rsidRPr="00385FDF">
                    <w:rPr>
                      <w:sz w:val="20"/>
                      <w:szCs w:val="20"/>
                    </w:rPr>
                    <w:t>0</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25% - 39.99%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25%</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70,080</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40% - 54.99%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50%</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140,160</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55% - 69.99%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75%</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210,241</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70% &gt;</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100%</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280,321</w:t>
                  </w:r>
                </w:p>
              </w:tc>
            </w:tr>
            <w:tr w:rsidR="00C57523" w:rsidRPr="00385FDF" w:rsidTr="00385FDF">
              <w:trPr>
                <w:trHeight w:val="308"/>
              </w:trPr>
              <w:tc>
                <w:tcPr>
                  <w:tcW w:w="1254" w:type="dxa"/>
                  <w:vMerge w:val="restart"/>
                  <w:shd w:val="clear" w:color="auto" w:fill="auto"/>
                </w:tcPr>
                <w:p w:rsidR="00C57523" w:rsidRPr="00385FDF" w:rsidRDefault="00C57523" w:rsidP="00385FDF">
                  <w:pPr>
                    <w:spacing w:after="0"/>
                    <w:contextualSpacing/>
                    <w:rPr>
                      <w:rFonts w:ascii="Arial" w:hAnsi="Arial" w:cs="Arial"/>
                      <w:b/>
                      <w:color w:val="000000"/>
                      <w:sz w:val="20"/>
                    </w:rPr>
                  </w:pPr>
                  <w:r w:rsidRPr="00385FDF">
                    <w:rPr>
                      <w:rFonts w:ascii="Arial" w:hAnsi="Arial" w:cs="Arial"/>
                      <w:b/>
                      <w:color w:val="000000"/>
                      <w:sz w:val="20"/>
                    </w:rPr>
                    <w:t>2018/19</w:t>
                  </w:r>
                </w:p>
              </w:tc>
              <w:tc>
                <w:tcPr>
                  <w:tcW w:w="1237" w:type="dxa"/>
                  <w:vMerge w:val="restart"/>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Outcomes</w:t>
                  </w:r>
                </w:p>
              </w:tc>
              <w:tc>
                <w:tcPr>
                  <w:tcW w:w="1262" w:type="dxa"/>
                  <w:vMerge w:val="restart"/>
                  <w:shd w:val="clear" w:color="auto" w:fill="auto"/>
                </w:tcPr>
                <w:p w:rsidR="00C57523" w:rsidRPr="00385FDF" w:rsidRDefault="00C57523" w:rsidP="00385FDF">
                  <w:pPr>
                    <w:rPr>
                      <w:rFonts w:ascii="Arial" w:hAnsi="Arial" w:cs="Arial"/>
                    </w:rPr>
                  </w:pPr>
                  <w:r w:rsidRPr="00385FDF">
                    <w:rPr>
                      <w:rFonts w:ascii="Arial" w:hAnsi="Arial" w:cs="Arial"/>
                      <w:b/>
                      <w:bCs/>
                      <w:sz w:val="20"/>
                    </w:rPr>
                    <w:t>£GBP</w:t>
                  </w:r>
                </w:p>
              </w:tc>
              <w:tc>
                <w:tcPr>
                  <w:tcW w:w="1256" w:type="dxa"/>
                  <w:vMerge w:val="restart"/>
                  <w:shd w:val="clear" w:color="auto" w:fill="auto"/>
                </w:tcPr>
                <w:p w:rsidR="00C57523" w:rsidRPr="00385FDF" w:rsidRDefault="00ED5ED1" w:rsidP="00385FDF">
                  <w:pPr>
                    <w:pStyle w:val="Default"/>
                    <w:contextualSpacing/>
                    <w:rPr>
                      <w:sz w:val="20"/>
                      <w:szCs w:val="20"/>
                    </w:rPr>
                  </w:pPr>
                  <w:r>
                    <w:rPr>
                      <w:sz w:val="20"/>
                      <w:szCs w:val="20"/>
                    </w:rPr>
                    <w:t>Up to 3</w:t>
                  </w:r>
                  <w:r w:rsidR="00C57523" w:rsidRPr="00385FDF">
                    <w:rPr>
                      <w:sz w:val="20"/>
                      <w:szCs w:val="20"/>
                    </w:rPr>
                    <w:t>0% of total contract value upon delivery of outcomes</w:t>
                  </w:r>
                </w:p>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 - 24.99%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w:t>
                  </w:r>
                </w:p>
              </w:tc>
              <w:tc>
                <w:tcPr>
                  <w:tcW w:w="1230" w:type="dxa"/>
                  <w:shd w:val="clear" w:color="auto" w:fill="auto"/>
                </w:tcPr>
                <w:p w:rsidR="00C57523" w:rsidRPr="00385FDF" w:rsidRDefault="00C57523" w:rsidP="00385FDF">
                  <w:pPr>
                    <w:pStyle w:val="Default"/>
                    <w:contextualSpacing/>
                    <w:rPr>
                      <w:sz w:val="20"/>
                      <w:szCs w:val="20"/>
                    </w:rPr>
                  </w:pPr>
                  <w:r w:rsidRPr="00385FDF">
                    <w:rPr>
                      <w:sz w:val="20"/>
                      <w:szCs w:val="20"/>
                    </w:rPr>
                    <w:t>0</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25% - 39.99%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25%</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68,538</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40% - 54.99%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50%</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137,077</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55% - 69.99%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75%</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205,615</w:t>
                  </w:r>
                </w:p>
              </w:tc>
            </w:tr>
            <w:tr w:rsidR="00C57523" w:rsidRPr="00385FDF" w:rsidTr="00385FDF">
              <w:trPr>
                <w:trHeight w:val="308"/>
              </w:trPr>
              <w:tc>
                <w:tcPr>
                  <w:tcW w:w="1254" w:type="dxa"/>
                  <w:vMerge/>
                  <w:shd w:val="clear" w:color="auto" w:fill="auto"/>
                </w:tcPr>
                <w:p w:rsidR="00C57523" w:rsidRPr="00385FDF" w:rsidRDefault="00C57523" w:rsidP="00385FDF">
                  <w:pPr>
                    <w:spacing w:after="0"/>
                    <w:contextualSpacing/>
                    <w:rPr>
                      <w:rFonts w:ascii="Arial" w:hAnsi="Arial" w:cs="Arial"/>
                      <w:b/>
                      <w:color w:val="000000"/>
                      <w:sz w:val="20"/>
                    </w:rPr>
                  </w:pPr>
                </w:p>
              </w:tc>
              <w:tc>
                <w:tcPr>
                  <w:tcW w:w="1237" w:type="dxa"/>
                  <w:vMerge/>
                  <w:shd w:val="clear" w:color="auto" w:fill="auto"/>
                </w:tcPr>
                <w:p w:rsidR="00C57523" w:rsidRPr="00385FDF" w:rsidRDefault="00C57523" w:rsidP="00385FDF">
                  <w:pPr>
                    <w:spacing w:after="0"/>
                    <w:contextualSpacing/>
                    <w:rPr>
                      <w:rFonts w:ascii="Arial" w:hAnsi="Arial" w:cs="Arial"/>
                      <w:color w:val="000000"/>
                      <w:sz w:val="20"/>
                    </w:rPr>
                  </w:pPr>
                </w:p>
              </w:tc>
              <w:tc>
                <w:tcPr>
                  <w:tcW w:w="1262" w:type="dxa"/>
                  <w:vMerge/>
                  <w:shd w:val="clear" w:color="auto" w:fill="auto"/>
                </w:tcPr>
                <w:p w:rsidR="00C57523" w:rsidRPr="00385FDF" w:rsidRDefault="00C57523" w:rsidP="00385FDF">
                  <w:pPr>
                    <w:rPr>
                      <w:rFonts w:ascii="Arial" w:hAnsi="Arial" w:cs="Arial"/>
                      <w:b/>
                      <w:bCs/>
                      <w:sz w:val="20"/>
                    </w:rPr>
                  </w:pPr>
                </w:p>
              </w:tc>
              <w:tc>
                <w:tcPr>
                  <w:tcW w:w="1256" w:type="dxa"/>
                  <w:vMerge/>
                  <w:shd w:val="clear" w:color="auto" w:fill="auto"/>
                </w:tcPr>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70% &gt;</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100%</w:t>
                  </w:r>
                </w:p>
              </w:tc>
              <w:tc>
                <w:tcPr>
                  <w:tcW w:w="1230" w:type="dxa"/>
                  <w:shd w:val="clear" w:color="auto" w:fill="auto"/>
                </w:tcPr>
                <w:p w:rsidR="00C57523" w:rsidRPr="00385FDF" w:rsidRDefault="00ED5ED1" w:rsidP="00385FDF">
                  <w:pPr>
                    <w:pStyle w:val="Default"/>
                    <w:contextualSpacing/>
                    <w:rPr>
                      <w:sz w:val="20"/>
                      <w:szCs w:val="20"/>
                    </w:rPr>
                  </w:pPr>
                  <w:r>
                    <w:rPr>
                      <w:sz w:val="20"/>
                      <w:szCs w:val="20"/>
                    </w:rPr>
                    <w:t>274,154</w:t>
                  </w:r>
                </w:p>
              </w:tc>
            </w:tr>
            <w:tr w:rsidR="00C57523" w:rsidRPr="00385FDF" w:rsidTr="00385FDF">
              <w:trPr>
                <w:trHeight w:val="308"/>
              </w:trPr>
              <w:tc>
                <w:tcPr>
                  <w:tcW w:w="1254" w:type="dxa"/>
                  <w:vMerge w:val="restart"/>
                  <w:shd w:val="clear" w:color="auto" w:fill="auto"/>
                </w:tcPr>
                <w:p w:rsidR="00C57523" w:rsidRPr="00385FDF" w:rsidRDefault="00C57523" w:rsidP="00385FDF">
                  <w:pPr>
                    <w:spacing w:after="0"/>
                    <w:contextualSpacing/>
                    <w:rPr>
                      <w:rFonts w:ascii="Arial" w:hAnsi="Arial" w:cs="Arial"/>
                      <w:b/>
                      <w:color w:val="000000"/>
                      <w:sz w:val="20"/>
                    </w:rPr>
                  </w:pPr>
                  <w:r w:rsidRPr="00385FDF">
                    <w:rPr>
                      <w:rFonts w:ascii="Arial" w:hAnsi="Arial" w:cs="Arial"/>
                      <w:b/>
                      <w:color w:val="000000"/>
                      <w:sz w:val="20"/>
                    </w:rPr>
                    <w:t>2019/20</w:t>
                  </w:r>
                </w:p>
              </w:tc>
              <w:tc>
                <w:tcPr>
                  <w:tcW w:w="1237" w:type="dxa"/>
                  <w:vMerge w:val="restart"/>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Outcomes</w:t>
                  </w:r>
                </w:p>
              </w:tc>
              <w:tc>
                <w:tcPr>
                  <w:tcW w:w="1262" w:type="dxa"/>
                  <w:vMerge w:val="restart"/>
                  <w:shd w:val="clear" w:color="auto" w:fill="auto"/>
                </w:tcPr>
                <w:p w:rsidR="00C57523" w:rsidRPr="00385FDF" w:rsidRDefault="00C57523" w:rsidP="00385FDF">
                  <w:pPr>
                    <w:rPr>
                      <w:rFonts w:ascii="Arial" w:hAnsi="Arial" w:cs="Arial"/>
                    </w:rPr>
                  </w:pPr>
                  <w:r w:rsidRPr="00385FDF">
                    <w:rPr>
                      <w:rFonts w:ascii="Arial" w:hAnsi="Arial" w:cs="Arial"/>
                      <w:b/>
                      <w:bCs/>
                      <w:sz w:val="20"/>
                    </w:rPr>
                    <w:t>£GBP</w:t>
                  </w:r>
                </w:p>
              </w:tc>
              <w:tc>
                <w:tcPr>
                  <w:tcW w:w="1256" w:type="dxa"/>
                  <w:vMerge w:val="restart"/>
                  <w:shd w:val="clear" w:color="auto" w:fill="auto"/>
                </w:tcPr>
                <w:p w:rsidR="00C57523" w:rsidRPr="00385FDF" w:rsidRDefault="00ED5ED1" w:rsidP="00385FDF">
                  <w:pPr>
                    <w:pStyle w:val="Default"/>
                    <w:contextualSpacing/>
                    <w:rPr>
                      <w:sz w:val="20"/>
                      <w:szCs w:val="20"/>
                    </w:rPr>
                  </w:pPr>
                  <w:r>
                    <w:rPr>
                      <w:sz w:val="20"/>
                      <w:szCs w:val="20"/>
                    </w:rPr>
                    <w:t>Up to 3</w:t>
                  </w:r>
                  <w:r w:rsidR="00C57523" w:rsidRPr="00385FDF">
                    <w:rPr>
                      <w:sz w:val="20"/>
                      <w:szCs w:val="20"/>
                    </w:rPr>
                    <w:t>0% of total contract value upon delivery of outcomes</w:t>
                  </w:r>
                </w:p>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 - 24.99%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w:t>
                  </w:r>
                </w:p>
              </w:tc>
              <w:tc>
                <w:tcPr>
                  <w:tcW w:w="1230" w:type="dxa"/>
                  <w:shd w:val="clear" w:color="auto" w:fill="auto"/>
                </w:tcPr>
                <w:p w:rsidR="00C57523" w:rsidRPr="00385FDF" w:rsidRDefault="00C57523" w:rsidP="00385FDF">
                  <w:pPr>
                    <w:pStyle w:val="Default"/>
                    <w:contextualSpacing/>
                    <w:rPr>
                      <w:sz w:val="20"/>
                      <w:szCs w:val="20"/>
                    </w:rPr>
                  </w:pPr>
                  <w:r w:rsidRPr="00385FDF">
                    <w:rPr>
                      <w:sz w:val="20"/>
                      <w:szCs w:val="20"/>
                    </w:rPr>
                    <w:t>0</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25% - 39.99%</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25%</w:t>
                  </w:r>
                </w:p>
              </w:tc>
              <w:tc>
                <w:tcPr>
                  <w:tcW w:w="1230" w:type="dxa"/>
                  <w:shd w:val="clear" w:color="auto" w:fill="auto"/>
                </w:tcPr>
                <w:p w:rsidR="006500D4" w:rsidRPr="00385FDF" w:rsidRDefault="00ED5ED1" w:rsidP="00385FDF">
                  <w:pPr>
                    <w:pStyle w:val="Default"/>
                    <w:contextualSpacing/>
                    <w:rPr>
                      <w:sz w:val="20"/>
                      <w:szCs w:val="20"/>
                    </w:rPr>
                  </w:pPr>
                  <w:r>
                    <w:rPr>
                      <w:sz w:val="20"/>
                      <w:szCs w:val="20"/>
                    </w:rPr>
                    <w:t>67,031</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40% - 54.99%</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50%</w:t>
                  </w:r>
                </w:p>
              </w:tc>
              <w:tc>
                <w:tcPr>
                  <w:tcW w:w="1230" w:type="dxa"/>
                  <w:shd w:val="clear" w:color="auto" w:fill="auto"/>
                </w:tcPr>
                <w:p w:rsidR="006500D4" w:rsidRPr="00385FDF" w:rsidRDefault="00ED5ED1" w:rsidP="00385FDF">
                  <w:pPr>
                    <w:pStyle w:val="Default"/>
                    <w:contextualSpacing/>
                    <w:rPr>
                      <w:sz w:val="20"/>
                      <w:szCs w:val="20"/>
                    </w:rPr>
                  </w:pPr>
                  <w:r>
                    <w:rPr>
                      <w:sz w:val="20"/>
                      <w:szCs w:val="20"/>
                    </w:rPr>
                    <w:t>134,061</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55% - 69.99%</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75%</w:t>
                  </w:r>
                </w:p>
              </w:tc>
              <w:tc>
                <w:tcPr>
                  <w:tcW w:w="1230" w:type="dxa"/>
                  <w:shd w:val="clear" w:color="auto" w:fill="auto"/>
                </w:tcPr>
                <w:p w:rsidR="006500D4" w:rsidRPr="00385FDF" w:rsidRDefault="00ED5ED1" w:rsidP="00385FDF">
                  <w:pPr>
                    <w:pStyle w:val="Default"/>
                    <w:contextualSpacing/>
                    <w:rPr>
                      <w:sz w:val="20"/>
                      <w:szCs w:val="20"/>
                    </w:rPr>
                  </w:pPr>
                  <w:r>
                    <w:rPr>
                      <w:sz w:val="20"/>
                      <w:szCs w:val="20"/>
                    </w:rPr>
                    <w:t>201,092</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70% &gt;</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100%</w:t>
                  </w:r>
                </w:p>
              </w:tc>
              <w:tc>
                <w:tcPr>
                  <w:tcW w:w="1230" w:type="dxa"/>
                  <w:shd w:val="clear" w:color="auto" w:fill="auto"/>
                </w:tcPr>
                <w:p w:rsidR="006500D4" w:rsidRPr="00385FDF" w:rsidRDefault="00ED5ED1" w:rsidP="00385FDF">
                  <w:pPr>
                    <w:pStyle w:val="Default"/>
                    <w:contextualSpacing/>
                    <w:rPr>
                      <w:sz w:val="20"/>
                      <w:szCs w:val="20"/>
                    </w:rPr>
                  </w:pPr>
                  <w:r>
                    <w:rPr>
                      <w:sz w:val="20"/>
                      <w:szCs w:val="20"/>
                    </w:rPr>
                    <w:t>268,122</w:t>
                  </w:r>
                </w:p>
              </w:tc>
            </w:tr>
            <w:tr w:rsidR="00C57523" w:rsidRPr="00385FDF" w:rsidTr="00385FDF">
              <w:trPr>
                <w:trHeight w:val="308"/>
              </w:trPr>
              <w:tc>
                <w:tcPr>
                  <w:tcW w:w="1254" w:type="dxa"/>
                  <w:vMerge w:val="restart"/>
                  <w:shd w:val="clear" w:color="auto" w:fill="auto"/>
                </w:tcPr>
                <w:p w:rsidR="00C57523" w:rsidRPr="00385FDF" w:rsidRDefault="00C57523" w:rsidP="00385FDF">
                  <w:pPr>
                    <w:spacing w:after="0"/>
                    <w:contextualSpacing/>
                    <w:rPr>
                      <w:rFonts w:ascii="Arial" w:hAnsi="Arial" w:cs="Arial"/>
                      <w:b/>
                      <w:color w:val="000000"/>
                      <w:sz w:val="20"/>
                    </w:rPr>
                  </w:pPr>
                  <w:r w:rsidRPr="00385FDF">
                    <w:rPr>
                      <w:rFonts w:ascii="Arial" w:hAnsi="Arial" w:cs="Arial"/>
                      <w:b/>
                      <w:color w:val="000000"/>
                      <w:sz w:val="20"/>
                    </w:rPr>
                    <w:t>2020/21</w:t>
                  </w:r>
                </w:p>
              </w:tc>
              <w:tc>
                <w:tcPr>
                  <w:tcW w:w="1237" w:type="dxa"/>
                  <w:vMerge w:val="restart"/>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Outcomes</w:t>
                  </w:r>
                </w:p>
              </w:tc>
              <w:tc>
                <w:tcPr>
                  <w:tcW w:w="1262" w:type="dxa"/>
                  <w:vMerge w:val="restart"/>
                  <w:shd w:val="clear" w:color="auto" w:fill="auto"/>
                </w:tcPr>
                <w:p w:rsidR="00C57523" w:rsidRPr="00385FDF" w:rsidRDefault="00C57523" w:rsidP="00385FDF">
                  <w:pPr>
                    <w:rPr>
                      <w:rFonts w:ascii="Arial" w:hAnsi="Arial" w:cs="Arial"/>
                    </w:rPr>
                  </w:pPr>
                  <w:r w:rsidRPr="00385FDF">
                    <w:rPr>
                      <w:rFonts w:ascii="Arial" w:hAnsi="Arial" w:cs="Arial"/>
                      <w:b/>
                      <w:bCs/>
                      <w:sz w:val="20"/>
                    </w:rPr>
                    <w:t>£GBP</w:t>
                  </w:r>
                </w:p>
              </w:tc>
              <w:tc>
                <w:tcPr>
                  <w:tcW w:w="1256" w:type="dxa"/>
                  <w:vMerge w:val="restart"/>
                  <w:shd w:val="clear" w:color="auto" w:fill="auto"/>
                </w:tcPr>
                <w:p w:rsidR="00C57523" w:rsidRPr="00385FDF" w:rsidRDefault="00ED5ED1" w:rsidP="00385FDF">
                  <w:pPr>
                    <w:pStyle w:val="Default"/>
                    <w:contextualSpacing/>
                    <w:rPr>
                      <w:sz w:val="20"/>
                      <w:szCs w:val="20"/>
                    </w:rPr>
                  </w:pPr>
                  <w:r>
                    <w:rPr>
                      <w:sz w:val="20"/>
                      <w:szCs w:val="20"/>
                    </w:rPr>
                    <w:t>Up to 3</w:t>
                  </w:r>
                  <w:r w:rsidR="00C57523" w:rsidRPr="00385FDF">
                    <w:rPr>
                      <w:sz w:val="20"/>
                      <w:szCs w:val="20"/>
                    </w:rPr>
                    <w:t>0% of total contract value upon delivery of outcomes</w:t>
                  </w:r>
                </w:p>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 - 24.99%</w:t>
                  </w:r>
                </w:p>
              </w:tc>
              <w:tc>
                <w:tcPr>
                  <w:tcW w:w="1294"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0%</w:t>
                  </w:r>
                </w:p>
              </w:tc>
              <w:tc>
                <w:tcPr>
                  <w:tcW w:w="1230" w:type="dxa"/>
                  <w:shd w:val="clear" w:color="auto" w:fill="auto"/>
                </w:tcPr>
                <w:p w:rsidR="00C57523" w:rsidRPr="00385FDF" w:rsidRDefault="00C57523" w:rsidP="00385FDF">
                  <w:pPr>
                    <w:pStyle w:val="Default"/>
                    <w:contextualSpacing/>
                    <w:rPr>
                      <w:sz w:val="20"/>
                      <w:szCs w:val="20"/>
                    </w:rPr>
                  </w:pPr>
                  <w:r w:rsidRPr="00385FDF">
                    <w:rPr>
                      <w:sz w:val="20"/>
                      <w:szCs w:val="20"/>
                    </w:rPr>
                    <w:t>0</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25% - 39.99%</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25%</w:t>
                  </w:r>
                </w:p>
              </w:tc>
              <w:tc>
                <w:tcPr>
                  <w:tcW w:w="1230" w:type="dxa"/>
                  <w:shd w:val="clear" w:color="auto" w:fill="auto"/>
                </w:tcPr>
                <w:p w:rsidR="006500D4" w:rsidRPr="00385FDF" w:rsidRDefault="00ED5ED1" w:rsidP="00ED5ED1">
                  <w:pPr>
                    <w:pStyle w:val="Default"/>
                    <w:contextualSpacing/>
                    <w:rPr>
                      <w:sz w:val="20"/>
                      <w:szCs w:val="20"/>
                    </w:rPr>
                  </w:pPr>
                  <w:r>
                    <w:rPr>
                      <w:sz w:val="20"/>
                      <w:szCs w:val="20"/>
                    </w:rPr>
                    <w:t>65,566</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40% - 54.99%</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50%</w:t>
                  </w:r>
                </w:p>
              </w:tc>
              <w:tc>
                <w:tcPr>
                  <w:tcW w:w="1230" w:type="dxa"/>
                  <w:shd w:val="clear" w:color="auto" w:fill="auto"/>
                </w:tcPr>
                <w:p w:rsidR="006500D4" w:rsidRPr="00385FDF" w:rsidRDefault="00ED5ED1" w:rsidP="00385FDF">
                  <w:pPr>
                    <w:pStyle w:val="Default"/>
                    <w:contextualSpacing/>
                    <w:rPr>
                      <w:sz w:val="20"/>
                      <w:szCs w:val="20"/>
                    </w:rPr>
                  </w:pPr>
                  <w:r>
                    <w:rPr>
                      <w:sz w:val="20"/>
                      <w:szCs w:val="20"/>
                    </w:rPr>
                    <w:t>131,112</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55% - 69.99%</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75%</w:t>
                  </w:r>
                </w:p>
              </w:tc>
              <w:tc>
                <w:tcPr>
                  <w:tcW w:w="1230" w:type="dxa"/>
                  <w:shd w:val="clear" w:color="auto" w:fill="auto"/>
                </w:tcPr>
                <w:p w:rsidR="006500D4" w:rsidRPr="00385FDF" w:rsidRDefault="00ED5ED1" w:rsidP="00385FDF">
                  <w:pPr>
                    <w:pStyle w:val="Default"/>
                    <w:contextualSpacing/>
                    <w:rPr>
                      <w:sz w:val="20"/>
                      <w:szCs w:val="20"/>
                    </w:rPr>
                  </w:pPr>
                  <w:r>
                    <w:rPr>
                      <w:sz w:val="20"/>
                      <w:szCs w:val="20"/>
                    </w:rPr>
                    <w:t>196,668</w:t>
                  </w:r>
                </w:p>
              </w:tc>
            </w:tr>
            <w:tr w:rsidR="006500D4" w:rsidRPr="00385FDF" w:rsidTr="00385FDF">
              <w:trPr>
                <w:trHeight w:val="308"/>
              </w:trPr>
              <w:tc>
                <w:tcPr>
                  <w:tcW w:w="1254" w:type="dxa"/>
                  <w:vMerge/>
                  <w:shd w:val="clear" w:color="auto" w:fill="auto"/>
                </w:tcPr>
                <w:p w:rsidR="006500D4" w:rsidRPr="00385FDF" w:rsidRDefault="006500D4" w:rsidP="00385FDF">
                  <w:pPr>
                    <w:spacing w:after="0"/>
                    <w:contextualSpacing/>
                    <w:rPr>
                      <w:rFonts w:ascii="Arial" w:hAnsi="Arial" w:cs="Arial"/>
                      <w:b/>
                      <w:color w:val="000000"/>
                      <w:sz w:val="20"/>
                    </w:rPr>
                  </w:pPr>
                </w:p>
              </w:tc>
              <w:tc>
                <w:tcPr>
                  <w:tcW w:w="1237" w:type="dxa"/>
                  <w:vMerge/>
                  <w:shd w:val="clear" w:color="auto" w:fill="auto"/>
                </w:tcPr>
                <w:p w:rsidR="006500D4" w:rsidRPr="00385FDF" w:rsidRDefault="006500D4" w:rsidP="00385FDF">
                  <w:pPr>
                    <w:spacing w:after="0"/>
                    <w:contextualSpacing/>
                    <w:rPr>
                      <w:rFonts w:ascii="Arial" w:hAnsi="Arial" w:cs="Arial"/>
                      <w:color w:val="000000"/>
                      <w:sz w:val="20"/>
                    </w:rPr>
                  </w:pPr>
                </w:p>
              </w:tc>
              <w:tc>
                <w:tcPr>
                  <w:tcW w:w="1262" w:type="dxa"/>
                  <w:vMerge/>
                  <w:shd w:val="clear" w:color="auto" w:fill="auto"/>
                </w:tcPr>
                <w:p w:rsidR="006500D4" w:rsidRPr="00385FDF" w:rsidRDefault="006500D4" w:rsidP="00385FDF">
                  <w:pPr>
                    <w:rPr>
                      <w:rFonts w:ascii="Arial" w:hAnsi="Arial" w:cs="Arial"/>
                      <w:b/>
                      <w:bCs/>
                      <w:sz w:val="20"/>
                    </w:rPr>
                  </w:pPr>
                </w:p>
              </w:tc>
              <w:tc>
                <w:tcPr>
                  <w:tcW w:w="1256" w:type="dxa"/>
                  <w:vMerge/>
                  <w:shd w:val="clear" w:color="auto" w:fill="auto"/>
                </w:tcPr>
                <w:p w:rsidR="006500D4" w:rsidRPr="00385FDF" w:rsidRDefault="006500D4" w:rsidP="00385FDF">
                  <w:pPr>
                    <w:pStyle w:val="Default"/>
                    <w:contextualSpacing/>
                    <w:rPr>
                      <w:sz w:val="20"/>
                      <w:szCs w:val="20"/>
                    </w:rPr>
                  </w:pPr>
                </w:p>
              </w:tc>
              <w:tc>
                <w:tcPr>
                  <w:tcW w:w="1375"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70% &gt;</w:t>
                  </w:r>
                </w:p>
              </w:tc>
              <w:tc>
                <w:tcPr>
                  <w:tcW w:w="1294" w:type="dxa"/>
                  <w:shd w:val="clear" w:color="auto" w:fill="auto"/>
                </w:tcPr>
                <w:p w:rsidR="006500D4" w:rsidRPr="00385FDF" w:rsidRDefault="006500D4" w:rsidP="00385FDF">
                  <w:pPr>
                    <w:spacing w:after="0"/>
                    <w:contextualSpacing/>
                    <w:rPr>
                      <w:rFonts w:ascii="Arial" w:hAnsi="Arial" w:cs="Arial"/>
                      <w:color w:val="000000"/>
                      <w:sz w:val="20"/>
                    </w:rPr>
                  </w:pPr>
                  <w:r w:rsidRPr="00385FDF">
                    <w:rPr>
                      <w:rFonts w:ascii="Arial" w:hAnsi="Arial" w:cs="Arial"/>
                      <w:color w:val="000000"/>
                      <w:sz w:val="20"/>
                    </w:rPr>
                    <w:t>100%</w:t>
                  </w:r>
                </w:p>
              </w:tc>
              <w:tc>
                <w:tcPr>
                  <w:tcW w:w="1230" w:type="dxa"/>
                  <w:shd w:val="clear" w:color="auto" w:fill="auto"/>
                </w:tcPr>
                <w:p w:rsidR="006500D4" w:rsidRPr="00385FDF" w:rsidRDefault="00ED5ED1" w:rsidP="00385FDF">
                  <w:pPr>
                    <w:pStyle w:val="Default"/>
                    <w:contextualSpacing/>
                    <w:rPr>
                      <w:sz w:val="20"/>
                      <w:szCs w:val="20"/>
                    </w:rPr>
                  </w:pPr>
                  <w:r>
                    <w:rPr>
                      <w:sz w:val="20"/>
                      <w:szCs w:val="20"/>
                    </w:rPr>
                    <w:t>262,224</w:t>
                  </w:r>
                </w:p>
              </w:tc>
            </w:tr>
            <w:tr w:rsidR="00C57523" w:rsidRPr="00385FDF" w:rsidTr="00385FDF">
              <w:tc>
                <w:tcPr>
                  <w:tcW w:w="1254" w:type="dxa"/>
                  <w:shd w:val="clear" w:color="auto" w:fill="auto"/>
                </w:tcPr>
                <w:p w:rsidR="00C57523" w:rsidRPr="00385FDF" w:rsidRDefault="00C57523" w:rsidP="00385FDF">
                  <w:pPr>
                    <w:spacing w:after="0"/>
                    <w:contextualSpacing/>
                    <w:rPr>
                      <w:rFonts w:ascii="Arial" w:hAnsi="Arial" w:cs="Arial"/>
                      <w:b/>
                      <w:color w:val="000000"/>
                      <w:sz w:val="20"/>
                    </w:rPr>
                  </w:pPr>
                  <w:r w:rsidRPr="00385FDF">
                    <w:rPr>
                      <w:rFonts w:ascii="Arial" w:hAnsi="Arial" w:cs="Arial"/>
                      <w:b/>
                      <w:color w:val="000000"/>
                      <w:sz w:val="20"/>
                    </w:rPr>
                    <w:t>TOTAL over 5 year contract period</w:t>
                  </w:r>
                </w:p>
              </w:tc>
              <w:tc>
                <w:tcPr>
                  <w:tcW w:w="1237" w:type="dxa"/>
                  <w:shd w:val="clear" w:color="auto" w:fill="auto"/>
                </w:tcPr>
                <w:p w:rsidR="00C57523" w:rsidRPr="00385FDF" w:rsidRDefault="00C57523" w:rsidP="00385FDF">
                  <w:pPr>
                    <w:spacing w:after="0"/>
                    <w:contextualSpacing/>
                    <w:rPr>
                      <w:rFonts w:ascii="Arial" w:hAnsi="Arial" w:cs="Arial"/>
                      <w:color w:val="000000"/>
                      <w:sz w:val="20"/>
                    </w:rPr>
                  </w:pPr>
                  <w:r w:rsidRPr="00385FDF">
                    <w:rPr>
                      <w:rFonts w:ascii="Arial" w:hAnsi="Arial" w:cs="Arial"/>
                      <w:color w:val="000000"/>
                      <w:sz w:val="20"/>
                    </w:rPr>
                    <w:t>Outcomes</w:t>
                  </w:r>
                </w:p>
              </w:tc>
              <w:tc>
                <w:tcPr>
                  <w:tcW w:w="1262" w:type="dxa"/>
                  <w:shd w:val="clear" w:color="auto" w:fill="auto"/>
                </w:tcPr>
                <w:p w:rsidR="00C57523" w:rsidRPr="00385FDF" w:rsidRDefault="00C57523" w:rsidP="00385FDF">
                  <w:pPr>
                    <w:rPr>
                      <w:rFonts w:ascii="Arial" w:hAnsi="Arial" w:cs="Arial"/>
                      <w:b/>
                      <w:bCs/>
                      <w:sz w:val="20"/>
                    </w:rPr>
                  </w:pPr>
                  <w:r w:rsidRPr="00385FDF">
                    <w:rPr>
                      <w:rFonts w:ascii="Arial" w:hAnsi="Arial" w:cs="Arial"/>
                      <w:b/>
                      <w:bCs/>
                      <w:sz w:val="20"/>
                    </w:rPr>
                    <w:t>£GBP</w:t>
                  </w:r>
                </w:p>
              </w:tc>
              <w:tc>
                <w:tcPr>
                  <w:tcW w:w="1256" w:type="dxa"/>
                  <w:shd w:val="clear" w:color="auto" w:fill="auto"/>
                </w:tcPr>
                <w:p w:rsidR="00C57523" w:rsidRPr="00385FDF" w:rsidRDefault="00ED5ED1" w:rsidP="00385FDF">
                  <w:pPr>
                    <w:pStyle w:val="Default"/>
                    <w:contextualSpacing/>
                    <w:rPr>
                      <w:sz w:val="20"/>
                      <w:szCs w:val="20"/>
                    </w:rPr>
                  </w:pPr>
                  <w:r>
                    <w:rPr>
                      <w:sz w:val="20"/>
                      <w:szCs w:val="20"/>
                    </w:rPr>
                    <w:t>Up to 3</w:t>
                  </w:r>
                  <w:r w:rsidR="00C57523" w:rsidRPr="00385FDF">
                    <w:rPr>
                      <w:sz w:val="20"/>
                      <w:szCs w:val="20"/>
                    </w:rPr>
                    <w:t>0% of total contract value upon delivery of outcomes</w:t>
                  </w:r>
                </w:p>
                <w:p w:rsidR="00C57523" w:rsidRPr="00385FDF" w:rsidRDefault="00C57523" w:rsidP="00385FDF">
                  <w:pPr>
                    <w:pStyle w:val="Default"/>
                    <w:contextualSpacing/>
                    <w:rPr>
                      <w:sz w:val="20"/>
                      <w:szCs w:val="20"/>
                    </w:rPr>
                  </w:pPr>
                </w:p>
              </w:tc>
              <w:tc>
                <w:tcPr>
                  <w:tcW w:w="1375" w:type="dxa"/>
                  <w:shd w:val="clear" w:color="auto" w:fill="auto"/>
                </w:tcPr>
                <w:p w:rsidR="00C57523" w:rsidRPr="00385FDF" w:rsidRDefault="00C57523" w:rsidP="00385FDF">
                  <w:pPr>
                    <w:pStyle w:val="Default"/>
                    <w:contextualSpacing/>
                    <w:rPr>
                      <w:sz w:val="20"/>
                      <w:szCs w:val="20"/>
                    </w:rPr>
                  </w:pPr>
                </w:p>
              </w:tc>
              <w:tc>
                <w:tcPr>
                  <w:tcW w:w="1294" w:type="dxa"/>
                  <w:shd w:val="clear" w:color="auto" w:fill="auto"/>
                </w:tcPr>
                <w:p w:rsidR="00C57523" w:rsidRPr="00385FDF" w:rsidRDefault="00C57523" w:rsidP="00385FDF">
                  <w:pPr>
                    <w:pStyle w:val="Default"/>
                    <w:contextualSpacing/>
                    <w:rPr>
                      <w:bCs/>
                      <w:sz w:val="20"/>
                      <w:szCs w:val="20"/>
                    </w:rPr>
                  </w:pPr>
                </w:p>
              </w:tc>
              <w:tc>
                <w:tcPr>
                  <w:tcW w:w="1230" w:type="dxa"/>
                  <w:shd w:val="clear" w:color="auto" w:fill="auto"/>
                </w:tcPr>
                <w:p w:rsidR="00C57523" w:rsidRPr="00385FDF" w:rsidRDefault="00ED5ED1" w:rsidP="00385FDF">
                  <w:pPr>
                    <w:pStyle w:val="Default"/>
                    <w:contextualSpacing/>
                    <w:rPr>
                      <w:bCs/>
                      <w:sz w:val="20"/>
                      <w:szCs w:val="20"/>
                    </w:rPr>
                  </w:pPr>
                  <w:r>
                    <w:rPr>
                      <w:bCs/>
                      <w:sz w:val="20"/>
                      <w:szCs w:val="20"/>
                    </w:rPr>
                    <w:t>1,371,448</w:t>
                  </w:r>
                </w:p>
              </w:tc>
            </w:tr>
          </w:tbl>
          <w:p w:rsidR="00207E54" w:rsidRDefault="00207E54" w:rsidP="00153F12">
            <w:pPr>
              <w:spacing w:after="0"/>
              <w:contextualSpacing/>
              <w:jc w:val="both"/>
              <w:rPr>
                <w:rFonts w:ascii="Arial" w:hAnsi="Arial" w:cs="Arial"/>
                <w:b/>
                <w:sz w:val="20"/>
              </w:rPr>
            </w:pPr>
          </w:p>
          <w:p w:rsidR="00207E54" w:rsidRPr="00153F12" w:rsidRDefault="00207E54" w:rsidP="00153F12">
            <w:pPr>
              <w:spacing w:after="0"/>
              <w:contextualSpacing/>
              <w:jc w:val="both"/>
              <w:rPr>
                <w:rFonts w:ascii="Arial" w:hAnsi="Arial" w:cs="Arial"/>
                <w:b/>
                <w:sz w:val="20"/>
              </w:rPr>
            </w:pPr>
          </w:p>
          <w:p w:rsidR="00153F12" w:rsidRPr="00153F12" w:rsidRDefault="00153F12" w:rsidP="00153F12">
            <w:pPr>
              <w:spacing w:after="0"/>
              <w:contextualSpacing/>
              <w:jc w:val="both"/>
              <w:rPr>
                <w:rFonts w:ascii="Arial" w:hAnsi="Arial" w:cs="Arial"/>
                <w:b/>
                <w:sz w:val="20"/>
              </w:rPr>
            </w:pPr>
          </w:p>
          <w:p w:rsidR="00C25218" w:rsidRDefault="00C25218" w:rsidP="00153F12">
            <w:pPr>
              <w:spacing w:after="0"/>
              <w:contextualSpacing/>
              <w:jc w:val="both"/>
              <w:rPr>
                <w:rFonts w:ascii="Arial" w:hAnsi="Arial" w:cs="Arial"/>
                <w:b/>
                <w:sz w:val="20"/>
              </w:rPr>
            </w:pPr>
          </w:p>
          <w:p w:rsidR="00C25218" w:rsidRPr="00C25218" w:rsidRDefault="00C25218" w:rsidP="00153F12">
            <w:pPr>
              <w:spacing w:after="0"/>
              <w:contextualSpacing/>
              <w:jc w:val="both"/>
              <w:rPr>
                <w:rFonts w:ascii="Arial" w:hAnsi="Arial" w:cs="Arial"/>
                <w:b/>
                <w:sz w:val="20"/>
              </w:rPr>
            </w:pPr>
            <w:r w:rsidRPr="00C25218">
              <w:rPr>
                <w:rFonts w:ascii="Arial" w:hAnsi="Arial" w:cs="Arial"/>
                <w:b/>
                <w:sz w:val="20"/>
              </w:rPr>
              <w:t>8.3 Method of Payment</w:t>
            </w:r>
          </w:p>
          <w:p w:rsidR="00C25218" w:rsidRPr="00C25218" w:rsidRDefault="00C25218" w:rsidP="00153F12">
            <w:pPr>
              <w:spacing w:after="0"/>
              <w:contextualSpacing/>
              <w:jc w:val="both"/>
              <w:rPr>
                <w:rFonts w:ascii="Arial" w:hAnsi="Arial" w:cs="Arial"/>
                <w:b/>
                <w:sz w:val="20"/>
              </w:rPr>
            </w:pPr>
          </w:p>
          <w:p w:rsidR="00420BB6" w:rsidRDefault="008E714C" w:rsidP="008E714C">
            <w:pPr>
              <w:spacing w:after="0"/>
              <w:contextualSpacing/>
              <w:jc w:val="both"/>
              <w:rPr>
                <w:rFonts w:ascii="Arial" w:hAnsi="Arial" w:cs="Arial"/>
                <w:b/>
                <w:sz w:val="20"/>
              </w:rPr>
            </w:pPr>
            <w:r>
              <w:rPr>
                <w:rFonts w:ascii="Arial" w:hAnsi="Arial" w:cs="Arial"/>
                <w:b/>
                <w:sz w:val="20"/>
              </w:rPr>
              <w:t>TBC</w:t>
            </w:r>
          </w:p>
          <w:p w:rsidR="008E714C" w:rsidRPr="00296DE0" w:rsidRDefault="008E714C" w:rsidP="008E714C">
            <w:pPr>
              <w:spacing w:after="0"/>
              <w:contextualSpacing/>
              <w:jc w:val="both"/>
              <w:rPr>
                <w:rFonts w:ascii="Arial" w:hAnsi="Arial" w:cs="Arial"/>
                <w:sz w:val="20"/>
              </w:rPr>
            </w:pPr>
          </w:p>
        </w:tc>
      </w:tr>
    </w:tbl>
    <w:p w:rsidR="00345EC0" w:rsidRDefault="00345EC0"/>
    <w:sectPr w:rsidR="00345EC0" w:rsidSect="00F24985">
      <w:footerReference w:type="default" r:id="rId9"/>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D83" w:rsidRDefault="00C20D83" w:rsidP="00F24985">
      <w:pPr>
        <w:spacing w:after="0"/>
      </w:pPr>
      <w:r>
        <w:separator/>
      </w:r>
    </w:p>
  </w:endnote>
  <w:endnote w:type="continuationSeparator" w:id="0">
    <w:p w:rsidR="00C20D83" w:rsidRDefault="00C20D83" w:rsidP="00F249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FC" w:rsidRDefault="009407FC">
    <w:pPr>
      <w:pStyle w:val="Footer"/>
      <w:jc w:val="right"/>
    </w:pPr>
  </w:p>
  <w:p w:rsidR="009407FC" w:rsidRDefault="009407FC">
    <w:pPr>
      <w:pStyle w:val="Footer"/>
      <w:jc w:val="right"/>
    </w:pPr>
    <w:r>
      <w:fldChar w:fldCharType="begin"/>
    </w:r>
    <w:r>
      <w:instrText xml:space="preserve"> PAGE   \* MERGEFORMAT </w:instrText>
    </w:r>
    <w:r>
      <w:fldChar w:fldCharType="separate"/>
    </w:r>
    <w:r w:rsidR="00F07442">
      <w:rPr>
        <w:noProof/>
      </w:rPr>
      <w:t>1</w:t>
    </w:r>
    <w:r>
      <w:rPr>
        <w:noProof/>
      </w:rPr>
      <w:fldChar w:fldCharType="end"/>
    </w:r>
  </w:p>
  <w:p w:rsidR="009407FC" w:rsidRDefault="00940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D83" w:rsidRDefault="00C20D83" w:rsidP="00F24985">
      <w:pPr>
        <w:spacing w:after="0"/>
      </w:pPr>
      <w:r>
        <w:separator/>
      </w:r>
    </w:p>
  </w:footnote>
  <w:footnote w:type="continuationSeparator" w:id="0">
    <w:p w:rsidR="00C20D83" w:rsidRDefault="00C20D83" w:rsidP="00F249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3C7"/>
    <w:multiLevelType w:val="hybridMultilevel"/>
    <w:tmpl w:val="4F2A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949B2"/>
    <w:multiLevelType w:val="hybridMultilevel"/>
    <w:tmpl w:val="EFEE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3A1F44"/>
    <w:multiLevelType w:val="hybridMultilevel"/>
    <w:tmpl w:val="632A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950AF"/>
    <w:multiLevelType w:val="hybridMultilevel"/>
    <w:tmpl w:val="15DE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1891"/>
    <w:multiLevelType w:val="hybridMultilevel"/>
    <w:tmpl w:val="5128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131B2"/>
    <w:multiLevelType w:val="hybridMultilevel"/>
    <w:tmpl w:val="6AEE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D72FA"/>
    <w:multiLevelType w:val="hybridMultilevel"/>
    <w:tmpl w:val="7A00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0231F"/>
    <w:multiLevelType w:val="hybridMultilevel"/>
    <w:tmpl w:val="4B76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5D0ED3"/>
    <w:multiLevelType w:val="hybridMultilevel"/>
    <w:tmpl w:val="E1BC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E3C56"/>
    <w:multiLevelType w:val="hybridMultilevel"/>
    <w:tmpl w:val="BE1AA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C70D9"/>
    <w:multiLevelType w:val="hybridMultilevel"/>
    <w:tmpl w:val="14E0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406D"/>
    <w:multiLevelType w:val="hybridMultilevel"/>
    <w:tmpl w:val="EAB82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06E24"/>
    <w:multiLevelType w:val="hybridMultilevel"/>
    <w:tmpl w:val="DD14C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B935E5"/>
    <w:multiLevelType w:val="hybridMultilevel"/>
    <w:tmpl w:val="BD84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D7C2B"/>
    <w:multiLevelType w:val="hybridMultilevel"/>
    <w:tmpl w:val="490812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72C51"/>
    <w:multiLevelType w:val="hybridMultilevel"/>
    <w:tmpl w:val="99A2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A106B"/>
    <w:multiLevelType w:val="hybridMultilevel"/>
    <w:tmpl w:val="F9B4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50472"/>
    <w:multiLevelType w:val="hybridMultilevel"/>
    <w:tmpl w:val="535A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5551"/>
    <w:multiLevelType w:val="hybridMultilevel"/>
    <w:tmpl w:val="74DE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F774C"/>
    <w:multiLevelType w:val="hybridMultilevel"/>
    <w:tmpl w:val="F776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540E7"/>
    <w:multiLevelType w:val="hybridMultilevel"/>
    <w:tmpl w:val="3348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51E29"/>
    <w:multiLevelType w:val="hybridMultilevel"/>
    <w:tmpl w:val="6030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B4CC6"/>
    <w:multiLevelType w:val="hybridMultilevel"/>
    <w:tmpl w:val="2946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377"/>
    <w:multiLevelType w:val="hybridMultilevel"/>
    <w:tmpl w:val="78AA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86004"/>
    <w:multiLevelType w:val="hybridMultilevel"/>
    <w:tmpl w:val="6BC8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F6B03"/>
    <w:multiLevelType w:val="hybridMultilevel"/>
    <w:tmpl w:val="E1EC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B34BE"/>
    <w:multiLevelType w:val="hybridMultilevel"/>
    <w:tmpl w:val="1854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30DD0"/>
    <w:multiLevelType w:val="hybridMultilevel"/>
    <w:tmpl w:val="4A1E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E4D34"/>
    <w:multiLevelType w:val="hybridMultilevel"/>
    <w:tmpl w:val="2A46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6650A"/>
    <w:multiLevelType w:val="hybridMultilevel"/>
    <w:tmpl w:val="E920F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1D0EA3"/>
    <w:multiLevelType w:val="hybridMultilevel"/>
    <w:tmpl w:val="7F18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A453B7"/>
    <w:multiLevelType w:val="hybridMultilevel"/>
    <w:tmpl w:val="BE683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A36CCB"/>
    <w:multiLevelType w:val="hybridMultilevel"/>
    <w:tmpl w:val="A080D80E"/>
    <w:lvl w:ilvl="0" w:tplc="2AE8826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A11DA4"/>
    <w:multiLevelType w:val="hybridMultilevel"/>
    <w:tmpl w:val="9598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F25FC"/>
    <w:multiLevelType w:val="hybridMultilevel"/>
    <w:tmpl w:val="E4B6A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40675D"/>
    <w:multiLevelType w:val="hybridMultilevel"/>
    <w:tmpl w:val="757C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C62F12"/>
    <w:multiLevelType w:val="hybridMultilevel"/>
    <w:tmpl w:val="0FF22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64B9E"/>
    <w:multiLevelType w:val="hybridMultilevel"/>
    <w:tmpl w:val="5500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D464E"/>
    <w:multiLevelType w:val="hybridMultilevel"/>
    <w:tmpl w:val="C194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F61DB"/>
    <w:multiLevelType w:val="hybridMultilevel"/>
    <w:tmpl w:val="A9BAF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014D66"/>
    <w:multiLevelType w:val="hybridMultilevel"/>
    <w:tmpl w:val="0618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60E35"/>
    <w:multiLevelType w:val="hybridMultilevel"/>
    <w:tmpl w:val="8EE0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37"/>
  </w:num>
  <w:num w:numId="4">
    <w:abstractNumId w:val="7"/>
  </w:num>
  <w:num w:numId="5">
    <w:abstractNumId w:val="33"/>
  </w:num>
  <w:num w:numId="6">
    <w:abstractNumId w:val="25"/>
  </w:num>
  <w:num w:numId="7">
    <w:abstractNumId w:val="18"/>
  </w:num>
  <w:num w:numId="8">
    <w:abstractNumId w:val="42"/>
  </w:num>
  <w:num w:numId="9">
    <w:abstractNumId w:val="34"/>
  </w:num>
  <w:num w:numId="10">
    <w:abstractNumId w:val="29"/>
  </w:num>
  <w:num w:numId="11">
    <w:abstractNumId w:val="16"/>
  </w:num>
  <w:num w:numId="12">
    <w:abstractNumId w:val="6"/>
  </w:num>
  <w:num w:numId="13">
    <w:abstractNumId w:val="14"/>
  </w:num>
  <w:num w:numId="14">
    <w:abstractNumId w:val="11"/>
  </w:num>
  <w:num w:numId="15">
    <w:abstractNumId w:val="4"/>
  </w:num>
  <w:num w:numId="16">
    <w:abstractNumId w:val="23"/>
  </w:num>
  <w:num w:numId="17">
    <w:abstractNumId w:val="43"/>
  </w:num>
  <w:num w:numId="18">
    <w:abstractNumId w:val="26"/>
  </w:num>
  <w:num w:numId="19">
    <w:abstractNumId w:val="24"/>
  </w:num>
  <w:num w:numId="20">
    <w:abstractNumId w:val="36"/>
  </w:num>
  <w:num w:numId="21">
    <w:abstractNumId w:val="22"/>
  </w:num>
  <w:num w:numId="22">
    <w:abstractNumId w:val="5"/>
  </w:num>
  <w:num w:numId="23">
    <w:abstractNumId w:val="21"/>
  </w:num>
  <w:num w:numId="24">
    <w:abstractNumId w:val="27"/>
  </w:num>
  <w:num w:numId="25">
    <w:abstractNumId w:val="28"/>
  </w:num>
  <w:num w:numId="26">
    <w:abstractNumId w:val="31"/>
  </w:num>
  <w:num w:numId="27">
    <w:abstractNumId w:val="20"/>
  </w:num>
  <w:num w:numId="28">
    <w:abstractNumId w:val="40"/>
  </w:num>
  <w:num w:numId="29">
    <w:abstractNumId w:val="2"/>
  </w:num>
  <w:num w:numId="30">
    <w:abstractNumId w:val="19"/>
  </w:num>
  <w:num w:numId="31">
    <w:abstractNumId w:val="38"/>
  </w:num>
  <w:num w:numId="32">
    <w:abstractNumId w:val="8"/>
  </w:num>
  <w:num w:numId="33">
    <w:abstractNumId w:val="3"/>
  </w:num>
  <w:num w:numId="34">
    <w:abstractNumId w:val="0"/>
  </w:num>
  <w:num w:numId="35">
    <w:abstractNumId w:val="17"/>
  </w:num>
  <w:num w:numId="36">
    <w:abstractNumId w:val="35"/>
  </w:num>
  <w:num w:numId="37">
    <w:abstractNumId w:val="15"/>
  </w:num>
  <w:num w:numId="38">
    <w:abstractNumId w:val="41"/>
  </w:num>
  <w:num w:numId="39">
    <w:abstractNumId w:val="9"/>
  </w:num>
  <w:num w:numId="40">
    <w:abstractNumId w:val="32"/>
  </w:num>
  <w:num w:numId="41">
    <w:abstractNumId w:val="13"/>
  </w:num>
  <w:num w:numId="42">
    <w:abstractNumId w:val="1"/>
  </w:num>
  <w:num w:numId="43">
    <w:abstractNumId w:val="12"/>
  </w:num>
  <w:num w:numId="44">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B6"/>
    <w:rsid w:val="000075C5"/>
    <w:rsid w:val="0001040C"/>
    <w:rsid w:val="00015A95"/>
    <w:rsid w:val="00025679"/>
    <w:rsid w:val="00047D59"/>
    <w:rsid w:val="00080CE9"/>
    <w:rsid w:val="000A1337"/>
    <w:rsid w:val="000A3472"/>
    <w:rsid w:val="000B2C56"/>
    <w:rsid w:val="000C15D3"/>
    <w:rsid w:val="000C448C"/>
    <w:rsid w:val="000E1BB6"/>
    <w:rsid w:val="000E54C3"/>
    <w:rsid w:val="000F69DD"/>
    <w:rsid w:val="00103982"/>
    <w:rsid w:val="001143B3"/>
    <w:rsid w:val="00153F12"/>
    <w:rsid w:val="00156B7A"/>
    <w:rsid w:val="00162309"/>
    <w:rsid w:val="0016508D"/>
    <w:rsid w:val="001679EF"/>
    <w:rsid w:val="00191D29"/>
    <w:rsid w:val="001A7B34"/>
    <w:rsid w:val="001D4686"/>
    <w:rsid w:val="001D635F"/>
    <w:rsid w:val="001F5119"/>
    <w:rsid w:val="002019D9"/>
    <w:rsid w:val="002030F5"/>
    <w:rsid w:val="00203BAA"/>
    <w:rsid w:val="00205109"/>
    <w:rsid w:val="00207E54"/>
    <w:rsid w:val="00215864"/>
    <w:rsid w:val="002206C9"/>
    <w:rsid w:val="00224F04"/>
    <w:rsid w:val="002371D2"/>
    <w:rsid w:val="00240995"/>
    <w:rsid w:val="0024231C"/>
    <w:rsid w:val="002443DC"/>
    <w:rsid w:val="00251300"/>
    <w:rsid w:val="00251769"/>
    <w:rsid w:val="002728DA"/>
    <w:rsid w:val="002A45D6"/>
    <w:rsid w:val="002C1817"/>
    <w:rsid w:val="002D680C"/>
    <w:rsid w:val="002F0288"/>
    <w:rsid w:val="002F2327"/>
    <w:rsid w:val="0032304D"/>
    <w:rsid w:val="00345EC0"/>
    <w:rsid w:val="003462BF"/>
    <w:rsid w:val="003547AC"/>
    <w:rsid w:val="00361EE7"/>
    <w:rsid w:val="00385FDF"/>
    <w:rsid w:val="0039293A"/>
    <w:rsid w:val="003934A8"/>
    <w:rsid w:val="003A64EF"/>
    <w:rsid w:val="003B560D"/>
    <w:rsid w:val="003E3563"/>
    <w:rsid w:val="003E3D2E"/>
    <w:rsid w:val="003F005F"/>
    <w:rsid w:val="003F3CF3"/>
    <w:rsid w:val="00420BB6"/>
    <w:rsid w:val="004217E3"/>
    <w:rsid w:val="00442B2E"/>
    <w:rsid w:val="00447ADE"/>
    <w:rsid w:val="00483046"/>
    <w:rsid w:val="00493300"/>
    <w:rsid w:val="00493794"/>
    <w:rsid w:val="00495F4E"/>
    <w:rsid w:val="00497EC7"/>
    <w:rsid w:val="004A5DC6"/>
    <w:rsid w:val="004B479E"/>
    <w:rsid w:val="004D160D"/>
    <w:rsid w:val="004E5B34"/>
    <w:rsid w:val="004E6377"/>
    <w:rsid w:val="00500393"/>
    <w:rsid w:val="00503D6B"/>
    <w:rsid w:val="005144C9"/>
    <w:rsid w:val="00520639"/>
    <w:rsid w:val="005217D3"/>
    <w:rsid w:val="00524843"/>
    <w:rsid w:val="00527660"/>
    <w:rsid w:val="005304CD"/>
    <w:rsid w:val="00531665"/>
    <w:rsid w:val="00542D38"/>
    <w:rsid w:val="005565CC"/>
    <w:rsid w:val="0055721F"/>
    <w:rsid w:val="005C47B2"/>
    <w:rsid w:val="005C596A"/>
    <w:rsid w:val="005F50B1"/>
    <w:rsid w:val="00601A84"/>
    <w:rsid w:val="00603A26"/>
    <w:rsid w:val="00624EA6"/>
    <w:rsid w:val="00625178"/>
    <w:rsid w:val="006301EA"/>
    <w:rsid w:val="00632AE7"/>
    <w:rsid w:val="00636497"/>
    <w:rsid w:val="0064057C"/>
    <w:rsid w:val="006439F5"/>
    <w:rsid w:val="006500D4"/>
    <w:rsid w:val="00665FD4"/>
    <w:rsid w:val="0066741D"/>
    <w:rsid w:val="006768EC"/>
    <w:rsid w:val="00690A4F"/>
    <w:rsid w:val="00691D9C"/>
    <w:rsid w:val="006A2B41"/>
    <w:rsid w:val="006C4680"/>
    <w:rsid w:val="006C57F1"/>
    <w:rsid w:val="006E13DA"/>
    <w:rsid w:val="00714DA4"/>
    <w:rsid w:val="00733050"/>
    <w:rsid w:val="007440AE"/>
    <w:rsid w:val="007722D9"/>
    <w:rsid w:val="007765AB"/>
    <w:rsid w:val="007847B7"/>
    <w:rsid w:val="00791D0C"/>
    <w:rsid w:val="007B24BC"/>
    <w:rsid w:val="007E1974"/>
    <w:rsid w:val="0081205C"/>
    <w:rsid w:val="0081585E"/>
    <w:rsid w:val="0082710E"/>
    <w:rsid w:val="00850987"/>
    <w:rsid w:val="008609EE"/>
    <w:rsid w:val="008675CC"/>
    <w:rsid w:val="00873B4C"/>
    <w:rsid w:val="008761D7"/>
    <w:rsid w:val="00882B05"/>
    <w:rsid w:val="00897D46"/>
    <w:rsid w:val="008B40EF"/>
    <w:rsid w:val="008B45BF"/>
    <w:rsid w:val="008B7542"/>
    <w:rsid w:val="008D42CB"/>
    <w:rsid w:val="008E714C"/>
    <w:rsid w:val="008F3814"/>
    <w:rsid w:val="009407FC"/>
    <w:rsid w:val="0096434E"/>
    <w:rsid w:val="00975080"/>
    <w:rsid w:val="00981E42"/>
    <w:rsid w:val="009C1B37"/>
    <w:rsid w:val="009F207D"/>
    <w:rsid w:val="00A051F6"/>
    <w:rsid w:val="00A06382"/>
    <w:rsid w:val="00A1153F"/>
    <w:rsid w:val="00A22480"/>
    <w:rsid w:val="00A26AAA"/>
    <w:rsid w:val="00A3242E"/>
    <w:rsid w:val="00A36A6E"/>
    <w:rsid w:val="00A43B52"/>
    <w:rsid w:val="00A52F7D"/>
    <w:rsid w:val="00A70541"/>
    <w:rsid w:val="00A83ECB"/>
    <w:rsid w:val="00AB10D4"/>
    <w:rsid w:val="00AB7902"/>
    <w:rsid w:val="00AB7F6A"/>
    <w:rsid w:val="00AF7C96"/>
    <w:rsid w:val="00B05A1F"/>
    <w:rsid w:val="00B05A2E"/>
    <w:rsid w:val="00B1410F"/>
    <w:rsid w:val="00B57673"/>
    <w:rsid w:val="00B62BBB"/>
    <w:rsid w:val="00B74D9D"/>
    <w:rsid w:val="00B77152"/>
    <w:rsid w:val="00BA4B35"/>
    <w:rsid w:val="00BA4CB8"/>
    <w:rsid w:val="00BB26A7"/>
    <w:rsid w:val="00BE18CB"/>
    <w:rsid w:val="00BE5C69"/>
    <w:rsid w:val="00BF6647"/>
    <w:rsid w:val="00C02AF4"/>
    <w:rsid w:val="00C20D83"/>
    <w:rsid w:val="00C24DD7"/>
    <w:rsid w:val="00C25218"/>
    <w:rsid w:val="00C25A95"/>
    <w:rsid w:val="00C44880"/>
    <w:rsid w:val="00C54418"/>
    <w:rsid w:val="00C57523"/>
    <w:rsid w:val="00C61896"/>
    <w:rsid w:val="00C815A5"/>
    <w:rsid w:val="00C84B5F"/>
    <w:rsid w:val="00C91DE2"/>
    <w:rsid w:val="00CA2BFB"/>
    <w:rsid w:val="00CA33A9"/>
    <w:rsid w:val="00CC3AB9"/>
    <w:rsid w:val="00CD11D0"/>
    <w:rsid w:val="00CE1454"/>
    <w:rsid w:val="00D045FD"/>
    <w:rsid w:val="00D06CB8"/>
    <w:rsid w:val="00D20E6B"/>
    <w:rsid w:val="00D25E9C"/>
    <w:rsid w:val="00D32456"/>
    <w:rsid w:val="00D32C6A"/>
    <w:rsid w:val="00D74D8F"/>
    <w:rsid w:val="00D82649"/>
    <w:rsid w:val="00D83A86"/>
    <w:rsid w:val="00DA2F69"/>
    <w:rsid w:val="00DA3255"/>
    <w:rsid w:val="00DE22DC"/>
    <w:rsid w:val="00DE6B7D"/>
    <w:rsid w:val="00DE7FB7"/>
    <w:rsid w:val="00DF4FC4"/>
    <w:rsid w:val="00DF63E3"/>
    <w:rsid w:val="00E11A14"/>
    <w:rsid w:val="00E34D24"/>
    <w:rsid w:val="00E4355D"/>
    <w:rsid w:val="00E7030F"/>
    <w:rsid w:val="00E858B1"/>
    <w:rsid w:val="00E9498F"/>
    <w:rsid w:val="00E96CF8"/>
    <w:rsid w:val="00EA5A7F"/>
    <w:rsid w:val="00EB0BA0"/>
    <w:rsid w:val="00EB378A"/>
    <w:rsid w:val="00ED0B20"/>
    <w:rsid w:val="00ED5322"/>
    <w:rsid w:val="00ED5ED1"/>
    <w:rsid w:val="00EF29F6"/>
    <w:rsid w:val="00EF6E50"/>
    <w:rsid w:val="00F07442"/>
    <w:rsid w:val="00F14AAD"/>
    <w:rsid w:val="00F24985"/>
    <w:rsid w:val="00F312A4"/>
    <w:rsid w:val="00F428AF"/>
    <w:rsid w:val="00F472E2"/>
    <w:rsid w:val="00F50112"/>
    <w:rsid w:val="00F531E3"/>
    <w:rsid w:val="00F76E06"/>
    <w:rsid w:val="00F800E5"/>
    <w:rsid w:val="00F843F8"/>
    <w:rsid w:val="00FA1A8F"/>
    <w:rsid w:val="00FA76D7"/>
    <w:rsid w:val="00FB7166"/>
    <w:rsid w:val="00FE635B"/>
    <w:rsid w:val="00FF1691"/>
    <w:rsid w:val="00FF1CEC"/>
    <w:rsid w:val="00FF7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E0B689-A2EF-4B73-9A43-A532ABE9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B6"/>
    <w:pPr>
      <w:spacing w:after="200"/>
    </w:pPr>
    <w:rPr>
      <w:rFonts w:ascii="Cambria" w:eastAsia="MS Mincho" w:hAnsi="Cambria"/>
      <w:sz w:val="24"/>
      <w:lang w:val="en-US" w:eastAsia="ja-JP"/>
    </w:rPr>
  </w:style>
  <w:style w:type="paragraph" w:styleId="Heading1">
    <w:name w:val="heading 1"/>
    <w:basedOn w:val="Normal"/>
    <w:next w:val="Normal"/>
    <w:link w:val="Heading1Char"/>
    <w:uiPriority w:val="9"/>
    <w:qFormat/>
    <w:rsid w:val="00420BB6"/>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0BB6"/>
    <w:rPr>
      <w:rFonts w:ascii="Arial" w:eastAsia="MS Mincho" w:hAnsi="Arial" w:cs="Arial"/>
      <w:b/>
      <w:sz w:val="28"/>
      <w:szCs w:val="28"/>
    </w:rPr>
  </w:style>
  <w:style w:type="paragraph" w:styleId="ListParagraph">
    <w:name w:val="List Paragraph"/>
    <w:basedOn w:val="Normal"/>
    <w:uiPriority w:val="34"/>
    <w:qFormat/>
    <w:rsid w:val="00420BB6"/>
    <w:pPr>
      <w:spacing w:after="0"/>
      <w:ind w:left="720"/>
    </w:pPr>
    <w:rPr>
      <w:rFonts w:ascii="Times New Roman" w:eastAsia="Times New Roman" w:hAnsi="Times New Roman"/>
      <w:szCs w:val="24"/>
      <w:lang w:val="en-GB" w:eastAsia="en-GB"/>
    </w:rPr>
  </w:style>
  <w:style w:type="paragraph" w:styleId="BodyText">
    <w:name w:val="Body Text"/>
    <w:basedOn w:val="Normal"/>
    <w:link w:val="BodyTextChar"/>
    <w:unhideWhenUsed/>
    <w:rsid w:val="004B479E"/>
    <w:pPr>
      <w:spacing w:after="0"/>
    </w:pPr>
    <w:rPr>
      <w:rFonts w:ascii="Arial" w:eastAsia="Times New Roman" w:hAnsi="Arial" w:cs="Arial"/>
      <w:sz w:val="22"/>
      <w:szCs w:val="22"/>
      <w:lang w:val="en-GB" w:eastAsia="en-US"/>
    </w:rPr>
  </w:style>
  <w:style w:type="character" w:customStyle="1" w:styleId="BodyTextChar">
    <w:name w:val="Body Text Char"/>
    <w:link w:val="BodyText"/>
    <w:rsid w:val="004B479E"/>
    <w:rPr>
      <w:rFonts w:ascii="Arial" w:eastAsia="Times New Roman" w:hAnsi="Arial" w:cs="Arial"/>
      <w:sz w:val="22"/>
      <w:szCs w:val="22"/>
      <w:lang w:eastAsia="en-US"/>
    </w:rPr>
  </w:style>
  <w:style w:type="paragraph" w:styleId="NoSpacing">
    <w:name w:val="No Spacing"/>
    <w:uiPriority w:val="1"/>
    <w:qFormat/>
    <w:rsid w:val="004B479E"/>
    <w:rPr>
      <w:rFonts w:ascii="Cambria" w:eastAsia="MS Mincho" w:hAnsi="Cambria"/>
      <w:sz w:val="24"/>
      <w:lang w:val="en-US" w:eastAsia="ja-JP"/>
    </w:rPr>
  </w:style>
  <w:style w:type="character" w:styleId="Hyperlink">
    <w:name w:val="Hyperlink"/>
    <w:uiPriority w:val="99"/>
    <w:semiHidden/>
    <w:unhideWhenUsed/>
    <w:rsid w:val="004B479E"/>
    <w:rPr>
      <w:color w:val="0000FF"/>
      <w:u w:val="single"/>
    </w:rPr>
  </w:style>
  <w:style w:type="paragraph" w:customStyle="1" w:styleId="Default">
    <w:name w:val="Default"/>
    <w:rsid w:val="000A133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F24985"/>
    <w:pPr>
      <w:tabs>
        <w:tab w:val="center" w:pos="4513"/>
        <w:tab w:val="right" w:pos="9026"/>
      </w:tabs>
    </w:pPr>
  </w:style>
  <w:style w:type="character" w:customStyle="1" w:styleId="HeaderChar">
    <w:name w:val="Header Char"/>
    <w:link w:val="Header"/>
    <w:uiPriority w:val="99"/>
    <w:rsid w:val="00F24985"/>
    <w:rPr>
      <w:rFonts w:ascii="Cambria" w:eastAsia="MS Mincho" w:hAnsi="Cambria"/>
      <w:sz w:val="24"/>
      <w:lang w:val="en-US" w:eastAsia="ja-JP"/>
    </w:rPr>
  </w:style>
  <w:style w:type="paragraph" w:styleId="Footer">
    <w:name w:val="footer"/>
    <w:basedOn w:val="Normal"/>
    <w:link w:val="FooterChar"/>
    <w:uiPriority w:val="99"/>
    <w:unhideWhenUsed/>
    <w:rsid w:val="00F24985"/>
    <w:pPr>
      <w:tabs>
        <w:tab w:val="center" w:pos="4513"/>
        <w:tab w:val="right" w:pos="9026"/>
      </w:tabs>
    </w:pPr>
  </w:style>
  <w:style w:type="character" w:customStyle="1" w:styleId="FooterChar">
    <w:name w:val="Footer Char"/>
    <w:link w:val="Footer"/>
    <w:uiPriority w:val="99"/>
    <w:rsid w:val="00F24985"/>
    <w:rPr>
      <w:rFonts w:ascii="Cambria" w:eastAsia="MS Mincho" w:hAnsi="Cambria"/>
      <w:sz w:val="24"/>
      <w:lang w:val="en-US" w:eastAsia="ja-JP"/>
    </w:rPr>
  </w:style>
  <w:style w:type="paragraph" w:styleId="BalloonText">
    <w:name w:val="Balloon Text"/>
    <w:basedOn w:val="Normal"/>
    <w:link w:val="BalloonTextChar"/>
    <w:uiPriority w:val="99"/>
    <w:semiHidden/>
    <w:unhideWhenUsed/>
    <w:rsid w:val="00F24985"/>
    <w:pPr>
      <w:spacing w:after="0"/>
    </w:pPr>
    <w:rPr>
      <w:rFonts w:ascii="Tahoma" w:hAnsi="Tahoma" w:cs="Tahoma"/>
      <w:sz w:val="16"/>
      <w:szCs w:val="16"/>
    </w:rPr>
  </w:style>
  <w:style w:type="character" w:customStyle="1" w:styleId="BalloonTextChar">
    <w:name w:val="Balloon Text Char"/>
    <w:link w:val="BalloonText"/>
    <w:uiPriority w:val="99"/>
    <w:semiHidden/>
    <w:rsid w:val="00F24985"/>
    <w:rPr>
      <w:rFonts w:ascii="Tahoma" w:eastAsia="MS Mincho" w:hAnsi="Tahoma" w:cs="Tahoma"/>
      <w:sz w:val="16"/>
      <w:szCs w:val="16"/>
      <w:lang w:val="en-US" w:eastAsia="ja-JP"/>
    </w:rPr>
  </w:style>
  <w:style w:type="table" w:styleId="TableGrid">
    <w:name w:val="Table Grid"/>
    <w:basedOn w:val="TableNormal"/>
    <w:uiPriority w:val="59"/>
    <w:rsid w:val="00F2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7030F"/>
    <w:rPr>
      <w:sz w:val="16"/>
      <w:szCs w:val="16"/>
    </w:rPr>
  </w:style>
  <w:style w:type="paragraph" w:styleId="CommentText">
    <w:name w:val="annotation text"/>
    <w:basedOn w:val="Normal"/>
    <w:link w:val="CommentTextChar"/>
    <w:uiPriority w:val="99"/>
    <w:semiHidden/>
    <w:unhideWhenUsed/>
    <w:rsid w:val="00E7030F"/>
    <w:rPr>
      <w:sz w:val="20"/>
    </w:rPr>
  </w:style>
  <w:style w:type="character" w:customStyle="1" w:styleId="CommentTextChar">
    <w:name w:val="Comment Text Char"/>
    <w:link w:val="CommentText"/>
    <w:uiPriority w:val="99"/>
    <w:semiHidden/>
    <w:rsid w:val="00E7030F"/>
    <w:rPr>
      <w:rFonts w:ascii="Cambria" w:eastAsia="MS Mincho" w:hAnsi="Cambria"/>
      <w:lang w:val="en-US" w:eastAsia="ja-JP"/>
    </w:rPr>
  </w:style>
  <w:style w:type="paragraph" w:styleId="CommentSubject">
    <w:name w:val="annotation subject"/>
    <w:basedOn w:val="CommentText"/>
    <w:next w:val="CommentText"/>
    <w:link w:val="CommentSubjectChar"/>
    <w:uiPriority w:val="99"/>
    <w:semiHidden/>
    <w:unhideWhenUsed/>
    <w:rsid w:val="00E7030F"/>
    <w:rPr>
      <w:b/>
      <w:bCs/>
    </w:rPr>
  </w:style>
  <w:style w:type="character" w:customStyle="1" w:styleId="CommentSubjectChar">
    <w:name w:val="Comment Subject Char"/>
    <w:link w:val="CommentSubject"/>
    <w:uiPriority w:val="99"/>
    <w:semiHidden/>
    <w:rsid w:val="00E7030F"/>
    <w:rPr>
      <w:rFonts w:ascii="Cambria" w:eastAsia="MS Mincho" w:hAnsi="Cambria"/>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98605">
      <w:bodyDiv w:val="1"/>
      <w:marLeft w:val="0"/>
      <w:marRight w:val="0"/>
      <w:marTop w:val="0"/>
      <w:marBottom w:val="0"/>
      <w:divBdr>
        <w:top w:val="none" w:sz="0" w:space="0" w:color="auto"/>
        <w:left w:val="none" w:sz="0" w:space="0" w:color="auto"/>
        <w:bottom w:val="none" w:sz="0" w:space="0" w:color="auto"/>
        <w:right w:val="none" w:sz="0" w:space="0" w:color="auto"/>
      </w:divBdr>
    </w:div>
    <w:div w:id="453058216">
      <w:bodyDiv w:val="1"/>
      <w:marLeft w:val="0"/>
      <w:marRight w:val="0"/>
      <w:marTop w:val="0"/>
      <w:marBottom w:val="0"/>
      <w:divBdr>
        <w:top w:val="none" w:sz="0" w:space="0" w:color="auto"/>
        <w:left w:val="none" w:sz="0" w:space="0" w:color="auto"/>
        <w:bottom w:val="none" w:sz="0" w:space="0" w:color="auto"/>
        <w:right w:val="none" w:sz="0" w:space="0" w:color="auto"/>
      </w:divBdr>
    </w:div>
    <w:div w:id="516506257">
      <w:bodyDiv w:val="1"/>
      <w:marLeft w:val="0"/>
      <w:marRight w:val="0"/>
      <w:marTop w:val="0"/>
      <w:marBottom w:val="0"/>
      <w:divBdr>
        <w:top w:val="none" w:sz="0" w:space="0" w:color="auto"/>
        <w:left w:val="none" w:sz="0" w:space="0" w:color="auto"/>
        <w:bottom w:val="none" w:sz="0" w:space="0" w:color="auto"/>
        <w:right w:val="none" w:sz="0" w:space="0" w:color="auto"/>
      </w:divBdr>
    </w:div>
    <w:div w:id="556824565">
      <w:bodyDiv w:val="1"/>
      <w:marLeft w:val="0"/>
      <w:marRight w:val="0"/>
      <w:marTop w:val="0"/>
      <w:marBottom w:val="0"/>
      <w:divBdr>
        <w:top w:val="none" w:sz="0" w:space="0" w:color="auto"/>
        <w:left w:val="none" w:sz="0" w:space="0" w:color="auto"/>
        <w:bottom w:val="none" w:sz="0" w:space="0" w:color="auto"/>
        <w:right w:val="none" w:sz="0" w:space="0" w:color="auto"/>
      </w:divBdr>
    </w:div>
    <w:div w:id="638648676">
      <w:bodyDiv w:val="1"/>
      <w:marLeft w:val="0"/>
      <w:marRight w:val="0"/>
      <w:marTop w:val="0"/>
      <w:marBottom w:val="0"/>
      <w:divBdr>
        <w:top w:val="none" w:sz="0" w:space="0" w:color="auto"/>
        <w:left w:val="none" w:sz="0" w:space="0" w:color="auto"/>
        <w:bottom w:val="none" w:sz="0" w:space="0" w:color="auto"/>
        <w:right w:val="none" w:sz="0" w:space="0" w:color="auto"/>
      </w:divBdr>
    </w:div>
    <w:div w:id="1206528914">
      <w:bodyDiv w:val="1"/>
      <w:marLeft w:val="0"/>
      <w:marRight w:val="0"/>
      <w:marTop w:val="0"/>
      <w:marBottom w:val="0"/>
      <w:divBdr>
        <w:top w:val="none" w:sz="0" w:space="0" w:color="auto"/>
        <w:left w:val="none" w:sz="0" w:space="0" w:color="auto"/>
        <w:bottom w:val="none" w:sz="0" w:space="0" w:color="auto"/>
        <w:right w:val="none" w:sz="0" w:space="0" w:color="auto"/>
      </w:divBdr>
    </w:div>
    <w:div w:id="1280067669">
      <w:bodyDiv w:val="1"/>
      <w:marLeft w:val="0"/>
      <w:marRight w:val="0"/>
      <w:marTop w:val="0"/>
      <w:marBottom w:val="0"/>
      <w:divBdr>
        <w:top w:val="none" w:sz="0" w:space="0" w:color="auto"/>
        <w:left w:val="none" w:sz="0" w:space="0" w:color="auto"/>
        <w:bottom w:val="none" w:sz="0" w:space="0" w:color="auto"/>
        <w:right w:val="none" w:sz="0" w:space="0" w:color="auto"/>
      </w:divBdr>
    </w:div>
    <w:div w:id="1300457135">
      <w:bodyDiv w:val="1"/>
      <w:marLeft w:val="0"/>
      <w:marRight w:val="0"/>
      <w:marTop w:val="0"/>
      <w:marBottom w:val="0"/>
      <w:divBdr>
        <w:top w:val="none" w:sz="0" w:space="0" w:color="auto"/>
        <w:left w:val="none" w:sz="0" w:space="0" w:color="auto"/>
        <w:bottom w:val="none" w:sz="0" w:space="0" w:color="auto"/>
        <w:right w:val="none" w:sz="0" w:space="0" w:color="auto"/>
      </w:divBdr>
    </w:div>
    <w:div w:id="1441607180">
      <w:bodyDiv w:val="1"/>
      <w:marLeft w:val="0"/>
      <w:marRight w:val="0"/>
      <w:marTop w:val="0"/>
      <w:marBottom w:val="0"/>
      <w:divBdr>
        <w:top w:val="none" w:sz="0" w:space="0" w:color="auto"/>
        <w:left w:val="none" w:sz="0" w:space="0" w:color="auto"/>
        <w:bottom w:val="none" w:sz="0" w:space="0" w:color="auto"/>
        <w:right w:val="none" w:sz="0" w:space="0" w:color="auto"/>
      </w:divBdr>
    </w:div>
    <w:div w:id="1490516771">
      <w:bodyDiv w:val="1"/>
      <w:marLeft w:val="0"/>
      <w:marRight w:val="0"/>
      <w:marTop w:val="0"/>
      <w:marBottom w:val="0"/>
      <w:divBdr>
        <w:top w:val="none" w:sz="0" w:space="0" w:color="auto"/>
        <w:left w:val="none" w:sz="0" w:space="0" w:color="auto"/>
        <w:bottom w:val="none" w:sz="0" w:space="0" w:color="auto"/>
        <w:right w:val="none" w:sz="0" w:space="0" w:color="auto"/>
      </w:divBdr>
    </w:div>
    <w:div w:id="17304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B0D2F-4721-4714-A97F-C3BF341D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13667</Words>
  <Characters>77903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91388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Maxwell</dc:creator>
  <cp:keywords/>
  <cp:lastModifiedBy>Polyblank, Natalie - Senior Procurement Manager</cp:lastModifiedBy>
  <cp:revision>1</cp:revision>
  <dcterms:created xsi:type="dcterms:W3CDTF">2015-06-29T09:33:00Z</dcterms:created>
  <dcterms:modified xsi:type="dcterms:W3CDTF">2015-06-29T09:33:00Z</dcterms:modified>
</cp:coreProperties>
</file>