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7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2c – Relevant Principal Services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44"/>
          <w:szCs w:val="44"/>
          <w:highlight w:val="white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highlight w:val="white"/>
          <w:rtl w:val="0"/>
        </w:rPr>
        <w:t xml:space="preserve">RM6345 Digital Capability For Health 2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2c Digital Capability For Health 2 - 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Main Contractor,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20" w:before="120" w:line="240" w:lineRule="auto"/>
              <w:ind w:left="141.7322834645671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1.7322834645671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1.7322834645671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1.7322834645671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1.7322834645671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1.7322834645671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1.7322834645671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1.7322834645671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1.7322834645671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1.7322834645671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 should not be limited by the number of rows within this document and should create additional rows in order to fulfil the obligation of this requirement.</w:t>
      </w: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Attachment 2c Relevant and Principal Services Template v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1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.0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F19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F191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535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5356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5356E"/>
    <w:rPr>
      <w:b w:val="1"/>
      <w:bCs w:val="1"/>
      <w:sz w:val="20"/>
      <w:szCs w:val="20"/>
    </w:r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A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aKcZouAKTqz5tX2XcKdIHDnvQ==">CgMxLjAyCWguMWZvYjl0ZTIIaC5namRneHMyCWguMzBqMHpsbDgAciExQ3EwQTU0UXJVRzhRdkc0SGJOekRTeXBfZ1BBelBPclk=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2022-06-16T09:49:00Z</dcterms:created>
  <dc:creator>Tanya Critten-Chapman</dc:creator>
</cp:coreProperties>
</file>