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9F7CC"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4232CD41" w14:textId="77777777" w:rsidTr="00061C01">
        <w:tc>
          <w:tcPr>
            <w:tcW w:w="4539" w:type="dxa"/>
          </w:tcPr>
          <w:p w14:paraId="21943B1B"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42E648C" wp14:editId="42D4246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EAC4729"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F865412" wp14:editId="3F5414A6">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1F91CE4" w14:textId="77777777" w:rsidR="00582B96" w:rsidRDefault="00582B96" w:rsidP="00582B96"/>
    <w:p w14:paraId="3CD62E58" w14:textId="77777777" w:rsidR="00582B96" w:rsidRPr="00D144D9" w:rsidRDefault="00582B96" w:rsidP="00582B96">
      <w:pPr>
        <w:rPr>
          <w:color w:val="FF0000"/>
        </w:rPr>
      </w:pPr>
    </w:p>
    <w:p w14:paraId="7FBCC5CC" w14:textId="77777777" w:rsidR="00582B96" w:rsidRDefault="00582B96" w:rsidP="00582B96"/>
    <w:p w14:paraId="07FD2F87" w14:textId="77777777" w:rsidR="00582B96" w:rsidRDefault="00582B96" w:rsidP="00582B96"/>
    <w:p w14:paraId="171510CF" w14:textId="77777777" w:rsidR="00582B96" w:rsidRDefault="00582B96" w:rsidP="00582B96"/>
    <w:p w14:paraId="1E32829C" w14:textId="77777777" w:rsidR="00C5289B" w:rsidRDefault="00C5289B" w:rsidP="00582B96">
      <w:pPr>
        <w:rPr>
          <w:b/>
          <w:sz w:val="52"/>
          <w:szCs w:val="52"/>
        </w:rPr>
      </w:pPr>
    </w:p>
    <w:p w14:paraId="12C950FF" w14:textId="4F8D8923" w:rsidR="00582B96" w:rsidRPr="00592B6B" w:rsidRDefault="2A68C290" w:rsidP="00582B96">
      <w:pPr>
        <w:rPr>
          <w:b/>
          <w:sz w:val="48"/>
          <w:szCs w:val="48"/>
        </w:rPr>
      </w:pPr>
      <w:r w:rsidRPr="00592B6B">
        <w:rPr>
          <w:b/>
          <w:bCs/>
          <w:sz w:val="48"/>
          <w:szCs w:val="48"/>
        </w:rPr>
        <w:t xml:space="preserve">SPECIFICATION </w:t>
      </w:r>
    </w:p>
    <w:p w14:paraId="50351490" w14:textId="77777777" w:rsidR="00582B96" w:rsidRDefault="00582B96" w:rsidP="00582B96">
      <w:pPr>
        <w:rPr>
          <w:b/>
          <w:sz w:val="48"/>
          <w:szCs w:val="48"/>
        </w:rPr>
      </w:pPr>
    </w:p>
    <w:p w14:paraId="1F62AE8F" w14:textId="77777777" w:rsidR="00582B96" w:rsidRDefault="00582B96" w:rsidP="00582B96">
      <w:pPr>
        <w:rPr>
          <w:b/>
          <w:sz w:val="48"/>
          <w:szCs w:val="48"/>
        </w:rPr>
      </w:pPr>
    </w:p>
    <w:p w14:paraId="27CF5A0D" w14:textId="77777777" w:rsidR="00582B96" w:rsidRDefault="00582B96" w:rsidP="00582B96">
      <w:pPr>
        <w:rPr>
          <w:b/>
          <w:sz w:val="48"/>
          <w:szCs w:val="48"/>
        </w:rPr>
      </w:pPr>
    </w:p>
    <w:p w14:paraId="58BE5DBE" w14:textId="60834874" w:rsidR="00582B96" w:rsidRPr="00360CDD" w:rsidRDefault="2A68C290" w:rsidP="00582B96">
      <w:pPr>
        <w:rPr>
          <w:b/>
          <w:color w:val="FF0000"/>
          <w:sz w:val="36"/>
          <w:szCs w:val="36"/>
        </w:rPr>
      </w:pPr>
      <w:r w:rsidRPr="2A68C290">
        <w:rPr>
          <w:b/>
          <w:bCs/>
          <w:sz w:val="36"/>
          <w:szCs w:val="36"/>
        </w:rPr>
        <w:t>INVITATION TO TENDER – ITT 30028</w:t>
      </w:r>
      <w:r w:rsidRPr="2A68C290">
        <w:rPr>
          <w:b/>
          <w:bCs/>
          <w:color w:val="FF0000"/>
          <w:sz w:val="36"/>
          <w:szCs w:val="36"/>
        </w:rPr>
        <w:t xml:space="preserve"> </w:t>
      </w:r>
    </w:p>
    <w:p w14:paraId="1A1F24A2" w14:textId="77777777" w:rsidR="00582B96" w:rsidRDefault="00582B96" w:rsidP="00582B96">
      <w:pPr>
        <w:autoSpaceDE w:val="0"/>
        <w:autoSpaceDN w:val="0"/>
        <w:adjustRightInd w:val="0"/>
        <w:rPr>
          <w:rFonts w:cs="Arial"/>
          <w:b/>
          <w:bCs/>
          <w:sz w:val="48"/>
          <w:szCs w:val="48"/>
        </w:rPr>
      </w:pPr>
    </w:p>
    <w:p w14:paraId="37CD0FD4" w14:textId="77777777" w:rsidR="00582B96" w:rsidRPr="00360CDD" w:rsidRDefault="00582B96" w:rsidP="00582B96">
      <w:pPr>
        <w:autoSpaceDE w:val="0"/>
        <w:autoSpaceDN w:val="0"/>
        <w:adjustRightInd w:val="0"/>
        <w:rPr>
          <w:rFonts w:cs="Arial"/>
          <w:b/>
          <w:bCs/>
          <w:sz w:val="48"/>
          <w:szCs w:val="48"/>
        </w:rPr>
      </w:pPr>
    </w:p>
    <w:p w14:paraId="50E4FB9A" w14:textId="7FBACAED" w:rsidR="00AD1BA2" w:rsidRPr="00592B6B" w:rsidRDefault="2A68C290" w:rsidP="00AD1BA2">
      <w:pPr>
        <w:autoSpaceDE w:val="0"/>
        <w:autoSpaceDN w:val="0"/>
        <w:adjustRightInd w:val="0"/>
        <w:rPr>
          <w:rFonts w:cs="Arial"/>
          <w:b/>
          <w:bCs/>
          <w:sz w:val="36"/>
          <w:szCs w:val="36"/>
        </w:rPr>
      </w:pPr>
      <w:r w:rsidRPr="00592B6B">
        <w:rPr>
          <w:rFonts w:eastAsia="Arial" w:cs="Arial"/>
          <w:b/>
          <w:bCs/>
          <w:sz w:val="36"/>
          <w:szCs w:val="36"/>
        </w:rPr>
        <w:t>GREATER MANCHESTER HIGHER SKILLS SUPPORT PROGRAMME FOR UNEMPLOYED AND ECONOMICALLY INACTIVE INDIVIDUALS (15-901-</w:t>
      </w:r>
      <w:r w:rsidR="00592B6B">
        <w:rPr>
          <w:rFonts w:eastAsia="Arial" w:cs="Arial"/>
          <w:b/>
          <w:bCs/>
          <w:sz w:val="36"/>
          <w:szCs w:val="36"/>
        </w:rPr>
        <w:t>01</w:t>
      </w:r>
      <w:r w:rsidRPr="00592B6B">
        <w:rPr>
          <w:rFonts w:eastAsia="Arial" w:cs="Arial"/>
          <w:b/>
          <w:bCs/>
          <w:sz w:val="36"/>
          <w:szCs w:val="36"/>
        </w:rPr>
        <w:t>)</w:t>
      </w:r>
    </w:p>
    <w:p w14:paraId="7B9516A3" w14:textId="77777777" w:rsidR="00582B96" w:rsidRPr="00592B6B" w:rsidRDefault="00582B96" w:rsidP="00582B96">
      <w:pPr>
        <w:rPr>
          <w:b/>
          <w:sz w:val="48"/>
          <w:szCs w:val="48"/>
        </w:rPr>
      </w:pPr>
    </w:p>
    <w:p w14:paraId="2192674C" w14:textId="77777777" w:rsidR="00582B96" w:rsidRPr="00592B6B" w:rsidRDefault="2A68C290" w:rsidP="00582B96">
      <w:pPr>
        <w:rPr>
          <w:b/>
          <w:sz w:val="36"/>
          <w:szCs w:val="36"/>
        </w:rPr>
      </w:pPr>
      <w:r w:rsidRPr="00592B6B">
        <w:rPr>
          <w:b/>
          <w:bCs/>
          <w:sz w:val="36"/>
          <w:szCs w:val="36"/>
        </w:rPr>
        <w:t xml:space="preserve">Greater Manchester </w:t>
      </w:r>
    </w:p>
    <w:p w14:paraId="0891A0A9" w14:textId="77777777" w:rsidR="00582B96" w:rsidRPr="00592B6B" w:rsidRDefault="00582B96" w:rsidP="00582B96">
      <w:pPr>
        <w:rPr>
          <w:b/>
          <w:sz w:val="48"/>
          <w:szCs w:val="48"/>
        </w:rPr>
      </w:pPr>
    </w:p>
    <w:p w14:paraId="55CD22E6" w14:textId="77777777" w:rsidR="00582B96" w:rsidRDefault="00582B96" w:rsidP="00582B96">
      <w:pPr>
        <w:rPr>
          <w:b/>
          <w:sz w:val="48"/>
          <w:szCs w:val="48"/>
        </w:rPr>
      </w:pPr>
    </w:p>
    <w:p w14:paraId="39C0B18A" w14:textId="77777777" w:rsidR="00582B96" w:rsidRDefault="00582B96" w:rsidP="00582B96">
      <w:pPr>
        <w:rPr>
          <w:b/>
          <w:sz w:val="48"/>
          <w:szCs w:val="48"/>
        </w:rPr>
      </w:pPr>
    </w:p>
    <w:p w14:paraId="3067C8C3" w14:textId="13F8C24B" w:rsidR="00582B96" w:rsidRPr="00360CDD" w:rsidRDefault="2A68C290" w:rsidP="00582B96">
      <w:pPr>
        <w:rPr>
          <w:b/>
          <w:sz w:val="36"/>
          <w:szCs w:val="36"/>
        </w:rPr>
      </w:pPr>
      <w:r w:rsidRPr="2A68C290">
        <w:rPr>
          <w:b/>
          <w:bCs/>
          <w:sz w:val="36"/>
          <w:szCs w:val="36"/>
        </w:rPr>
        <w:t xml:space="preserve">DATE: </w:t>
      </w:r>
      <w:r w:rsidR="00592B6B">
        <w:rPr>
          <w:b/>
          <w:bCs/>
          <w:sz w:val="36"/>
          <w:szCs w:val="36"/>
        </w:rPr>
        <w:t>May</w:t>
      </w:r>
      <w:r w:rsidRPr="2A68C290">
        <w:rPr>
          <w:b/>
          <w:bCs/>
          <w:sz w:val="36"/>
          <w:szCs w:val="36"/>
        </w:rPr>
        <w:t xml:space="preserve"> 2016 </w:t>
      </w:r>
    </w:p>
    <w:p w14:paraId="188D9B36" w14:textId="77777777" w:rsidR="00582B96" w:rsidRDefault="00582B96"/>
    <w:tbl>
      <w:tblPr>
        <w:tblW w:w="0" w:type="auto"/>
        <w:tblLook w:val="01E0" w:firstRow="1" w:lastRow="1" w:firstColumn="1" w:lastColumn="1" w:noHBand="0" w:noVBand="0"/>
      </w:tblPr>
      <w:tblGrid>
        <w:gridCol w:w="4421"/>
        <w:gridCol w:w="4366"/>
      </w:tblGrid>
      <w:tr w:rsidR="00ED67E0" w14:paraId="27003BD7" w14:textId="77777777" w:rsidTr="00B24D65">
        <w:tc>
          <w:tcPr>
            <w:tcW w:w="4421" w:type="dxa"/>
          </w:tcPr>
          <w:p w14:paraId="0B882D34" w14:textId="77777777" w:rsidR="00ED67E0" w:rsidRDefault="00ED67E0" w:rsidP="000419AD">
            <w:pPr>
              <w:pStyle w:val="Header"/>
              <w:tabs>
                <w:tab w:val="clear" w:pos="4153"/>
                <w:tab w:val="clear" w:pos="8306"/>
                <w:tab w:val="left" w:pos="1185"/>
              </w:tabs>
            </w:pPr>
            <w:r>
              <w:tab/>
            </w:r>
          </w:p>
        </w:tc>
        <w:tc>
          <w:tcPr>
            <w:tcW w:w="4366" w:type="dxa"/>
          </w:tcPr>
          <w:p w14:paraId="023ADB6B" w14:textId="77777777" w:rsidR="00ED67E0" w:rsidRDefault="00ED67E0" w:rsidP="000419AD">
            <w:pPr>
              <w:pStyle w:val="Header"/>
              <w:jc w:val="right"/>
            </w:pPr>
          </w:p>
        </w:tc>
      </w:tr>
      <w:tr w:rsidR="00ED67E0" w:rsidRPr="002465E9" w14:paraId="7324DAA9" w14:textId="77777777" w:rsidTr="00B24D65">
        <w:tc>
          <w:tcPr>
            <w:tcW w:w="4421" w:type="dxa"/>
          </w:tcPr>
          <w:p w14:paraId="4F0461C7" w14:textId="77777777" w:rsidR="00ED67E0" w:rsidRDefault="00ED67E0" w:rsidP="000419AD">
            <w:pPr>
              <w:pStyle w:val="Header"/>
            </w:pPr>
            <w:r>
              <w:rPr>
                <w:noProof/>
                <w:lang w:eastAsia="en-GB"/>
              </w:rPr>
              <w:lastRenderedPageBreak/>
              <w:drawing>
                <wp:inline distT="0" distB="0" distL="0" distR="0" wp14:anchorId="17A9038B" wp14:editId="49F999C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627E263" w14:textId="77777777" w:rsidR="00ED67E0" w:rsidRDefault="000D51DE" w:rsidP="000419AD">
            <w:pPr>
              <w:pStyle w:val="Header"/>
              <w:jc w:val="right"/>
            </w:pPr>
            <w:r>
              <w:rPr>
                <w:noProof/>
                <w:lang w:eastAsia="en-GB"/>
              </w:rPr>
              <w:drawing>
                <wp:inline distT="0" distB="0" distL="0" distR="0" wp14:anchorId="078E310E" wp14:editId="74FCA8EB">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366D7A1E" w14:textId="77777777" w:rsidTr="00B24D65">
        <w:tc>
          <w:tcPr>
            <w:tcW w:w="4421" w:type="dxa"/>
          </w:tcPr>
          <w:p w14:paraId="67E57868" w14:textId="77777777" w:rsidR="008441FE" w:rsidRDefault="008441FE" w:rsidP="000419AD">
            <w:pPr>
              <w:pStyle w:val="Header"/>
              <w:rPr>
                <w:noProof/>
                <w:lang w:eastAsia="en-GB"/>
              </w:rPr>
            </w:pPr>
          </w:p>
        </w:tc>
        <w:tc>
          <w:tcPr>
            <w:tcW w:w="4366" w:type="dxa"/>
          </w:tcPr>
          <w:p w14:paraId="69492717" w14:textId="77777777" w:rsidR="008441FE" w:rsidRDefault="008441FE" w:rsidP="000419AD">
            <w:pPr>
              <w:pStyle w:val="Header"/>
              <w:jc w:val="right"/>
              <w:rPr>
                <w:noProof/>
                <w:lang w:eastAsia="en-GB"/>
              </w:rPr>
            </w:pPr>
          </w:p>
        </w:tc>
      </w:tr>
    </w:tbl>
    <w:p w14:paraId="20F2A5CB"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61CC37A5" w14:textId="77777777" w:rsidTr="2A68C290">
        <w:trPr>
          <w:trHeight w:val="597"/>
        </w:trPr>
        <w:tc>
          <w:tcPr>
            <w:tcW w:w="9088" w:type="dxa"/>
          </w:tcPr>
          <w:p w14:paraId="0245D77D" w14:textId="494280FA" w:rsidR="007654E6" w:rsidRPr="00592B6B" w:rsidRDefault="2A68C290" w:rsidP="00A524B5">
            <w:pPr>
              <w:pStyle w:val="BodyText"/>
              <w:tabs>
                <w:tab w:val="num" w:pos="1134"/>
              </w:tabs>
              <w:spacing w:after="0"/>
              <w:jc w:val="both"/>
              <w:rPr>
                <w:rFonts w:ascii="Arial" w:hAnsi="Arial" w:cs="Arial"/>
                <w:b/>
              </w:rPr>
            </w:pPr>
            <w:r w:rsidRPr="00592B6B">
              <w:rPr>
                <w:rFonts w:ascii="Arial" w:eastAsia="Arial" w:hAnsi="Arial" w:cs="Arial"/>
                <w:b/>
                <w:bCs/>
              </w:rPr>
              <w:t>SPECIFICATION: Greater Manchester Higher Skills Support Programme for Unemployed and Economically Inactive Individuals</w:t>
            </w:r>
          </w:p>
          <w:p w14:paraId="4C688BE9"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268932CF" w14:textId="77777777" w:rsidTr="2A68C290">
        <w:trPr>
          <w:trHeight w:val="567"/>
        </w:trPr>
        <w:tc>
          <w:tcPr>
            <w:tcW w:w="9088" w:type="dxa"/>
            <w:shd w:val="clear" w:color="auto" w:fill="D9D9D9" w:themeFill="background1" w:themeFillShade="D9"/>
            <w:vAlign w:val="center"/>
          </w:tcPr>
          <w:p w14:paraId="727FA927" w14:textId="77777777" w:rsidR="00967429" w:rsidRPr="00FD3B0A" w:rsidRDefault="2A68C290" w:rsidP="00FD3B0A">
            <w:pPr>
              <w:pStyle w:val="SpecificationHeading"/>
            </w:pPr>
            <w:r>
              <w:t>BACKGROUND</w:t>
            </w:r>
          </w:p>
        </w:tc>
      </w:tr>
      <w:tr w:rsidR="00967429" w:rsidRPr="00EF4406" w14:paraId="1605E4C9" w14:textId="77777777" w:rsidTr="2A68C290">
        <w:tc>
          <w:tcPr>
            <w:tcW w:w="9088" w:type="dxa"/>
          </w:tcPr>
          <w:p w14:paraId="786EE991" w14:textId="77777777" w:rsidR="00B24D65" w:rsidRPr="002833D9" w:rsidRDefault="00B24D65" w:rsidP="00A524B5">
            <w:pPr>
              <w:tabs>
                <w:tab w:val="num" w:pos="900"/>
              </w:tabs>
              <w:autoSpaceDE w:val="0"/>
              <w:autoSpaceDN w:val="0"/>
              <w:adjustRightInd w:val="0"/>
              <w:rPr>
                <w:rFonts w:cs="Arial"/>
                <w:b/>
              </w:rPr>
            </w:pPr>
          </w:p>
          <w:p w14:paraId="52034C9F" w14:textId="77777777" w:rsidR="001F0385" w:rsidRPr="002833D9" w:rsidRDefault="2A68C290" w:rsidP="00A524B5">
            <w:pPr>
              <w:tabs>
                <w:tab w:val="num" w:pos="900"/>
              </w:tabs>
              <w:autoSpaceDE w:val="0"/>
              <w:autoSpaceDN w:val="0"/>
              <w:adjustRightInd w:val="0"/>
              <w:rPr>
                <w:rFonts w:cs="Arial"/>
                <w:b/>
              </w:rPr>
            </w:pPr>
            <w:r w:rsidRPr="2A68C290">
              <w:rPr>
                <w:rFonts w:eastAsia="Arial" w:cs="Arial"/>
                <w:b/>
                <w:bCs/>
              </w:rPr>
              <w:t>General</w:t>
            </w:r>
          </w:p>
          <w:p w14:paraId="639F4DCB" w14:textId="77777777" w:rsidR="002833D9" w:rsidRPr="002833D9" w:rsidRDefault="002833D9" w:rsidP="00A524B5">
            <w:pPr>
              <w:tabs>
                <w:tab w:val="num" w:pos="900"/>
              </w:tabs>
              <w:autoSpaceDE w:val="0"/>
              <w:autoSpaceDN w:val="0"/>
              <w:adjustRightInd w:val="0"/>
              <w:rPr>
                <w:rFonts w:cs="Arial"/>
                <w:b/>
              </w:rPr>
            </w:pPr>
          </w:p>
          <w:p w14:paraId="7178635F" w14:textId="77777777" w:rsidR="00B24D65" w:rsidRPr="005A1D76" w:rsidRDefault="2A68C290" w:rsidP="00A524B5">
            <w:pPr>
              <w:tabs>
                <w:tab w:val="num" w:pos="900"/>
              </w:tabs>
              <w:autoSpaceDE w:val="0"/>
              <w:autoSpaceDN w:val="0"/>
              <w:adjustRightInd w:val="0"/>
              <w:rPr>
                <w:rFonts w:cs="Arial"/>
              </w:rPr>
            </w:pPr>
            <w:r w:rsidRPr="2A68C290">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328932AB" w14:textId="77777777" w:rsidR="002833D9" w:rsidRPr="005A1D76" w:rsidRDefault="002833D9" w:rsidP="00A524B5">
            <w:pPr>
              <w:tabs>
                <w:tab w:val="num" w:pos="900"/>
              </w:tabs>
              <w:autoSpaceDE w:val="0"/>
              <w:autoSpaceDN w:val="0"/>
              <w:adjustRightInd w:val="0"/>
              <w:rPr>
                <w:rFonts w:cs="Arial"/>
              </w:rPr>
            </w:pPr>
          </w:p>
          <w:p w14:paraId="54698709" w14:textId="77777777" w:rsidR="002833D9" w:rsidRPr="005A1D76" w:rsidRDefault="2A68C290" w:rsidP="00A524B5">
            <w:pPr>
              <w:rPr>
                <w:rFonts w:cs="Arial"/>
              </w:rPr>
            </w:pPr>
            <w:r w:rsidRPr="2A68C290">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2A68C290">
              <w:rPr>
                <w:rFonts w:eastAsia="Arial" w:cs="Arial"/>
              </w:rPr>
              <w:t>As an Opt-In Organisation the SFA provides match funding at Priority Axis level utilising sources of public funding as match for ESF funded activity.</w:t>
            </w:r>
          </w:p>
          <w:p w14:paraId="6F6E57F5" w14:textId="77777777" w:rsidR="002833D9" w:rsidRPr="005A1D76" w:rsidRDefault="002833D9" w:rsidP="00A524B5">
            <w:pPr>
              <w:rPr>
                <w:rFonts w:cs="Arial"/>
              </w:rPr>
            </w:pPr>
          </w:p>
          <w:p w14:paraId="77313D39" w14:textId="77777777" w:rsidR="00A63E89" w:rsidRPr="00A63E89" w:rsidRDefault="2A68C290" w:rsidP="00A63E89">
            <w:r w:rsidRPr="2A68C290">
              <w:rPr>
                <w:rFonts w:eastAsia="Arial" w:cs="Arial"/>
              </w:rPr>
              <w:t>This Invitation to Tender (ITT) is for Priority Axis 2 and for Investment Priority (IP) 2.1,</w:t>
            </w:r>
            <w:r>
              <w:t xml:space="preserve"> enhancing equal access to lifelong learning, where the need has been identified both in the LEP area and European Structural and Investment Fund Strategies.  </w:t>
            </w:r>
          </w:p>
          <w:p w14:paraId="3706B136" w14:textId="77777777" w:rsidR="00AD0B65" w:rsidRPr="00AD0B65" w:rsidRDefault="00AD0B65" w:rsidP="00AD0B65">
            <w:pPr>
              <w:rPr>
                <w:rFonts w:cs="Arial"/>
              </w:rPr>
            </w:pPr>
          </w:p>
          <w:p w14:paraId="16C9480D" w14:textId="4BBEE1DC" w:rsidR="004A2467" w:rsidRPr="0011380E" w:rsidRDefault="2A68C290"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qualifications needed for career progression and for business growth and innovation in the knowledge economy. </w:t>
            </w:r>
          </w:p>
          <w:p w14:paraId="42DDCF9F" w14:textId="77777777" w:rsidR="008F66B5" w:rsidRDefault="008F66B5" w:rsidP="00AD0B65"/>
          <w:p w14:paraId="5272E9BE" w14:textId="77777777" w:rsidR="00EB57C4" w:rsidRDefault="2A68C290" w:rsidP="00AD0B65">
            <w:r>
              <w:t>This strand is for:</w:t>
            </w:r>
          </w:p>
          <w:p w14:paraId="1D7DF5D8" w14:textId="77777777" w:rsidR="00EB57C4" w:rsidRDefault="00EB57C4" w:rsidP="00AD0B65"/>
          <w:p w14:paraId="044D0E74" w14:textId="74EB8BC3" w:rsidR="004A2467" w:rsidRDefault="2A68C290" w:rsidP="00651A1C">
            <w:pPr>
              <w:pStyle w:val="ListParagraph"/>
              <w:numPr>
                <w:ilvl w:val="0"/>
                <w:numId w:val="45"/>
              </w:numPr>
            </w:pPr>
            <w:r>
              <w:t xml:space="preserve">Higher Skills Support for unemployed and economically inactive individuals </w:t>
            </w:r>
          </w:p>
          <w:p w14:paraId="1B302759" w14:textId="77777777" w:rsidR="00F17CE2" w:rsidRDefault="00F17CE2" w:rsidP="00A524B5">
            <w:pPr>
              <w:tabs>
                <w:tab w:val="num" w:pos="900"/>
              </w:tabs>
              <w:autoSpaceDE w:val="0"/>
              <w:autoSpaceDN w:val="0"/>
              <w:adjustRightInd w:val="0"/>
              <w:rPr>
                <w:rFonts w:cs="Arial"/>
              </w:rPr>
            </w:pPr>
          </w:p>
          <w:p w14:paraId="21624572" w14:textId="77777777" w:rsidR="008F66B5" w:rsidRPr="005A1D76" w:rsidRDefault="008F66B5" w:rsidP="00A524B5">
            <w:pPr>
              <w:tabs>
                <w:tab w:val="num" w:pos="900"/>
              </w:tabs>
              <w:autoSpaceDE w:val="0"/>
              <w:autoSpaceDN w:val="0"/>
              <w:adjustRightInd w:val="0"/>
              <w:rPr>
                <w:rFonts w:cs="Arial"/>
              </w:rPr>
            </w:pPr>
          </w:p>
          <w:p w14:paraId="520EDE29" w14:textId="77777777" w:rsidR="00442DA3" w:rsidRDefault="2A68C290" w:rsidP="00A524B5">
            <w:pPr>
              <w:rPr>
                <w:rFonts w:cs="Arial"/>
              </w:rPr>
            </w:pPr>
            <w:r w:rsidRPr="2A68C290">
              <w:rPr>
                <w:rFonts w:eastAsia="Arial" w:cs="Arial"/>
              </w:rPr>
              <w:t>The SFA is looking to procure an organisation to deliver education and training</w:t>
            </w:r>
            <w:r w:rsidRPr="2A68C290">
              <w:rPr>
                <w:lang w:eastAsia="en-GB"/>
              </w:rPr>
              <w:t xml:space="preserve"> that best support the needs of local employers and employees </w:t>
            </w:r>
            <w:r w:rsidRPr="2A68C290">
              <w:rPr>
                <w:rFonts w:eastAsia="Arial" w:cs="Arial"/>
              </w:rPr>
              <w:t xml:space="preserve">in the LEP area set out below. </w:t>
            </w:r>
          </w:p>
          <w:p w14:paraId="1F6DAA21" w14:textId="77777777" w:rsidR="00983F35" w:rsidRDefault="00983F35" w:rsidP="00A524B5">
            <w:pPr>
              <w:rPr>
                <w:rFonts w:cs="Arial"/>
              </w:rPr>
            </w:pPr>
          </w:p>
          <w:p w14:paraId="4D2488A8" w14:textId="77777777" w:rsidR="00EB57C4" w:rsidRDefault="2A68C290" w:rsidP="00EB57C4">
            <w:pPr>
              <w:rPr>
                <w:rFonts w:cs="Arial"/>
                <w:b/>
              </w:rPr>
            </w:pPr>
            <w:r w:rsidRPr="2A68C290">
              <w:rPr>
                <w:rFonts w:eastAsia="Arial" w:cs="Arial"/>
                <w:b/>
                <w:bCs/>
              </w:rPr>
              <w:t>Greater Manchester</w:t>
            </w:r>
            <w:r w:rsidRPr="2A68C290">
              <w:rPr>
                <w:rFonts w:eastAsia="Arial" w:cs="Arial"/>
              </w:rPr>
              <w:t xml:space="preserve"> </w:t>
            </w:r>
            <w:r w:rsidRPr="2A68C290">
              <w:rPr>
                <w:rFonts w:eastAsia="Arial" w:cs="Arial"/>
                <w:b/>
                <w:bCs/>
              </w:rPr>
              <w:t>Local Enterprise Partnership Background</w:t>
            </w:r>
          </w:p>
          <w:p w14:paraId="0D9B789D" w14:textId="77777777" w:rsidR="00EB57C4" w:rsidRDefault="00EB57C4" w:rsidP="00A524B5">
            <w:pPr>
              <w:rPr>
                <w:rFonts w:cs="Arial"/>
              </w:rPr>
            </w:pPr>
          </w:p>
          <w:p w14:paraId="206EE1E0" w14:textId="77777777" w:rsidR="00EB57C4" w:rsidRPr="00160A1B" w:rsidRDefault="2A68C290" w:rsidP="00EB57C4">
            <w:pPr>
              <w:rPr>
                <w:rFonts w:cs="Arial"/>
                <w:lang w:eastAsia="en-GB"/>
              </w:rPr>
            </w:pPr>
            <w:r w:rsidRPr="2A68C290">
              <w:rPr>
                <w:rFonts w:eastAsia="Arial" w:cs="Arial"/>
              </w:rPr>
              <w:t xml:space="preserve">The Greater Manchester Forecasting Model (GMFM information found here: </w:t>
            </w:r>
            <w:hyperlink r:id="rId15">
              <w:r w:rsidRPr="2A68C290">
                <w:rPr>
                  <w:rStyle w:val="Hyperlink"/>
                  <w:rFonts w:eastAsia="Arial" w:cs="Arial"/>
                  <w:color w:val="auto"/>
                  <w:sz w:val="24"/>
                  <w:szCs w:val="24"/>
                </w:rPr>
                <w:t>http://neweconomymanchester.com/stories/1775-greater_manchester_forecasting_model</w:t>
              </w:r>
            </w:hyperlink>
            <w:r w:rsidRPr="2A68C290">
              <w:rPr>
                <w:rFonts w:eastAsia="Arial" w:cs="Arial"/>
              </w:rPr>
              <w:t>) indicates that there is likely to be a total replacement demand of 921,000 jobs in the years to 2022 in Greater Manchester (GM) of which half will require skills at least to NVQ Level 3, and a quarter to Level 4. Furthermore, we can predict that there will be a c</w:t>
            </w:r>
            <w:r w:rsidRPr="2A68C290">
              <w:rPr>
                <w:rFonts w:eastAsia="Arial" w:cs="Arial"/>
                <w:lang w:eastAsia="en-GB"/>
              </w:rPr>
              <w:t xml:space="preserve">lear and strong demand for individuals with higher level skills in specific sectors identified as having high growth potential, particularly business, financial &amp; professional services, advanced manufacturing (including advanced materials), digital and creative, construction, logistics and low carbon. </w:t>
            </w:r>
          </w:p>
          <w:p w14:paraId="58DC02C0" w14:textId="77777777" w:rsidR="00227CB5" w:rsidRPr="00160A1B" w:rsidRDefault="00227CB5" w:rsidP="00EB57C4">
            <w:pPr>
              <w:rPr>
                <w:rFonts w:cs="Arial"/>
              </w:rPr>
            </w:pPr>
          </w:p>
          <w:p w14:paraId="0B625852" w14:textId="77777777" w:rsidR="00EB57C4" w:rsidRPr="00160A1B" w:rsidRDefault="2A68C290" w:rsidP="00EB57C4">
            <w:pPr>
              <w:rPr>
                <w:rFonts w:cs="Arial"/>
                <w:bCs/>
              </w:rPr>
            </w:pPr>
            <w:r w:rsidRPr="2A68C290">
              <w:rPr>
                <w:rFonts w:eastAsia="Arial" w:cs="Arial"/>
              </w:rPr>
              <w:t xml:space="preserve">Additionally, there are a number of significant investments taking place in GM over the next decade or so where highly skilled workforce will be required including Airport City, HS2 and 3, Metrolink expansion, the Graphene Engineering &amp; Innovation Centre (GEIC) and the Sir Henry Royce Institute for Advanced Materials Research. It will be critical to ensure all residents, regardless of their social status or prior attainment levels can secure these jobs but to do so they will need increased opportunity to access higher level skills provision. </w:t>
            </w:r>
          </w:p>
          <w:p w14:paraId="56E2E9BA" w14:textId="77777777" w:rsidR="00227CB5" w:rsidRPr="00160A1B" w:rsidRDefault="00227CB5" w:rsidP="00EB57C4">
            <w:pPr>
              <w:rPr>
                <w:rFonts w:cs="Arial"/>
                <w:bCs/>
              </w:rPr>
            </w:pPr>
          </w:p>
          <w:p w14:paraId="5A2D574A" w14:textId="77777777" w:rsidR="00EB57C4" w:rsidRPr="00160A1B" w:rsidRDefault="2A68C290" w:rsidP="00EB57C4">
            <w:pPr>
              <w:rPr>
                <w:rFonts w:cs="Arial"/>
              </w:rPr>
            </w:pPr>
            <w:r w:rsidRPr="2A68C290">
              <w:rPr>
                <w:rFonts w:eastAsia="Arial" w:cs="Arial"/>
                <w:lang w:eastAsia="en-GB"/>
              </w:rPr>
              <w:t xml:space="preserve">In line with the national focus on Apprenticeships, activity delivered under this call should also look to expand and enhance advanced/higher level Apprenticeships particularly in those sectors which have been identified as growth sectors. </w:t>
            </w:r>
            <w:r w:rsidRPr="2A68C290">
              <w:rPr>
                <w:rFonts w:eastAsia="Arial" w:cs="Arial"/>
              </w:rPr>
              <w:t>The current national frameworks do not completely cover the skills gaps within GM – this is being partially addressed through the new standards but these do not always fully meet GM’s needs and there is therefore a gap in the market for this activity to take place.</w:t>
            </w:r>
          </w:p>
          <w:p w14:paraId="187AA01B" w14:textId="77777777" w:rsidR="00227CB5" w:rsidRPr="00160A1B" w:rsidRDefault="00227CB5" w:rsidP="00EB57C4">
            <w:pPr>
              <w:rPr>
                <w:rFonts w:cs="Arial"/>
              </w:rPr>
            </w:pPr>
          </w:p>
          <w:p w14:paraId="335CE6B4" w14:textId="77777777" w:rsidR="00EB57C4" w:rsidRPr="00160A1B" w:rsidRDefault="2A68C290" w:rsidP="00EB57C4">
            <w:pPr>
              <w:rPr>
                <w:rFonts w:cs="Arial"/>
              </w:rPr>
            </w:pPr>
            <w:r w:rsidRPr="2A68C290">
              <w:rPr>
                <w:rFonts w:eastAsia="Arial" w:cs="Arial"/>
              </w:rPr>
              <w:t>In addition to Apprenticeships, graduate level skills are associated with increased wage returns for individuals together with increased productivity gains  - targeting graduates at the early stage of their career has one of the highest returns for a place. GM has a comparatively good record in retaining high skilled graduate labour however, our retention rates are still substantially lower than the capital and GM could do much more</w:t>
            </w:r>
            <w:r w:rsidRPr="2A68C290">
              <w:rPr>
                <w:rFonts w:eastAsia="Arial" w:cs="Arial"/>
                <w:b/>
                <w:bCs/>
              </w:rPr>
              <w:t xml:space="preserve"> </w:t>
            </w:r>
            <w:r w:rsidRPr="2A68C290">
              <w:rPr>
                <w:rFonts w:eastAsia="Arial" w:cs="Arial"/>
              </w:rPr>
              <w:t xml:space="preserve">to support and connect individuals within the graduate talent pool with potential employers, especially fast-growth SMEs, in particular those organisations who have not accessed the graduate talent pool previously. Individuals need support to understand the wide and varied range of businesses within GM, not just the larger more popular graduate employers. </w:t>
            </w:r>
          </w:p>
          <w:p w14:paraId="0E0B5864" w14:textId="77777777" w:rsidR="00227CB5" w:rsidRPr="00160A1B" w:rsidRDefault="00227CB5" w:rsidP="00EB57C4">
            <w:pPr>
              <w:rPr>
                <w:rFonts w:cs="Arial"/>
              </w:rPr>
            </w:pPr>
          </w:p>
          <w:p w14:paraId="644AB55D" w14:textId="77777777" w:rsidR="00EB57C4" w:rsidRDefault="2A68C290" w:rsidP="00EB57C4">
            <w:pPr>
              <w:rPr>
                <w:rFonts w:cs="Arial"/>
              </w:rPr>
            </w:pPr>
            <w:r w:rsidRPr="2A68C290">
              <w:rPr>
                <w:rFonts w:eastAsia="Arial" w:cs="Arial"/>
              </w:rPr>
              <w:t xml:space="preserve">In order to address the issues highlighted in the Greater Manchester Strategy (GMS document can be found here: </w:t>
            </w:r>
            <w:hyperlink r:id="rId16">
              <w:r w:rsidRPr="2A68C290">
                <w:rPr>
                  <w:rStyle w:val="Hyperlink"/>
                  <w:rFonts w:eastAsia="Arial" w:cs="Arial"/>
                  <w:sz w:val="24"/>
                  <w:szCs w:val="24"/>
                </w:rPr>
                <w:t>https://www.greatermanchester-ca.gov.uk/info/20067/greater_manchester_strategy</w:t>
              </w:r>
            </w:hyperlink>
            <w:r w:rsidRPr="2A68C290">
              <w:rPr>
                <w:rFonts w:eastAsia="Arial" w:cs="Arial"/>
              </w:rPr>
              <w:t>), this call is seeking to secure activity that  focuses on the following local priorities, identified in the GM ESIF Plan:</w:t>
            </w:r>
          </w:p>
          <w:p w14:paraId="63B140EC" w14:textId="77777777" w:rsidR="0011380E" w:rsidRPr="00160A1B" w:rsidRDefault="0011380E" w:rsidP="00EB57C4">
            <w:pPr>
              <w:rPr>
                <w:rFonts w:cs="Arial"/>
              </w:rPr>
            </w:pPr>
          </w:p>
          <w:p w14:paraId="211CA41A" w14:textId="77777777" w:rsidR="00EB57C4" w:rsidRPr="00160A1B" w:rsidRDefault="2A68C290" w:rsidP="2A68C290">
            <w:pPr>
              <w:pStyle w:val="ListParagraph"/>
              <w:numPr>
                <w:ilvl w:val="0"/>
                <w:numId w:val="54"/>
              </w:numPr>
              <w:spacing w:after="160" w:line="259" w:lineRule="auto"/>
              <w:rPr>
                <w:rFonts w:eastAsia="Arial" w:cs="Arial"/>
              </w:rPr>
            </w:pPr>
            <w:r w:rsidRPr="2A68C290">
              <w:rPr>
                <w:rFonts w:eastAsia="Arial" w:cs="Arial"/>
              </w:rPr>
              <w:t>Supporting individuals to progress to higher level skills to meet current and future labour market demands</w:t>
            </w:r>
          </w:p>
          <w:p w14:paraId="62D041D3" w14:textId="77777777" w:rsidR="00EB57C4" w:rsidRPr="00160A1B" w:rsidRDefault="2A68C290" w:rsidP="2A68C290">
            <w:pPr>
              <w:pStyle w:val="ListParagraph"/>
              <w:numPr>
                <w:ilvl w:val="0"/>
                <w:numId w:val="54"/>
              </w:numPr>
              <w:spacing w:after="160" w:line="259" w:lineRule="auto"/>
              <w:rPr>
                <w:rFonts w:eastAsia="Arial" w:cs="Arial"/>
              </w:rPr>
            </w:pPr>
            <w:r w:rsidRPr="2A68C290">
              <w:rPr>
                <w:rFonts w:eastAsia="Arial" w:cs="Arial"/>
              </w:rPr>
              <w:t>Developing enhanced relationships between further education and higher level skills providers</w:t>
            </w:r>
          </w:p>
          <w:p w14:paraId="6A7A2752" w14:textId="77777777" w:rsidR="00EB57C4" w:rsidRPr="00160A1B" w:rsidRDefault="2A68C290" w:rsidP="2A68C290">
            <w:pPr>
              <w:pStyle w:val="ListParagraph"/>
              <w:numPr>
                <w:ilvl w:val="0"/>
                <w:numId w:val="54"/>
              </w:numPr>
              <w:spacing w:after="160" w:line="259" w:lineRule="auto"/>
              <w:rPr>
                <w:rFonts w:eastAsia="Arial" w:cs="Arial"/>
              </w:rPr>
            </w:pPr>
            <w:r w:rsidRPr="2A68C290">
              <w:rPr>
                <w:rFonts w:eastAsia="Arial" w:cs="Arial"/>
              </w:rPr>
              <w:lastRenderedPageBreak/>
              <w:t>Developing skills interventions at higher levels to drive GM’s econom</w:t>
            </w:r>
            <w:r w:rsidRPr="2A68C290">
              <w:rPr>
                <w:rFonts w:eastAsia="Arial" w:cs="Arial"/>
                <w:color w:val="0070C0"/>
              </w:rPr>
              <w:t xml:space="preserve">y, </w:t>
            </w:r>
            <w:r w:rsidRPr="2A68C290">
              <w:rPr>
                <w:rFonts w:eastAsia="Arial" w:cs="Arial"/>
              </w:rPr>
              <w:t xml:space="preserve">particularly in STEM and low carbon sectors to meet replacement demand from an aging workforce </w:t>
            </w:r>
          </w:p>
          <w:p w14:paraId="6B4375AA" w14:textId="77777777" w:rsidR="000D51DE" w:rsidRPr="002833D9" w:rsidRDefault="2A68C290" w:rsidP="2A68C290">
            <w:pPr>
              <w:pStyle w:val="ListParagraph"/>
              <w:numPr>
                <w:ilvl w:val="0"/>
                <w:numId w:val="54"/>
              </w:numPr>
              <w:spacing w:after="160" w:line="259" w:lineRule="auto"/>
              <w:rPr>
                <w:rFonts w:eastAsia="Arial" w:cs="Arial"/>
                <w:lang w:eastAsia="en-GB"/>
              </w:rPr>
            </w:pPr>
            <w:r w:rsidRPr="2A68C290">
              <w:rPr>
                <w:rFonts w:eastAsia="Arial" w:cs="Arial"/>
              </w:rPr>
              <w:t>Supporting business growth with a strong integrated offer</w:t>
            </w:r>
          </w:p>
        </w:tc>
      </w:tr>
      <w:tr w:rsidR="00967429" w14:paraId="14F0A642" w14:textId="77777777" w:rsidTr="2A68C290">
        <w:trPr>
          <w:trHeight w:val="567"/>
        </w:trPr>
        <w:tc>
          <w:tcPr>
            <w:tcW w:w="9088" w:type="dxa"/>
            <w:shd w:val="clear" w:color="auto" w:fill="D9D9D9" w:themeFill="background1" w:themeFillShade="D9"/>
            <w:vAlign w:val="center"/>
          </w:tcPr>
          <w:p w14:paraId="7B26A764" w14:textId="77777777" w:rsidR="00967429" w:rsidRPr="00C107CE" w:rsidRDefault="2A68C290" w:rsidP="00C107CE">
            <w:pPr>
              <w:tabs>
                <w:tab w:val="num" w:pos="900"/>
              </w:tabs>
              <w:autoSpaceDE w:val="0"/>
              <w:autoSpaceDN w:val="0"/>
              <w:adjustRightInd w:val="0"/>
              <w:rPr>
                <w:rFonts w:cs="Arial"/>
                <w:b/>
              </w:rPr>
            </w:pPr>
            <w:r w:rsidRPr="2A68C290">
              <w:rPr>
                <w:rFonts w:eastAsia="Arial" w:cs="Arial"/>
                <w:b/>
                <w:bCs/>
              </w:rPr>
              <w:lastRenderedPageBreak/>
              <w:t>DEFINITION OF TERMS</w:t>
            </w:r>
          </w:p>
        </w:tc>
      </w:tr>
      <w:tr w:rsidR="00967429" w:rsidRPr="00EF4406" w14:paraId="19A383E8" w14:textId="77777777" w:rsidTr="2A68C290">
        <w:tc>
          <w:tcPr>
            <w:tcW w:w="9088" w:type="dxa"/>
          </w:tcPr>
          <w:p w14:paraId="6F27006D" w14:textId="77777777" w:rsidR="002E25F4" w:rsidRDefault="002E25F4" w:rsidP="00A524B5">
            <w:pPr>
              <w:rPr>
                <w:rFonts w:cs="Arial"/>
                <w:i/>
              </w:rPr>
            </w:pPr>
          </w:p>
          <w:p w14:paraId="46483641" w14:textId="77777777" w:rsidR="0004585A" w:rsidRDefault="2A68C290" w:rsidP="000304B2">
            <w:pPr>
              <w:ind w:left="360" w:hanging="360"/>
            </w:pPr>
            <w:r w:rsidRPr="2A68C290">
              <w:rPr>
                <w:rFonts w:eastAsia="Arial" w:cs="Arial"/>
                <w:b/>
                <w:bCs/>
              </w:rPr>
              <w:t xml:space="preserve">At risk of Redundancy: </w:t>
            </w:r>
            <w:r w:rsidRPr="2A68C290">
              <w:rPr>
                <w:rFonts w:eastAsia="Arial" w:cs="Arial"/>
              </w:rPr>
              <w:t>means Employees identified by the employer as at risk or redundancy and/or commenced formal consultation with staff representatives on the need to make redundancies</w:t>
            </w:r>
          </w:p>
          <w:p w14:paraId="5B5641BD" w14:textId="77777777" w:rsidR="0004585A" w:rsidRDefault="233CE29A" w:rsidP="000304B2">
            <w:pPr>
              <w:ind w:left="360" w:hanging="360"/>
            </w:pPr>
            <w:r w:rsidRPr="001F4B04">
              <w:rPr>
                <w:rFonts w:eastAsia="Arial" w:cs="Arial"/>
                <w:b/>
                <w:bCs/>
              </w:rPr>
              <w:t xml:space="preserve"> </w:t>
            </w:r>
          </w:p>
          <w:p w14:paraId="1724DF9B" w14:textId="77777777" w:rsidR="0004585A" w:rsidRDefault="2A68C290" w:rsidP="000304B2">
            <w:pPr>
              <w:ind w:left="360" w:hanging="360"/>
            </w:pPr>
            <w:r w:rsidRPr="2A68C290">
              <w:rPr>
                <w:rFonts w:eastAsia="Arial" w:cs="Arial"/>
                <w:b/>
                <w:bCs/>
              </w:rPr>
              <w:t xml:space="preserve">Candidate: </w:t>
            </w:r>
            <w:r w:rsidRPr="2A68C290">
              <w:rPr>
                <w:rFonts w:eastAsia="Arial" w:cs="Arial"/>
              </w:rPr>
              <w:t>means an organisation who has been invited to take part in this restricted procurement procedure</w:t>
            </w:r>
          </w:p>
          <w:p w14:paraId="7CA2FF04" w14:textId="77777777" w:rsidR="0004585A" w:rsidRDefault="233CE29A" w:rsidP="000304B2">
            <w:pPr>
              <w:ind w:left="360" w:hanging="360"/>
            </w:pPr>
            <w:r w:rsidRPr="001F4B04">
              <w:rPr>
                <w:rFonts w:eastAsia="Arial" w:cs="Arial"/>
                <w:b/>
                <w:bCs/>
              </w:rPr>
              <w:t xml:space="preserve"> </w:t>
            </w:r>
          </w:p>
          <w:p w14:paraId="141E481F" w14:textId="77777777" w:rsidR="0004585A" w:rsidRDefault="2A68C290" w:rsidP="000304B2">
            <w:pPr>
              <w:ind w:left="360" w:hanging="360"/>
            </w:pPr>
            <w:r w:rsidRPr="2A68C290">
              <w:rPr>
                <w:rFonts w:eastAsia="Arial" w:cs="Arial"/>
                <w:b/>
                <w:bCs/>
              </w:rPr>
              <w:t>Disability</w:t>
            </w:r>
            <w:r w:rsidRPr="2A68C290">
              <w:rPr>
                <w:rFonts w:eastAsia="Arial" w:cs="Arial"/>
              </w:rPr>
              <w:t xml:space="preserve">: A person </w:t>
            </w:r>
            <w:r w:rsidRPr="2A68C290">
              <w:rPr>
                <w:rFonts w:eastAsia="Arial" w:cs="Arial"/>
                <w:lang w:val="en"/>
              </w:rPr>
              <w:t>who has a physical or mental impairment that has a substantial and long-term adverse effect on the ability to carry out normal day-to-day activities.</w:t>
            </w:r>
          </w:p>
          <w:p w14:paraId="68C196EA" w14:textId="77777777" w:rsidR="0004585A" w:rsidRDefault="233CE29A" w:rsidP="000304B2">
            <w:pPr>
              <w:ind w:left="360" w:hanging="360"/>
            </w:pPr>
            <w:r w:rsidRPr="001F4B04">
              <w:rPr>
                <w:rFonts w:eastAsia="Arial" w:cs="Arial"/>
                <w:b/>
                <w:bCs/>
              </w:rPr>
              <w:t xml:space="preserve"> </w:t>
            </w:r>
          </w:p>
          <w:p w14:paraId="65C77E0D" w14:textId="77777777" w:rsidR="0004585A" w:rsidRDefault="2A68C290" w:rsidP="000304B2">
            <w:pPr>
              <w:ind w:left="360" w:hanging="360"/>
            </w:pPr>
            <w:r w:rsidRPr="2A68C290">
              <w:rPr>
                <w:rFonts w:eastAsia="Arial" w:cs="Arial"/>
                <w:b/>
                <w:bCs/>
              </w:rPr>
              <w:t>Eligibility:</w:t>
            </w:r>
            <w:r w:rsidRPr="2A68C290">
              <w:rPr>
                <w:rFonts w:eastAsia="Arial" w:cs="Arial"/>
              </w:rPr>
              <w:t xml:space="preserve"> Only people who are eligible to work in UK are eligible for this EU programme.  </w:t>
            </w:r>
          </w:p>
          <w:p w14:paraId="313B99E8" w14:textId="77777777" w:rsidR="0004585A" w:rsidRDefault="233CE29A" w:rsidP="000304B2">
            <w:pPr>
              <w:ind w:left="360" w:hanging="360"/>
            </w:pPr>
            <w:r w:rsidRPr="001F4B04">
              <w:rPr>
                <w:rFonts w:eastAsia="Arial" w:cs="Arial"/>
              </w:rPr>
              <w:t xml:space="preserve"> </w:t>
            </w:r>
          </w:p>
          <w:p w14:paraId="568C234F" w14:textId="77777777" w:rsidR="0004585A" w:rsidRDefault="2A68C290" w:rsidP="000304B2">
            <w:pPr>
              <w:ind w:left="360" w:hanging="360"/>
            </w:pPr>
            <w:r w:rsidRPr="2A68C290">
              <w:rPr>
                <w:rFonts w:eastAsia="Arial" w:cs="Arial"/>
                <w:b/>
                <w:bCs/>
              </w:rPr>
              <w:t>Employed</w:t>
            </w:r>
            <w:r w:rsidRPr="2A68C290">
              <w:rPr>
                <w:rFonts w:eastAsia="Arial" w:cs="Arial"/>
              </w:rPr>
              <w:t>: People are employed if they perform work for pay, profit or family gain. People are self-employed if they work in his/her own business for the purpose of earning a profit, even if they are not making a profit or are just setting up.</w:t>
            </w:r>
          </w:p>
          <w:p w14:paraId="59337938" w14:textId="77777777" w:rsidR="0004585A" w:rsidRDefault="233CE29A" w:rsidP="000304B2">
            <w:pPr>
              <w:ind w:left="360" w:hanging="360"/>
            </w:pPr>
            <w:r w:rsidRPr="001F4B04">
              <w:rPr>
                <w:rFonts w:eastAsia="Arial" w:cs="Arial"/>
                <w:highlight w:val="yellow"/>
              </w:rPr>
              <w:t xml:space="preserve"> </w:t>
            </w:r>
          </w:p>
          <w:p w14:paraId="6D81586B" w14:textId="1A9FAA51" w:rsidR="00BE41BC" w:rsidRDefault="2A68C290" w:rsidP="0011380E">
            <w:pPr>
              <w:ind w:left="360" w:hanging="360"/>
              <w:rPr>
                <w:rFonts w:eastAsia="Arial" w:cs="Arial"/>
                <w:color w:val="000000" w:themeColor="text1"/>
              </w:rPr>
            </w:pPr>
            <w:r w:rsidRPr="2A68C290">
              <w:rPr>
                <w:rFonts w:eastAsia="Arial" w:cs="Arial"/>
                <w:b/>
                <w:bCs/>
                <w:color w:val="000000" w:themeColor="text1"/>
              </w:rPr>
              <w:t xml:space="preserve">Micro Businesses: </w:t>
            </w:r>
            <w:r w:rsidRPr="2A68C290">
              <w:rPr>
                <w:rFonts w:eastAsia="Arial" w:cs="Arial"/>
                <w:color w:val="000000" w:themeColor="text1"/>
              </w:rPr>
              <w:t>This relates to organisations employing less than 10     employees.</w:t>
            </w:r>
          </w:p>
          <w:p w14:paraId="162A0127" w14:textId="77777777" w:rsidR="0004585A" w:rsidRDefault="0004585A" w:rsidP="001F4B04"/>
          <w:p w14:paraId="647AE771" w14:textId="77777777" w:rsidR="0004585A" w:rsidRDefault="2A68C290" w:rsidP="000304B2">
            <w:pPr>
              <w:ind w:left="360" w:hanging="360"/>
            </w:pPr>
            <w:r w:rsidRPr="2A68C290">
              <w:rPr>
                <w:rFonts w:eastAsia="Arial" w:cs="Arial"/>
                <w:b/>
                <w:bCs/>
              </w:rPr>
              <w:t xml:space="preserve">Qualifications: </w:t>
            </w:r>
            <w:r w:rsidRPr="2A68C290">
              <w:rPr>
                <w:rFonts w:eastAsia="Arial" w:cs="Arial"/>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A0DD5AE" w14:textId="77777777" w:rsidR="0004585A" w:rsidRDefault="233CE29A" w:rsidP="000304B2">
            <w:pPr>
              <w:ind w:left="360" w:hanging="360"/>
            </w:pPr>
            <w:r w:rsidRPr="001F4B04">
              <w:rPr>
                <w:rFonts w:eastAsia="Arial" w:cs="Arial"/>
              </w:rPr>
              <w:t xml:space="preserve"> </w:t>
            </w:r>
          </w:p>
          <w:p w14:paraId="5FCB692C" w14:textId="77777777" w:rsidR="0004585A" w:rsidRDefault="2A68C290" w:rsidP="000304B2">
            <w:pPr>
              <w:ind w:left="360" w:hanging="360"/>
            </w:pPr>
            <w:r w:rsidRPr="2A68C290">
              <w:rPr>
                <w:rFonts w:eastAsia="Arial" w:cs="Arial"/>
              </w:rPr>
              <w:t xml:space="preserve">     Regulated and non-regulated aims must be planned to be delivered within budget.</w:t>
            </w:r>
          </w:p>
          <w:p w14:paraId="198EAB95" w14:textId="77777777" w:rsidR="0004585A" w:rsidRDefault="233CE29A" w:rsidP="000304B2">
            <w:pPr>
              <w:ind w:left="360" w:hanging="360"/>
            </w:pPr>
            <w:r w:rsidRPr="001F4B04">
              <w:rPr>
                <w:rFonts w:eastAsia="Arial" w:cs="Arial"/>
              </w:rPr>
              <w:t xml:space="preserve"> </w:t>
            </w:r>
          </w:p>
          <w:p w14:paraId="11592A81" w14:textId="77777777" w:rsidR="0004585A" w:rsidRDefault="2A68C290" w:rsidP="000304B2">
            <w:pPr>
              <w:ind w:left="360" w:hanging="360"/>
            </w:pPr>
            <w:r w:rsidRPr="2A68C290">
              <w:rPr>
                <w:rFonts w:eastAsia="Arial" w:cs="Arial"/>
              </w:rPr>
              <w:t xml:space="preserve">     Qualification rates are based on the published LARS rates at the start of the contract.</w:t>
            </w:r>
          </w:p>
          <w:p w14:paraId="24C05342" w14:textId="77777777" w:rsidR="0004585A" w:rsidRDefault="233CE29A" w:rsidP="000304B2">
            <w:pPr>
              <w:ind w:left="360" w:hanging="360"/>
            </w:pPr>
            <w:r w:rsidRPr="001F4B04">
              <w:rPr>
                <w:rFonts w:eastAsia="Arial" w:cs="Arial"/>
              </w:rPr>
              <w:t xml:space="preserve"> </w:t>
            </w:r>
          </w:p>
          <w:p w14:paraId="0146CDE4" w14:textId="77777777" w:rsidR="0004585A" w:rsidRDefault="2A68C290" w:rsidP="000304B2">
            <w:pPr>
              <w:ind w:left="360" w:hanging="360"/>
              <w:rPr>
                <w:rFonts w:eastAsia="Arial" w:cs="Arial"/>
              </w:rPr>
            </w:pPr>
            <w:r w:rsidRPr="2A68C290">
              <w:rPr>
                <w:rFonts w:eastAsia="Arial" w:cs="Arial"/>
                <w:b/>
                <w:bCs/>
              </w:rPr>
              <w:t xml:space="preserve">Services:  </w:t>
            </w:r>
            <w:r w:rsidRPr="2A68C290">
              <w:rPr>
                <w:rFonts w:eastAsia="Arial" w:cs="Arial"/>
              </w:rPr>
              <w:t>The provision of education, training or support delivered to individuals.</w:t>
            </w:r>
          </w:p>
          <w:p w14:paraId="14555F2D" w14:textId="77777777" w:rsidR="00BE41BC" w:rsidRDefault="00BE41BC" w:rsidP="000304B2">
            <w:pPr>
              <w:ind w:left="360" w:hanging="360"/>
            </w:pPr>
          </w:p>
          <w:p w14:paraId="325E2923" w14:textId="26D0F5EA" w:rsidR="0004585A" w:rsidRDefault="2A68C290" w:rsidP="00BE41BC">
            <w:pPr>
              <w:ind w:left="360" w:hanging="360"/>
            </w:pPr>
            <w:r w:rsidRPr="2A68C290">
              <w:rPr>
                <w:rFonts w:eastAsia="Arial" w:cs="Arial"/>
                <w:b/>
                <w:bCs/>
                <w:color w:val="000000" w:themeColor="text1"/>
              </w:rPr>
              <w:t xml:space="preserve">Small and Medium sized Enterprises: </w:t>
            </w:r>
            <w:r w:rsidRPr="2A68C290">
              <w:rPr>
                <w:rFonts w:eastAsia="Arial" w:cs="Arial"/>
                <w:color w:val="000000" w:themeColor="text1"/>
              </w:rPr>
              <w:t>This applies to organisations employing less than 250 employees.</w:t>
            </w:r>
          </w:p>
          <w:p w14:paraId="615D0190" w14:textId="77777777" w:rsidR="00BE41BC" w:rsidRDefault="00BE41BC" w:rsidP="00BE41BC">
            <w:pPr>
              <w:ind w:left="360" w:hanging="360"/>
            </w:pPr>
          </w:p>
          <w:p w14:paraId="4811CB57" w14:textId="77777777" w:rsidR="0004585A" w:rsidRDefault="2A68C290" w:rsidP="000304B2">
            <w:pPr>
              <w:ind w:left="360" w:hanging="360"/>
            </w:pPr>
            <w:r w:rsidRPr="2A68C290">
              <w:rPr>
                <w:rFonts w:eastAsia="Arial" w:cs="Arial"/>
                <w:b/>
                <w:bCs/>
              </w:rPr>
              <w:t>Start Date:</w:t>
            </w:r>
            <w:r w:rsidRPr="2A68C290">
              <w:rPr>
                <w:rFonts w:eastAsia="Arial" w:cs="Arial"/>
              </w:rPr>
              <w:t xml:space="preserve"> Employment status and age are determined on the date of starting on the Services.</w:t>
            </w:r>
            <w:r w:rsidRPr="2A68C290">
              <w:rPr>
                <w:rFonts w:eastAsia="Arial" w:cs="Arial"/>
                <w:b/>
                <w:bCs/>
              </w:rPr>
              <w:t xml:space="preserve"> </w:t>
            </w:r>
          </w:p>
          <w:p w14:paraId="6DB2987A" w14:textId="77777777" w:rsidR="0004585A" w:rsidRDefault="233CE29A" w:rsidP="000304B2">
            <w:pPr>
              <w:ind w:left="360" w:hanging="360"/>
            </w:pPr>
            <w:r w:rsidRPr="001F4B04">
              <w:rPr>
                <w:rFonts w:eastAsia="Arial" w:cs="Arial"/>
                <w:color w:val="FF0000"/>
              </w:rPr>
              <w:t xml:space="preserve"> </w:t>
            </w:r>
          </w:p>
          <w:p w14:paraId="77907248" w14:textId="77777777" w:rsidR="0004585A" w:rsidRDefault="2A68C290" w:rsidP="000304B2">
            <w:pPr>
              <w:ind w:left="360" w:hanging="360"/>
            </w:pPr>
            <w:r w:rsidRPr="2A68C290">
              <w:rPr>
                <w:rFonts w:eastAsia="Arial" w:cs="Arial"/>
                <w:b/>
                <w:bCs/>
              </w:rPr>
              <w:lastRenderedPageBreak/>
              <w:t>Survey</w:t>
            </w:r>
            <w:r w:rsidRPr="2A68C290">
              <w:rPr>
                <w:rFonts w:eastAsia="Arial" w:cs="Arial"/>
              </w:rPr>
              <w:t>: Where applicable, long term sustained outcomes over 6 months will be monitored separately.  Some ESF indicators will be collected by survey by the ESF Managing Authority directly from the participants.</w:t>
            </w:r>
          </w:p>
          <w:p w14:paraId="7B7D3EFF" w14:textId="77777777" w:rsidR="0004585A" w:rsidRDefault="233CE29A" w:rsidP="000304B2">
            <w:pPr>
              <w:ind w:left="360" w:hanging="360"/>
            </w:pPr>
            <w:r w:rsidRPr="001F4B04">
              <w:rPr>
                <w:rFonts w:eastAsia="Arial" w:cs="Arial"/>
                <w:color w:val="FF0000"/>
              </w:rPr>
              <w:t xml:space="preserve"> </w:t>
            </w:r>
          </w:p>
          <w:p w14:paraId="6E8ACB17" w14:textId="1EF87B66" w:rsidR="005A1D76" w:rsidRDefault="2A68C290" w:rsidP="0011380E">
            <w:pPr>
              <w:ind w:left="360" w:hanging="360"/>
            </w:pPr>
            <w:r w:rsidRPr="2A68C290">
              <w:rPr>
                <w:rFonts w:eastAsia="Arial" w:cs="Arial"/>
                <w:b/>
                <w:bCs/>
              </w:rPr>
              <w:t>Unemployed:</w:t>
            </w:r>
            <w:r w:rsidRPr="2A68C290">
              <w:rPr>
                <w:rFonts w:eastAsia="Arial" w:cs="Arial"/>
              </w:rP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r>
              <w:t xml:space="preserve"> </w:t>
            </w:r>
          </w:p>
          <w:p w14:paraId="5D9E36A7" w14:textId="77777777" w:rsidR="00200BC6" w:rsidRPr="00590073" w:rsidRDefault="00200BC6" w:rsidP="004C5E0F"/>
        </w:tc>
      </w:tr>
      <w:tr w:rsidR="00967429" w:rsidRPr="00544738" w14:paraId="1C64A313" w14:textId="77777777" w:rsidTr="2A68C290">
        <w:trPr>
          <w:trHeight w:val="567"/>
        </w:trPr>
        <w:tc>
          <w:tcPr>
            <w:tcW w:w="9088" w:type="dxa"/>
            <w:shd w:val="clear" w:color="auto" w:fill="D9D9D9" w:themeFill="background1" w:themeFillShade="D9"/>
            <w:vAlign w:val="center"/>
          </w:tcPr>
          <w:p w14:paraId="31080997" w14:textId="77777777" w:rsidR="00967429" w:rsidRPr="00C107CE" w:rsidRDefault="2A68C290" w:rsidP="00C107CE">
            <w:pPr>
              <w:autoSpaceDE w:val="0"/>
              <w:autoSpaceDN w:val="0"/>
              <w:adjustRightInd w:val="0"/>
              <w:rPr>
                <w:rFonts w:cs="Arial"/>
                <w:b/>
                <w:lang w:eastAsia="en-GB"/>
              </w:rPr>
            </w:pPr>
            <w:r w:rsidRPr="2A68C290">
              <w:rPr>
                <w:rFonts w:eastAsia="Arial" w:cs="Arial"/>
                <w:b/>
                <w:bCs/>
                <w:lang w:eastAsia="en-GB"/>
              </w:rPr>
              <w:lastRenderedPageBreak/>
              <w:t>SERVICE REQUIREMENTS</w:t>
            </w:r>
          </w:p>
        </w:tc>
      </w:tr>
      <w:tr w:rsidR="00967429" w:rsidRPr="00544738" w14:paraId="706987D3" w14:textId="77777777" w:rsidTr="2A68C290">
        <w:tc>
          <w:tcPr>
            <w:tcW w:w="9088" w:type="dxa"/>
          </w:tcPr>
          <w:p w14:paraId="5BD0D2BD" w14:textId="77777777" w:rsidR="000D51DE" w:rsidRDefault="000D51DE" w:rsidP="00A524B5">
            <w:pPr>
              <w:rPr>
                <w:rFonts w:cs="Arial"/>
                <w:b/>
              </w:rPr>
            </w:pPr>
          </w:p>
          <w:p w14:paraId="75317765" w14:textId="77777777" w:rsidR="002E25F4" w:rsidRDefault="2A68C290" w:rsidP="00A524B5">
            <w:pPr>
              <w:rPr>
                <w:rFonts w:cs="Arial"/>
                <w:b/>
              </w:rPr>
            </w:pPr>
            <w:r w:rsidRPr="2A68C290">
              <w:rPr>
                <w:rFonts w:eastAsia="Arial" w:cs="Arial"/>
                <w:b/>
                <w:bCs/>
              </w:rPr>
              <w:t>General Service Requirements</w:t>
            </w:r>
          </w:p>
          <w:p w14:paraId="05BE5CA0" w14:textId="77777777" w:rsidR="00EA180F" w:rsidRPr="001A4B05" w:rsidRDefault="00EA180F" w:rsidP="00A524B5">
            <w:pPr>
              <w:rPr>
                <w:rFonts w:cs="Arial"/>
                <w:b/>
              </w:rPr>
            </w:pPr>
          </w:p>
          <w:p w14:paraId="72F40E35" w14:textId="77777777" w:rsidR="002E25F4" w:rsidRPr="00D535E6" w:rsidRDefault="2A68C290" w:rsidP="00A524B5">
            <w:pPr>
              <w:rPr>
                <w:rFonts w:cs="Arial"/>
              </w:rPr>
            </w:pPr>
            <w:r w:rsidRPr="2A68C290">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17D20E47" w14:textId="77777777" w:rsidR="00ED156A" w:rsidRPr="00D535E6" w:rsidRDefault="00ED156A" w:rsidP="00A524B5">
            <w:pPr>
              <w:rPr>
                <w:rFonts w:cs="Arial"/>
              </w:rPr>
            </w:pPr>
          </w:p>
          <w:p w14:paraId="707A798E" w14:textId="77777777" w:rsidR="0031325C" w:rsidRPr="00D535E6" w:rsidRDefault="2A68C290" w:rsidP="00A524B5">
            <w:pPr>
              <w:rPr>
                <w:rFonts w:cs="Arial"/>
                <w:b/>
                <w:i/>
              </w:rPr>
            </w:pPr>
            <w:r w:rsidRPr="2A68C290">
              <w:rPr>
                <w:rFonts w:eastAsia="Arial" w:cs="Arial"/>
                <w:b/>
                <w:bCs/>
                <w:i/>
                <w:iCs/>
              </w:rPr>
              <w:t>Capacity and readiness to deliver</w:t>
            </w:r>
          </w:p>
          <w:p w14:paraId="25962C88" w14:textId="77777777" w:rsidR="00ED156A" w:rsidRDefault="2A68C290" w:rsidP="00ED156A">
            <w:pPr>
              <w:autoSpaceDE w:val="0"/>
              <w:autoSpaceDN w:val="0"/>
              <w:adjustRightInd w:val="0"/>
              <w:rPr>
                <w:rFonts w:cs="Arial"/>
              </w:rPr>
            </w:pPr>
            <w:r w:rsidRPr="2A68C290">
              <w:rPr>
                <w:rFonts w:eastAsia="Arial" w:cs="Arial"/>
              </w:rPr>
              <w:t>Candidates must have:</w:t>
            </w:r>
          </w:p>
          <w:p w14:paraId="3DA2BD4A" w14:textId="77777777" w:rsidR="0011380E" w:rsidRPr="00D535E6" w:rsidRDefault="0011380E" w:rsidP="00ED156A">
            <w:pPr>
              <w:autoSpaceDE w:val="0"/>
              <w:autoSpaceDN w:val="0"/>
              <w:adjustRightInd w:val="0"/>
              <w:rPr>
                <w:rFonts w:cs="Arial"/>
              </w:rPr>
            </w:pPr>
          </w:p>
          <w:p w14:paraId="0D371F46" w14:textId="77777777" w:rsidR="00ED156A" w:rsidRPr="00D535E6" w:rsidRDefault="2A68C290" w:rsidP="2A68C290">
            <w:pPr>
              <w:pStyle w:val="ListParagraph"/>
              <w:numPr>
                <w:ilvl w:val="0"/>
                <w:numId w:val="21"/>
              </w:numPr>
              <w:autoSpaceDE w:val="0"/>
              <w:autoSpaceDN w:val="0"/>
              <w:adjustRightInd w:val="0"/>
              <w:ind w:left="313"/>
              <w:rPr>
                <w:rFonts w:eastAsia="Arial" w:cs="Arial"/>
                <w:strike/>
              </w:rPr>
            </w:pPr>
            <w:r w:rsidRPr="2A68C290">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2A68C290">
              <w:rPr>
                <w:rFonts w:eastAsia="Arial" w:cs="Arial"/>
                <w:i/>
                <w:iCs/>
              </w:rPr>
              <w:t>in each locality</w:t>
            </w:r>
          </w:p>
          <w:p w14:paraId="16B766F2" w14:textId="77777777" w:rsidR="00ED156A" w:rsidRPr="00D535E6" w:rsidRDefault="2A68C290" w:rsidP="2A68C290">
            <w:pPr>
              <w:pStyle w:val="ListParagraph"/>
              <w:numPr>
                <w:ilvl w:val="0"/>
                <w:numId w:val="21"/>
              </w:numPr>
              <w:ind w:left="313"/>
              <w:rPr>
                <w:rFonts w:eastAsia="Arial" w:cs="Arial"/>
                <w:lang w:eastAsia="en-GB"/>
              </w:rPr>
            </w:pPr>
            <w:r w:rsidRPr="2A68C290">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14F51354" w14:textId="77777777" w:rsidR="002F71DB" w:rsidRPr="005A1D76" w:rsidRDefault="2A68C290" w:rsidP="2A68C290">
            <w:pPr>
              <w:pStyle w:val="ListParagraph"/>
              <w:numPr>
                <w:ilvl w:val="0"/>
                <w:numId w:val="21"/>
              </w:numPr>
              <w:rPr>
                <w:rFonts w:eastAsia="Arial" w:cs="Arial"/>
                <w:lang w:eastAsia="en-GB"/>
              </w:rPr>
            </w:pPr>
            <w:r w:rsidRPr="2A68C290">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18F346F3" w14:textId="77777777" w:rsidR="00ED156A" w:rsidRPr="002F4192" w:rsidRDefault="00ED156A" w:rsidP="00515602">
            <w:pPr>
              <w:rPr>
                <w:rFonts w:cs="Arial"/>
                <w:lang w:eastAsia="en-GB"/>
              </w:rPr>
            </w:pPr>
          </w:p>
          <w:p w14:paraId="47F58C0D" w14:textId="77777777" w:rsidR="00ED156A" w:rsidRPr="005A1D76" w:rsidRDefault="2A68C290" w:rsidP="00515602">
            <w:pPr>
              <w:rPr>
                <w:rFonts w:cs="Arial"/>
                <w:b/>
                <w:i/>
                <w:lang w:eastAsia="en-GB"/>
              </w:rPr>
            </w:pPr>
            <w:r w:rsidRPr="2A68C290">
              <w:rPr>
                <w:rFonts w:eastAsia="Arial" w:cs="Arial"/>
                <w:b/>
                <w:bCs/>
                <w:i/>
                <w:iCs/>
                <w:lang w:eastAsia="en-GB"/>
              </w:rPr>
              <w:t>Track record</w:t>
            </w:r>
          </w:p>
          <w:p w14:paraId="320ABC45" w14:textId="77777777" w:rsidR="00ED156A" w:rsidRDefault="2A68C290" w:rsidP="00515602">
            <w:pPr>
              <w:rPr>
                <w:rFonts w:cs="Arial"/>
                <w:szCs w:val="22"/>
              </w:rPr>
            </w:pPr>
            <w:r w:rsidRPr="2A68C290">
              <w:rPr>
                <w:rFonts w:eastAsia="Arial" w:cs="Arial"/>
              </w:rPr>
              <w:t>The ability to deliver the required activity, based on a track record in the successful delivery and management of this type and size of programme</w:t>
            </w:r>
          </w:p>
          <w:p w14:paraId="60E56BF8" w14:textId="77777777" w:rsidR="00E43DDB" w:rsidRPr="005A1D76" w:rsidRDefault="00E43DDB" w:rsidP="00515602">
            <w:pPr>
              <w:rPr>
                <w:rFonts w:cs="Arial"/>
                <w:szCs w:val="22"/>
              </w:rPr>
            </w:pPr>
          </w:p>
          <w:p w14:paraId="5C6BFF2E" w14:textId="77777777" w:rsidR="00E43DDB" w:rsidRPr="00E43DDB" w:rsidRDefault="2A68C290" w:rsidP="00E43DDB">
            <w:pPr>
              <w:rPr>
                <w:rFonts w:cs="Arial"/>
                <w:b/>
                <w:i/>
                <w:lang w:eastAsia="en-GB"/>
              </w:rPr>
            </w:pPr>
            <w:r w:rsidRPr="2A68C290">
              <w:rPr>
                <w:rFonts w:eastAsia="Arial" w:cs="Arial"/>
                <w:b/>
                <w:bCs/>
                <w:i/>
                <w:iCs/>
                <w:lang w:eastAsia="en-GB"/>
              </w:rPr>
              <w:t>Information, Advice and Guidance</w:t>
            </w:r>
          </w:p>
          <w:p w14:paraId="6E171E4E" w14:textId="22AA0F81" w:rsidR="00E43DDB" w:rsidRDefault="2A68C290" w:rsidP="00E43DDB">
            <w:pPr>
              <w:rPr>
                <w:rFonts w:cs="Arial"/>
                <w:lang w:eastAsia="en-GB"/>
              </w:rPr>
            </w:pPr>
            <w:r w:rsidRPr="2A68C290">
              <w:rPr>
                <w:rFonts w:eastAsia="Arial" w:cs="Arial"/>
                <w:lang w:eastAsia="en-GB"/>
              </w:rPr>
              <w:t>Where the activity requires effective Information, Advice and Guidance successful applicants and/or subcontractors delivering this element will either hold or be working towards the Matrix standard.</w:t>
            </w:r>
          </w:p>
          <w:p w14:paraId="07F27EB7" w14:textId="77777777" w:rsidR="00E43DDB" w:rsidRDefault="00E43DDB" w:rsidP="00E43DDB">
            <w:pPr>
              <w:rPr>
                <w:rFonts w:cs="Arial"/>
                <w:lang w:eastAsia="en-GB"/>
              </w:rPr>
            </w:pPr>
          </w:p>
          <w:p w14:paraId="2744936E" w14:textId="77777777" w:rsidR="0011380E" w:rsidRPr="00E43DDB" w:rsidRDefault="0011380E" w:rsidP="00E43DDB">
            <w:pPr>
              <w:rPr>
                <w:rFonts w:cs="Arial"/>
                <w:lang w:eastAsia="en-GB"/>
              </w:rPr>
            </w:pPr>
          </w:p>
          <w:p w14:paraId="7CF3E700" w14:textId="77777777" w:rsidR="00ED156A" w:rsidRPr="005A1D76" w:rsidRDefault="2A68C290" w:rsidP="00A524B5">
            <w:pPr>
              <w:rPr>
                <w:rFonts w:cs="Arial"/>
              </w:rPr>
            </w:pPr>
            <w:r w:rsidRPr="2A68C290">
              <w:rPr>
                <w:rFonts w:eastAsia="Arial" w:cs="Arial"/>
                <w:b/>
                <w:bCs/>
                <w:i/>
                <w:iCs/>
              </w:rPr>
              <w:lastRenderedPageBreak/>
              <w:t>Management and quality assurance</w:t>
            </w:r>
          </w:p>
          <w:p w14:paraId="33F1F7DE" w14:textId="77777777" w:rsidR="002E25F4" w:rsidRPr="005A1D76" w:rsidRDefault="2A68C290" w:rsidP="00A524B5">
            <w:pPr>
              <w:rPr>
                <w:rFonts w:cs="Arial"/>
              </w:rPr>
            </w:pPr>
            <w:r w:rsidRPr="2A68C290">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64BEC5B4" w14:textId="77777777" w:rsidR="00B06A9F" w:rsidRPr="005A1D76" w:rsidRDefault="00B06A9F" w:rsidP="00A524B5">
            <w:pPr>
              <w:rPr>
                <w:rFonts w:cs="Arial"/>
              </w:rPr>
            </w:pPr>
          </w:p>
          <w:p w14:paraId="05B3843A" w14:textId="77777777" w:rsidR="00B06A9F" w:rsidRPr="005A1D76" w:rsidRDefault="2A68C290" w:rsidP="00515602">
            <w:pPr>
              <w:rPr>
                <w:rFonts w:cs="Arial"/>
              </w:rPr>
            </w:pPr>
            <w:r w:rsidRPr="2A68C290">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2E465E2" w14:textId="77777777" w:rsidR="001A4B05" w:rsidRPr="005A1D76" w:rsidRDefault="001A4B05" w:rsidP="00A524B5">
            <w:pPr>
              <w:rPr>
                <w:rFonts w:cs="Arial"/>
              </w:rPr>
            </w:pPr>
          </w:p>
          <w:p w14:paraId="1F256D83" w14:textId="77777777" w:rsidR="002E25F4" w:rsidRPr="005A1D76" w:rsidRDefault="2A68C290" w:rsidP="00A524B5">
            <w:pPr>
              <w:rPr>
                <w:rFonts w:cs="Arial"/>
              </w:rPr>
            </w:pPr>
            <w:r w:rsidRPr="2A68C290">
              <w:rPr>
                <w:rFonts w:eastAsia="Arial" w:cs="Arial"/>
                <w:b/>
                <w:bCs/>
                <w:i/>
                <w:iCs/>
              </w:rPr>
              <w:t>Partnership working</w:t>
            </w:r>
          </w:p>
          <w:p w14:paraId="79E70F55" w14:textId="77777777" w:rsidR="002E25F4" w:rsidRPr="005A1D76" w:rsidRDefault="2A68C290" w:rsidP="00A524B5">
            <w:pPr>
              <w:rPr>
                <w:rFonts w:cs="Arial"/>
              </w:rPr>
            </w:pPr>
            <w:r w:rsidRPr="2A68C290">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30441A6E" w14:textId="77777777" w:rsidR="002E25F4" w:rsidRPr="005A1D76" w:rsidRDefault="002E25F4" w:rsidP="00A524B5">
            <w:pPr>
              <w:rPr>
                <w:rFonts w:cs="Arial"/>
              </w:rPr>
            </w:pPr>
          </w:p>
          <w:p w14:paraId="3FB6ACD3" w14:textId="77777777" w:rsidR="002E25F4" w:rsidRPr="005A1D76" w:rsidRDefault="2A68C290" w:rsidP="00A524B5">
            <w:pPr>
              <w:rPr>
                <w:rFonts w:cs="Arial"/>
              </w:rPr>
            </w:pPr>
            <w:r w:rsidRPr="2A68C290">
              <w:rPr>
                <w:rFonts w:eastAsia="Arial" w:cs="Arial"/>
              </w:rPr>
              <w:t xml:space="preserve">The Service must be able to respond to changing local needs and opportunities, as well as policy changes. </w:t>
            </w:r>
          </w:p>
          <w:p w14:paraId="5E1103B3" w14:textId="77777777" w:rsidR="00ED156A" w:rsidRPr="006C64F5" w:rsidRDefault="00ED156A" w:rsidP="00A524B5">
            <w:pPr>
              <w:rPr>
                <w:rFonts w:cs="Arial"/>
                <w:highlight w:val="yellow"/>
              </w:rPr>
            </w:pPr>
          </w:p>
          <w:p w14:paraId="4DC7DD31" w14:textId="77777777" w:rsidR="002E25F4" w:rsidRDefault="2A68C290" w:rsidP="00C107CE">
            <w:pPr>
              <w:autoSpaceDE w:val="0"/>
              <w:autoSpaceDN w:val="0"/>
              <w:adjustRightInd w:val="0"/>
              <w:rPr>
                <w:rFonts w:cs="Arial"/>
              </w:rPr>
            </w:pPr>
            <w:r w:rsidRPr="2A68C290">
              <w:rPr>
                <w:rFonts w:eastAsia="Arial" w:cs="Arial"/>
              </w:rPr>
              <w:t xml:space="preserve">Candidates will be required to establish linkages with and have an understanding of, local stakeholder needs and develop strong links with the key stakeholders. </w:t>
            </w:r>
          </w:p>
          <w:p w14:paraId="077D819D" w14:textId="77777777" w:rsidR="00160E5D" w:rsidRDefault="00160E5D" w:rsidP="00C107CE">
            <w:pPr>
              <w:autoSpaceDE w:val="0"/>
              <w:autoSpaceDN w:val="0"/>
              <w:adjustRightInd w:val="0"/>
              <w:rPr>
                <w:rFonts w:cs="Arial"/>
              </w:rPr>
            </w:pPr>
          </w:p>
          <w:p w14:paraId="74E20B38" w14:textId="77777777" w:rsidR="00160E5D" w:rsidRPr="00BC7F87" w:rsidRDefault="2A68C290" w:rsidP="00160E5D">
            <w:pPr>
              <w:autoSpaceDE w:val="0"/>
              <w:autoSpaceDN w:val="0"/>
              <w:adjustRightInd w:val="0"/>
              <w:rPr>
                <w:rFonts w:cs="Arial"/>
              </w:rPr>
            </w:pPr>
            <w:r w:rsidRPr="2A68C290">
              <w:rPr>
                <w:rFonts w:eastAsia="Arial" w:cs="Arial"/>
              </w:rPr>
              <w:t xml:space="preserve">Candidates will be required to work with employers </w:t>
            </w:r>
            <w:r w:rsidRPr="2A68C290">
              <w:rPr>
                <w:rFonts w:eastAsia="Arial" w:cs="Arial"/>
                <w:color w:val="000000" w:themeColor="text1"/>
              </w:rPr>
              <w:t>to identify the skills gaps and needs to drive employer growth</w:t>
            </w:r>
            <w:r w:rsidRPr="2A68C290">
              <w:rPr>
                <w:rFonts w:eastAsia="Arial" w:cs="Arial"/>
              </w:rPr>
              <w:t xml:space="preserve"> </w:t>
            </w:r>
          </w:p>
          <w:p w14:paraId="1ED56379" w14:textId="77777777" w:rsidR="00C0243B" w:rsidRDefault="00C0243B" w:rsidP="00A524B5">
            <w:pPr>
              <w:rPr>
                <w:rFonts w:cs="Arial"/>
              </w:rPr>
            </w:pPr>
          </w:p>
          <w:p w14:paraId="7B55E3CF" w14:textId="77777777" w:rsidR="000E66D3" w:rsidRDefault="2A68C290" w:rsidP="00A524B5">
            <w:pPr>
              <w:rPr>
                <w:rFonts w:cs="Arial"/>
              </w:rPr>
            </w:pPr>
            <w:r w:rsidRPr="2A68C290">
              <w:rPr>
                <w:rFonts w:eastAsia="Arial" w:cs="Arial"/>
              </w:rPr>
              <w:t xml:space="preserve">Where the Service works with Jobcentre Plus clients the Candidates will be required to co-operate </w:t>
            </w:r>
            <w:r w:rsidRPr="2A68C290">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2A68C290">
              <w:rPr>
                <w:rFonts w:eastAsia="Arial" w:cs="Arial"/>
              </w:rPr>
              <w:t xml:space="preserve">Candidates will be required to establish links with </w:t>
            </w:r>
            <w:r w:rsidRPr="2A68C290">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291167A6" w14:textId="77777777" w:rsidR="000E66D3" w:rsidRDefault="000E66D3" w:rsidP="00A524B5">
            <w:pPr>
              <w:rPr>
                <w:rFonts w:cs="Arial"/>
              </w:rPr>
            </w:pPr>
          </w:p>
          <w:p w14:paraId="1BC21111" w14:textId="77777777" w:rsidR="002E25F4" w:rsidRPr="00BC7F87" w:rsidRDefault="2A68C290" w:rsidP="00A524B5">
            <w:pPr>
              <w:rPr>
                <w:rFonts w:cs="Arial"/>
              </w:rPr>
            </w:pPr>
            <w:r w:rsidRPr="2A68C290">
              <w:rPr>
                <w:rFonts w:eastAsia="Arial" w:cs="Arial"/>
                <w:b/>
                <w:bCs/>
                <w:i/>
                <w:iCs/>
              </w:rPr>
              <w:t>Market intelligence and local knowledge</w:t>
            </w:r>
          </w:p>
          <w:p w14:paraId="7F1570C5" w14:textId="77777777" w:rsidR="002E25F4" w:rsidRPr="00BC7F87" w:rsidRDefault="2A68C290" w:rsidP="00BC7F87">
            <w:pPr>
              <w:autoSpaceDE w:val="0"/>
              <w:autoSpaceDN w:val="0"/>
              <w:adjustRightInd w:val="0"/>
              <w:ind w:left="29"/>
              <w:rPr>
                <w:rFonts w:cs="Arial"/>
                <w:strike/>
                <w:szCs w:val="22"/>
                <w:highlight w:val="yellow"/>
              </w:rPr>
            </w:pPr>
            <w:r w:rsidRPr="2A68C290">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74942D39" w14:textId="77777777" w:rsidR="00812EC6" w:rsidRPr="00BC7F87" w:rsidRDefault="00812EC6" w:rsidP="00A524B5">
            <w:pPr>
              <w:rPr>
                <w:rFonts w:cs="Arial"/>
              </w:rPr>
            </w:pPr>
          </w:p>
          <w:p w14:paraId="7397E70E" w14:textId="77777777" w:rsidR="002E25F4" w:rsidRPr="00BC7F87" w:rsidRDefault="2A68C290" w:rsidP="00A524B5">
            <w:pPr>
              <w:pStyle w:val="letteredlist"/>
              <w:numPr>
                <w:ilvl w:val="4"/>
                <w:numId w:val="0"/>
              </w:numPr>
              <w:spacing w:after="0"/>
              <w:ind w:left="29"/>
              <w:rPr>
                <w:b/>
                <w:i/>
              </w:rPr>
            </w:pPr>
            <w:r w:rsidRPr="2A68C290">
              <w:rPr>
                <w:b/>
                <w:bCs/>
                <w:i/>
                <w:iCs/>
              </w:rPr>
              <w:t>Management information and reporting</w:t>
            </w:r>
          </w:p>
          <w:p w14:paraId="2587EDF6" w14:textId="77777777" w:rsidR="002E25F4" w:rsidRPr="00BC7F87" w:rsidRDefault="2A68C290"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6AC0C32B" w14:textId="77777777" w:rsidR="002E25F4" w:rsidRPr="00BC7F87" w:rsidRDefault="002E25F4" w:rsidP="00A524B5">
            <w:pPr>
              <w:rPr>
                <w:rFonts w:cs="Arial"/>
              </w:rPr>
            </w:pPr>
          </w:p>
          <w:p w14:paraId="000C296F" w14:textId="77777777" w:rsidR="007121E9" w:rsidRDefault="2A68C290" w:rsidP="005C44C5">
            <w:pPr>
              <w:rPr>
                <w:rFonts w:cs="Arial"/>
                <w:szCs w:val="22"/>
              </w:rPr>
            </w:pPr>
            <w:r w:rsidRPr="2A68C290">
              <w:rPr>
                <w:rFonts w:eastAsia="Arial" w:cs="Arial"/>
              </w:rPr>
              <w:lastRenderedPageBreak/>
              <w:t xml:space="preserve">Candidates will be required to share with LEPs and the Skills Funding Agency ongoing performance management data as well as additional intelligence to improve the effectiveness of Skills Support projects in the LEP area in the future. </w:t>
            </w:r>
          </w:p>
          <w:p w14:paraId="6D9E2E82" w14:textId="77777777" w:rsidR="00261BD3" w:rsidRDefault="00261BD3" w:rsidP="00920D7A">
            <w:pPr>
              <w:rPr>
                <w:rFonts w:cs="Arial"/>
              </w:rPr>
            </w:pPr>
          </w:p>
          <w:p w14:paraId="686B315A" w14:textId="77777777" w:rsidR="00B773E0" w:rsidRPr="007121E9" w:rsidRDefault="2A68C290" w:rsidP="00B773E0">
            <w:pPr>
              <w:rPr>
                <w:rFonts w:cs="Arial"/>
                <w:b/>
              </w:rPr>
            </w:pPr>
            <w:r w:rsidRPr="2A68C290">
              <w:rPr>
                <w:rFonts w:eastAsia="Arial" w:cs="Arial"/>
                <w:b/>
                <w:bCs/>
              </w:rPr>
              <w:t>Specific Service Requirements</w:t>
            </w:r>
          </w:p>
          <w:p w14:paraId="7351488C" w14:textId="305F7DEB" w:rsidR="00B773E0" w:rsidRPr="004C5E0F" w:rsidRDefault="2A68C290" w:rsidP="00B773E0">
            <w:pPr>
              <w:rPr>
                <w:rFonts w:cs="Arial"/>
              </w:rPr>
            </w:pPr>
            <w:r w:rsidRPr="2A68C290">
              <w:rPr>
                <w:rFonts w:eastAsia="Arial" w:cs="Arial"/>
              </w:rPr>
              <w:t>The aim of the Services is to provide individuals with the opportunities to develop the skills that will enable them to move and progress into employment.  The Services will provide support to employers to take on and develop individuals to fill higher level skills gaps and shortages</w:t>
            </w:r>
          </w:p>
          <w:p w14:paraId="1059108F" w14:textId="77777777" w:rsidR="00B773E0" w:rsidRPr="004C5E0F" w:rsidRDefault="00B773E0" w:rsidP="00B773E0">
            <w:pPr>
              <w:rPr>
                <w:rFonts w:cs="Arial"/>
                <w:b/>
              </w:rPr>
            </w:pPr>
          </w:p>
          <w:p w14:paraId="7FD69CEC" w14:textId="43F01017" w:rsidR="00B773E0" w:rsidRPr="004C5E0F" w:rsidRDefault="2A68C290" w:rsidP="004C5E0F">
            <w:pPr>
              <w:ind w:right="113"/>
              <w:rPr>
                <w:rFonts w:cs="Arial"/>
              </w:rPr>
            </w:pPr>
            <w:r w:rsidRPr="2A68C290">
              <w:rPr>
                <w:rFonts w:eastAsia="Arial" w:cs="Arial"/>
              </w:rPr>
              <w:t>The Services must deliver a responsive skills programme that is tailored to the needs of the Greater Manchester LEP area in order to stimulate a growth in the skills base for businesses that will give the best opportunity to grow the economy and create more and better jobs.   The Services must deliver highly responsive skills provision to meet business and industry needs.  .</w:t>
            </w:r>
          </w:p>
          <w:p w14:paraId="674F0EA8" w14:textId="77777777" w:rsidR="00B773E0" w:rsidRDefault="00B773E0" w:rsidP="00B773E0">
            <w:pPr>
              <w:rPr>
                <w:rFonts w:cs="Arial"/>
              </w:rPr>
            </w:pPr>
          </w:p>
          <w:p w14:paraId="5EF225DC" w14:textId="77777777" w:rsidR="00BE41BC" w:rsidRDefault="2A68C290" w:rsidP="00BE41BC">
            <w:pPr>
              <w:rPr>
                <w:rFonts w:cs="Arial"/>
              </w:rPr>
            </w:pPr>
            <w:r w:rsidRPr="2A68C290">
              <w:rPr>
                <w:rFonts w:eastAsia="Arial" w:cs="Arial"/>
              </w:rPr>
              <w:t xml:space="preserve">The aim of the Services is to: </w:t>
            </w:r>
          </w:p>
          <w:p w14:paraId="0CD8AABF" w14:textId="77777777" w:rsidR="0011380E" w:rsidRPr="00160A1B" w:rsidRDefault="0011380E" w:rsidP="00BE41BC">
            <w:pPr>
              <w:rPr>
                <w:rFonts w:cs="Arial"/>
              </w:rPr>
            </w:pPr>
          </w:p>
          <w:p w14:paraId="0AA3592B" w14:textId="77777777" w:rsidR="00BE41BC" w:rsidRPr="00160A1B" w:rsidRDefault="2A68C290" w:rsidP="2A68C290">
            <w:pPr>
              <w:pStyle w:val="ListParagraph"/>
              <w:numPr>
                <w:ilvl w:val="0"/>
                <w:numId w:val="55"/>
              </w:numPr>
              <w:spacing w:after="160" w:line="259" w:lineRule="auto"/>
              <w:rPr>
                <w:rFonts w:eastAsia="Arial" w:cs="Arial"/>
              </w:rPr>
            </w:pPr>
            <w:r w:rsidRPr="2A68C290">
              <w:rPr>
                <w:rFonts w:eastAsia="Arial" w:cs="Arial"/>
              </w:rPr>
              <w:t xml:space="preserve">Respond to local skills priorities; </w:t>
            </w:r>
          </w:p>
          <w:p w14:paraId="37A07DD8" w14:textId="77777777" w:rsidR="00BE41BC" w:rsidRPr="00160A1B" w:rsidRDefault="2A68C290" w:rsidP="2A68C290">
            <w:pPr>
              <w:pStyle w:val="ListParagraph"/>
              <w:numPr>
                <w:ilvl w:val="0"/>
                <w:numId w:val="55"/>
              </w:numPr>
              <w:spacing w:after="160" w:line="259" w:lineRule="auto"/>
              <w:rPr>
                <w:rFonts w:eastAsia="Arial" w:cs="Arial"/>
              </w:rPr>
            </w:pPr>
            <w:r w:rsidRPr="2A68C290">
              <w:rPr>
                <w:rFonts w:eastAsia="Arial" w:cs="Arial"/>
              </w:rPr>
              <w:t>Meet local skill requirements by equipping unemployed and economically inactive individuals with advanced / higher level skills;</w:t>
            </w:r>
          </w:p>
          <w:p w14:paraId="23089C4A" w14:textId="77777777" w:rsidR="00BE41BC" w:rsidRPr="00160A1B" w:rsidRDefault="2A68C290" w:rsidP="2A68C290">
            <w:pPr>
              <w:pStyle w:val="ListParagraph"/>
              <w:numPr>
                <w:ilvl w:val="0"/>
                <w:numId w:val="55"/>
              </w:numPr>
              <w:spacing w:after="160" w:line="259" w:lineRule="auto"/>
              <w:rPr>
                <w:rFonts w:eastAsia="Arial" w:cs="Arial"/>
              </w:rPr>
            </w:pPr>
            <w:r w:rsidRPr="2A68C290">
              <w:rPr>
                <w:rFonts w:eastAsia="Arial" w:cs="Arial"/>
              </w:rPr>
              <w:t xml:space="preserve">Increase the opportunity for unemployed and economically inactive residents particularly those who are less likely to take up advanced / higher level skills, to access the levels required by employers and contribute to increased productivity and growth; </w:t>
            </w:r>
          </w:p>
          <w:p w14:paraId="1C608E0A" w14:textId="77777777" w:rsidR="00BE41BC" w:rsidRPr="00160A1B" w:rsidRDefault="2A68C290" w:rsidP="2A68C290">
            <w:pPr>
              <w:pStyle w:val="ListParagraph"/>
              <w:numPr>
                <w:ilvl w:val="0"/>
                <w:numId w:val="55"/>
              </w:numPr>
              <w:spacing w:after="160" w:line="259" w:lineRule="auto"/>
              <w:rPr>
                <w:rFonts w:eastAsia="Arial" w:cs="Arial"/>
              </w:rPr>
            </w:pPr>
            <w:r w:rsidRPr="2A68C290">
              <w:rPr>
                <w:rFonts w:eastAsia="Arial" w:cs="Arial"/>
              </w:rPr>
              <w:t>Increase the opportunity for unemployed and economically inactive graduates to access the opportunities provided by growth;</w:t>
            </w:r>
          </w:p>
          <w:p w14:paraId="3F35D03A" w14:textId="77777777" w:rsidR="00BE41BC" w:rsidRPr="00160A1B" w:rsidRDefault="2A68C290" w:rsidP="2A68C290">
            <w:pPr>
              <w:pStyle w:val="ListParagraph"/>
              <w:numPr>
                <w:ilvl w:val="0"/>
                <w:numId w:val="55"/>
              </w:numPr>
              <w:spacing w:after="160" w:line="259" w:lineRule="auto"/>
              <w:rPr>
                <w:rFonts w:eastAsia="Arial" w:cs="Arial"/>
              </w:rPr>
            </w:pPr>
            <w:r w:rsidRPr="2A68C290">
              <w:rPr>
                <w:rFonts w:eastAsia="Arial" w:cs="Arial"/>
              </w:rPr>
              <w:t>Address skills shortages in priority growth sectors</w:t>
            </w:r>
          </w:p>
          <w:p w14:paraId="0E821C90" w14:textId="77777777" w:rsidR="00BE41BC" w:rsidRPr="00160A1B" w:rsidRDefault="2A68C290" w:rsidP="2A68C290">
            <w:pPr>
              <w:pStyle w:val="ListParagraph"/>
              <w:numPr>
                <w:ilvl w:val="0"/>
                <w:numId w:val="55"/>
              </w:numPr>
              <w:spacing w:after="160" w:line="259" w:lineRule="auto"/>
              <w:rPr>
                <w:rFonts w:eastAsia="Arial" w:cs="Arial"/>
              </w:rPr>
            </w:pPr>
            <w:r w:rsidRPr="2A68C290">
              <w:rPr>
                <w:rFonts w:eastAsia="Arial" w:cs="Arial"/>
              </w:rPr>
              <w:t>Stimulate demand for higher level Apprenticeships</w:t>
            </w:r>
          </w:p>
          <w:p w14:paraId="308E6B79" w14:textId="77777777" w:rsidR="00BE41BC" w:rsidRPr="00160A1B" w:rsidRDefault="2A68C290" w:rsidP="2A68C290">
            <w:pPr>
              <w:pStyle w:val="ListParagraph"/>
              <w:numPr>
                <w:ilvl w:val="0"/>
                <w:numId w:val="55"/>
              </w:numPr>
              <w:spacing w:after="160" w:line="259" w:lineRule="auto"/>
              <w:rPr>
                <w:rFonts w:eastAsia="Arial" w:cs="Arial"/>
              </w:rPr>
            </w:pPr>
            <w:r w:rsidRPr="2A68C290">
              <w:rPr>
                <w:rFonts w:eastAsia="Arial" w:cs="Arial"/>
              </w:rPr>
              <w:t>Stimulate demand for the uptake of Learner Loans.</w:t>
            </w:r>
          </w:p>
          <w:p w14:paraId="2657AE9D" w14:textId="77777777" w:rsidR="00BE41BC" w:rsidRDefault="00BE41BC" w:rsidP="00BE41BC">
            <w:pPr>
              <w:rPr>
                <w:rFonts w:cs="Arial"/>
                <w:color w:val="0070C0"/>
              </w:rPr>
            </w:pPr>
          </w:p>
          <w:p w14:paraId="0CD2880B" w14:textId="77777777" w:rsidR="00BE41BC" w:rsidRPr="00160A1B" w:rsidRDefault="2A68C290" w:rsidP="00BE41BC">
            <w:pPr>
              <w:rPr>
                <w:rFonts w:cs="Arial"/>
              </w:rPr>
            </w:pPr>
            <w:r w:rsidRPr="2A68C290">
              <w:rPr>
                <w:rFonts w:eastAsia="Arial" w:cs="Arial"/>
              </w:rPr>
              <w:t xml:space="preserve">The Services must provide access to advanced/higher level skills for unemployed and economically inactive adults in GM’s disadvantaged and minority groups. </w:t>
            </w:r>
          </w:p>
          <w:p w14:paraId="03B9BAA8" w14:textId="77777777" w:rsidR="00BE41BC" w:rsidRPr="00160A1B" w:rsidRDefault="2A68C290" w:rsidP="00BE41BC">
            <w:pPr>
              <w:rPr>
                <w:rFonts w:cs="Arial"/>
              </w:rPr>
            </w:pPr>
            <w:r w:rsidRPr="2A68C290">
              <w:rPr>
                <w:rFonts w:eastAsia="Arial" w:cs="Arial"/>
              </w:rPr>
              <w:t xml:space="preserve">This should include support for advanced/higher level skills in priority sectors to meet future need.  </w:t>
            </w:r>
          </w:p>
          <w:p w14:paraId="073A7C67" w14:textId="77777777" w:rsidR="00BE41BC" w:rsidRPr="00160A1B" w:rsidRDefault="00BE41BC" w:rsidP="00BE41BC">
            <w:pPr>
              <w:rPr>
                <w:rFonts w:cs="Arial"/>
              </w:rPr>
            </w:pPr>
          </w:p>
          <w:p w14:paraId="69C325D3" w14:textId="77777777" w:rsidR="00BE41BC" w:rsidRPr="00160A1B" w:rsidRDefault="2A68C290" w:rsidP="00BE41BC">
            <w:pPr>
              <w:rPr>
                <w:rFonts w:cs="Arial"/>
              </w:rPr>
            </w:pPr>
            <w:r w:rsidRPr="2A68C290">
              <w:rPr>
                <w:rFonts w:eastAsia="Arial" w:cs="Arial"/>
              </w:rPr>
              <w:t xml:space="preserve">The Services should deliver the following activities: </w:t>
            </w:r>
          </w:p>
          <w:p w14:paraId="7E8F0882" w14:textId="77777777" w:rsidR="00BE41BC" w:rsidRPr="00160A1B" w:rsidRDefault="00BE41BC" w:rsidP="00BE41BC">
            <w:pPr>
              <w:rPr>
                <w:rFonts w:cs="Arial"/>
                <w:b/>
              </w:rPr>
            </w:pPr>
          </w:p>
          <w:p w14:paraId="504662E7" w14:textId="77777777" w:rsidR="00BE41BC" w:rsidRPr="00160A1B" w:rsidRDefault="2A68C290" w:rsidP="2A68C290">
            <w:pPr>
              <w:pStyle w:val="ListParagraph"/>
              <w:numPr>
                <w:ilvl w:val="0"/>
                <w:numId w:val="56"/>
              </w:numPr>
              <w:rPr>
                <w:rFonts w:eastAsia="Arial" w:cs="Arial"/>
              </w:rPr>
            </w:pPr>
            <w:r w:rsidRPr="2A68C290">
              <w:rPr>
                <w:rFonts w:eastAsia="Arial" w:cs="Arial"/>
              </w:rPr>
              <w:t>Support for the most disadvantaged recipients of advanced / higher level skills by funding additional learning support for under-represented groups where this activity can be demonstrated to enhance retention and attainment;</w:t>
            </w:r>
          </w:p>
          <w:p w14:paraId="374D258A" w14:textId="77777777" w:rsidR="00BE41BC" w:rsidRPr="00160A1B" w:rsidRDefault="2A68C290" w:rsidP="2A68C290">
            <w:pPr>
              <w:pStyle w:val="ListParagraph"/>
              <w:numPr>
                <w:ilvl w:val="0"/>
                <w:numId w:val="56"/>
              </w:numPr>
              <w:rPr>
                <w:rFonts w:eastAsia="Arial" w:cs="Arial"/>
              </w:rPr>
            </w:pPr>
            <w:r w:rsidRPr="2A68C290">
              <w:rPr>
                <w:rFonts w:eastAsia="Arial" w:cs="Arial"/>
              </w:rPr>
              <w:t>Support for unemployed and economically inactive individuals who hold higher level skill qualifications to progress to the next level, i.e. L3/4 to L5/6;</w:t>
            </w:r>
          </w:p>
          <w:p w14:paraId="25A5EF02" w14:textId="77777777" w:rsidR="00BE41BC" w:rsidRPr="00160A1B" w:rsidRDefault="2A68C290" w:rsidP="2A68C290">
            <w:pPr>
              <w:pStyle w:val="ListParagraph"/>
              <w:numPr>
                <w:ilvl w:val="0"/>
                <w:numId w:val="56"/>
              </w:numPr>
              <w:rPr>
                <w:rFonts w:eastAsia="Arial" w:cs="Arial"/>
              </w:rPr>
            </w:pPr>
            <w:r w:rsidRPr="2A68C290">
              <w:rPr>
                <w:rFonts w:eastAsia="Arial" w:cs="Arial"/>
              </w:rPr>
              <w:t>Funding development of new outreach activity including taster / access to higher skills courses, particularly where this is being co-designed with intermediaries or representatives of the target groups and involves innovative approaches;</w:t>
            </w:r>
          </w:p>
          <w:p w14:paraId="69CEEB54" w14:textId="77777777" w:rsidR="00BE41BC" w:rsidRPr="00160A1B" w:rsidRDefault="2A68C290" w:rsidP="2A68C290">
            <w:pPr>
              <w:pStyle w:val="ListParagraph"/>
              <w:numPr>
                <w:ilvl w:val="0"/>
                <w:numId w:val="56"/>
              </w:numPr>
              <w:rPr>
                <w:rFonts w:eastAsia="Arial" w:cs="Arial"/>
              </w:rPr>
            </w:pPr>
            <w:r w:rsidRPr="2A68C290">
              <w:rPr>
                <w:rFonts w:eastAsia="Arial" w:cs="Arial"/>
              </w:rPr>
              <w:lastRenderedPageBreak/>
              <w:t>Funding development costs and contributing to delivery costs of vocational short courses designed to support advanced / higher level courses;</w:t>
            </w:r>
          </w:p>
          <w:p w14:paraId="4226D9EB" w14:textId="77777777" w:rsidR="00BE41BC" w:rsidRPr="00160A1B" w:rsidRDefault="2A68C290" w:rsidP="2A68C290">
            <w:pPr>
              <w:pStyle w:val="ListParagraph"/>
              <w:numPr>
                <w:ilvl w:val="0"/>
                <w:numId w:val="56"/>
              </w:numPr>
              <w:rPr>
                <w:rFonts w:eastAsia="Arial" w:cs="Arial"/>
              </w:rPr>
            </w:pPr>
            <w:r w:rsidRPr="2A68C290">
              <w:rPr>
                <w:rFonts w:eastAsia="Arial" w:cs="Arial"/>
              </w:rPr>
              <w:t>Programmes of support to engage with individuals from  disadvantaged groups (or those with specific local disadvantages in utilising advanced skills) and connect them to project/placement/internship opportunities, particularly within SMEs, to help them gain higher level skills</w:t>
            </w:r>
          </w:p>
          <w:p w14:paraId="6782F57E" w14:textId="77777777" w:rsidR="00BE41BC" w:rsidRPr="00160A1B" w:rsidRDefault="2A68C290" w:rsidP="2A68C290">
            <w:pPr>
              <w:pStyle w:val="ListParagraph"/>
              <w:numPr>
                <w:ilvl w:val="0"/>
                <w:numId w:val="56"/>
              </w:numPr>
              <w:rPr>
                <w:rFonts w:eastAsia="Arial" w:cs="Arial"/>
              </w:rPr>
            </w:pPr>
            <w:r w:rsidRPr="2A68C290">
              <w:rPr>
                <w:rFonts w:eastAsia="Arial" w:cs="Arial"/>
              </w:rPr>
              <w:t>Increasing participation in sectors where there are current or predicted skills shortages;</w:t>
            </w:r>
          </w:p>
          <w:p w14:paraId="2610DCE9" w14:textId="77777777" w:rsidR="00BE41BC" w:rsidRPr="00160A1B" w:rsidRDefault="2A68C290" w:rsidP="2A68C290">
            <w:pPr>
              <w:pStyle w:val="ListParagraph"/>
              <w:numPr>
                <w:ilvl w:val="0"/>
                <w:numId w:val="56"/>
              </w:numPr>
              <w:rPr>
                <w:rFonts w:eastAsia="Arial" w:cs="Arial"/>
              </w:rPr>
            </w:pPr>
            <w:r w:rsidRPr="2A68C290">
              <w:rPr>
                <w:rFonts w:eastAsia="Arial" w:cs="Arial"/>
              </w:rPr>
              <w:t>Higher level Skills provision which offers both accredited and non-accredited skills training which is innovative, responsive to local needs and increases participation by unemployed and economically inactive adults in education or training (including Apprenticeships). Provision will normally be accredited but where suitable accredited provision does not exist, bespoke packages may be delivered;</w:t>
            </w:r>
          </w:p>
          <w:p w14:paraId="6FF78CF7" w14:textId="77777777" w:rsidR="00BE41BC" w:rsidRPr="00160A1B" w:rsidRDefault="2A68C290" w:rsidP="2A68C290">
            <w:pPr>
              <w:pStyle w:val="ListParagraph"/>
              <w:numPr>
                <w:ilvl w:val="0"/>
                <w:numId w:val="56"/>
              </w:numPr>
              <w:rPr>
                <w:rFonts w:eastAsia="Arial" w:cs="Arial"/>
              </w:rPr>
            </w:pPr>
            <w:r w:rsidRPr="2A68C290">
              <w:rPr>
                <w:rFonts w:eastAsia="Arial" w:cs="Arial"/>
              </w:rPr>
              <w:t>Developing skills of individuals to meet future need, for example in relation to the impact of new technology;</w:t>
            </w:r>
          </w:p>
          <w:p w14:paraId="06E7D406" w14:textId="77777777" w:rsidR="00BE41BC" w:rsidRPr="00160A1B" w:rsidRDefault="2A68C290" w:rsidP="2A68C290">
            <w:pPr>
              <w:pStyle w:val="ListParagraph"/>
              <w:numPr>
                <w:ilvl w:val="0"/>
                <w:numId w:val="56"/>
              </w:numPr>
              <w:rPr>
                <w:rFonts w:eastAsia="Arial" w:cs="Arial"/>
              </w:rPr>
            </w:pPr>
            <w:r w:rsidRPr="2A68C290">
              <w:rPr>
                <w:rFonts w:eastAsia="Arial" w:cs="Arial"/>
              </w:rPr>
              <w:t>Initiatives to increase/improve STEM and digital skills in disadvantaged individuals.</w:t>
            </w:r>
          </w:p>
          <w:p w14:paraId="06BD9A10" w14:textId="77777777" w:rsidR="00BE41BC" w:rsidRPr="009555BC" w:rsidRDefault="00BE41BC" w:rsidP="00BE41BC">
            <w:pPr>
              <w:rPr>
                <w:rFonts w:cs="Arial"/>
                <w:color w:val="0070C0"/>
              </w:rPr>
            </w:pPr>
          </w:p>
          <w:p w14:paraId="32CC0DE9" w14:textId="5DF662F3" w:rsidR="00BE41BC" w:rsidRPr="00160A1B" w:rsidRDefault="2A68C290" w:rsidP="00BE41BC">
            <w:pPr>
              <w:rPr>
                <w:rFonts w:cs="Arial"/>
                <w:b/>
              </w:rPr>
            </w:pPr>
            <w:r w:rsidRPr="2A68C290">
              <w:rPr>
                <w:rFonts w:eastAsia="Arial" w:cs="Arial"/>
              </w:rPr>
              <w:t>The Services must increase the employability of unemployed and economically inactive graduates</w:t>
            </w:r>
            <w:r w:rsidRPr="2A68C290">
              <w:rPr>
                <w:rFonts w:eastAsia="Arial" w:cs="Arial"/>
                <w:b/>
                <w:bCs/>
              </w:rPr>
              <w:t xml:space="preserve">. </w:t>
            </w:r>
          </w:p>
          <w:p w14:paraId="593E8307" w14:textId="77777777" w:rsidR="00BE41BC" w:rsidRPr="00160A1B" w:rsidRDefault="00BE41BC" w:rsidP="00BE41BC">
            <w:pPr>
              <w:rPr>
                <w:rFonts w:cs="Arial"/>
              </w:rPr>
            </w:pPr>
          </w:p>
          <w:p w14:paraId="4E358626" w14:textId="77777777" w:rsidR="00BE41BC" w:rsidRDefault="2A68C290" w:rsidP="00BE41BC">
            <w:pPr>
              <w:rPr>
                <w:rFonts w:cs="Arial"/>
              </w:rPr>
            </w:pPr>
            <w:r w:rsidRPr="2A68C290">
              <w:rPr>
                <w:rFonts w:eastAsia="Arial" w:cs="Arial"/>
              </w:rPr>
              <w:t>The Services should deliver the following activities:</w:t>
            </w:r>
          </w:p>
          <w:p w14:paraId="6F1B154F" w14:textId="77777777" w:rsidR="0011380E" w:rsidRPr="00160A1B" w:rsidRDefault="0011380E" w:rsidP="00BE41BC">
            <w:pPr>
              <w:rPr>
                <w:rFonts w:cs="Arial"/>
              </w:rPr>
            </w:pPr>
          </w:p>
          <w:p w14:paraId="76683B24" w14:textId="77777777" w:rsidR="00BE41BC" w:rsidRPr="00160A1B" w:rsidRDefault="2A68C290" w:rsidP="2A68C290">
            <w:pPr>
              <w:pStyle w:val="ListParagraph"/>
              <w:numPr>
                <w:ilvl w:val="0"/>
                <w:numId w:val="56"/>
              </w:numPr>
              <w:rPr>
                <w:rStyle w:val="Strong"/>
                <w:rFonts w:eastAsia="Arial" w:cs="Arial"/>
                <w:b w:val="0"/>
                <w:bCs w:val="0"/>
              </w:rPr>
            </w:pPr>
            <w:r w:rsidRPr="2A68C290">
              <w:rPr>
                <w:rStyle w:val="Strong"/>
                <w:rFonts w:eastAsia="Arial" w:cs="Arial"/>
                <w:b w:val="0"/>
                <w:bCs w:val="0"/>
              </w:rPr>
              <w:t>Funding costs of specific modules (additional to the core credit bearing element of high education programmes) designed to prepare under-graduates and unemployed / economically inactive graduates for employment and self-employment</w:t>
            </w:r>
          </w:p>
          <w:p w14:paraId="17B1BE08" w14:textId="77777777" w:rsidR="00BE41BC" w:rsidRPr="00160A1B" w:rsidRDefault="2A68C290" w:rsidP="2A68C290">
            <w:pPr>
              <w:pStyle w:val="ListParagraph"/>
              <w:numPr>
                <w:ilvl w:val="0"/>
                <w:numId w:val="56"/>
              </w:numPr>
              <w:rPr>
                <w:rStyle w:val="Strong"/>
                <w:rFonts w:eastAsia="Arial" w:cs="Arial"/>
                <w:b w:val="0"/>
                <w:bCs w:val="0"/>
              </w:rPr>
            </w:pPr>
            <w:r w:rsidRPr="2A68C290">
              <w:rPr>
                <w:rStyle w:val="Strong"/>
                <w:rFonts w:eastAsia="Arial" w:cs="Arial"/>
                <w:b w:val="0"/>
                <w:bCs w:val="0"/>
              </w:rPr>
              <w:t>Support for collaborative projects, placements, internships or other activities within SMEs that enable graduates to gain industry relevant experience and skills</w:t>
            </w:r>
            <w:r w:rsidRPr="2A68C290">
              <w:rPr>
                <w:rStyle w:val="Strong"/>
                <w:rFonts w:eastAsia="Arial" w:cs="Arial"/>
              </w:rPr>
              <w:t>.</w:t>
            </w:r>
          </w:p>
          <w:p w14:paraId="18D3E664" w14:textId="77777777" w:rsidR="00BE41BC" w:rsidRPr="00160A1B" w:rsidRDefault="00BE41BC" w:rsidP="00BE41BC">
            <w:pPr>
              <w:rPr>
                <w:rFonts w:cs="Arial"/>
                <w:b/>
                <w:u w:val="single"/>
              </w:rPr>
            </w:pPr>
          </w:p>
          <w:p w14:paraId="143A479F" w14:textId="77777777" w:rsidR="00BE41BC" w:rsidRPr="00160A1B" w:rsidRDefault="2A68C290" w:rsidP="00BE41BC">
            <w:pPr>
              <w:rPr>
                <w:rFonts w:cs="Arial"/>
              </w:rPr>
            </w:pPr>
            <w:r w:rsidRPr="2A68C290">
              <w:rPr>
                <w:rFonts w:eastAsia="Arial" w:cs="Arial"/>
              </w:rPr>
              <w:t xml:space="preserve">The Services must not duplicate or cut across national policy on grants and loans for tuition for skills initiatives, for example funding Post Graduate Study. </w:t>
            </w:r>
          </w:p>
          <w:p w14:paraId="1ADA6892" w14:textId="77777777" w:rsidR="00BE41BC" w:rsidRPr="00160A1B" w:rsidRDefault="00BE41BC" w:rsidP="00BE41BC">
            <w:pPr>
              <w:rPr>
                <w:rStyle w:val="Strong"/>
                <w:rFonts w:cs="Arial"/>
                <w:b w:val="0"/>
                <w:u w:val="single"/>
              </w:rPr>
            </w:pPr>
          </w:p>
          <w:p w14:paraId="47EA594B" w14:textId="77777777" w:rsidR="00BE41BC" w:rsidRPr="00160A1B" w:rsidRDefault="2A68C290" w:rsidP="00BE41BC">
            <w:pPr>
              <w:rPr>
                <w:rStyle w:val="Strong"/>
                <w:rFonts w:cs="Arial"/>
                <w:b w:val="0"/>
              </w:rPr>
            </w:pPr>
            <w:r w:rsidRPr="2A68C290">
              <w:rPr>
                <w:rStyle w:val="Strong"/>
                <w:rFonts w:eastAsia="Arial" w:cs="Arial"/>
                <w:b w:val="0"/>
                <w:bCs w:val="0"/>
              </w:rPr>
              <w:t>The Services should support wider participation in higher level skills with a focus on supporting individuals most at need, with particular consideration given to innovative use of technology to promote and deliver learning.</w:t>
            </w:r>
            <w:r w:rsidRPr="2A68C290">
              <w:rPr>
                <w:rStyle w:val="Strong"/>
                <w:rFonts w:eastAsia="Arial" w:cs="Arial"/>
              </w:rPr>
              <w:t xml:space="preserve"> </w:t>
            </w:r>
          </w:p>
          <w:p w14:paraId="67CCDB37" w14:textId="77777777" w:rsidR="00BE41BC" w:rsidRPr="004C5E0F" w:rsidRDefault="00BE41BC" w:rsidP="00B773E0">
            <w:pPr>
              <w:rPr>
                <w:rFonts w:cs="Arial"/>
              </w:rPr>
            </w:pPr>
          </w:p>
          <w:p w14:paraId="3902B176" w14:textId="503EDA38" w:rsidR="00B773E0" w:rsidRPr="004C5E0F" w:rsidRDefault="2A68C290" w:rsidP="00B773E0">
            <w:pPr>
              <w:rPr>
                <w:rFonts w:cs="Arial"/>
              </w:rPr>
            </w:pPr>
            <w:r w:rsidRPr="2A68C290">
              <w:rPr>
                <w:rFonts w:eastAsia="Arial" w:cs="Arial"/>
              </w:rPr>
              <w:t>The Services must support individuals by providing taster units of relevant vocational training; work-based access training and work shadowing opportunities related to higher skills/paid jobs.</w:t>
            </w:r>
          </w:p>
          <w:p w14:paraId="375EC599" w14:textId="77777777" w:rsidR="00B773E0" w:rsidRPr="004C5E0F" w:rsidRDefault="00B773E0" w:rsidP="00B773E0">
            <w:pPr>
              <w:rPr>
                <w:rFonts w:cs="Arial"/>
              </w:rPr>
            </w:pPr>
          </w:p>
          <w:p w14:paraId="49CF4E3B" w14:textId="2941961E" w:rsidR="00B773E0" w:rsidRPr="004C5E0F" w:rsidRDefault="2A68C290" w:rsidP="00B773E0">
            <w:pPr>
              <w:rPr>
                <w:rFonts w:cs="Arial"/>
              </w:rPr>
            </w:pPr>
            <w:r w:rsidRPr="2A68C290">
              <w:rPr>
                <w:rFonts w:eastAsia="Arial" w:cs="Arial"/>
              </w:rPr>
              <w:t>The Services must drive up skills levels, focusing on the higher level skills being sought by employers and supporting the Greater Manchester LEP’s priority sectors.  The Services must encourage employers and/or employees to participate in an apprenticeship.</w:t>
            </w:r>
          </w:p>
          <w:p w14:paraId="30F90A7F" w14:textId="77777777" w:rsidR="00B773E0" w:rsidRPr="004C5E0F" w:rsidRDefault="00B773E0" w:rsidP="00B773E0">
            <w:pPr>
              <w:rPr>
                <w:rFonts w:cs="Arial"/>
              </w:rPr>
            </w:pPr>
          </w:p>
          <w:p w14:paraId="5D14748A" w14:textId="3919F801" w:rsidR="00B773E0" w:rsidRPr="004C5E0F" w:rsidRDefault="2A68C290" w:rsidP="00B773E0">
            <w:pPr>
              <w:rPr>
                <w:rFonts w:cs="Arial"/>
              </w:rPr>
            </w:pPr>
            <w:r w:rsidRPr="2A68C290">
              <w:rPr>
                <w:rFonts w:eastAsia="Arial" w:cs="Arial"/>
              </w:rPr>
              <w:t xml:space="preserve">There must be an assessment of the current skills profile of the individual. </w:t>
            </w:r>
          </w:p>
          <w:p w14:paraId="74C7BA21" w14:textId="77777777" w:rsidR="00B773E0" w:rsidRPr="004C5E0F" w:rsidRDefault="00B773E0" w:rsidP="00B773E0">
            <w:pPr>
              <w:rPr>
                <w:rFonts w:cs="Arial"/>
              </w:rPr>
            </w:pPr>
          </w:p>
          <w:p w14:paraId="2D3C88B0" w14:textId="77777777" w:rsidR="00B773E0" w:rsidRPr="004C5E0F" w:rsidRDefault="2A68C290" w:rsidP="00B773E0">
            <w:pPr>
              <w:rPr>
                <w:rFonts w:cs="Arial"/>
              </w:rPr>
            </w:pPr>
            <w:r w:rsidRPr="2A68C290">
              <w:rPr>
                <w:rFonts w:eastAsia="Arial" w:cs="Arial"/>
              </w:rPr>
              <w:lastRenderedPageBreak/>
              <w:t xml:space="preserve">The Services must provide advice and guidance, personal development planning, skills development and learning and mentoring on an individual basis.  </w:t>
            </w:r>
          </w:p>
          <w:p w14:paraId="065495CB" w14:textId="77777777" w:rsidR="00B773E0" w:rsidRPr="00FE3BBF" w:rsidRDefault="00B773E0" w:rsidP="00B773E0">
            <w:pPr>
              <w:rPr>
                <w:rFonts w:cs="Arial"/>
                <w:highlight w:val="yellow"/>
              </w:rPr>
            </w:pPr>
          </w:p>
          <w:p w14:paraId="760335A7" w14:textId="50A7AAB1" w:rsidR="00B773E0" w:rsidRPr="004C5E0F" w:rsidRDefault="2A68C290" w:rsidP="00B773E0">
            <w:pPr>
              <w:rPr>
                <w:rFonts w:cs="Arial"/>
              </w:rPr>
            </w:pPr>
            <w:r w:rsidRPr="2A68C290">
              <w:rPr>
                <w:rFonts w:eastAsia="Arial" w:cs="Arial"/>
              </w:rPr>
              <w:t>The Services must deliver skills provision which offers both accredited and non-accredited skills training, which is innovative and responsive to local skills needs. Provision will normally be accredited but where suitable accredited provision does not exist, bespoke packages may be delivered.</w:t>
            </w:r>
          </w:p>
          <w:p w14:paraId="742E4E9C" w14:textId="446A3DDE" w:rsidR="00B837C5" w:rsidRPr="004C5E0F" w:rsidRDefault="00B837C5" w:rsidP="00B773E0">
            <w:pPr>
              <w:rPr>
                <w:rFonts w:cs="Arial"/>
              </w:rPr>
            </w:pPr>
          </w:p>
          <w:p w14:paraId="2F8ABC1F" w14:textId="77777777" w:rsidR="00B773E0" w:rsidRPr="004C5E0F" w:rsidRDefault="2A68C290" w:rsidP="00B773E0">
            <w:pPr>
              <w:rPr>
                <w:rFonts w:cs="Arial"/>
              </w:rPr>
            </w:pPr>
            <w:r w:rsidRPr="2A68C290">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785FB811" w14:textId="77777777" w:rsidR="00B773E0" w:rsidRPr="004C5E0F" w:rsidRDefault="00B773E0" w:rsidP="00B773E0">
            <w:pPr>
              <w:rPr>
                <w:rFonts w:cs="Arial"/>
              </w:rPr>
            </w:pPr>
          </w:p>
          <w:p w14:paraId="0B2556F8" w14:textId="77777777" w:rsidR="00B773E0" w:rsidRPr="004C5E0F" w:rsidRDefault="2A68C290" w:rsidP="00B773E0">
            <w:pPr>
              <w:rPr>
                <w:rFonts w:cs="Arial"/>
              </w:rPr>
            </w:pPr>
            <w:r w:rsidRPr="2A68C290">
              <w:rPr>
                <w:rFonts w:eastAsia="Arial"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32862610" w14:textId="77777777" w:rsidR="00B773E0" w:rsidRPr="004C5E0F" w:rsidRDefault="00B773E0" w:rsidP="00B773E0">
            <w:pPr>
              <w:rPr>
                <w:rFonts w:cs="Arial"/>
              </w:rPr>
            </w:pPr>
          </w:p>
          <w:p w14:paraId="5F6EEF9B" w14:textId="39737DF6" w:rsidR="00B773E0" w:rsidRPr="004C5E0F" w:rsidRDefault="2A68C290" w:rsidP="00B773E0">
            <w:pPr>
              <w:rPr>
                <w:rFonts w:cs="Arial"/>
              </w:rPr>
            </w:pPr>
            <w:r w:rsidRPr="2A68C290">
              <w:rPr>
                <w:rFonts w:eastAsia="Arial" w:cs="Arial"/>
              </w:rPr>
              <w:t xml:space="preserve">The Services should also support individuals to take up Higher Apprenticeships in the key sectors listed below: </w:t>
            </w:r>
          </w:p>
          <w:p w14:paraId="3DEAE533" w14:textId="77777777" w:rsidR="00B773E0" w:rsidRPr="004C5E0F" w:rsidRDefault="00B773E0" w:rsidP="00B773E0">
            <w:pPr>
              <w:rPr>
                <w:rFonts w:cs="Arial"/>
              </w:rPr>
            </w:pPr>
          </w:p>
          <w:p w14:paraId="7767B1D6" w14:textId="77777777" w:rsidR="00B773E0" w:rsidRPr="004C5E0F" w:rsidRDefault="2A68C290" w:rsidP="00B773E0">
            <w:pPr>
              <w:rPr>
                <w:rFonts w:cs="Arial"/>
              </w:rPr>
            </w:pPr>
            <w:r w:rsidRPr="2A68C290">
              <w:rPr>
                <w:rFonts w:eastAsia="Arial" w:cs="Arial"/>
              </w:rPr>
              <w:t>The Services must develop and deliver bridging programmes to enable individuals to progress from Further or Higher Education to Higher Level Apprenticeships.</w:t>
            </w:r>
          </w:p>
          <w:p w14:paraId="630275AE" w14:textId="15175290" w:rsidR="003A772F" w:rsidRPr="003A772F" w:rsidRDefault="003A772F" w:rsidP="004C5E0F"/>
        </w:tc>
      </w:tr>
      <w:tr w:rsidR="00967429" w:rsidRPr="00544738" w14:paraId="7A2CD89E" w14:textId="77777777" w:rsidTr="2A68C290">
        <w:tc>
          <w:tcPr>
            <w:tcW w:w="9088" w:type="dxa"/>
            <w:shd w:val="clear" w:color="auto" w:fill="D9D9D9" w:themeFill="background1" w:themeFillShade="D9"/>
          </w:tcPr>
          <w:p w14:paraId="1B8C8DE9" w14:textId="77777777" w:rsidR="00967429" w:rsidRPr="00544738" w:rsidRDefault="2A68C290" w:rsidP="00FD3B0A">
            <w:pPr>
              <w:pStyle w:val="SpecificationHeading"/>
            </w:pPr>
            <w:r>
              <w:lastRenderedPageBreak/>
              <w:t>ELIGIBILITY</w:t>
            </w:r>
          </w:p>
        </w:tc>
      </w:tr>
      <w:tr w:rsidR="00967429" w:rsidRPr="00EF4406" w14:paraId="6CFE078A" w14:textId="77777777" w:rsidTr="2A68C290">
        <w:trPr>
          <w:trHeight w:val="1685"/>
        </w:trPr>
        <w:tc>
          <w:tcPr>
            <w:tcW w:w="9088" w:type="dxa"/>
          </w:tcPr>
          <w:p w14:paraId="257F0F59" w14:textId="77777777" w:rsidR="001E23AA" w:rsidRDefault="001E23AA" w:rsidP="002F70E9">
            <w:pPr>
              <w:rPr>
                <w:rFonts w:cs="Arial"/>
                <w:b/>
                <w:u w:val="single"/>
              </w:rPr>
            </w:pPr>
          </w:p>
          <w:p w14:paraId="167C9D2E" w14:textId="77777777" w:rsidR="00A005EF" w:rsidRPr="00344FA1" w:rsidRDefault="2A68C290" w:rsidP="00A005EF">
            <w:r w:rsidRPr="2A68C290">
              <w:rPr>
                <w:b/>
                <w:bCs/>
              </w:rPr>
              <w:t>General</w:t>
            </w:r>
          </w:p>
          <w:p w14:paraId="45A6AB01" w14:textId="77777777" w:rsidR="00A005EF" w:rsidRDefault="2A68C290" w:rsidP="00A005EF">
            <w:pPr>
              <w:rPr>
                <w:rFonts w:cs="Arial"/>
              </w:rPr>
            </w:pPr>
            <w:r w:rsidRPr="2A68C290">
              <w:rPr>
                <w:rFonts w:eastAsia="Arial" w:cs="Arial"/>
              </w:rPr>
              <w:t>General eligibility requirements are set out in : the</w:t>
            </w:r>
            <w:r>
              <w:t xml:space="preserve"> </w:t>
            </w:r>
            <w:r w:rsidRPr="2A68C290">
              <w:rPr>
                <w:rFonts w:eastAsia="Arial" w:cs="Arial"/>
              </w:rPr>
              <w:t xml:space="preserve">European Social Fund Programme for England 2014-2020 National Eligibility Rules which can be found here: </w:t>
            </w:r>
            <w:hyperlink r:id="rId17">
              <w:r w:rsidRPr="2A68C290">
                <w:rPr>
                  <w:rStyle w:val="Hyperlink"/>
                  <w:rFonts w:eastAsia="Arial" w:cs="Arial"/>
                  <w:sz w:val="24"/>
                  <w:szCs w:val="24"/>
                </w:rPr>
                <w:t>https://www.gov.uk/government/publications/european-structural-and-investment-funds-programme-guidance</w:t>
              </w:r>
            </w:hyperlink>
            <w:r w:rsidRPr="2A68C290">
              <w:rPr>
                <w:rFonts w:eastAsia="Arial" w:cs="Arial"/>
              </w:rPr>
              <w:t xml:space="preserve"> </w:t>
            </w:r>
          </w:p>
          <w:p w14:paraId="25FB0F2B" w14:textId="77777777" w:rsidR="008B63B3" w:rsidRDefault="008B63B3" w:rsidP="00A005EF">
            <w:pPr>
              <w:rPr>
                <w:rFonts w:cs="Arial"/>
              </w:rPr>
            </w:pPr>
          </w:p>
          <w:p w14:paraId="2B81BB3D" w14:textId="77777777" w:rsidR="008B63B3" w:rsidRPr="008B63B3" w:rsidRDefault="2A68C290" w:rsidP="00A005EF">
            <w:pPr>
              <w:rPr>
                <w:rFonts w:cs="Arial"/>
                <w:b/>
              </w:rPr>
            </w:pPr>
            <w:r w:rsidRPr="2A68C290">
              <w:rPr>
                <w:rFonts w:eastAsia="Arial" w:cs="Arial"/>
                <w:b/>
                <w:bCs/>
              </w:rPr>
              <w:t>Greater Manchester Local Enterprise Partnership specific eligibility requirements</w:t>
            </w:r>
          </w:p>
          <w:p w14:paraId="2AF8EC1A" w14:textId="77777777" w:rsidR="00227CB5" w:rsidRPr="00F4742A" w:rsidRDefault="00227CB5" w:rsidP="00227CB5">
            <w:pPr>
              <w:rPr>
                <w:rFonts w:cs="Arial"/>
                <w:color w:val="0070C0"/>
              </w:rPr>
            </w:pPr>
          </w:p>
          <w:p w14:paraId="2A866C3A" w14:textId="04894745" w:rsidR="00012CC3" w:rsidRPr="00160A1B" w:rsidRDefault="2A68C290" w:rsidP="00227CB5">
            <w:pPr>
              <w:rPr>
                <w:rFonts w:cs="Arial"/>
                <w:b/>
              </w:rPr>
            </w:pPr>
            <w:r w:rsidRPr="2A68C290">
              <w:rPr>
                <w:rFonts w:eastAsia="Arial" w:cs="Arial"/>
                <w:b/>
                <w:bCs/>
              </w:rPr>
              <w:t xml:space="preserve">Access to advanced/higher level skills for unemployed and economically inactive adults </w:t>
            </w:r>
          </w:p>
          <w:p w14:paraId="559E1A2A" w14:textId="77777777" w:rsidR="00227CB5" w:rsidRPr="00160A1B" w:rsidRDefault="2A68C290" w:rsidP="2A68C290">
            <w:pPr>
              <w:pStyle w:val="ListParagraph"/>
              <w:numPr>
                <w:ilvl w:val="0"/>
                <w:numId w:val="59"/>
              </w:numPr>
              <w:spacing w:after="160" w:line="259" w:lineRule="auto"/>
              <w:jc w:val="both"/>
              <w:rPr>
                <w:sz w:val="20"/>
                <w:szCs w:val="20"/>
              </w:rPr>
            </w:pPr>
            <w:r w:rsidRPr="2A68C290">
              <w:rPr>
                <w:rFonts w:eastAsia="Arial" w:cs="Arial"/>
              </w:rPr>
              <w:t>Unemployed and economically inactive individuals aged 16+</w:t>
            </w:r>
          </w:p>
          <w:p w14:paraId="2D5EB346" w14:textId="16ED02DB" w:rsidR="00227CB5" w:rsidRDefault="2A68C290" w:rsidP="2A68C290">
            <w:pPr>
              <w:pStyle w:val="ListParagraph"/>
              <w:numPr>
                <w:ilvl w:val="0"/>
                <w:numId w:val="59"/>
              </w:numPr>
              <w:spacing w:after="160" w:line="259" w:lineRule="auto"/>
              <w:jc w:val="both"/>
              <w:rPr>
                <w:rFonts w:eastAsia="Arial" w:cs="Arial"/>
              </w:rPr>
            </w:pPr>
            <w:r w:rsidRPr="2A68C290">
              <w:rPr>
                <w:rFonts w:eastAsia="Arial" w:cs="Arial"/>
              </w:rPr>
              <w:t>Unemployed and economically inactive individuals identified as being in one (or more) of GMs priority groups including individuals with special educational needs/disabilities, lone parents, care leavers, women, those within BME and migrant communities</w:t>
            </w:r>
          </w:p>
          <w:p w14:paraId="3CE421AF" w14:textId="4C7C7BCB" w:rsidR="00D5344E" w:rsidRPr="00D5344E" w:rsidRDefault="00D5344E" w:rsidP="00D5344E">
            <w:pPr>
              <w:spacing w:after="160" w:line="259" w:lineRule="auto"/>
              <w:jc w:val="both"/>
              <w:rPr>
                <w:rFonts w:eastAsia="Arial" w:cs="Arial"/>
              </w:rPr>
            </w:pPr>
            <w:r>
              <w:rPr>
                <w:rFonts w:eastAsia="Arial" w:cs="Arial"/>
              </w:rPr>
              <w:t xml:space="preserve">And </w:t>
            </w:r>
          </w:p>
          <w:p w14:paraId="25105222" w14:textId="5EA60BE3" w:rsidR="00227CB5" w:rsidRPr="00160A1B" w:rsidRDefault="2A68C290" w:rsidP="00227CB5">
            <w:pPr>
              <w:rPr>
                <w:rFonts w:cs="Arial"/>
              </w:rPr>
            </w:pPr>
            <w:r w:rsidRPr="2A68C290">
              <w:rPr>
                <w:rFonts w:eastAsia="Arial" w:cs="Arial"/>
                <w:b/>
                <w:bCs/>
              </w:rPr>
              <w:t>Increasing the employability of unemployed and economically inactive graduates</w:t>
            </w:r>
            <w:r w:rsidRPr="2A68C290">
              <w:rPr>
                <w:rFonts w:eastAsia="Arial" w:cs="Arial"/>
              </w:rPr>
              <w:t>:</w:t>
            </w:r>
          </w:p>
          <w:p w14:paraId="7E2BA3B0" w14:textId="77777777" w:rsidR="00227CB5" w:rsidRPr="00160A1B" w:rsidRDefault="2A68C290" w:rsidP="2A68C290">
            <w:pPr>
              <w:pStyle w:val="ListParagraph"/>
              <w:numPr>
                <w:ilvl w:val="0"/>
                <w:numId w:val="58"/>
              </w:numPr>
              <w:spacing w:after="160" w:line="259" w:lineRule="auto"/>
              <w:rPr>
                <w:rFonts w:eastAsia="Arial" w:cs="Arial"/>
              </w:rPr>
            </w:pPr>
            <w:r w:rsidRPr="2A68C290">
              <w:rPr>
                <w:rFonts w:eastAsia="Arial" w:cs="Arial"/>
              </w:rPr>
              <w:t>Unemployed and economically inactive individuals who have recently graduated from one of GMs Higher Education Institutions or reside in Greater Manchester;</w:t>
            </w:r>
          </w:p>
          <w:p w14:paraId="6B337FC3" w14:textId="77777777" w:rsidR="00227CB5" w:rsidRPr="00160A1B" w:rsidRDefault="2A68C290" w:rsidP="2A68C290">
            <w:pPr>
              <w:pStyle w:val="ListParagraph"/>
              <w:numPr>
                <w:ilvl w:val="0"/>
                <w:numId w:val="58"/>
              </w:numPr>
              <w:spacing w:after="160" w:line="259" w:lineRule="auto"/>
              <w:rPr>
                <w:rFonts w:eastAsia="Arial" w:cs="Arial"/>
              </w:rPr>
            </w:pPr>
            <w:r w:rsidRPr="2A68C290">
              <w:rPr>
                <w:rFonts w:eastAsia="Arial" w:cs="Arial"/>
              </w:rPr>
              <w:lastRenderedPageBreak/>
              <w:t>Students nearing completion of studies at one of GM’s Higher Education Institutions</w:t>
            </w:r>
          </w:p>
          <w:p w14:paraId="31B93A2D" w14:textId="77777777" w:rsidR="00394F36" w:rsidRPr="00160A1B" w:rsidRDefault="2A68C290" w:rsidP="00394F36">
            <w:pPr>
              <w:rPr>
                <w:rFonts w:cs="Arial"/>
              </w:rPr>
            </w:pPr>
            <w:r w:rsidRPr="2A68C290">
              <w:rPr>
                <w:rFonts w:eastAsia="Arial" w:cs="Arial"/>
              </w:rPr>
              <w:t>Please note LEP Specific requirements are subject to the National Eligibility Rules detailed above.</w:t>
            </w:r>
          </w:p>
          <w:p w14:paraId="29F99E33" w14:textId="77777777" w:rsidR="00227CB5" w:rsidRPr="00160A1B" w:rsidRDefault="00227CB5" w:rsidP="00394F36">
            <w:pPr>
              <w:rPr>
                <w:rFonts w:cs="Arial"/>
              </w:rPr>
            </w:pPr>
          </w:p>
          <w:p w14:paraId="6836D9CD" w14:textId="77777777" w:rsidR="00394F36" w:rsidRPr="00160A1B" w:rsidRDefault="2A68C290" w:rsidP="00394F36">
            <w:pPr>
              <w:rPr>
                <w:rFonts w:ascii="Calibri" w:hAnsi="Calibri"/>
                <w:iCs/>
                <w:sz w:val="22"/>
                <w:szCs w:val="22"/>
              </w:rPr>
            </w:pPr>
            <w:r w:rsidRPr="2A68C290">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B4E6E0F" w14:textId="77777777" w:rsidR="00394F36" w:rsidRPr="00160A1B" w:rsidRDefault="2A68C290" w:rsidP="00394F36">
            <w:pPr>
              <w:ind w:left="720"/>
              <w:rPr>
                <w:iCs/>
              </w:rPr>
            </w:pPr>
            <w:r w:rsidRPr="2A68C290">
              <w:rPr>
                <w:rFonts w:eastAsia="Arial" w:cs="Arial"/>
              </w:rPr>
              <w:t> </w:t>
            </w:r>
          </w:p>
          <w:p w14:paraId="2AE0EE19" w14:textId="77777777" w:rsidR="00884042" w:rsidRPr="00160A1B" w:rsidRDefault="2A68C290" w:rsidP="00394F36">
            <w:pPr>
              <w:rPr>
                <w:rFonts w:cs="Arial"/>
                <w:iCs/>
              </w:rPr>
            </w:pPr>
            <w:r w:rsidRPr="2A68C290">
              <w:rPr>
                <w:rFonts w:eastAsia="Arial" w:cs="Arial"/>
              </w:rPr>
              <w:t xml:space="preserve">Over 50s                                 min 20% </w:t>
            </w:r>
          </w:p>
          <w:p w14:paraId="121AF4D9" w14:textId="77777777" w:rsidR="00394F36" w:rsidRPr="00160A1B" w:rsidRDefault="2A68C290" w:rsidP="00394F36">
            <w:pPr>
              <w:rPr>
                <w:iCs/>
              </w:rPr>
            </w:pPr>
            <w:r w:rsidRPr="2A68C290">
              <w:rPr>
                <w:rFonts w:eastAsia="Arial" w:cs="Arial"/>
              </w:rPr>
              <w:t>Ethnic groups                          min 18%</w:t>
            </w:r>
          </w:p>
          <w:p w14:paraId="2F2FF26A" w14:textId="77777777" w:rsidR="00394F36" w:rsidRPr="00160A1B" w:rsidRDefault="2A68C290" w:rsidP="00394F36">
            <w:pPr>
              <w:rPr>
                <w:iCs/>
              </w:rPr>
            </w:pPr>
            <w:r w:rsidRPr="2A68C290">
              <w:rPr>
                <w:rFonts w:eastAsia="Arial" w:cs="Arial"/>
              </w:rPr>
              <w:t>Female                                    min 49%</w:t>
            </w:r>
          </w:p>
          <w:p w14:paraId="5D738E38" w14:textId="77777777" w:rsidR="00394F36" w:rsidRDefault="2A68C290" w:rsidP="00394F36">
            <w:pPr>
              <w:rPr>
                <w:iCs/>
              </w:rPr>
            </w:pPr>
            <w:r w:rsidRPr="2A68C290">
              <w:rPr>
                <w:rFonts w:eastAsia="Arial" w:cs="Arial"/>
              </w:rPr>
              <w:t>Disability/health issues            min 8%</w:t>
            </w:r>
          </w:p>
          <w:p w14:paraId="3523DFA6" w14:textId="77777777" w:rsidR="00FD3B0A" w:rsidRDefault="2A68C290" w:rsidP="003E20A8">
            <w:pPr>
              <w:rPr>
                <w:rFonts w:cs="Arial"/>
                <w:iCs/>
              </w:rPr>
            </w:pPr>
            <w:r w:rsidRPr="2A68C290">
              <w:rPr>
                <w:rFonts w:eastAsia="Arial" w:cs="Arial"/>
              </w:rPr>
              <w:t>Lone parents                           min 5%</w:t>
            </w:r>
          </w:p>
          <w:p w14:paraId="24C3220D" w14:textId="77777777" w:rsidR="003A772F" w:rsidRPr="003E20A8" w:rsidRDefault="003A772F" w:rsidP="003E20A8">
            <w:pPr>
              <w:rPr>
                <w:iCs/>
              </w:rPr>
            </w:pPr>
          </w:p>
        </w:tc>
      </w:tr>
      <w:tr w:rsidR="00967429" w:rsidRPr="00EF4406" w14:paraId="4B69E534" w14:textId="77777777" w:rsidTr="2A68C290">
        <w:trPr>
          <w:trHeight w:val="567"/>
        </w:trPr>
        <w:tc>
          <w:tcPr>
            <w:tcW w:w="9088" w:type="dxa"/>
            <w:shd w:val="clear" w:color="auto" w:fill="D9D9D9" w:themeFill="background1" w:themeFillShade="D9"/>
            <w:vAlign w:val="center"/>
          </w:tcPr>
          <w:p w14:paraId="68742986" w14:textId="77777777" w:rsidR="00967429" w:rsidRPr="00A005EF" w:rsidRDefault="2A68C290" w:rsidP="005E37D8">
            <w:pPr>
              <w:spacing w:before="120" w:after="120"/>
              <w:rPr>
                <w:b/>
                <w:bCs/>
              </w:rPr>
            </w:pPr>
            <w:r w:rsidRPr="2A68C290">
              <w:rPr>
                <w:b/>
                <w:bCs/>
              </w:rPr>
              <w:lastRenderedPageBreak/>
              <w:t>GEOGRAPHY / AREA OF DELIVERY</w:t>
            </w:r>
          </w:p>
        </w:tc>
      </w:tr>
      <w:tr w:rsidR="00967429" w:rsidRPr="0052695C" w14:paraId="73D7FC2A" w14:textId="77777777" w:rsidTr="2A68C290">
        <w:trPr>
          <w:trHeight w:val="983"/>
        </w:trPr>
        <w:tc>
          <w:tcPr>
            <w:tcW w:w="9088" w:type="dxa"/>
          </w:tcPr>
          <w:p w14:paraId="388AC878" w14:textId="77777777" w:rsidR="00A005EF" w:rsidRDefault="00A005EF" w:rsidP="00A005EF"/>
          <w:p w14:paraId="3F396F7F" w14:textId="77777777" w:rsidR="007E7731" w:rsidRDefault="2A68C290" w:rsidP="00A005EF">
            <w:pPr>
              <w:rPr>
                <w:b/>
              </w:rPr>
            </w:pPr>
            <w:r w:rsidRPr="2A68C290">
              <w:rPr>
                <w:b/>
                <w:bCs/>
              </w:rPr>
              <w:t>LEP Specific</w:t>
            </w:r>
          </w:p>
          <w:p w14:paraId="1977350E" w14:textId="77777777" w:rsidR="007E7731" w:rsidRPr="00C107CE" w:rsidRDefault="007E7731" w:rsidP="00A005EF">
            <w:pPr>
              <w:rPr>
                <w:b/>
              </w:rPr>
            </w:pPr>
          </w:p>
          <w:p w14:paraId="2D56210E" w14:textId="7D0D732D" w:rsidR="007C2B80" w:rsidRPr="0011380E" w:rsidRDefault="2A68C290" w:rsidP="00105A7C">
            <w:pPr>
              <w:autoSpaceDE w:val="0"/>
              <w:autoSpaceDN w:val="0"/>
              <w:adjustRightInd w:val="0"/>
              <w:rPr>
                <w:rFonts w:cs="Arial"/>
                <w:color w:val="0070C0"/>
              </w:rPr>
            </w:pPr>
            <w:r w:rsidRPr="2A68C290">
              <w:rPr>
                <w:rFonts w:eastAsia="Arial" w:cs="Arial"/>
              </w:rPr>
              <w:t>The Services will be delivered within the Greater Manchester Local Enterprise Partnership area. Candidates will be expected to deliver services across all of the 10 local authority areas within Greater Manchester.</w:t>
            </w:r>
          </w:p>
          <w:p w14:paraId="5C3EE4AF" w14:textId="77777777" w:rsidR="003A772F" w:rsidRPr="00FF6CCA" w:rsidRDefault="003A772F" w:rsidP="00105A7C">
            <w:pPr>
              <w:autoSpaceDE w:val="0"/>
              <w:autoSpaceDN w:val="0"/>
              <w:adjustRightInd w:val="0"/>
            </w:pPr>
          </w:p>
        </w:tc>
      </w:tr>
      <w:tr w:rsidR="00967429" w:rsidRPr="00505117" w14:paraId="3C7914E4" w14:textId="77777777" w:rsidTr="2A68C290">
        <w:trPr>
          <w:trHeight w:val="567"/>
        </w:trPr>
        <w:tc>
          <w:tcPr>
            <w:tcW w:w="9088" w:type="dxa"/>
            <w:shd w:val="clear" w:color="auto" w:fill="D9D9D9" w:themeFill="background1" w:themeFillShade="D9"/>
            <w:vAlign w:val="center"/>
          </w:tcPr>
          <w:p w14:paraId="3FF1DB5B" w14:textId="77777777" w:rsidR="00967429" w:rsidRPr="00A005EF" w:rsidRDefault="2A68C290" w:rsidP="00DA3E5E">
            <w:pPr>
              <w:spacing w:before="120" w:after="120"/>
              <w:rPr>
                <w:b/>
                <w:bCs/>
              </w:rPr>
            </w:pPr>
            <w:r w:rsidRPr="2A68C290">
              <w:rPr>
                <w:b/>
                <w:bCs/>
              </w:rPr>
              <w:t>FUNDING AND DELIVERABLES</w:t>
            </w:r>
          </w:p>
        </w:tc>
      </w:tr>
      <w:tr w:rsidR="00967429" w:rsidRPr="00EF4406" w14:paraId="6CDDA78E" w14:textId="77777777" w:rsidTr="2A68C290">
        <w:trPr>
          <w:trHeight w:val="1408"/>
        </w:trPr>
        <w:tc>
          <w:tcPr>
            <w:tcW w:w="9088" w:type="dxa"/>
          </w:tcPr>
          <w:p w14:paraId="0C2338B6" w14:textId="77777777" w:rsidR="007E7731" w:rsidRDefault="007E7731" w:rsidP="00A005EF">
            <w:pPr>
              <w:rPr>
                <w:rFonts w:cs="Arial"/>
              </w:rPr>
            </w:pPr>
          </w:p>
          <w:p w14:paraId="3E435557" w14:textId="77777777" w:rsidR="007E7731" w:rsidRPr="00C107CE" w:rsidRDefault="2A68C290" w:rsidP="00A005EF">
            <w:pPr>
              <w:rPr>
                <w:rFonts w:cs="Arial"/>
                <w:b/>
              </w:rPr>
            </w:pPr>
            <w:r w:rsidRPr="2A68C290">
              <w:rPr>
                <w:rFonts w:eastAsia="Arial" w:cs="Arial"/>
                <w:b/>
                <w:bCs/>
              </w:rPr>
              <w:t>LEP Specific</w:t>
            </w:r>
          </w:p>
          <w:p w14:paraId="382DBF6D" w14:textId="77777777" w:rsidR="007E7731" w:rsidRDefault="007E7731" w:rsidP="00A005EF">
            <w:pPr>
              <w:rPr>
                <w:rFonts w:cs="Arial"/>
              </w:rPr>
            </w:pPr>
          </w:p>
          <w:p w14:paraId="4E1583C0" w14:textId="4BF22D35" w:rsidR="00CA7512" w:rsidRPr="00CA7512" w:rsidRDefault="2A68C290" w:rsidP="00CA7512">
            <w:pPr>
              <w:rPr>
                <w:rFonts w:cs="Arial"/>
              </w:rPr>
            </w:pPr>
            <w:r w:rsidRPr="2A68C290">
              <w:rPr>
                <w:rFonts w:eastAsia="Arial" w:cs="Arial"/>
              </w:rPr>
              <w:t xml:space="preserve">Currently up to </w:t>
            </w:r>
            <w:r w:rsidRPr="2A68C290">
              <w:rPr>
                <w:rFonts w:eastAsia="Arial" w:cs="Arial"/>
                <w:b/>
                <w:bCs/>
              </w:rPr>
              <w:t>£3,967,500</w:t>
            </w:r>
            <w:r w:rsidRPr="2A68C290">
              <w:rPr>
                <w:rFonts w:eastAsia="Arial" w:cs="Arial"/>
              </w:rPr>
              <w:t xml:space="preserve"> will be available for the period from August 2016 to March 2018, this may be increased if additional funding becomes available.</w:t>
            </w:r>
          </w:p>
          <w:p w14:paraId="2A6C3DB5" w14:textId="77777777" w:rsidR="00CA7512" w:rsidRPr="00CA7512" w:rsidRDefault="00CA7512" w:rsidP="00CA7512">
            <w:pPr>
              <w:rPr>
                <w:rFonts w:cs="Arial"/>
              </w:rPr>
            </w:pPr>
          </w:p>
          <w:p w14:paraId="1588243F" w14:textId="77777777" w:rsidR="00394F36" w:rsidRPr="00CA7512" w:rsidRDefault="2A68C290" w:rsidP="00394F36">
            <w:pPr>
              <w:rPr>
                <w:rFonts w:cs="Arial"/>
              </w:rPr>
            </w:pPr>
            <w:r w:rsidRPr="2A68C290">
              <w:rPr>
                <w:rFonts w:eastAsia="Arial" w:cs="Arial"/>
              </w:rPr>
              <w:t xml:space="preserve">The Greater Manchester LEP have not defined a set delivery model for this call, however the table below shows the initial planned outcomes this call wishes to achieve.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2E3300C" w14:textId="77777777" w:rsidR="00394F36" w:rsidRPr="00BC7F87" w:rsidRDefault="00394F36" w:rsidP="00A005EF">
            <w:pPr>
              <w:rPr>
                <w:b/>
              </w:rPr>
            </w:pPr>
          </w:p>
          <w:p w14:paraId="00B707D1" w14:textId="77777777" w:rsidR="00A005EF" w:rsidRDefault="2A68C290" w:rsidP="00A005EF">
            <w:pPr>
              <w:autoSpaceDE w:val="0"/>
              <w:autoSpaceDN w:val="0"/>
              <w:adjustRightInd w:val="0"/>
              <w:rPr>
                <w:rFonts w:cs="Arial"/>
              </w:rPr>
            </w:pPr>
            <w:r w:rsidRPr="2A68C290">
              <w:rPr>
                <w:rFonts w:eastAsia="Arial" w:cs="Arial"/>
              </w:rPr>
              <w:t>The minimum service deliverables, values and volumes for which evidence must be provided are:</w:t>
            </w:r>
          </w:p>
          <w:p w14:paraId="19E5672B" w14:textId="77777777" w:rsidR="003A772F" w:rsidRDefault="003A772F" w:rsidP="003E20A8">
            <w:pPr>
              <w:rPr>
                <w:rFonts w:cs="Arial"/>
              </w:rPr>
            </w:pPr>
          </w:p>
          <w:tbl>
            <w:tblPr>
              <w:tblStyle w:val="TableGrid"/>
              <w:tblW w:w="0" w:type="auto"/>
              <w:tblLayout w:type="fixed"/>
              <w:tblLook w:val="04A0" w:firstRow="1" w:lastRow="0" w:firstColumn="1" w:lastColumn="0" w:noHBand="0" w:noVBand="1"/>
            </w:tblPr>
            <w:tblGrid>
              <w:gridCol w:w="4820"/>
              <w:gridCol w:w="1129"/>
              <w:gridCol w:w="1843"/>
              <w:gridCol w:w="1304"/>
            </w:tblGrid>
            <w:tr w:rsidR="003E20A8" w14:paraId="3E6E7176" w14:textId="77777777" w:rsidTr="2A68C290">
              <w:tc>
                <w:tcPr>
                  <w:tcW w:w="4820" w:type="dxa"/>
                  <w:tcBorders>
                    <w:bottom w:val="single" w:sz="4" w:space="0" w:color="auto"/>
                  </w:tcBorders>
                  <w:vAlign w:val="center"/>
                </w:tcPr>
                <w:p w14:paraId="10B3A8AD" w14:textId="77777777" w:rsidR="003E20A8" w:rsidRPr="00160A1B" w:rsidRDefault="2A68C290" w:rsidP="002A04F0">
                  <w:pPr>
                    <w:jc w:val="center"/>
                    <w:rPr>
                      <w:rFonts w:cs="Arial"/>
                      <w:b/>
                      <w:sz w:val="20"/>
                    </w:rPr>
                  </w:pPr>
                  <w:r w:rsidRPr="2A68C290">
                    <w:rPr>
                      <w:b/>
                      <w:bCs/>
                      <w:sz w:val="20"/>
                      <w:szCs w:val="20"/>
                    </w:rPr>
                    <w:t>Description</w:t>
                  </w:r>
                </w:p>
              </w:tc>
              <w:tc>
                <w:tcPr>
                  <w:tcW w:w="1129" w:type="dxa"/>
                  <w:tcBorders>
                    <w:bottom w:val="single" w:sz="4" w:space="0" w:color="auto"/>
                  </w:tcBorders>
                  <w:vAlign w:val="center"/>
                </w:tcPr>
                <w:p w14:paraId="575AB655" w14:textId="77777777" w:rsidR="003E20A8" w:rsidRPr="00160A1B" w:rsidRDefault="2A68C290" w:rsidP="002A04F0">
                  <w:pPr>
                    <w:jc w:val="center"/>
                    <w:rPr>
                      <w:rFonts w:cs="Arial"/>
                      <w:b/>
                      <w:sz w:val="20"/>
                    </w:rPr>
                  </w:pPr>
                  <w:r w:rsidRPr="2A68C290">
                    <w:rPr>
                      <w:b/>
                      <w:bCs/>
                      <w:sz w:val="20"/>
                      <w:szCs w:val="20"/>
                    </w:rPr>
                    <w:t>Volumes</w:t>
                  </w:r>
                </w:p>
              </w:tc>
              <w:tc>
                <w:tcPr>
                  <w:tcW w:w="1843" w:type="dxa"/>
                  <w:tcBorders>
                    <w:bottom w:val="single" w:sz="4" w:space="0" w:color="auto"/>
                  </w:tcBorders>
                  <w:vAlign w:val="center"/>
                </w:tcPr>
                <w:p w14:paraId="4E11D1A4" w14:textId="77777777" w:rsidR="003E20A8" w:rsidRPr="00160A1B" w:rsidRDefault="2A68C290" w:rsidP="002A04F0">
                  <w:pPr>
                    <w:jc w:val="center"/>
                    <w:rPr>
                      <w:b/>
                      <w:sz w:val="20"/>
                    </w:rPr>
                  </w:pPr>
                  <w:r w:rsidRPr="2A68C290">
                    <w:rPr>
                      <w:b/>
                      <w:bCs/>
                      <w:sz w:val="20"/>
                      <w:szCs w:val="20"/>
                    </w:rPr>
                    <w:t>Unit Cost Total</w:t>
                  </w:r>
                </w:p>
                <w:p w14:paraId="1CA45699" w14:textId="77777777" w:rsidR="003E20A8" w:rsidRPr="00160A1B" w:rsidRDefault="2A68C290" w:rsidP="002A04F0">
                  <w:pPr>
                    <w:jc w:val="center"/>
                    <w:rPr>
                      <w:rFonts w:cs="Arial"/>
                      <w:b/>
                      <w:sz w:val="20"/>
                    </w:rPr>
                  </w:pPr>
                  <w:r w:rsidRPr="2A68C290">
                    <w:rPr>
                      <w:b/>
                      <w:bCs/>
                      <w:sz w:val="20"/>
                      <w:szCs w:val="20"/>
                    </w:rPr>
                    <w:t>Value Average per Intervention</w:t>
                  </w:r>
                </w:p>
              </w:tc>
              <w:tc>
                <w:tcPr>
                  <w:tcW w:w="1304" w:type="dxa"/>
                  <w:tcBorders>
                    <w:bottom w:val="single" w:sz="4" w:space="0" w:color="auto"/>
                  </w:tcBorders>
                  <w:vAlign w:val="center"/>
                </w:tcPr>
                <w:p w14:paraId="679AF323" w14:textId="77777777" w:rsidR="003E20A8" w:rsidRPr="00160A1B" w:rsidRDefault="2A68C290" w:rsidP="002A04F0">
                  <w:pPr>
                    <w:jc w:val="center"/>
                    <w:rPr>
                      <w:rFonts w:cs="Arial"/>
                      <w:b/>
                      <w:sz w:val="20"/>
                    </w:rPr>
                  </w:pPr>
                  <w:r w:rsidRPr="2A68C290">
                    <w:rPr>
                      <w:b/>
                      <w:bCs/>
                      <w:sz w:val="20"/>
                      <w:szCs w:val="20"/>
                    </w:rPr>
                    <w:t>£</w:t>
                  </w:r>
                </w:p>
              </w:tc>
            </w:tr>
            <w:tr w:rsidR="003E20A8" w14:paraId="4FB32A1B" w14:textId="77777777" w:rsidTr="2A68C290">
              <w:tc>
                <w:tcPr>
                  <w:tcW w:w="4820" w:type="dxa"/>
                  <w:shd w:val="clear" w:color="auto" w:fill="D9D9D9" w:themeFill="background1" w:themeFillShade="D9"/>
                </w:tcPr>
                <w:p w14:paraId="2E039D5A" w14:textId="77777777" w:rsidR="003E20A8" w:rsidRPr="00160A1B" w:rsidRDefault="2A68C290" w:rsidP="002A04F0">
                  <w:pPr>
                    <w:rPr>
                      <w:rFonts w:cs="Arial"/>
                      <w:sz w:val="20"/>
                    </w:rPr>
                  </w:pPr>
                  <w:r w:rsidRPr="2A68C290">
                    <w:rPr>
                      <w:rFonts w:eastAsia="Arial" w:cs="Arial"/>
                      <w:sz w:val="20"/>
                      <w:szCs w:val="20"/>
                    </w:rPr>
                    <w:t xml:space="preserve">ST01 Learner Assessment and Plan </w:t>
                  </w:r>
                </w:p>
              </w:tc>
              <w:tc>
                <w:tcPr>
                  <w:tcW w:w="1129" w:type="dxa"/>
                  <w:shd w:val="clear" w:color="auto" w:fill="D9D9D9" w:themeFill="background1" w:themeFillShade="D9"/>
                </w:tcPr>
                <w:p w14:paraId="5BB8453C" w14:textId="77777777" w:rsidR="003E20A8" w:rsidRPr="00160A1B" w:rsidRDefault="2A68C290" w:rsidP="002A04F0">
                  <w:pPr>
                    <w:jc w:val="center"/>
                    <w:rPr>
                      <w:rFonts w:cs="Arial"/>
                      <w:sz w:val="20"/>
                    </w:rPr>
                  </w:pPr>
                  <w:r w:rsidRPr="2A68C290">
                    <w:rPr>
                      <w:rFonts w:eastAsia="Arial" w:cs="Arial"/>
                      <w:sz w:val="20"/>
                      <w:szCs w:val="20"/>
                    </w:rPr>
                    <w:t>2,400</w:t>
                  </w:r>
                </w:p>
              </w:tc>
              <w:tc>
                <w:tcPr>
                  <w:tcW w:w="1843" w:type="dxa"/>
                  <w:shd w:val="clear" w:color="auto" w:fill="D9D9D9" w:themeFill="background1" w:themeFillShade="D9"/>
                </w:tcPr>
                <w:p w14:paraId="4744E9D6" w14:textId="77777777" w:rsidR="003E20A8" w:rsidRPr="00160A1B" w:rsidRDefault="2A68C290" w:rsidP="002A04F0">
                  <w:pPr>
                    <w:jc w:val="center"/>
                    <w:rPr>
                      <w:rFonts w:cs="Arial"/>
                      <w:sz w:val="20"/>
                    </w:rPr>
                  </w:pPr>
                  <w:r w:rsidRPr="2A68C290">
                    <w:rPr>
                      <w:rFonts w:eastAsia="Arial" w:cs="Arial"/>
                      <w:sz w:val="20"/>
                      <w:szCs w:val="20"/>
                    </w:rPr>
                    <w:t>50</w:t>
                  </w:r>
                </w:p>
              </w:tc>
              <w:tc>
                <w:tcPr>
                  <w:tcW w:w="1304" w:type="dxa"/>
                  <w:shd w:val="clear" w:color="auto" w:fill="D9D9D9" w:themeFill="background1" w:themeFillShade="D9"/>
                </w:tcPr>
                <w:p w14:paraId="39CB84D1" w14:textId="77777777" w:rsidR="003E20A8" w:rsidRPr="00160A1B" w:rsidRDefault="2A68C290" w:rsidP="002A04F0">
                  <w:pPr>
                    <w:jc w:val="center"/>
                    <w:rPr>
                      <w:rFonts w:cs="Arial"/>
                      <w:sz w:val="20"/>
                    </w:rPr>
                  </w:pPr>
                  <w:r w:rsidRPr="2A68C290">
                    <w:rPr>
                      <w:rFonts w:eastAsia="Arial" w:cs="Arial"/>
                      <w:sz w:val="20"/>
                      <w:szCs w:val="20"/>
                    </w:rPr>
                    <w:t>£120,000</w:t>
                  </w:r>
                </w:p>
              </w:tc>
            </w:tr>
            <w:tr w:rsidR="003E20A8" w14:paraId="13DC5EA0" w14:textId="77777777" w:rsidTr="2A68C290">
              <w:tc>
                <w:tcPr>
                  <w:tcW w:w="4820" w:type="dxa"/>
                  <w:tcBorders>
                    <w:bottom w:val="single" w:sz="4" w:space="0" w:color="auto"/>
                  </w:tcBorders>
                </w:tcPr>
                <w:p w14:paraId="27632208" w14:textId="77777777" w:rsidR="003E20A8" w:rsidRPr="00160A1B" w:rsidRDefault="2A68C290" w:rsidP="002A04F0">
                  <w:pPr>
                    <w:rPr>
                      <w:rFonts w:cs="Arial"/>
                      <w:sz w:val="20"/>
                    </w:rPr>
                  </w:pPr>
                  <w:r w:rsidRPr="2A68C290">
                    <w:rPr>
                      <w:rFonts w:eastAsia="Arial" w:cs="Arial"/>
                      <w:sz w:val="20"/>
                      <w:szCs w:val="20"/>
                    </w:rPr>
                    <w:t>RQ01 Regulated Learning</w:t>
                  </w:r>
                </w:p>
              </w:tc>
              <w:tc>
                <w:tcPr>
                  <w:tcW w:w="1129" w:type="dxa"/>
                  <w:tcBorders>
                    <w:bottom w:val="single" w:sz="4" w:space="0" w:color="auto"/>
                  </w:tcBorders>
                </w:tcPr>
                <w:p w14:paraId="211D46AE" w14:textId="1A133390" w:rsidR="003E20A8" w:rsidRPr="00160A1B" w:rsidRDefault="003E20A8" w:rsidP="002A04F0">
                  <w:pPr>
                    <w:jc w:val="center"/>
                    <w:rPr>
                      <w:rFonts w:cs="Arial"/>
                      <w:sz w:val="20"/>
                    </w:rPr>
                  </w:pPr>
                </w:p>
              </w:tc>
              <w:tc>
                <w:tcPr>
                  <w:tcW w:w="1843" w:type="dxa"/>
                  <w:tcBorders>
                    <w:bottom w:val="single" w:sz="4" w:space="0" w:color="auto"/>
                  </w:tcBorders>
                </w:tcPr>
                <w:p w14:paraId="7B2D3668" w14:textId="5F8B32F5" w:rsidR="003E20A8" w:rsidRPr="00160A1B" w:rsidRDefault="003E20A8" w:rsidP="002A04F0">
                  <w:pPr>
                    <w:jc w:val="center"/>
                    <w:rPr>
                      <w:rFonts w:cs="Arial"/>
                      <w:sz w:val="20"/>
                    </w:rPr>
                  </w:pPr>
                </w:p>
              </w:tc>
              <w:tc>
                <w:tcPr>
                  <w:tcW w:w="1304" w:type="dxa"/>
                  <w:tcBorders>
                    <w:bottom w:val="single" w:sz="4" w:space="0" w:color="auto"/>
                  </w:tcBorders>
                </w:tcPr>
                <w:p w14:paraId="108D32A3" w14:textId="77777777" w:rsidR="003E20A8" w:rsidRPr="00160A1B" w:rsidRDefault="2A68C290" w:rsidP="002A04F0">
                  <w:pPr>
                    <w:jc w:val="center"/>
                    <w:rPr>
                      <w:rFonts w:cs="Arial"/>
                      <w:sz w:val="20"/>
                    </w:rPr>
                  </w:pPr>
                  <w:r w:rsidRPr="2A68C290">
                    <w:rPr>
                      <w:rFonts w:eastAsia="Arial" w:cs="Arial"/>
                      <w:sz w:val="20"/>
                      <w:szCs w:val="20"/>
                    </w:rPr>
                    <w:t>£1,572,500</w:t>
                  </w:r>
                </w:p>
              </w:tc>
            </w:tr>
            <w:tr w:rsidR="003E20A8" w14:paraId="76B69BFA" w14:textId="77777777" w:rsidTr="2A68C290">
              <w:tc>
                <w:tcPr>
                  <w:tcW w:w="4820" w:type="dxa"/>
                  <w:shd w:val="clear" w:color="auto" w:fill="D9D9D9" w:themeFill="background1" w:themeFillShade="D9"/>
                </w:tcPr>
                <w:p w14:paraId="0826D793" w14:textId="77777777" w:rsidR="003E20A8" w:rsidRPr="00160A1B" w:rsidRDefault="2A68C290" w:rsidP="002A04F0">
                  <w:pPr>
                    <w:rPr>
                      <w:rFonts w:cs="Arial"/>
                      <w:sz w:val="20"/>
                    </w:rPr>
                  </w:pPr>
                  <w:r w:rsidRPr="2A68C290">
                    <w:rPr>
                      <w:rFonts w:eastAsia="Arial" w:cs="Arial"/>
                      <w:sz w:val="20"/>
                      <w:szCs w:val="20"/>
                    </w:rPr>
                    <w:t>NR01 Non Regulated Activity</w:t>
                  </w:r>
                </w:p>
              </w:tc>
              <w:tc>
                <w:tcPr>
                  <w:tcW w:w="1129" w:type="dxa"/>
                  <w:shd w:val="clear" w:color="auto" w:fill="D9D9D9" w:themeFill="background1" w:themeFillShade="D9"/>
                </w:tcPr>
                <w:p w14:paraId="5528E5C3" w14:textId="57D808D6" w:rsidR="003E20A8" w:rsidRPr="00160A1B" w:rsidRDefault="003E20A8" w:rsidP="002A04F0">
                  <w:pPr>
                    <w:jc w:val="center"/>
                    <w:rPr>
                      <w:rFonts w:cs="Arial"/>
                      <w:sz w:val="20"/>
                    </w:rPr>
                  </w:pPr>
                </w:p>
              </w:tc>
              <w:tc>
                <w:tcPr>
                  <w:tcW w:w="1843" w:type="dxa"/>
                  <w:shd w:val="clear" w:color="auto" w:fill="D9D9D9" w:themeFill="background1" w:themeFillShade="D9"/>
                </w:tcPr>
                <w:p w14:paraId="1D034EFF" w14:textId="23D4CC09" w:rsidR="003E20A8" w:rsidRPr="00160A1B" w:rsidRDefault="003E20A8" w:rsidP="002A04F0">
                  <w:pPr>
                    <w:jc w:val="center"/>
                    <w:rPr>
                      <w:rFonts w:cs="Arial"/>
                      <w:sz w:val="20"/>
                    </w:rPr>
                  </w:pPr>
                </w:p>
              </w:tc>
              <w:tc>
                <w:tcPr>
                  <w:tcW w:w="1304" w:type="dxa"/>
                  <w:shd w:val="clear" w:color="auto" w:fill="D9D9D9" w:themeFill="background1" w:themeFillShade="D9"/>
                </w:tcPr>
                <w:p w14:paraId="22FA485B" w14:textId="77777777" w:rsidR="003E20A8" w:rsidRPr="00160A1B" w:rsidRDefault="2A68C290" w:rsidP="000E727A">
                  <w:pPr>
                    <w:jc w:val="center"/>
                    <w:rPr>
                      <w:rFonts w:cs="Arial"/>
                      <w:sz w:val="20"/>
                    </w:rPr>
                  </w:pPr>
                  <w:r w:rsidRPr="2A68C290">
                    <w:rPr>
                      <w:rFonts w:eastAsia="Arial" w:cs="Arial"/>
                      <w:sz w:val="20"/>
                      <w:szCs w:val="20"/>
                    </w:rPr>
                    <w:t>£1,050,000</w:t>
                  </w:r>
                </w:p>
              </w:tc>
            </w:tr>
            <w:tr w:rsidR="003E20A8" w14:paraId="3BA2BC46" w14:textId="77777777" w:rsidTr="2A68C290">
              <w:tc>
                <w:tcPr>
                  <w:tcW w:w="4820" w:type="dxa"/>
                  <w:tcBorders>
                    <w:bottom w:val="single" w:sz="4" w:space="0" w:color="auto"/>
                  </w:tcBorders>
                </w:tcPr>
                <w:p w14:paraId="568ACC9E" w14:textId="77777777" w:rsidR="003E20A8" w:rsidRPr="00160A1B" w:rsidRDefault="2A68C290" w:rsidP="002A04F0">
                  <w:pPr>
                    <w:rPr>
                      <w:rFonts w:cs="Arial"/>
                      <w:sz w:val="20"/>
                    </w:rPr>
                  </w:pPr>
                  <w:r w:rsidRPr="2A68C290">
                    <w:rPr>
                      <w:rFonts w:eastAsia="Arial" w:cs="Arial"/>
                      <w:sz w:val="20"/>
                      <w:szCs w:val="20"/>
                    </w:rPr>
                    <w:t>PG01 Progression Paid Employment (EMP)</w:t>
                  </w:r>
                </w:p>
              </w:tc>
              <w:tc>
                <w:tcPr>
                  <w:tcW w:w="1129" w:type="dxa"/>
                  <w:tcBorders>
                    <w:bottom w:val="single" w:sz="4" w:space="0" w:color="auto"/>
                  </w:tcBorders>
                </w:tcPr>
                <w:p w14:paraId="25D89A8C" w14:textId="77777777" w:rsidR="003E20A8" w:rsidRPr="00160A1B" w:rsidRDefault="2A68C290" w:rsidP="002A04F0">
                  <w:pPr>
                    <w:jc w:val="center"/>
                    <w:rPr>
                      <w:rFonts w:cs="Arial"/>
                      <w:sz w:val="20"/>
                    </w:rPr>
                  </w:pPr>
                  <w:r w:rsidRPr="2A68C290">
                    <w:rPr>
                      <w:rFonts w:eastAsia="Arial" w:cs="Arial"/>
                      <w:sz w:val="20"/>
                      <w:szCs w:val="20"/>
                    </w:rPr>
                    <w:t>750</w:t>
                  </w:r>
                </w:p>
              </w:tc>
              <w:tc>
                <w:tcPr>
                  <w:tcW w:w="1843" w:type="dxa"/>
                  <w:tcBorders>
                    <w:bottom w:val="single" w:sz="4" w:space="0" w:color="auto"/>
                  </w:tcBorders>
                </w:tcPr>
                <w:p w14:paraId="01ADBBD7" w14:textId="77777777" w:rsidR="003E20A8" w:rsidRPr="00160A1B" w:rsidRDefault="2A68C290" w:rsidP="002A04F0">
                  <w:pPr>
                    <w:jc w:val="center"/>
                    <w:rPr>
                      <w:rFonts w:cs="Arial"/>
                      <w:sz w:val="20"/>
                    </w:rPr>
                  </w:pPr>
                  <w:r w:rsidRPr="2A68C290">
                    <w:rPr>
                      <w:rFonts w:eastAsia="Arial" w:cs="Arial"/>
                      <w:sz w:val="20"/>
                      <w:szCs w:val="20"/>
                    </w:rPr>
                    <w:t>500</w:t>
                  </w:r>
                </w:p>
              </w:tc>
              <w:tc>
                <w:tcPr>
                  <w:tcW w:w="1304" w:type="dxa"/>
                  <w:tcBorders>
                    <w:bottom w:val="single" w:sz="4" w:space="0" w:color="auto"/>
                  </w:tcBorders>
                </w:tcPr>
                <w:p w14:paraId="010BC575" w14:textId="77777777" w:rsidR="003E20A8" w:rsidRPr="00160A1B" w:rsidRDefault="2A68C290" w:rsidP="002A04F0">
                  <w:pPr>
                    <w:jc w:val="center"/>
                    <w:rPr>
                      <w:rFonts w:cs="Arial"/>
                      <w:sz w:val="20"/>
                    </w:rPr>
                  </w:pPr>
                  <w:r w:rsidRPr="2A68C290">
                    <w:rPr>
                      <w:rFonts w:eastAsia="Arial" w:cs="Arial"/>
                      <w:sz w:val="20"/>
                      <w:szCs w:val="20"/>
                    </w:rPr>
                    <w:t>£375,000</w:t>
                  </w:r>
                </w:p>
              </w:tc>
            </w:tr>
            <w:tr w:rsidR="003E20A8" w14:paraId="0BEC93C9" w14:textId="77777777" w:rsidTr="2A68C290">
              <w:tc>
                <w:tcPr>
                  <w:tcW w:w="4820" w:type="dxa"/>
                  <w:tcBorders>
                    <w:bottom w:val="single" w:sz="4" w:space="0" w:color="auto"/>
                  </w:tcBorders>
                  <w:shd w:val="clear" w:color="auto" w:fill="D9D9D9" w:themeFill="background1" w:themeFillShade="D9"/>
                </w:tcPr>
                <w:p w14:paraId="6D1D9EB1" w14:textId="77777777" w:rsidR="003E20A8" w:rsidRPr="00160A1B" w:rsidRDefault="2A68C290" w:rsidP="002A04F0">
                  <w:pPr>
                    <w:rPr>
                      <w:rFonts w:cs="Arial"/>
                      <w:sz w:val="20"/>
                    </w:rPr>
                  </w:pPr>
                  <w:r w:rsidRPr="2A68C290">
                    <w:rPr>
                      <w:rFonts w:eastAsia="Arial" w:cs="Arial"/>
                      <w:sz w:val="20"/>
                      <w:szCs w:val="20"/>
                    </w:rPr>
                    <w:lastRenderedPageBreak/>
                    <w:t>PG02 Progression Unpaid Employment (VOL)</w:t>
                  </w:r>
                </w:p>
              </w:tc>
              <w:tc>
                <w:tcPr>
                  <w:tcW w:w="1129" w:type="dxa"/>
                  <w:tcBorders>
                    <w:bottom w:val="single" w:sz="4" w:space="0" w:color="auto"/>
                  </w:tcBorders>
                  <w:shd w:val="clear" w:color="auto" w:fill="D9D9D9" w:themeFill="background1" w:themeFillShade="D9"/>
                </w:tcPr>
                <w:p w14:paraId="245DCE29" w14:textId="77777777" w:rsidR="003E20A8" w:rsidRPr="00160A1B" w:rsidRDefault="2A68C290" w:rsidP="002A04F0">
                  <w:pPr>
                    <w:jc w:val="center"/>
                    <w:rPr>
                      <w:rFonts w:cs="Arial"/>
                      <w:sz w:val="20"/>
                    </w:rPr>
                  </w:pPr>
                  <w:r w:rsidRPr="2A68C290">
                    <w:rPr>
                      <w:rFonts w:eastAsia="Arial" w:cs="Arial"/>
                      <w:sz w:val="20"/>
                      <w:szCs w:val="20"/>
                    </w:rPr>
                    <w:t>150</w:t>
                  </w:r>
                </w:p>
              </w:tc>
              <w:tc>
                <w:tcPr>
                  <w:tcW w:w="1843" w:type="dxa"/>
                  <w:tcBorders>
                    <w:bottom w:val="single" w:sz="4" w:space="0" w:color="auto"/>
                  </w:tcBorders>
                  <w:shd w:val="clear" w:color="auto" w:fill="D9D9D9" w:themeFill="background1" w:themeFillShade="D9"/>
                </w:tcPr>
                <w:p w14:paraId="3DBAB710" w14:textId="77777777" w:rsidR="003E20A8" w:rsidRPr="00160A1B" w:rsidRDefault="2A68C290" w:rsidP="002A04F0">
                  <w:pPr>
                    <w:jc w:val="center"/>
                    <w:rPr>
                      <w:rFonts w:cs="Arial"/>
                      <w:sz w:val="20"/>
                    </w:rPr>
                  </w:pPr>
                  <w:r w:rsidRPr="2A68C290">
                    <w:rPr>
                      <w:rFonts w:eastAsia="Arial" w:cs="Arial"/>
                      <w:sz w:val="20"/>
                      <w:szCs w:val="20"/>
                    </w:rPr>
                    <w:t>400</w:t>
                  </w:r>
                </w:p>
              </w:tc>
              <w:tc>
                <w:tcPr>
                  <w:tcW w:w="1304" w:type="dxa"/>
                  <w:tcBorders>
                    <w:bottom w:val="single" w:sz="4" w:space="0" w:color="auto"/>
                  </w:tcBorders>
                  <w:shd w:val="clear" w:color="auto" w:fill="D9D9D9" w:themeFill="background1" w:themeFillShade="D9"/>
                </w:tcPr>
                <w:p w14:paraId="3F0DB52F" w14:textId="77777777" w:rsidR="003E20A8" w:rsidRPr="00160A1B" w:rsidRDefault="2A68C290" w:rsidP="002A04F0">
                  <w:pPr>
                    <w:jc w:val="center"/>
                    <w:rPr>
                      <w:rFonts w:cs="Arial"/>
                      <w:sz w:val="20"/>
                    </w:rPr>
                  </w:pPr>
                  <w:r w:rsidRPr="2A68C290">
                    <w:rPr>
                      <w:rFonts w:eastAsia="Arial" w:cs="Arial"/>
                      <w:sz w:val="20"/>
                      <w:szCs w:val="20"/>
                    </w:rPr>
                    <w:t>£60,000</w:t>
                  </w:r>
                </w:p>
              </w:tc>
            </w:tr>
            <w:tr w:rsidR="003E20A8" w14:paraId="6FAA2747" w14:textId="77777777" w:rsidTr="2A68C290">
              <w:tc>
                <w:tcPr>
                  <w:tcW w:w="4820" w:type="dxa"/>
                  <w:tcBorders>
                    <w:bottom w:val="single" w:sz="4" w:space="0" w:color="auto"/>
                  </w:tcBorders>
                </w:tcPr>
                <w:p w14:paraId="0DEE32FB" w14:textId="77777777" w:rsidR="003E20A8" w:rsidRPr="00160A1B" w:rsidRDefault="2A68C290" w:rsidP="002A04F0">
                  <w:pPr>
                    <w:rPr>
                      <w:rFonts w:cs="Arial"/>
                      <w:sz w:val="20"/>
                    </w:rPr>
                  </w:pPr>
                  <w:r w:rsidRPr="2A68C290">
                    <w:rPr>
                      <w:rFonts w:eastAsia="Arial" w:cs="Arial"/>
                      <w:sz w:val="20"/>
                      <w:szCs w:val="20"/>
                    </w:rPr>
                    <w:t>PG03 Progression Education (EDU)</w:t>
                  </w:r>
                </w:p>
              </w:tc>
              <w:tc>
                <w:tcPr>
                  <w:tcW w:w="1129" w:type="dxa"/>
                  <w:tcBorders>
                    <w:bottom w:val="single" w:sz="4" w:space="0" w:color="auto"/>
                  </w:tcBorders>
                </w:tcPr>
                <w:p w14:paraId="06267A10" w14:textId="77777777" w:rsidR="003E20A8" w:rsidRPr="00160A1B" w:rsidRDefault="2A68C290" w:rsidP="002A04F0">
                  <w:pPr>
                    <w:jc w:val="center"/>
                    <w:rPr>
                      <w:rFonts w:cs="Arial"/>
                      <w:sz w:val="20"/>
                    </w:rPr>
                  </w:pPr>
                  <w:r w:rsidRPr="2A68C290">
                    <w:rPr>
                      <w:rFonts w:eastAsia="Arial" w:cs="Arial"/>
                      <w:sz w:val="20"/>
                      <w:szCs w:val="20"/>
                    </w:rPr>
                    <w:t>650</w:t>
                  </w:r>
                </w:p>
              </w:tc>
              <w:tc>
                <w:tcPr>
                  <w:tcW w:w="1843" w:type="dxa"/>
                  <w:tcBorders>
                    <w:bottom w:val="single" w:sz="4" w:space="0" w:color="auto"/>
                  </w:tcBorders>
                </w:tcPr>
                <w:p w14:paraId="0D25781B" w14:textId="77777777" w:rsidR="003E20A8" w:rsidRPr="00160A1B" w:rsidRDefault="2A68C290" w:rsidP="002A04F0">
                  <w:pPr>
                    <w:jc w:val="center"/>
                    <w:rPr>
                      <w:rFonts w:cs="Arial"/>
                      <w:sz w:val="20"/>
                    </w:rPr>
                  </w:pPr>
                  <w:r w:rsidRPr="2A68C290">
                    <w:rPr>
                      <w:rFonts w:eastAsia="Arial" w:cs="Arial"/>
                      <w:sz w:val="20"/>
                      <w:szCs w:val="20"/>
                    </w:rPr>
                    <w:t>400</w:t>
                  </w:r>
                </w:p>
              </w:tc>
              <w:tc>
                <w:tcPr>
                  <w:tcW w:w="1304" w:type="dxa"/>
                  <w:tcBorders>
                    <w:bottom w:val="single" w:sz="4" w:space="0" w:color="auto"/>
                  </w:tcBorders>
                </w:tcPr>
                <w:p w14:paraId="717D5170" w14:textId="77777777" w:rsidR="003E20A8" w:rsidRPr="00160A1B" w:rsidRDefault="2A68C290" w:rsidP="002A04F0">
                  <w:pPr>
                    <w:jc w:val="center"/>
                    <w:rPr>
                      <w:rFonts w:cs="Arial"/>
                      <w:sz w:val="20"/>
                    </w:rPr>
                  </w:pPr>
                  <w:r w:rsidRPr="2A68C290">
                    <w:rPr>
                      <w:rFonts w:eastAsia="Arial" w:cs="Arial"/>
                      <w:sz w:val="20"/>
                      <w:szCs w:val="20"/>
                    </w:rPr>
                    <w:t>£260,000</w:t>
                  </w:r>
                </w:p>
              </w:tc>
            </w:tr>
            <w:tr w:rsidR="003E20A8" w14:paraId="0E290C6C" w14:textId="77777777" w:rsidTr="2A68C290">
              <w:tc>
                <w:tcPr>
                  <w:tcW w:w="4820" w:type="dxa"/>
                  <w:shd w:val="clear" w:color="auto" w:fill="D9D9D9" w:themeFill="background1" w:themeFillShade="D9"/>
                </w:tcPr>
                <w:p w14:paraId="6DB1B6B7" w14:textId="77777777" w:rsidR="003E20A8" w:rsidRPr="00160A1B" w:rsidRDefault="2A68C290" w:rsidP="002A04F0">
                  <w:pPr>
                    <w:rPr>
                      <w:rFonts w:cs="Arial"/>
                      <w:sz w:val="20"/>
                    </w:rPr>
                  </w:pPr>
                  <w:r w:rsidRPr="2A68C290">
                    <w:rPr>
                      <w:rFonts w:eastAsia="Arial" w:cs="Arial"/>
                      <w:sz w:val="20"/>
                      <w:szCs w:val="20"/>
                    </w:rPr>
                    <w:t>PG04 Progression Apprenticeship (EDU)</w:t>
                  </w:r>
                </w:p>
              </w:tc>
              <w:tc>
                <w:tcPr>
                  <w:tcW w:w="1129" w:type="dxa"/>
                  <w:shd w:val="clear" w:color="auto" w:fill="D9D9D9" w:themeFill="background1" w:themeFillShade="D9"/>
                </w:tcPr>
                <w:p w14:paraId="55BB8849" w14:textId="77777777" w:rsidR="003E20A8" w:rsidRPr="00160A1B" w:rsidRDefault="2A68C290" w:rsidP="002A04F0">
                  <w:pPr>
                    <w:jc w:val="center"/>
                    <w:rPr>
                      <w:rFonts w:cs="Arial"/>
                      <w:sz w:val="20"/>
                    </w:rPr>
                  </w:pPr>
                  <w:r w:rsidRPr="2A68C290">
                    <w:rPr>
                      <w:rFonts w:eastAsia="Arial" w:cs="Arial"/>
                      <w:sz w:val="20"/>
                      <w:szCs w:val="20"/>
                    </w:rPr>
                    <w:t>300</w:t>
                  </w:r>
                </w:p>
              </w:tc>
              <w:tc>
                <w:tcPr>
                  <w:tcW w:w="1843" w:type="dxa"/>
                  <w:shd w:val="clear" w:color="auto" w:fill="D9D9D9" w:themeFill="background1" w:themeFillShade="D9"/>
                </w:tcPr>
                <w:p w14:paraId="16683176" w14:textId="77777777" w:rsidR="003E20A8" w:rsidRPr="00160A1B" w:rsidRDefault="2A68C290" w:rsidP="002A04F0">
                  <w:pPr>
                    <w:jc w:val="center"/>
                    <w:rPr>
                      <w:rFonts w:cs="Arial"/>
                      <w:sz w:val="20"/>
                    </w:rPr>
                  </w:pPr>
                  <w:r w:rsidRPr="2A68C290">
                    <w:rPr>
                      <w:rFonts w:eastAsia="Arial" w:cs="Arial"/>
                      <w:sz w:val="20"/>
                      <w:szCs w:val="20"/>
                    </w:rPr>
                    <w:t>400</w:t>
                  </w:r>
                </w:p>
              </w:tc>
              <w:tc>
                <w:tcPr>
                  <w:tcW w:w="1304" w:type="dxa"/>
                  <w:shd w:val="clear" w:color="auto" w:fill="D9D9D9" w:themeFill="background1" w:themeFillShade="D9"/>
                </w:tcPr>
                <w:p w14:paraId="363E46A6" w14:textId="77777777" w:rsidR="003E20A8" w:rsidRPr="00160A1B" w:rsidRDefault="2A68C290" w:rsidP="002A04F0">
                  <w:pPr>
                    <w:jc w:val="center"/>
                    <w:rPr>
                      <w:rFonts w:cs="Arial"/>
                      <w:sz w:val="20"/>
                    </w:rPr>
                  </w:pPr>
                  <w:r w:rsidRPr="2A68C290">
                    <w:rPr>
                      <w:rFonts w:eastAsia="Arial" w:cs="Arial"/>
                      <w:sz w:val="20"/>
                      <w:szCs w:val="20"/>
                    </w:rPr>
                    <w:t>£120,000</w:t>
                  </w:r>
                </w:p>
              </w:tc>
            </w:tr>
            <w:tr w:rsidR="003E20A8" w14:paraId="3D4A97E0" w14:textId="77777777" w:rsidTr="2A68C290">
              <w:tc>
                <w:tcPr>
                  <w:tcW w:w="4820" w:type="dxa"/>
                  <w:tcBorders>
                    <w:bottom w:val="single" w:sz="4" w:space="0" w:color="auto"/>
                  </w:tcBorders>
                </w:tcPr>
                <w:p w14:paraId="57CE54F6" w14:textId="77777777" w:rsidR="003E20A8" w:rsidRPr="00160A1B" w:rsidRDefault="2A68C290" w:rsidP="002A04F0">
                  <w:pPr>
                    <w:rPr>
                      <w:rFonts w:cs="Arial"/>
                      <w:sz w:val="20"/>
                    </w:rPr>
                  </w:pPr>
                  <w:r w:rsidRPr="2A68C290">
                    <w:rPr>
                      <w:rFonts w:eastAsia="Arial" w:cs="Arial"/>
                      <w:sz w:val="20"/>
                      <w:szCs w:val="20"/>
                    </w:rPr>
                    <w:t>SU01 Sustained Paid Employment 3 Months</w:t>
                  </w:r>
                </w:p>
              </w:tc>
              <w:tc>
                <w:tcPr>
                  <w:tcW w:w="1129" w:type="dxa"/>
                  <w:tcBorders>
                    <w:bottom w:val="single" w:sz="4" w:space="0" w:color="auto"/>
                  </w:tcBorders>
                </w:tcPr>
                <w:p w14:paraId="219E5762" w14:textId="77777777" w:rsidR="003E20A8" w:rsidRPr="00160A1B" w:rsidRDefault="2A68C290" w:rsidP="002A04F0">
                  <w:pPr>
                    <w:jc w:val="center"/>
                    <w:rPr>
                      <w:rFonts w:cs="Arial"/>
                      <w:sz w:val="20"/>
                    </w:rPr>
                  </w:pPr>
                  <w:r w:rsidRPr="2A68C290">
                    <w:rPr>
                      <w:rFonts w:eastAsia="Arial" w:cs="Arial"/>
                      <w:sz w:val="20"/>
                      <w:szCs w:val="20"/>
                    </w:rPr>
                    <w:t>600</w:t>
                  </w:r>
                </w:p>
              </w:tc>
              <w:tc>
                <w:tcPr>
                  <w:tcW w:w="1843" w:type="dxa"/>
                  <w:tcBorders>
                    <w:bottom w:val="single" w:sz="4" w:space="0" w:color="auto"/>
                  </w:tcBorders>
                </w:tcPr>
                <w:p w14:paraId="528B014C" w14:textId="77777777" w:rsidR="003E20A8" w:rsidRPr="00160A1B" w:rsidRDefault="2A68C290" w:rsidP="002A04F0">
                  <w:pPr>
                    <w:jc w:val="center"/>
                    <w:rPr>
                      <w:rFonts w:cs="Arial"/>
                      <w:sz w:val="20"/>
                    </w:rPr>
                  </w:pPr>
                  <w:r w:rsidRPr="2A68C290">
                    <w:rPr>
                      <w:rFonts w:eastAsia="Arial" w:cs="Arial"/>
                      <w:sz w:val="20"/>
                      <w:szCs w:val="20"/>
                    </w:rPr>
                    <w:t>200</w:t>
                  </w:r>
                </w:p>
              </w:tc>
              <w:tc>
                <w:tcPr>
                  <w:tcW w:w="1304" w:type="dxa"/>
                  <w:tcBorders>
                    <w:bottom w:val="single" w:sz="4" w:space="0" w:color="auto"/>
                  </w:tcBorders>
                </w:tcPr>
                <w:p w14:paraId="39BDB161" w14:textId="77777777" w:rsidR="003E20A8" w:rsidRPr="00160A1B" w:rsidRDefault="2A68C290" w:rsidP="002A04F0">
                  <w:pPr>
                    <w:jc w:val="center"/>
                    <w:rPr>
                      <w:rFonts w:cs="Arial"/>
                      <w:sz w:val="20"/>
                    </w:rPr>
                  </w:pPr>
                  <w:r w:rsidRPr="2A68C290">
                    <w:rPr>
                      <w:rFonts w:eastAsia="Arial" w:cs="Arial"/>
                      <w:sz w:val="20"/>
                      <w:szCs w:val="20"/>
                    </w:rPr>
                    <w:t>£120,000</w:t>
                  </w:r>
                </w:p>
              </w:tc>
            </w:tr>
            <w:tr w:rsidR="003E20A8" w14:paraId="39EE1086" w14:textId="77777777" w:rsidTr="2A68C290">
              <w:tc>
                <w:tcPr>
                  <w:tcW w:w="4820" w:type="dxa"/>
                  <w:shd w:val="clear" w:color="auto" w:fill="D9D9D9" w:themeFill="background1" w:themeFillShade="D9"/>
                </w:tcPr>
                <w:p w14:paraId="71B14AB5" w14:textId="77777777" w:rsidR="003E20A8" w:rsidRPr="00160A1B" w:rsidRDefault="2A68C290" w:rsidP="002A04F0">
                  <w:pPr>
                    <w:rPr>
                      <w:rFonts w:cs="Arial"/>
                      <w:sz w:val="20"/>
                    </w:rPr>
                  </w:pPr>
                  <w:r w:rsidRPr="2A68C290">
                    <w:rPr>
                      <w:rFonts w:eastAsia="Arial" w:cs="Arial"/>
                      <w:sz w:val="20"/>
                      <w:szCs w:val="20"/>
                    </w:rPr>
                    <w:t>SU03 Sustained Education 3 Months</w:t>
                  </w:r>
                </w:p>
              </w:tc>
              <w:tc>
                <w:tcPr>
                  <w:tcW w:w="1129" w:type="dxa"/>
                  <w:shd w:val="clear" w:color="auto" w:fill="D9D9D9" w:themeFill="background1" w:themeFillShade="D9"/>
                </w:tcPr>
                <w:p w14:paraId="398BF5E5" w14:textId="77777777" w:rsidR="003E20A8" w:rsidRPr="00160A1B" w:rsidRDefault="2A68C290" w:rsidP="002A04F0">
                  <w:pPr>
                    <w:jc w:val="center"/>
                    <w:rPr>
                      <w:rFonts w:cs="Arial"/>
                      <w:sz w:val="20"/>
                    </w:rPr>
                  </w:pPr>
                  <w:r w:rsidRPr="2A68C290">
                    <w:rPr>
                      <w:rFonts w:eastAsia="Arial" w:cs="Arial"/>
                      <w:sz w:val="20"/>
                      <w:szCs w:val="20"/>
                    </w:rPr>
                    <w:t>720</w:t>
                  </w:r>
                </w:p>
              </w:tc>
              <w:tc>
                <w:tcPr>
                  <w:tcW w:w="1843" w:type="dxa"/>
                  <w:shd w:val="clear" w:color="auto" w:fill="D9D9D9" w:themeFill="background1" w:themeFillShade="D9"/>
                </w:tcPr>
                <w:p w14:paraId="49651AA6" w14:textId="77777777" w:rsidR="003E20A8" w:rsidRPr="00160A1B" w:rsidRDefault="2A68C290" w:rsidP="002A04F0">
                  <w:pPr>
                    <w:jc w:val="center"/>
                    <w:rPr>
                      <w:rFonts w:cs="Arial"/>
                      <w:sz w:val="20"/>
                    </w:rPr>
                  </w:pPr>
                  <w:r w:rsidRPr="2A68C290">
                    <w:rPr>
                      <w:rFonts w:eastAsia="Arial" w:cs="Arial"/>
                      <w:sz w:val="20"/>
                      <w:szCs w:val="20"/>
                    </w:rPr>
                    <w:t>200</w:t>
                  </w:r>
                </w:p>
              </w:tc>
              <w:tc>
                <w:tcPr>
                  <w:tcW w:w="1304" w:type="dxa"/>
                  <w:shd w:val="clear" w:color="auto" w:fill="D9D9D9" w:themeFill="background1" w:themeFillShade="D9"/>
                </w:tcPr>
                <w:p w14:paraId="46BC1E95" w14:textId="77777777" w:rsidR="003E20A8" w:rsidRPr="00160A1B" w:rsidRDefault="2A68C290" w:rsidP="002A04F0">
                  <w:pPr>
                    <w:jc w:val="center"/>
                    <w:rPr>
                      <w:rFonts w:cs="Arial"/>
                      <w:sz w:val="20"/>
                    </w:rPr>
                  </w:pPr>
                  <w:r w:rsidRPr="2A68C290">
                    <w:rPr>
                      <w:rFonts w:eastAsia="Arial" w:cs="Arial"/>
                      <w:sz w:val="20"/>
                      <w:szCs w:val="20"/>
                    </w:rPr>
                    <w:t>£144,000</w:t>
                  </w:r>
                </w:p>
              </w:tc>
            </w:tr>
            <w:tr w:rsidR="003E20A8" w14:paraId="4BE4F5F1" w14:textId="77777777" w:rsidTr="2A68C290">
              <w:tc>
                <w:tcPr>
                  <w:tcW w:w="4820" w:type="dxa"/>
                </w:tcPr>
                <w:p w14:paraId="7CFCA8B6" w14:textId="77777777" w:rsidR="003E20A8" w:rsidRPr="00160A1B" w:rsidRDefault="2A68C290" w:rsidP="002A04F0">
                  <w:pPr>
                    <w:rPr>
                      <w:rFonts w:cs="Arial"/>
                      <w:sz w:val="20"/>
                    </w:rPr>
                  </w:pPr>
                  <w:r w:rsidRPr="2A68C290">
                    <w:rPr>
                      <w:rFonts w:eastAsia="Arial" w:cs="Arial"/>
                      <w:sz w:val="20"/>
                      <w:szCs w:val="20"/>
                    </w:rPr>
                    <w:t>SU04 Sustained Apprenticeship 3 Months</w:t>
                  </w:r>
                </w:p>
              </w:tc>
              <w:tc>
                <w:tcPr>
                  <w:tcW w:w="1129" w:type="dxa"/>
                </w:tcPr>
                <w:p w14:paraId="03E14BA0" w14:textId="77777777" w:rsidR="003E20A8" w:rsidRPr="00160A1B" w:rsidRDefault="2A68C290" w:rsidP="002A04F0">
                  <w:pPr>
                    <w:jc w:val="center"/>
                    <w:rPr>
                      <w:rFonts w:cs="Arial"/>
                      <w:sz w:val="20"/>
                    </w:rPr>
                  </w:pPr>
                  <w:r w:rsidRPr="2A68C290">
                    <w:rPr>
                      <w:rFonts w:eastAsia="Arial" w:cs="Arial"/>
                      <w:sz w:val="20"/>
                      <w:szCs w:val="20"/>
                    </w:rPr>
                    <w:t>230</w:t>
                  </w:r>
                </w:p>
              </w:tc>
              <w:tc>
                <w:tcPr>
                  <w:tcW w:w="1843" w:type="dxa"/>
                </w:tcPr>
                <w:p w14:paraId="751EF630" w14:textId="77777777" w:rsidR="003E20A8" w:rsidRPr="00160A1B" w:rsidRDefault="2A68C290" w:rsidP="002A04F0">
                  <w:pPr>
                    <w:jc w:val="center"/>
                    <w:rPr>
                      <w:rFonts w:cs="Arial"/>
                      <w:sz w:val="20"/>
                    </w:rPr>
                  </w:pPr>
                  <w:r w:rsidRPr="2A68C290">
                    <w:rPr>
                      <w:rFonts w:eastAsia="Arial" w:cs="Arial"/>
                      <w:sz w:val="20"/>
                      <w:szCs w:val="20"/>
                    </w:rPr>
                    <w:t>200</w:t>
                  </w:r>
                </w:p>
              </w:tc>
              <w:tc>
                <w:tcPr>
                  <w:tcW w:w="1304" w:type="dxa"/>
                </w:tcPr>
                <w:p w14:paraId="3FD79110" w14:textId="77777777" w:rsidR="003E20A8" w:rsidRPr="00160A1B" w:rsidRDefault="2A68C290" w:rsidP="002A04F0">
                  <w:pPr>
                    <w:jc w:val="center"/>
                    <w:rPr>
                      <w:rFonts w:cs="Arial"/>
                      <w:sz w:val="20"/>
                    </w:rPr>
                  </w:pPr>
                  <w:r w:rsidRPr="2A68C290">
                    <w:rPr>
                      <w:rFonts w:eastAsia="Arial" w:cs="Arial"/>
                      <w:sz w:val="20"/>
                      <w:szCs w:val="20"/>
                    </w:rPr>
                    <w:t>£46,000</w:t>
                  </w:r>
                </w:p>
              </w:tc>
            </w:tr>
            <w:tr w:rsidR="003E20A8" w14:paraId="10201803" w14:textId="77777777" w:rsidTr="2A68C290">
              <w:tc>
                <w:tcPr>
                  <w:tcW w:w="4820" w:type="dxa"/>
                  <w:shd w:val="clear" w:color="auto" w:fill="D9D9D9" w:themeFill="background1" w:themeFillShade="D9"/>
                </w:tcPr>
                <w:p w14:paraId="29BC044E" w14:textId="77777777" w:rsidR="003E20A8" w:rsidRPr="00160A1B" w:rsidRDefault="2A68C290" w:rsidP="002A04F0">
                  <w:pPr>
                    <w:rPr>
                      <w:rFonts w:cs="Arial"/>
                      <w:sz w:val="20"/>
                    </w:rPr>
                  </w:pPr>
                  <w:r w:rsidRPr="2A68C290">
                    <w:rPr>
                      <w:rFonts w:eastAsia="Arial" w:cs="Arial"/>
                      <w:sz w:val="20"/>
                      <w:szCs w:val="20"/>
                    </w:rPr>
                    <w:t>SD01 Completed Internship</w:t>
                  </w:r>
                </w:p>
              </w:tc>
              <w:tc>
                <w:tcPr>
                  <w:tcW w:w="1129" w:type="dxa"/>
                  <w:shd w:val="clear" w:color="auto" w:fill="D9D9D9" w:themeFill="background1" w:themeFillShade="D9"/>
                </w:tcPr>
                <w:p w14:paraId="2CFDF170" w14:textId="77777777" w:rsidR="003E20A8" w:rsidRPr="00160A1B" w:rsidRDefault="2A68C290" w:rsidP="002A04F0">
                  <w:pPr>
                    <w:jc w:val="center"/>
                    <w:rPr>
                      <w:rFonts w:cs="Arial"/>
                      <w:sz w:val="20"/>
                    </w:rPr>
                  </w:pPr>
                  <w:r w:rsidRPr="2A68C290">
                    <w:rPr>
                      <w:rFonts w:eastAsia="Arial" w:cs="Arial"/>
                      <w:sz w:val="20"/>
                      <w:szCs w:val="20"/>
                    </w:rPr>
                    <w:t>250</w:t>
                  </w:r>
                </w:p>
              </w:tc>
              <w:tc>
                <w:tcPr>
                  <w:tcW w:w="1843" w:type="dxa"/>
                  <w:shd w:val="clear" w:color="auto" w:fill="D9D9D9" w:themeFill="background1" w:themeFillShade="D9"/>
                </w:tcPr>
                <w:p w14:paraId="25242C02" w14:textId="77777777" w:rsidR="003E20A8" w:rsidRPr="00160A1B" w:rsidRDefault="2A68C290" w:rsidP="002A04F0">
                  <w:pPr>
                    <w:jc w:val="center"/>
                    <w:rPr>
                      <w:rFonts w:cs="Arial"/>
                      <w:sz w:val="20"/>
                    </w:rPr>
                  </w:pPr>
                  <w:r w:rsidRPr="2A68C290">
                    <w:rPr>
                      <w:rFonts w:eastAsia="Arial" w:cs="Arial"/>
                      <w:sz w:val="20"/>
                      <w:szCs w:val="20"/>
                    </w:rPr>
                    <w:t>400</w:t>
                  </w:r>
                </w:p>
              </w:tc>
              <w:tc>
                <w:tcPr>
                  <w:tcW w:w="1304" w:type="dxa"/>
                  <w:shd w:val="clear" w:color="auto" w:fill="D9D9D9" w:themeFill="background1" w:themeFillShade="D9"/>
                </w:tcPr>
                <w:p w14:paraId="77B905CA" w14:textId="77777777" w:rsidR="003E20A8" w:rsidRPr="00160A1B" w:rsidRDefault="2A68C290" w:rsidP="002A04F0">
                  <w:pPr>
                    <w:jc w:val="center"/>
                    <w:rPr>
                      <w:rFonts w:cs="Arial"/>
                      <w:sz w:val="20"/>
                    </w:rPr>
                  </w:pPr>
                  <w:r w:rsidRPr="2A68C290">
                    <w:rPr>
                      <w:rFonts w:eastAsia="Arial" w:cs="Arial"/>
                      <w:sz w:val="20"/>
                      <w:szCs w:val="20"/>
                    </w:rPr>
                    <w:t>£100,000</w:t>
                  </w:r>
                </w:p>
              </w:tc>
            </w:tr>
            <w:tr w:rsidR="003E20A8" w14:paraId="3873ABD5" w14:textId="77777777" w:rsidTr="2A68C290">
              <w:tc>
                <w:tcPr>
                  <w:tcW w:w="4820" w:type="dxa"/>
                  <w:tcBorders>
                    <w:bottom w:val="single" w:sz="4" w:space="0" w:color="auto"/>
                  </w:tcBorders>
                </w:tcPr>
                <w:p w14:paraId="3A45E7DB" w14:textId="77777777" w:rsidR="003E20A8" w:rsidRPr="00F04782" w:rsidRDefault="003E20A8" w:rsidP="002A04F0">
                  <w:pPr>
                    <w:rPr>
                      <w:rFonts w:cs="Arial"/>
                      <w:sz w:val="20"/>
                    </w:rPr>
                  </w:pPr>
                </w:p>
              </w:tc>
              <w:tc>
                <w:tcPr>
                  <w:tcW w:w="1129" w:type="dxa"/>
                  <w:tcBorders>
                    <w:bottom w:val="single" w:sz="4" w:space="0" w:color="auto"/>
                  </w:tcBorders>
                </w:tcPr>
                <w:p w14:paraId="26DCA250" w14:textId="77777777" w:rsidR="003E20A8" w:rsidRPr="00F04782" w:rsidRDefault="003E20A8" w:rsidP="002A04F0">
                  <w:pPr>
                    <w:rPr>
                      <w:rFonts w:cs="Arial"/>
                      <w:sz w:val="20"/>
                    </w:rPr>
                  </w:pPr>
                </w:p>
              </w:tc>
              <w:tc>
                <w:tcPr>
                  <w:tcW w:w="1843" w:type="dxa"/>
                  <w:tcBorders>
                    <w:bottom w:val="single" w:sz="4" w:space="0" w:color="auto"/>
                  </w:tcBorders>
                </w:tcPr>
                <w:p w14:paraId="794BA429" w14:textId="1408AF94" w:rsidR="003E20A8" w:rsidRPr="009806C7" w:rsidRDefault="003E20A8" w:rsidP="002A04F0">
                  <w:pPr>
                    <w:jc w:val="center"/>
                    <w:rPr>
                      <w:rFonts w:cs="Arial"/>
                      <w:b/>
                      <w:sz w:val="20"/>
                    </w:rPr>
                  </w:pPr>
                </w:p>
              </w:tc>
              <w:tc>
                <w:tcPr>
                  <w:tcW w:w="1304" w:type="dxa"/>
                  <w:tcBorders>
                    <w:bottom w:val="single" w:sz="4" w:space="0" w:color="auto"/>
                  </w:tcBorders>
                </w:tcPr>
                <w:p w14:paraId="65E5B593" w14:textId="77777777" w:rsidR="003E20A8" w:rsidRPr="009806C7" w:rsidRDefault="2A68C290" w:rsidP="002A04F0">
                  <w:pPr>
                    <w:rPr>
                      <w:rFonts w:cs="Arial"/>
                      <w:b/>
                      <w:sz w:val="20"/>
                    </w:rPr>
                  </w:pPr>
                  <w:r w:rsidRPr="2A68C290">
                    <w:rPr>
                      <w:rFonts w:eastAsia="Arial" w:cs="Arial"/>
                      <w:b/>
                      <w:bCs/>
                      <w:sz w:val="20"/>
                      <w:szCs w:val="20"/>
                    </w:rPr>
                    <w:t>£3,967,500</w:t>
                  </w:r>
                </w:p>
              </w:tc>
            </w:tr>
          </w:tbl>
          <w:p w14:paraId="4893E5A4" w14:textId="77777777" w:rsidR="003E20A8" w:rsidRPr="000A3BA8" w:rsidRDefault="003E20A8" w:rsidP="000A3BA8">
            <w:pPr>
              <w:autoSpaceDE w:val="0"/>
              <w:autoSpaceDN w:val="0"/>
              <w:adjustRightInd w:val="0"/>
              <w:rPr>
                <w:rFonts w:cs="Arial"/>
                <w:b/>
              </w:rPr>
            </w:pPr>
          </w:p>
        </w:tc>
      </w:tr>
    </w:tbl>
    <w:p w14:paraId="0E71F0C5" w14:textId="77777777" w:rsidR="00A005EF" w:rsidRDefault="00A005EF" w:rsidP="003E20A8"/>
    <w:p w14:paraId="175AC679" w14:textId="77777777" w:rsidR="00592B6B" w:rsidRDefault="00592B6B" w:rsidP="003E20A8"/>
    <w:p w14:paraId="107CC6A8" w14:textId="77777777" w:rsidR="00592B6B" w:rsidRDefault="00592B6B" w:rsidP="003E20A8"/>
    <w:p w14:paraId="1DDDE570" w14:textId="77777777" w:rsidR="00592B6B" w:rsidRDefault="00592B6B" w:rsidP="003E20A8"/>
    <w:p w14:paraId="64B7BB53" w14:textId="77777777" w:rsidR="00592B6B" w:rsidRDefault="00592B6B" w:rsidP="003E20A8"/>
    <w:p w14:paraId="779A3D7C" w14:textId="77777777" w:rsidR="00592B6B" w:rsidRDefault="00592B6B" w:rsidP="003E20A8"/>
    <w:p w14:paraId="7335B22F" w14:textId="77777777" w:rsidR="00592B6B" w:rsidRDefault="00592B6B" w:rsidP="003E20A8"/>
    <w:p w14:paraId="6E01A3E4" w14:textId="77777777" w:rsidR="00592B6B" w:rsidRDefault="00592B6B" w:rsidP="003E20A8"/>
    <w:p w14:paraId="4FF9548B" w14:textId="77777777" w:rsidR="00592B6B" w:rsidRDefault="00592B6B" w:rsidP="003E20A8"/>
    <w:p w14:paraId="2B2D35EF" w14:textId="77777777" w:rsidR="00592B6B" w:rsidRDefault="00592B6B" w:rsidP="003E20A8"/>
    <w:p w14:paraId="007AD8B6" w14:textId="77777777" w:rsidR="00592B6B" w:rsidRDefault="00592B6B" w:rsidP="003E20A8"/>
    <w:p w14:paraId="03D86B27" w14:textId="77777777" w:rsidR="00592B6B" w:rsidRDefault="00592B6B" w:rsidP="003E20A8"/>
    <w:p w14:paraId="20937104" w14:textId="77777777" w:rsidR="00592B6B" w:rsidRDefault="00592B6B" w:rsidP="003E20A8"/>
    <w:p w14:paraId="53636E1E" w14:textId="77777777" w:rsidR="00592B6B" w:rsidRDefault="00592B6B" w:rsidP="003E20A8"/>
    <w:p w14:paraId="28845046" w14:textId="77777777" w:rsidR="00592B6B" w:rsidRDefault="00592B6B" w:rsidP="003E20A8"/>
    <w:p w14:paraId="770867A4" w14:textId="77777777" w:rsidR="00592B6B" w:rsidRDefault="00592B6B" w:rsidP="003E20A8"/>
    <w:p w14:paraId="187CF318" w14:textId="77777777" w:rsidR="00592B6B" w:rsidRDefault="00592B6B" w:rsidP="003E20A8"/>
    <w:p w14:paraId="0C86A495" w14:textId="77777777" w:rsidR="00592B6B" w:rsidRDefault="00592B6B" w:rsidP="003E20A8"/>
    <w:p w14:paraId="246498D6" w14:textId="77777777" w:rsidR="00592B6B" w:rsidRDefault="00592B6B" w:rsidP="003E20A8"/>
    <w:p w14:paraId="4247FFC4" w14:textId="77777777" w:rsidR="00592B6B" w:rsidRDefault="00592B6B" w:rsidP="003E20A8"/>
    <w:p w14:paraId="5F2BDA9E" w14:textId="77777777" w:rsidR="00592B6B" w:rsidRDefault="00592B6B" w:rsidP="003E20A8"/>
    <w:p w14:paraId="306EC620" w14:textId="77777777" w:rsidR="00592B6B" w:rsidRDefault="00592B6B" w:rsidP="003E20A8"/>
    <w:p w14:paraId="24B39497" w14:textId="77777777" w:rsidR="00592B6B" w:rsidRDefault="00592B6B" w:rsidP="003E20A8"/>
    <w:p w14:paraId="18582BF7" w14:textId="77777777" w:rsidR="00592B6B" w:rsidRDefault="00592B6B" w:rsidP="003E20A8"/>
    <w:p w14:paraId="099B64AC" w14:textId="77777777" w:rsidR="00592B6B" w:rsidRDefault="00592B6B" w:rsidP="003E20A8"/>
    <w:p w14:paraId="2971C7F8" w14:textId="77777777" w:rsidR="00592B6B" w:rsidRDefault="00592B6B" w:rsidP="003E20A8"/>
    <w:p w14:paraId="0D113263" w14:textId="77777777" w:rsidR="00592B6B" w:rsidRDefault="00592B6B" w:rsidP="003E20A8"/>
    <w:p w14:paraId="67C6C9C4" w14:textId="77777777" w:rsidR="00592B6B" w:rsidRDefault="00592B6B" w:rsidP="003E20A8"/>
    <w:p w14:paraId="5037612F" w14:textId="77777777" w:rsidR="00592B6B" w:rsidRDefault="00592B6B" w:rsidP="003E20A8"/>
    <w:p w14:paraId="77982103" w14:textId="77777777" w:rsidR="00592B6B" w:rsidRDefault="00592B6B" w:rsidP="003E20A8"/>
    <w:p w14:paraId="2237613C" w14:textId="77777777" w:rsidR="00592B6B" w:rsidRDefault="00592B6B" w:rsidP="003E20A8"/>
    <w:p w14:paraId="4199F910" w14:textId="77777777" w:rsidR="00592B6B" w:rsidRDefault="00592B6B" w:rsidP="003E20A8"/>
    <w:p w14:paraId="4AF4B27A" w14:textId="77777777" w:rsidR="00592B6B" w:rsidRDefault="00592B6B" w:rsidP="003E20A8"/>
    <w:p w14:paraId="286FE018" w14:textId="77777777" w:rsidR="00592B6B" w:rsidRDefault="00592B6B" w:rsidP="003E20A8"/>
    <w:p w14:paraId="66F4B02A" w14:textId="77777777" w:rsidR="00592B6B" w:rsidRDefault="00592B6B" w:rsidP="003E20A8"/>
    <w:p w14:paraId="541724FB" w14:textId="77777777" w:rsidR="00592B6B" w:rsidRDefault="00592B6B" w:rsidP="003E20A8"/>
    <w:p w14:paraId="16F29657" w14:textId="77777777" w:rsidR="00592B6B" w:rsidRDefault="00592B6B" w:rsidP="003E20A8"/>
    <w:p w14:paraId="737E4352" w14:textId="77777777" w:rsidR="00592B6B" w:rsidRDefault="00592B6B" w:rsidP="003E20A8"/>
    <w:p w14:paraId="4DE99813" w14:textId="77777777" w:rsidR="00592B6B" w:rsidRDefault="00592B6B" w:rsidP="003E20A8"/>
    <w:p w14:paraId="157BF157" w14:textId="77777777" w:rsidR="00592B6B" w:rsidRDefault="00592B6B" w:rsidP="003E20A8"/>
    <w:p w14:paraId="4EE64150" w14:textId="77777777" w:rsidR="00592B6B" w:rsidRDefault="00592B6B" w:rsidP="003E20A8"/>
    <w:p w14:paraId="7264886E" w14:textId="77777777" w:rsidR="00592B6B" w:rsidRDefault="00592B6B" w:rsidP="003E20A8"/>
    <w:p w14:paraId="15D2D328" w14:textId="77777777" w:rsidR="00592B6B" w:rsidRDefault="00592B6B" w:rsidP="003E20A8">
      <w:bookmarkStart w:id="0" w:name="_GoBack"/>
      <w:bookmarkEnd w:id="0"/>
    </w:p>
    <w:sectPr w:rsidR="00592B6B" w:rsidSect="001F4B04">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83FA5" w14:textId="77777777" w:rsidR="00105A76" w:rsidRDefault="00105A76">
      <w:r>
        <w:separator/>
      </w:r>
    </w:p>
  </w:endnote>
  <w:endnote w:type="continuationSeparator" w:id="0">
    <w:p w14:paraId="00275FBE" w14:textId="77777777" w:rsidR="00105A76" w:rsidRDefault="0010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0D3D6" w14:textId="6A58101E" w:rsidR="00061C01" w:rsidRDefault="00592B6B">
    <w:pPr>
      <w:pStyle w:val="Footer"/>
    </w:pPr>
    <w:r>
      <w:t>itt_30028_15_901_01_May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5B6F5" w14:textId="77777777" w:rsidR="00105A76" w:rsidRDefault="00105A76">
      <w:r>
        <w:separator/>
      </w:r>
    </w:p>
  </w:footnote>
  <w:footnote w:type="continuationSeparator" w:id="0">
    <w:p w14:paraId="6FB2BD1A" w14:textId="77777777" w:rsidR="00105A76" w:rsidRDefault="00105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3A6176F2" w14:textId="77777777" w:rsidR="00061C01" w:rsidRDefault="00105A76">
        <w:pPr>
          <w:pStyle w:val="Header"/>
        </w:pPr>
        <w:r>
          <w:rPr>
            <w:noProof/>
            <w:lang w:val="en-US"/>
          </w:rPr>
          <w:pict w14:anchorId="0E0C0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811B17"/>
    <w:multiLevelType w:val="hybridMultilevel"/>
    <w:tmpl w:val="EB24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2F4EC7"/>
    <w:multiLevelType w:val="hybridMultilevel"/>
    <w:tmpl w:val="E0CA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7"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C147E2"/>
    <w:multiLevelType w:val="hybridMultilevel"/>
    <w:tmpl w:val="F008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0" w15:restartNumberingAfterBreak="0">
    <w:nsid w:val="440B20F3"/>
    <w:multiLevelType w:val="hybridMultilevel"/>
    <w:tmpl w:val="1C5A09D2"/>
    <w:lvl w:ilvl="0" w:tplc="41BAEF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9"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B10308B"/>
    <w:multiLevelType w:val="hybridMultilevel"/>
    <w:tmpl w:val="F42A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5" w15:restartNumberingAfterBreak="0">
    <w:nsid w:val="631904CD"/>
    <w:multiLevelType w:val="hybridMultilevel"/>
    <w:tmpl w:val="AD94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2"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4"/>
  </w:num>
  <w:num w:numId="3">
    <w:abstractNumId w:val="44"/>
  </w:num>
  <w:num w:numId="4">
    <w:abstractNumId w:val="44"/>
  </w:num>
  <w:num w:numId="5">
    <w:abstractNumId w:val="7"/>
  </w:num>
  <w:num w:numId="6">
    <w:abstractNumId w:val="42"/>
  </w:num>
  <w:num w:numId="7">
    <w:abstractNumId w:val="31"/>
  </w:num>
  <w:num w:numId="8">
    <w:abstractNumId w:val="40"/>
  </w:num>
  <w:num w:numId="9">
    <w:abstractNumId w:val="0"/>
  </w:num>
  <w:num w:numId="10">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58"/>
  </w:num>
  <w:num w:numId="13">
    <w:abstractNumId w:val="37"/>
  </w:num>
  <w:num w:numId="14">
    <w:abstractNumId w:val="14"/>
  </w:num>
  <w:num w:numId="15">
    <w:abstractNumId w:val="17"/>
  </w:num>
  <w:num w:numId="16">
    <w:abstractNumId w:val="19"/>
  </w:num>
  <w:num w:numId="17">
    <w:abstractNumId w:val="20"/>
  </w:num>
  <w:num w:numId="18">
    <w:abstractNumId w:val="57"/>
  </w:num>
  <w:num w:numId="19">
    <w:abstractNumId w:val="32"/>
  </w:num>
  <w:num w:numId="20">
    <w:abstractNumId w:val="48"/>
  </w:num>
  <w:num w:numId="21">
    <w:abstractNumId w:val="27"/>
  </w:num>
  <w:num w:numId="22">
    <w:abstractNumId w:val="36"/>
  </w:num>
  <w:num w:numId="23">
    <w:abstractNumId w:val="49"/>
  </w:num>
  <w:num w:numId="24">
    <w:abstractNumId w:val="2"/>
  </w:num>
  <w:num w:numId="25">
    <w:abstractNumId w:val="26"/>
  </w:num>
  <w:num w:numId="26">
    <w:abstractNumId w:val="35"/>
  </w:num>
  <w:num w:numId="27">
    <w:abstractNumId w:val="5"/>
  </w:num>
  <w:num w:numId="28">
    <w:abstractNumId w:val="55"/>
  </w:num>
  <w:num w:numId="29">
    <w:abstractNumId w:val="24"/>
  </w:num>
  <w:num w:numId="30">
    <w:abstractNumId w:val="21"/>
  </w:num>
  <w:num w:numId="31">
    <w:abstractNumId w:val="47"/>
  </w:num>
  <w:num w:numId="32">
    <w:abstractNumId w:val="51"/>
  </w:num>
  <w:num w:numId="33">
    <w:abstractNumId w:val="12"/>
  </w:num>
  <w:num w:numId="34">
    <w:abstractNumId w:val="50"/>
  </w:num>
  <w:num w:numId="35">
    <w:abstractNumId w:val="15"/>
  </w:num>
  <w:num w:numId="36">
    <w:abstractNumId w:val="43"/>
  </w:num>
  <w:num w:numId="37">
    <w:abstractNumId w:val="52"/>
  </w:num>
  <w:num w:numId="38">
    <w:abstractNumId w:val="3"/>
  </w:num>
  <w:num w:numId="39">
    <w:abstractNumId w:val="28"/>
  </w:num>
  <w:num w:numId="40">
    <w:abstractNumId w:val="16"/>
  </w:num>
  <w:num w:numId="41">
    <w:abstractNumId w:val="29"/>
  </w:num>
  <w:num w:numId="42">
    <w:abstractNumId w:val="56"/>
  </w:num>
  <w:num w:numId="43">
    <w:abstractNumId w:val="46"/>
  </w:num>
  <w:num w:numId="44">
    <w:abstractNumId w:val="33"/>
  </w:num>
  <w:num w:numId="45">
    <w:abstractNumId w:val="10"/>
  </w:num>
  <w:num w:numId="46">
    <w:abstractNumId w:val="22"/>
  </w:num>
  <w:num w:numId="47">
    <w:abstractNumId w:val="8"/>
  </w:num>
  <w:num w:numId="48">
    <w:abstractNumId w:val="59"/>
  </w:num>
  <w:num w:numId="49">
    <w:abstractNumId w:val="13"/>
  </w:num>
  <w:num w:numId="50">
    <w:abstractNumId w:val="25"/>
  </w:num>
  <w:num w:numId="51">
    <w:abstractNumId w:val="34"/>
  </w:num>
  <w:num w:numId="52">
    <w:abstractNumId w:val="23"/>
  </w:num>
  <w:num w:numId="53">
    <w:abstractNumId w:val="38"/>
  </w:num>
  <w:num w:numId="54">
    <w:abstractNumId w:val="30"/>
  </w:num>
  <w:num w:numId="55">
    <w:abstractNumId w:val="45"/>
  </w:num>
  <w:num w:numId="56">
    <w:abstractNumId w:val="11"/>
  </w:num>
  <w:num w:numId="57">
    <w:abstractNumId w:val="4"/>
  </w:num>
  <w:num w:numId="58">
    <w:abstractNumId w:val="18"/>
  </w:num>
  <w:num w:numId="59">
    <w:abstractNumId w:val="41"/>
  </w:num>
  <w:num w:numId="60">
    <w:abstractNumId w:val="1"/>
  </w:num>
  <w:num w:numId="61">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07E8C"/>
    <w:rsid w:val="00012CC3"/>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67794"/>
    <w:rsid w:val="00067CA0"/>
    <w:rsid w:val="0007093F"/>
    <w:rsid w:val="000730F1"/>
    <w:rsid w:val="00087B1E"/>
    <w:rsid w:val="00090908"/>
    <w:rsid w:val="000935EF"/>
    <w:rsid w:val="00094335"/>
    <w:rsid w:val="000976D1"/>
    <w:rsid w:val="000A0728"/>
    <w:rsid w:val="000A3BA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E727A"/>
    <w:rsid w:val="000F0F49"/>
    <w:rsid w:val="000F1295"/>
    <w:rsid w:val="000F1BF3"/>
    <w:rsid w:val="00101C79"/>
    <w:rsid w:val="00105A76"/>
    <w:rsid w:val="00105A7C"/>
    <w:rsid w:val="00110113"/>
    <w:rsid w:val="00111F99"/>
    <w:rsid w:val="0011380E"/>
    <w:rsid w:val="0012138E"/>
    <w:rsid w:val="00123C60"/>
    <w:rsid w:val="00123D14"/>
    <w:rsid w:val="00131443"/>
    <w:rsid w:val="00131662"/>
    <w:rsid w:val="0013204A"/>
    <w:rsid w:val="00133A11"/>
    <w:rsid w:val="00136327"/>
    <w:rsid w:val="00137737"/>
    <w:rsid w:val="00143A7D"/>
    <w:rsid w:val="0014799D"/>
    <w:rsid w:val="0015011A"/>
    <w:rsid w:val="00151535"/>
    <w:rsid w:val="001535BC"/>
    <w:rsid w:val="001545B4"/>
    <w:rsid w:val="00160A1B"/>
    <w:rsid w:val="00160E5D"/>
    <w:rsid w:val="00165DF5"/>
    <w:rsid w:val="00171CCB"/>
    <w:rsid w:val="0017418C"/>
    <w:rsid w:val="00174E73"/>
    <w:rsid w:val="001819AA"/>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4B04"/>
    <w:rsid w:val="001F683C"/>
    <w:rsid w:val="001F687D"/>
    <w:rsid w:val="002007BA"/>
    <w:rsid w:val="00200BC6"/>
    <w:rsid w:val="0020278B"/>
    <w:rsid w:val="00202E09"/>
    <w:rsid w:val="00202EA7"/>
    <w:rsid w:val="0020486E"/>
    <w:rsid w:val="00207E67"/>
    <w:rsid w:val="00210134"/>
    <w:rsid w:val="0021080C"/>
    <w:rsid w:val="00212817"/>
    <w:rsid w:val="00225C7E"/>
    <w:rsid w:val="00226225"/>
    <w:rsid w:val="00227CB5"/>
    <w:rsid w:val="00230104"/>
    <w:rsid w:val="002325E4"/>
    <w:rsid w:val="00234B05"/>
    <w:rsid w:val="002369B8"/>
    <w:rsid w:val="00236EB2"/>
    <w:rsid w:val="00244732"/>
    <w:rsid w:val="00246ACC"/>
    <w:rsid w:val="0025417A"/>
    <w:rsid w:val="00254DC6"/>
    <w:rsid w:val="00261A57"/>
    <w:rsid w:val="00261BD3"/>
    <w:rsid w:val="00272D93"/>
    <w:rsid w:val="00273291"/>
    <w:rsid w:val="00274F72"/>
    <w:rsid w:val="00275DF2"/>
    <w:rsid w:val="00281694"/>
    <w:rsid w:val="0028229D"/>
    <w:rsid w:val="002833D9"/>
    <w:rsid w:val="00285169"/>
    <w:rsid w:val="002914C4"/>
    <w:rsid w:val="002938AB"/>
    <w:rsid w:val="00294130"/>
    <w:rsid w:val="00294FCA"/>
    <w:rsid w:val="002A10EA"/>
    <w:rsid w:val="002A4103"/>
    <w:rsid w:val="002A5006"/>
    <w:rsid w:val="002A5E6B"/>
    <w:rsid w:val="002B2730"/>
    <w:rsid w:val="002B2B9C"/>
    <w:rsid w:val="002B3A28"/>
    <w:rsid w:val="002B7967"/>
    <w:rsid w:val="002C3DD0"/>
    <w:rsid w:val="002C62CF"/>
    <w:rsid w:val="002C72A2"/>
    <w:rsid w:val="002D5A8E"/>
    <w:rsid w:val="002D7D91"/>
    <w:rsid w:val="002E25F4"/>
    <w:rsid w:val="002E3B40"/>
    <w:rsid w:val="002E53B9"/>
    <w:rsid w:val="002F2910"/>
    <w:rsid w:val="002F4192"/>
    <w:rsid w:val="002F67EA"/>
    <w:rsid w:val="002F70E9"/>
    <w:rsid w:val="002F71DB"/>
    <w:rsid w:val="00300754"/>
    <w:rsid w:val="003018DB"/>
    <w:rsid w:val="00301CA8"/>
    <w:rsid w:val="003035E8"/>
    <w:rsid w:val="00303609"/>
    <w:rsid w:val="00303EFB"/>
    <w:rsid w:val="003045E2"/>
    <w:rsid w:val="00307FC5"/>
    <w:rsid w:val="0031325C"/>
    <w:rsid w:val="003146D9"/>
    <w:rsid w:val="00320393"/>
    <w:rsid w:val="003242A9"/>
    <w:rsid w:val="00325BC2"/>
    <w:rsid w:val="00325EB2"/>
    <w:rsid w:val="00332E13"/>
    <w:rsid w:val="003341FC"/>
    <w:rsid w:val="003372BE"/>
    <w:rsid w:val="00337C92"/>
    <w:rsid w:val="0034251F"/>
    <w:rsid w:val="003436BF"/>
    <w:rsid w:val="003437A8"/>
    <w:rsid w:val="003441FF"/>
    <w:rsid w:val="00344FA1"/>
    <w:rsid w:val="00347A6E"/>
    <w:rsid w:val="003531F2"/>
    <w:rsid w:val="0035514D"/>
    <w:rsid w:val="00363111"/>
    <w:rsid w:val="0036417A"/>
    <w:rsid w:val="00365815"/>
    <w:rsid w:val="00370ADD"/>
    <w:rsid w:val="003711BA"/>
    <w:rsid w:val="00372BC6"/>
    <w:rsid w:val="00376B4D"/>
    <w:rsid w:val="003815F3"/>
    <w:rsid w:val="003817E6"/>
    <w:rsid w:val="00384AE2"/>
    <w:rsid w:val="003905D6"/>
    <w:rsid w:val="003913CF"/>
    <w:rsid w:val="00391879"/>
    <w:rsid w:val="00394F36"/>
    <w:rsid w:val="00396319"/>
    <w:rsid w:val="003A017D"/>
    <w:rsid w:val="003A063E"/>
    <w:rsid w:val="003A3761"/>
    <w:rsid w:val="003A457D"/>
    <w:rsid w:val="003A4747"/>
    <w:rsid w:val="003A4850"/>
    <w:rsid w:val="003A703E"/>
    <w:rsid w:val="003A723F"/>
    <w:rsid w:val="003A772F"/>
    <w:rsid w:val="003B0CB7"/>
    <w:rsid w:val="003B6ACC"/>
    <w:rsid w:val="003B6D47"/>
    <w:rsid w:val="003C070A"/>
    <w:rsid w:val="003C218D"/>
    <w:rsid w:val="003C3FC1"/>
    <w:rsid w:val="003D0098"/>
    <w:rsid w:val="003D58B2"/>
    <w:rsid w:val="003D5D97"/>
    <w:rsid w:val="003E20A8"/>
    <w:rsid w:val="003E3DEA"/>
    <w:rsid w:val="003E657D"/>
    <w:rsid w:val="003F57F0"/>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525E"/>
    <w:rsid w:val="00447E3D"/>
    <w:rsid w:val="00454193"/>
    <w:rsid w:val="00454504"/>
    <w:rsid w:val="00457BC3"/>
    <w:rsid w:val="00464432"/>
    <w:rsid w:val="00464787"/>
    <w:rsid w:val="00471029"/>
    <w:rsid w:val="004742CF"/>
    <w:rsid w:val="00475425"/>
    <w:rsid w:val="00475879"/>
    <w:rsid w:val="00481405"/>
    <w:rsid w:val="004815E5"/>
    <w:rsid w:val="004825CA"/>
    <w:rsid w:val="004A2467"/>
    <w:rsid w:val="004A34B5"/>
    <w:rsid w:val="004A5EE0"/>
    <w:rsid w:val="004B6441"/>
    <w:rsid w:val="004B698A"/>
    <w:rsid w:val="004B701F"/>
    <w:rsid w:val="004B7AFB"/>
    <w:rsid w:val="004B7B72"/>
    <w:rsid w:val="004C5399"/>
    <w:rsid w:val="004C5E0F"/>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2B6B"/>
    <w:rsid w:val="005953B0"/>
    <w:rsid w:val="00596FF4"/>
    <w:rsid w:val="005A19C2"/>
    <w:rsid w:val="005A19CB"/>
    <w:rsid w:val="005A1D76"/>
    <w:rsid w:val="005A233C"/>
    <w:rsid w:val="005A71E6"/>
    <w:rsid w:val="005B0619"/>
    <w:rsid w:val="005B25BE"/>
    <w:rsid w:val="005B3498"/>
    <w:rsid w:val="005B4B9E"/>
    <w:rsid w:val="005C04A2"/>
    <w:rsid w:val="005C18FE"/>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F38"/>
    <w:rsid w:val="00607A17"/>
    <w:rsid w:val="006106F1"/>
    <w:rsid w:val="00622E87"/>
    <w:rsid w:val="006254BD"/>
    <w:rsid w:val="006321E9"/>
    <w:rsid w:val="00642CA3"/>
    <w:rsid w:val="006439AA"/>
    <w:rsid w:val="00651A1C"/>
    <w:rsid w:val="00655694"/>
    <w:rsid w:val="00655E68"/>
    <w:rsid w:val="006633DB"/>
    <w:rsid w:val="00663C28"/>
    <w:rsid w:val="006701D5"/>
    <w:rsid w:val="00670BF4"/>
    <w:rsid w:val="0067125E"/>
    <w:rsid w:val="00673325"/>
    <w:rsid w:val="00675BB3"/>
    <w:rsid w:val="006769F9"/>
    <w:rsid w:val="00680408"/>
    <w:rsid w:val="00683123"/>
    <w:rsid w:val="00683FE3"/>
    <w:rsid w:val="0068445E"/>
    <w:rsid w:val="00685FB5"/>
    <w:rsid w:val="006862DF"/>
    <w:rsid w:val="00692CED"/>
    <w:rsid w:val="006938F1"/>
    <w:rsid w:val="00693A74"/>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4705"/>
    <w:rsid w:val="0070487E"/>
    <w:rsid w:val="0070702A"/>
    <w:rsid w:val="007121E9"/>
    <w:rsid w:val="007167C9"/>
    <w:rsid w:val="0072012D"/>
    <w:rsid w:val="00721D14"/>
    <w:rsid w:val="007221B7"/>
    <w:rsid w:val="00722F1E"/>
    <w:rsid w:val="00731311"/>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5103"/>
    <w:rsid w:val="00785D84"/>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0123"/>
    <w:rsid w:val="007E2C13"/>
    <w:rsid w:val="007E2F31"/>
    <w:rsid w:val="007E5629"/>
    <w:rsid w:val="007E7731"/>
    <w:rsid w:val="007F076C"/>
    <w:rsid w:val="007F51F2"/>
    <w:rsid w:val="007F575A"/>
    <w:rsid w:val="007F61A6"/>
    <w:rsid w:val="008040A8"/>
    <w:rsid w:val="00806C56"/>
    <w:rsid w:val="00810847"/>
    <w:rsid w:val="00810CA9"/>
    <w:rsid w:val="00812EC6"/>
    <w:rsid w:val="008139C0"/>
    <w:rsid w:val="0081783D"/>
    <w:rsid w:val="008441FE"/>
    <w:rsid w:val="0086257F"/>
    <w:rsid w:val="00865DD0"/>
    <w:rsid w:val="00865F09"/>
    <w:rsid w:val="00866F8D"/>
    <w:rsid w:val="00871CDC"/>
    <w:rsid w:val="008751AB"/>
    <w:rsid w:val="008755C5"/>
    <w:rsid w:val="00884005"/>
    <w:rsid w:val="00884042"/>
    <w:rsid w:val="00885437"/>
    <w:rsid w:val="00887561"/>
    <w:rsid w:val="00887CC4"/>
    <w:rsid w:val="008914FB"/>
    <w:rsid w:val="00891C05"/>
    <w:rsid w:val="00892D58"/>
    <w:rsid w:val="00893B59"/>
    <w:rsid w:val="008A35F2"/>
    <w:rsid w:val="008A7BFE"/>
    <w:rsid w:val="008B0638"/>
    <w:rsid w:val="008B301A"/>
    <w:rsid w:val="008B3265"/>
    <w:rsid w:val="008B63B3"/>
    <w:rsid w:val="008B77B0"/>
    <w:rsid w:val="008C04D4"/>
    <w:rsid w:val="008C148F"/>
    <w:rsid w:val="008C6517"/>
    <w:rsid w:val="008C74BF"/>
    <w:rsid w:val="008D41F4"/>
    <w:rsid w:val="008D685F"/>
    <w:rsid w:val="008D7CFA"/>
    <w:rsid w:val="008E0CA3"/>
    <w:rsid w:val="008E1A0A"/>
    <w:rsid w:val="008E2EBC"/>
    <w:rsid w:val="008E6320"/>
    <w:rsid w:val="008F34BD"/>
    <w:rsid w:val="008F66B5"/>
    <w:rsid w:val="00900D0A"/>
    <w:rsid w:val="0090511E"/>
    <w:rsid w:val="00906ED1"/>
    <w:rsid w:val="009100F8"/>
    <w:rsid w:val="00911515"/>
    <w:rsid w:val="009116BD"/>
    <w:rsid w:val="00911A56"/>
    <w:rsid w:val="00912377"/>
    <w:rsid w:val="00914BB9"/>
    <w:rsid w:val="00914DF9"/>
    <w:rsid w:val="00920D7A"/>
    <w:rsid w:val="00936137"/>
    <w:rsid w:val="0094091E"/>
    <w:rsid w:val="00945E4C"/>
    <w:rsid w:val="00945ED8"/>
    <w:rsid w:val="00946A67"/>
    <w:rsid w:val="009549AE"/>
    <w:rsid w:val="009552C2"/>
    <w:rsid w:val="009555BC"/>
    <w:rsid w:val="009612F7"/>
    <w:rsid w:val="00965A85"/>
    <w:rsid w:val="00966040"/>
    <w:rsid w:val="00966299"/>
    <w:rsid w:val="00967429"/>
    <w:rsid w:val="00975D7E"/>
    <w:rsid w:val="009806C7"/>
    <w:rsid w:val="009808AC"/>
    <w:rsid w:val="00983317"/>
    <w:rsid w:val="00983F35"/>
    <w:rsid w:val="009840A5"/>
    <w:rsid w:val="00986DBA"/>
    <w:rsid w:val="009907A3"/>
    <w:rsid w:val="009924E0"/>
    <w:rsid w:val="009945CA"/>
    <w:rsid w:val="009A48CE"/>
    <w:rsid w:val="009A79E6"/>
    <w:rsid w:val="009B020D"/>
    <w:rsid w:val="009B05DB"/>
    <w:rsid w:val="009B485E"/>
    <w:rsid w:val="009B6412"/>
    <w:rsid w:val="009B666D"/>
    <w:rsid w:val="009C1A29"/>
    <w:rsid w:val="009C3E54"/>
    <w:rsid w:val="009D12A3"/>
    <w:rsid w:val="009D12C5"/>
    <w:rsid w:val="009D13EE"/>
    <w:rsid w:val="009D327E"/>
    <w:rsid w:val="009D3D53"/>
    <w:rsid w:val="009D404E"/>
    <w:rsid w:val="009D55C8"/>
    <w:rsid w:val="009D5C16"/>
    <w:rsid w:val="009E0CB1"/>
    <w:rsid w:val="009E20A3"/>
    <w:rsid w:val="009E7A30"/>
    <w:rsid w:val="009F1166"/>
    <w:rsid w:val="009F2BFB"/>
    <w:rsid w:val="009F4CEC"/>
    <w:rsid w:val="009F51A8"/>
    <w:rsid w:val="00A005EF"/>
    <w:rsid w:val="00A040AC"/>
    <w:rsid w:val="00A06583"/>
    <w:rsid w:val="00A077AE"/>
    <w:rsid w:val="00A11AEC"/>
    <w:rsid w:val="00A1546F"/>
    <w:rsid w:val="00A1567A"/>
    <w:rsid w:val="00A205A2"/>
    <w:rsid w:val="00A2263A"/>
    <w:rsid w:val="00A228E4"/>
    <w:rsid w:val="00A254AE"/>
    <w:rsid w:val="00A2665A"/>
    <w:rsid w:val="00A3031B"/>
    <w:rsid w:val="00A31AB9"/>
    <w:rsid w:val="00A402FE"/>
    <w:rsid w:val="00A4045A"/>
    <w:rsid w:val="00A406BC"/>
    <w:rsid w:val="00A477D1"/>
    <w:rsid w:val="00A524B5"/>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5676"/>
    <w:rsid w:val="00AA5B02"/>
    <w:rsid w:val="00AB276E"/>
    <w:rsid w:val="00AB37C6"/>
    <w:rsid w:val="00AB4EEA"/>
    <w:rsid w:val="00AB5F90"/>
    <w:rsid w:val="00AC1A53"/>
    <w:rsid w:val="00AC384B"/>
    <w:rsid w:val="00AC3AC1"/>
    <w:rsid w:val="00AC48E5"/>
    <w:rsid w:val="00AD01D9"/>
    <w:rsid w:val="00AD0B65"/>
    <w:rsid w:val="00AD1BA2"/>
    <w:rsid w:val="00AD21FE"/>
    <w:rsid w:val="00AD6D2B"/>
    <w:rsid w:val="00AE01E8"/>
    <w:rsid w:val="00AE2E02"/>
    <w:rsid w:val="00AF0CF1"/>
    <w:rsid w:val="00AF3545"/>
    <w:rsid w:val="00AF6AC9"/>
    <w:rsid w:val="00B02931"/>
    <w:rsid w:val="00B048EE"/>
    <w:rsid w:val="00B05C27"/>
    <w:rsid w:val="00B06A9F"/>
    <w:rsid w:val="00B13229"/>
    <w:rsid w:val="00B15E45"/>
    <w:rsid w:val="00B20E5C"/>
    <w:rsid w:val="00B213D2"/>
    <w:rsid w:val="00B21ED4"/>
    <w:rsid w:val="00B24D65"/>
    <w:rsid w:val="00B3130F"/>
    <w:rsid w:val="00B3399A"/>
    <w:rsid w:val="00B348CF"/>
    <w:rsid w:val="00B37256"/>
    <w:rsid w:val="00B505CF"/>
    <w:rsid w:val="00B52D80"/>
    <w:rsid w:val="00B5379B"/>
    <w:rsid w:val="00B5677B"/>
    <w:rsid w:val="00B56C5A"/>
    <w:rsid w:val="00B61931"/>
    <w:rsid w:val="00B64855"/>
    <w:rsid w:val="00B650A9"/>
    <w:rsid w:val="00B6696F"/>
    <w:rsid w:val="00B66CC6"/>
    <w:rsid w:val="00B70FB2"/>
    <w:rsid w:val="00B773E0"/>
    <w:rsid w:val="00B837C5"/>
    <w:rsid w:val="00B87752"/>
    <w:rsid w:val="00B92CF5"/>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1BC"/>
    <w:rsid w:val="00BE49F7"/>
    <w:rsid w:val="00BE7964"/>
    <w:rsid w:val="00BF0EC3"/>
    <w:rsid w:val="00BF6304"/>
    <w:rsid w:val="00BF644B"/>
    <w:rsid w:val="00C00A3A"/>
    <w:rsid w:val="00C01F80"/>
    <w:rsid w:val="00C0243B"/>
    <w:rsid w:val="00C1049A"/>
    <w:rsid w:val="00C107CE"/>
    <w:rsid w:val="00C13DE3"/>
    <w:rsid w:val="00C14DC6"/>
    <w:rsid w:val="00C20DCE"/>
    <w:rsid w:val="00C3030B"/>
    <w:rsid w:val="00C34EC6"/>
    <w:rsid w:val="00C3711A"/>
    <w:rsid w:val="00C4536B"/>
    <w:rsid w:val="00C47F4E"/>
    <w:rsid w:val="00C50C6B"/>
    <w:rsid w:val="00C5289B"/>
    <w:rsid w:val="00C6044B"/>
    <w:rsid w:val="00C60796"/>
    <w:rsid w:val="00C6219F"/>
    <w:rsid w:val="00C641E9"/>
    <w:rsid w:val="00C644F5"/>
    <w:rsid w:val="00C7641A"/>
    <w:rsid w:val="00C80FAC"/>
    <w:rsid w:val="00C8302D"/>
    <w:rsid w:val="00C84DE2"/>
    <w:rsid w:val="00C86B99"/>
    <w:rsid w:val="00C87D58"/>
    <w:rsid w:val="00C87D6D"/>
    <w:rsid w:val="00C92574"/>
    <w:rsid w:val="00C9718A"/>
    <w:rsid w:val="00CA13F9"/>
    <w:rsid w:val="00CA6149"/>
    <w:rsid w:val="00CA6D69"/>
    <w:rsid w:val="00CA738F"/>
    <w:rsid w:val="00CA7512"/>
    <w:rsid w:val="00CB241F"/>
    <w:rsid w:val="00CB61CE"/>
    <w:rsid w:val="00CB6BB7"/>
    <w:rsid w:val="00CC1802"/>
    <w:rsid w:val="00CC47B5"/>
    <w:rsid w:val="00CE146F"/>
    <w:rsid w:val="00CE1B6E"/>
    <w:rsid w:val="00CE298D"/>
    <w:rsid w:val="00CE5B13"/>
    <w:rsid w:val="00CE6114"/>
    <w:rsid w:val="00CF0BD1"/>
    <w:rsid w:val="00D01B68"/>
    <w:rsid w:val="00D17F20"/>
    <w:rsid w:val="00D40CC3"/>
    <w:rsid w:val="00D4509F"/>
    <w:rsid w:val="00D47BED"/>
    <w:rsid w:val="00D501D9"/>
    <w:rsid w:val="00D50FBE"/>
    <w:rsid w:val="00D52ABC"/>
    <w:rsid w:val="00D5344E"/>
    <w:rsid w:val="00D535E6"/>
    <w:rsid w:val="00D6167E"/>
    <w:rsid w:val="00D67580"/>
    <w:rsid w:val="00D70054"/>
    <w:rsid w:val="00D728E9"/>
    <w:rsid w:val="00D73447"/>
    <w:rsid w:val="00D75418"/>
    <w:rsid w:val="00D76FA8"/>
    <w:rsid w:val="00D90744"/>
    <w:rsid w:val="00D92E9F"/>
    <w:rsid w:val="00D934F2"/>
    <w:rsid w:val="00DA37E3"/>
    <w:rsid w:val="00DA39DA"/>
    <w:rsid w:val="00DA3E5E"/>
    <w:rsid w:val="00DA7651"/>
    <w:rsid w:val="00DB2FA1"/>
    <w:rsid w:val="00DB5C0F"/>
    <w:rsid w:val="00DB6B80"/>
    <w:rsid w:val="00DC5127"/>
    <w:rsid w:val="00DC6348"/>
    <w:rsid w:val="00DC7B87"/>
    <w:rsid w:val="00DD44CA"/>
    <w:rsid w:val="00DD47E2"/>
    <w:rsid w:val="00DD6338"/>
    <w:rsid w:val="00DE0CAB"/>
    <w:rsid w:val="00DE18A3"/>
    <w:rsid w:val="00DE1B57"/>
    <w:rsid w:val="00DE4672"/>
    <w:rsid w:val="00DF4569"/>
    <w:rsid w:val="00DF61FC"/>
    <w:rsid w:val="00DF78FB"/>
    <w:rsid w:val="00E0685C"/>
    <w:rsid w:val="00E076C0"/>
    <w:rsid w:val="00E11599"/>
    <w:rsid w:val="00E173FB"/>
    <w:rsid w:val="00E21F98"/>
    <w:rsid w:val="00E24CC5"/>
    <w:rsid w:val="00E275C2"/>
    <w:rsid w:val="00E34853"/>
    <w:rsid w:val="00E37B6C"/>
    <w:rsid w:val="00E413C6"/>
    <w:rsid w:val="00E41BB7"/>
    <w:rsid w:val="00E43DDB"/>
    <w:rsid w:val="00E44261"/>
    <w:rsid w:val="00E45544"/>
    <w:rsid w:val="00E553D5"/>
    <w:rsid w:val="00E55D00"/>
    <w:rsid w:val="00E56D8F"/>
    <w:rsid w:val="00E57D32"/>
    <w:rsid w:val="00E627AE"/>
    <w:rsid w:val="00E65216"/>
    <w:rsid w:val="00E74099"/>
    <w:rsid w:val="00E751A1"/>
    <w:rsid w:val="00E82E42"/>
    <w:rsid w:val="00E838E3"/>
    <w:rsid w:val="00E84720"/>
    <w:rsid w:val="00E93E97"/>
    <w:rsid w:val="00EA09F8"/>
    <w:rsid w:val="00EA180F"/>
    <w:rsid w:val="00EA599B"/>
    <w:rsid w:val="00EA61ED"/>
    <w:rsid w:val="00EB0715"/>
    <w:rsid w:val="00EB1337"/>
    <w:rsid w:val="00EB57C4"/>
    <w:rsid w:val="00EB6E31"/>
    <w:rsid w:val="00EC0AD0"/>
    <w:rsid w:val="00EC121D"/>
    <w:rsid w:val="00EC1414"/>
    <w:rsid w:val="00EC2618"/>
    <w:rsid w:val="00EC2AFC"/>
    <w:rsid w:val="00EC2CBB"/>
    <w:rsid w:val="00EC5F1C"/>
    <w:rsid w:val="00ED0DDC"/>
    <w:rsid w:val="00ED0DEE"/>
    <w:rsid w:val="00ED156A"/>
    <w:rsid w:val="00ED5F5C"/>
    <w:rsid w:val="00ED67E0"/>
    <w:rsid w:val="00EE3F01"/>
    <w:rsid w:val="00EE6303"/>
    <w:rsid w:val="00EF2392"/>
    <w:rsid w:val="00F06729"/>
    <w:rsid w:val="00F06766"/>
    <w:rsid w:val="00F06A90"/>
    <w:rsid w:val="00F10244"/>
    <w:rsid w:val="00F118A0"/>
    <w:rsid w:val="00F11CC0"/>
    <w:rsid w:val="00F15672"/>
    <w:rsid w:val="00F17CE2"/>
    <w:rsid w:val="00F20CFE"/>
    <w:rsid w:val="00F20E79"/>
    <w:rsid w:val="00F2255D"/>
    <w:rsid w:val="00F22D1A"/>
    <w:rsid w:val="00F24C41"/>
    <w:rsid w:val="00F35014"/>
    <w:rsid w:val="00F351EC"/>
    <w:rsid w:val="00F3689D"/>
    <w:rsid w:val="00F37CFF"/>
    <w:rsid w:val="00F41B74"/>
    <w:rsid w:val="00F42CDE"/>
    <w:rsid w:val="00F43132"/>
    <w:rsid w:val="00F4476A"/>
    <w:rsid w:val="00F45857"/>
    <w:rsid w:val="00F4742A"/>
    <w:rsid w:val="00F50D8A"/>
    <w:rsid w:val="00F523D2"/>
    <w:rsid w:val="00F5623E"/>
    <w:rsid w:val="00F5711C"/>
    <w:rsid w:val="00F66474"/>
    <w:rsid w:val="00F722BB"/>
    <w:rsid w:val="00F72938"/>
    <w:rsid w:val="00F87D3E"/>
    <w:rsid w:val="00F9192C"/>
    <w:rsid w:val="00F925C5"/>
    <w:rsid w:val="00FA346F"/>
    <w:rsid w:val="00FA5F66"/>
    <w:rsid w:val="00FC0576"/>
    <w:rsid w:val="00FC3A08"/>
    <w:rsid w:val="00FC4C10"/>
    <w:rsid w:val="00FD0099"/>
    <w:rsid w:val="00FD05D4"/>
    <w:rsid w:val="00FD3B0A"/>
    <w:rsid w:val="00FD4ABD"/>
    <w:rsid w:val="00FD6B67"/>
    <w:rsid w:val="00FE3BBF"/>
    <w:rsid w:val="00FF0667"/>
    <w:rsid w:val="00FF0769"/>
    <w:rsid w:val="00FF08DF"/>
    <w:rsid w:val="00FF33F2"/>
    <w:rsid w:val="00FF6CCA"/>
    <w:rsid w:val="233CE29A"/>
    <w:rsid w:val="2A68C290"/>
    <w:rsid w:val="31F006EF"/>
    <w:rsid w:val="7EEAE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C8CB74"/>
  <w15:docId w15:val="{A5402161-DC02-465F-BCD8-5A953B32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592B6B"/>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Strong">
    <w:name w:val="Strong"/>
    <w:basedOn w:val="DefaultParagraphFont"/>
    <w:qFormat/>
    <w:rsid w:val="00B773E0"/>
    <w:rPr>
      <w:b/>
      <w:bCs/>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592B6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s://www.greatermanchester-ca.gov.uk/info/20067/greater_manchester_strateg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neweconomymanchester.com/stories/1775-greater_manchester_forecasting_mode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90825-89A7-48AA-B907-5275BD776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59422633-F13F-47D0-9B5D-4E2089C7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3384</Words>
  <Characters>19291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4</cp:revision>
  <cp:lastPrinted>2016-04-05T16:34:00Z</cp:lastPrinted>
  <dcterms:created xsi:type="dcterms:W3CDTF">2016-05-05T12:29:00Z</dcterms:created>
  <dcterms:modified xsi:type="dcterms:W3CDTF">2016-05-05T12:43:00Z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