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3E35" w:rsidRPr="009F3E35" w:rsidRDefault="009F3E35" w:rsidP="009F3E35">
      <w:pPr>
        <w:tabs>
          <w:tab w:val="left" w:pos="567"/>
        </w:tabs>
        <w:spacing w:after="0" w:line="240" w:lineRule="auto"/>
        <w:jc w:val="right"/>
        <w:rPr>
          <w:rFonts w:ascii="Arial" w:eastAsia="Times New Roman" w:hAnsi="Arial" w:cs="Times New Roman"/>
          <w:b/>
          <w:snapToGrid w:val="0"/>
          <w:szCs w:val="20"/>
        </w:rPr>
      </w:pPr>
    </w:p>
    <w:p w:rsidR="009F3E35" w:rsidRPr="009F3E35" w:rsidRDefault="009F3E35" w:rsidP="009F3E35">
      <w:pPr>
        <w:keepNext/>
        <w:spacing w:after="0" w:line="240" w:lineRule="auto"/>
        <w:outlineLvl w:val="0"/>
        <w:rPr>
          <w:rFonts w:ascii="Arial" w:eastAsia="Times New Roman" w:hAnsi="Arial" w:cs="Times New Roman"/>
          <w:b/>
          <w:snapToGrid w:val="0"/>
          <w:szCs w:val="20"/>
        </w:rPr>
      </w:pPr>
      <w:bookmarkStart w:id="0" w:name="_Toc416783113"/>
      <w:bookmarkStart w:id="1" w:name="_Toc465244702"/>
      <w:r w:rsidRPr="009F3E35">
        <w:rPr>
          <w:rFonts w:ascii="Arial" w:eastAsia="Times New Roman" w:hAnsi="Arial" w:cs="Times New Roman"/>
          <w:b/>
          <w:szCs w:val="20"/>
          <w:lang w:eastAsia="en-GB"/>
        </w:rPr>
        <w:t>ANNEX C</w:t>
      </w:r>
      <w:r w:rsidR="00C366AE">
        <w:rPr>
          <w:rFonts w:ascii="Arial" w:eastAsia="Times New Roman" w:hAnsi="Arial" w:cs="Times New Roman"/>
          <w:b/>
          <w:szCs w:val="20"/>
          <w:lang w:eastAsia="en-GB"/>
        </w:rPr>
        <w:t xml:space="preserve"> to DFFS/5072</w:t>
      </w:r>
      <w:r w:rsidRPr="009F3E35">
        <w:rPr>
          <w:rFonts w:ascii="Arial" w:eastAsia="Times New Roman" w:hAnsi="Arial" w:cs="Times New Roman"/>
          <w:b/>
          <w:szCs w:val="20"/>
          <w:lang w:eastAsia="en-GB"/>
        </w:rPr>
        <w:t xml:space="preserve"> – INVITATION TO COMPETE </w:t>
      </w:r>
      <w:bookmarkEnd w:id="0"/>
      <w:r w:rsidRPr="009F3E35">
        <w:rPr>
          <w:rFonts w:ascii="Arial" w:eastAsia="Times New Roman" w:hAnsi="Arial" w:cs="Times New Roman"/>
          <w:b/>
          <w:szCs w:val="20"/>
          <w:lang w:eastAsia="en-GB"/>
        </w:rPr>
        <w:t>(ITC)</w:t>
      </w:r>
      <w:bookmarkEnd w:id="1"/>
    </w:p>
    <w:p w:rsidR="009F3E35" w:rsidRPr="009F3E35" w:rsidRDefault="009F3E35" w:rsidP="009F3E35">
      <w:pPr>
        <w:tabs>
          <w:tab w:val="left" w:pos="567"/>
        </w:tabs>
        <w:spacing w:after="0" w:line="240" w:lineRule="auto"/>
        <w:rPr>
          <w:rFonts w:ascii="Arial" w:eastAsia="Times New Roman" w:hAnsi="Arial" w:cs="Arial"/>
          <w:lang w:eastAsia="en-GB"/>
        </w:rPr>
      </w:pPr>
      <w:r w:rsidRPr="009F3E35">
        <w:rPr>
          <w:rFonts w:ascii="Arial" w:eastAsia="Times New Roman" w:hAnsi="Arial" w:cs="Arial"/>
          <w:lang w:eastAsia="en-GB"/>
        </w:rPr>
        <w:t>ITC No</w:t>
      </w:r>
      <w:r w:rsidR="00D160CE">
        <w:rPr>
          <w:rFonts w:ascii="Arial" w:eastAsia="Times New Roman" w:hAnsi="Arial" w:cs="Arial"/>
          <w:lang w:eastAsia="en-GB"/>
        </w:rPr>
        <w:t xml:space="preserve"> DFFS/5072/00</w:t>
      </w:r>
      <w:r w:rsidR="00370049">
        <w:rPr>
          <w:rFonts w:ascii="Arial" w:eastAsia="Times New Roman" w:hAnsi="Arial" w:cs="Arial"/>
          <w:lang w:eastAsia="en-GB"/>
        </w:rPr>
        <w:t>39</w:t>
      </w:r>
    </w:p>
    <w:p w:rsidR="009F3E35" w:rsidRPr="009F3E35" w:rsidRDefault="009F3E35" w:rsidP="009F3E35">
      <w:pPr>
        <w:tabs>
          <w:tab w:val="left" w:pos="567"/>
        </w:tabs>
        <w:spacing w:after="0" w:line="240" w:lineRule="auto"/>
        <w:rPr>
          <w:rFonts w:ascii="Arial" w:eastAsia="Times New Roman" w:hAnsi="Arial" w:cs="Arial"/>
          <w:lang w:eastAsia="en-GB"/>
        </w:rPr>
      </w:pPr>
      <w:r w:rsidRPr="009F3E35">
        <w:rPr>
          <w:rFonts w:ascii="Arial" w:eastAsia="Times New Roman" w:hAnsi="Arial" w:cs="Arial"/>
          <w:lang w:eastAsia="en-GB"/>
        </w:rPr>
        <w:t>Dated</w:t>
      </w:r>
      <w:r w:rsidR="003332DD">
        <w:rPr>
          <w:rFonts w:ascii="Arial" w:eastAsia="Times New Roman" w:hAnsi="Arial" w:cs="Arial"/>
          <w:lang w:eastAsia="en-GB"/>
        </w:rPr>
        <w:t xml:space="preserve"> </w:t>
      </w:r>
      <w:r w:rsidR="00370049">
        <w:rPr>
          <w:rFonts w:ascii="Arial" w:eastAsia="Times New Roman" w:hAnsi="Arial" w:cs="Arial"/>
          <w:lang w:eastAsia="en-GB"/>
        </w:rPr>
        <w:t>20 June</w:t>
      </w:r>
      <w:r w:rsidR="00D160CE">
        <w:rPr>
          <w:rFonts w:ascii="Arial" w:eastAsia="Times New Roman" w:hAnsi="Arial" w:cs="Arial"/>
          <w:lang w:eastAsia="en-GB"/>
        </w:rPr>
        <w:t xml:space="preserve"> 2018</w:t>
      </w:r>
    </w:p>
    <w:p w:rsidR="009F3E35" w:rsidRPr="009F3E35" w:rsidRDefault="009F3E35" w:rsidP="009F3E35">
      <w:pPr>
        <w:tabs>
          <w:tab w:val="left" w:pos="567"/>
        </w:tabs>
        <w:spacing w:after="0" w:line="240" w:lineRule="auto"/>
        <w:rPr>
          <w:rFonts w:ascii="Arial" w:eastAsia="Times New Roman" w:hAnsi="Arial" w:cs="Arial"/>
          <w:lang w:eastAsia="en-GB"/>
        </w:rPr>
      </w:pPr>
    </w:p>
    <w:p w:rsidR="009F3E35" w:rsidRPr="009F3E35" w:rsidRDefault="009F3E35" w:rsidP="009F3E35">
      <w:pPr>
        <w:tabs>
          <w:tab w:val="left" w:pos="567"/>
        </w:tabs>
        <w:spacing w:after="0" w:line="240" w:lineRule="auto"/>
        <w:rPr>
          <w:rFonts w:ascii="Arial" w:eastAsia="Times New Roman" w:hAnsi="Arial" w:cs="Arial"/>
          <w:lang w:eastAsia="en-GB"/>
        </w:rPr>
      </w:pPr>
      <w:r w:rsidRPr="009F3E35">
        <w:rPr>
          <w:rFonts w:ascii="Arial" w:eastAsia="Times New Roman" w:hAnsi="Arial" w:cs="Arial"/>
          <w:lang w:eastAsia="en-GB"/>
        </w:rPr>
        <w:t>INVITATION TO COMPETE (ITC)</w:t>
      </w:r>
    </w:p>
    <w:p w:rsidR="009F3E35" w:rsidRPr="009F3E35" w:rsidRDefault="009F3E35" w:rsidP="009F3E35">
      <w:pPr>
        <w:tabs>
          <w:tab w:val="left" w:pos="567"/>
        </w:tabs>
        <w:spacing w:after="0" w:line="240" w:lineRule="auto"/>
        <w:rPr>
          <w:rFonts w:ascii="Arial" w:eastAsia="Times New Roman" w:hAnsi="Arial" w:cs="Arial"/>
          <w:lang w:eastAsia="en-GB"/>
        </w:rPr>
      </w:pPr>
    </w:p>
    <w:p w:rsidR="009F3E35" w:rsidRPr="009F3E35" w:rsidRDefault="009F3E35" w:rsidP="009F3E35">
      <w:pPr>
        <w:tabs>
          <w:tab w:val="left" w:pos="567"/>
        </w:tabs>
        <w:spacing w:after="0" w:line="240" w:lineRule="auto"/>
        <w:rPr>
          <w:rFonts w:ascii="Arial" w:eastAsia="Times New Roman" w:hAnsi="Arial" w:cs="Arial"/>
          <w:lang w:eastAsia="en-GB"/>
        </w:rPr>
      </w:pPr>
      <w:r w:rsidRPr="009F3E35">
        <w:rPr>
          <w:rFonts w:ascii="Arial" w:eastAsia="Times New Roman" w:hAnsi="Arial" w:cs="Arial"/>
          <w:lang w:eastAsia="en-GB"/>
        </w:rPr>
        <w:t>You are invited to compete for the requirement detailed below under the Terms and Conditions of the Framework Agreement DFFS/5072, in accordance with the ITC process detailed at Clauses 10, 11 and 12 of the Framework Agreement.</w:t>
      </w:r>
    </w:p>
    <w:p w:rsidR="009F3E35" w:rsidRPr="009F3E35" w:rsidRDefault="009F3E35" w:rsidP="009F3E35">
      <w:pPr>
        <w:tabs>
          <w:tab w:val="left" w:pos="567"/>
        </w:tabs>
        <w:spacing w:after="0" w:line="240" w:lineRule="auto"/>
        <w:rPr>
          <w:rFonts w:ascii="Arial" w:eastAsia="Times New Roman" w:hAnsi="Arial" w:cs="Arial"/>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2"/>
        <w:gridCol w:w="5934"/>
      </w:tblGrid>
      <w:tr w:rsidR="009F3E35" w:rsidRPr="009F3E35" w:rsidTr="004F1FA3">
        <w:tc>
          <w:tcPr>
            <w:tcW w:w="5000" w:type="pct"/>
            <w:gridSpan w:val="2"/>
            <w:shd w:val="clear" w:color="auto" w:fill="BFBFBF"/>
          </w:tcPr>
          <w:p w:rsidR="009F3E35" w:rsidRPr="009F3E35" w:rsidRDefault="009F3E35" w:rsidP="009F3E35">
            <w:pPr>
              <w:tabs>
                <w:tab w:val="left" w:pos="567"/>
              </w:tabs>
              <w:spacing w:after="0" w:line="240" w:lineRule="auto"/>
              <w:jc w:val="center"/>
              <w:rPr>
                <w:rFonts w:ascii="Arial" w:eastAsia="Times New Roman" w:hAnsi="Arial" w:cs="Arial"/>
                <w:lang w:eastAsia="en-GB"/>
              </w:rPr>
            </w:pPr>
            <w:r w:rsidRPr="009F3E35">
              <w:rPr>
                <w:rFonts w:ascii="Arial" w:eastAsia="Times New Roman" w:hAnsi="Arial" w:cs="Arial"/>
                <w:b/>
                <w:lang w:eastAsia="en-GB"/>
              </w:rPr>
              <w:t>REQUIREMENT</w:t>
            </w:r>
          </w:p>
        </w:tc>
      </w:tr>
      <w:tr w:rsidR="009F3E35" w:rsidRPr="009F3E35" w:rsidTr="004F1FA3">
        <w:tc>
          <w:tcPr>
            <w:tcW w:w="1709" w:type="pct"/>
            <w:shd w:val="clear" w:color="auto" w:fill="auto"/>
          </w:tcPr>
          <w:p w:rsidR="009F3E35" w:rsidRPr="009F3E35" w:rsidRDefault="009F3E35" w:rsidP="009F3E35">
            <w:pPr>
              <w:tabs>
                <w:tab w:val="left" w:pos="567"/>
              </w:tabs>
              <w:spacing w:after="0" w:line="240" w:lineRule="auto"/>
              <w:rPr>
                <w:rFonts w:ascii="Arial" w:eastAsia="Times New Roman" w:hAnsi="Arial" w:cs="Arial"/>
                <w:lang w:eastAsia="en-GB"/>
              </w:rPr>
            </w:pPr>
            <w:r w:rsidRPr="009F3E35">
              <w:rPr>
                <w:rFonts w:ascii="Arial" w:eastAsia="Times New Roman" w:hAnsi="Arial" w:cs="Arial"/>
                <w:lang w:eastAsia="en-GB"/>
              </w:rPr>
              <w:t>FUEL TYPE</w:t>
            </w:r>
          </w:p>
        </w:tc>
        <w:tc>
          <w:tcPr>
            <w:tcW w:w="3291" w:type="pct"/>
            <w:shd w:val="clear" w:color="auto" w:fill="auto"/>
          </w:tcPr>
          <w:p w:rsidR="009F3E35" w:rsidRPr="003332DD" w:rsidRDefault="003332DD" w:rsidP="009F3E35">
            <w:pPr>
              <w:tabs>
                <w:tab w:val="left" w:pos="567"/>
              </w:tabs>
              <w:spacing w:after="0" w:line="240" w:lineRule="auto"/>
              <w:rPr>
                <w:rFonts w:ascii="Arial" w:eastAsia="Times New Roman" w:hAnsi="Arial" w:cs="Arial"/>
                <w:b/>
                <w:i/>
                <w:lang w:eastAsia="en-GB"/>
              </w:rPr>
            </w:pPr>
            <w:r w:rsidRPr="003332DD">
              <w:rPr>
                <w:rFonts w:ascii="Arial" w:hAnsi="Arial" w:cs="Arial"/>
                <w:b/>
              </w:rPr>
              <w:t xml:space="preserve">F-35 Aviation Turbine Fuel (Kerosene Type) – Def Stan 91-91, Latest Issue (available at </w:t>
            </w:r>
            <w:hyperlink r:id="rId5" w:history="1">
              <w:r w:rsidRPr="003332DD">
                <w:rPr>
                  <w:rStyle w:val="Hyperlink"/>
                  <w:rFonts w:ascii="Arial" w:hAnsi="Arial" w:cs="Arial"/>
                  <w:b/>
                </w:rPr>
                <w:t>www.dstan.mod.uk</w:t>
              </w:r>
            </w:hyperlink>
            <w:r w:rsidRPr="003332DD">
              <w:rPr>
                <w:rFonts w:ascii="Arial" w:hAnsi="Arial" w:cs="Arial"/>
                <w:b/>
              </w:rPr>
              <w:t>).</w:t>
            </w:r>
          </w:p>
        </w:tc>
      </w:tr>
      <w:tr w:rsidR="009F3E35" w:rsidRPr="009F3E35" w:rsidTr="004F1FA3">
        <w:tc>
          <w:tcPr>
            <w:tcW w:w="1709" w:type="pct"/>
            <w:shd w:val="clear" w:color="auto" w:fill="auto"/>
          </w:tcPr>
          <w:p w:rsidR="009F3E35" w:rsidRPr="009F3E35" w:rsidRDefault="009F3E35" w:rsidP="009F3E35">
            <w:pPr>
              <w:tabs>
                <w:tab w:val="left" w:pos="567"/>
              </w:tabs>
              <w:spacing w:after="0" w:line="240" w:lineRule="auto"/>
              <w:rPr>
                <w:rFonts w:ascii="Arial" w:eastAsia="Times New Roman" w:hAnsi="Arial" w:cs="Arial"/>
                <w:lang w:eastAsia="en-GB"/>
              </w:rPr>
            </w:pPr>
            <w:r w:rsidRPr="009F3E35">
              <w:rPr>
                <w:rFonts w:ascii="Arial" w:eastAsia="Times New Roman" w:hAnsi="Arial" w:cs="Arial"/>
                <w:lang w:eastAsia="en-GB"/>
              </w:rPr>
              <w:t>VOLUME</w:t>
            </w:r>
          </w:p>
        </w:tc>
        <w:tc>
          <w:tcPr>
            <w:tcW w:w="3291" w:type="pct"/>
            <w:shd w:val="clear" w:color="auto" w:fill="auto"/>
          </w:tcPr>
          <w:p w:rsidR="009F3E35" w:rsidRPr="009F3E35" w:rsidRDefault="00370049" w:rsidP="009F3E35">
            <w:pPr>
              <w:tabs>
                <w:tab w:val="left" w:pos="567"/>
              </w:tabs>
              <w:spacing w:after="0" w:line="240" w:lineRule="auto"/>
              <w:rPr>
                <w:rFonts w:ascii="Arial" w:eastAsia="Times New Roman" w:hAnsi="Arial" w:cs="Arial"/>
                <w:b/>
                <w:i/>
                <w:lang w:eastAsia="en-GB"/>
              </w:rPr>
            </w:pPr>
            <w:r>
              <w:rPr>
                <w:rFonts w:ascii="Arial" w:eastAsia="Times New Roman" w:hAnsi="Arial" w:cs="Arial"/>
                <w:b/>
                <w:i/>
                <w:color w:val="FF0000"/>
                <w:lang w:eastAsia="en-GB"/>
              </w:rPr>
              <w:t>15</w:t>
            </w:r>
            <w:r w:rsidR="005D1808" w:rsidRPr="0051484D">
              <w:rPr>
                <w:rFonts w:ascii="Arial" w:eastAsia="Times New Roman" w:hAnsi="Arial" w:cs="Arial"/>
                <w:b/>
                <w:i/>
                <w:color w:val="FF0000"/>
                <w:lang w:eastAsia="en-GB"/>
              </w:rPr>
              <w:t>,000m</w:t>
            </w:r>
            <w:r w:rsidR="003332DD" w:rsidRPr="0051484D">
              <w:rPr>
                <w:rFonts w:ascii="Arial" w:eastAsia="Times New Roman" w:hAnsi="Arial" w:cs="Arial"/>
                <w:b/>
                <w:i/>
                <w:color w:val="FF0000"/>
                <w:vertAlign w:val="superscript"/>
                <w:lang w:eastAsia="en-GB"/>
              </w:rPr>
              <w:t>3</w:t>
            </w:r>
          </w:p>
        </w:tc>
      </w:tr>
      <w:tr w:rsidR="009F3E35" w:rsidRPr="009F3E35" w:rsidTr="004F1FA3">
        <w:tc>
          <w:tcPr>
            <w:tcW w:w="1709" w:type="pct"/>
            <w:shd w:val="clear" w:color="auto" w:fill="auto"/>
          </w:tcPr>
          <w:p w:rsidR="009F3E35" w:rsidRPr="009F3E35" w:rsidRDefault="009F3E35" w:rsidP="009F3E35">
            <w:pPr>
              <w:tabs>
                <w:tab w:val="left" w:pos="567"/>
              </w:tabs>
              <w:spacing w:after="0" w:line="240" w:lineRule="auto"/>
              <w:rPr>
                <w:rFonts w:ascii="Arial" w:eastAsia="Times New Roman" w:hAnsi="Arial" w:cs="Arial"/>
                <w:lang w:eastAsia="en-GB"/>
              </w:rPr>
            </w:pPr>
            <w:r w:rsidRPr="009F3E35">
              <w:rPr>
                <w:rFonts w:ascii="Arial" w:eastAsia="Times New Roman" w:hAnsi="Arial" w:cs="Arial"/>
                <w:lang w:eastAsia="en-GB"/>
              </w:rPr>
              <w:t xml:space="preserve">DELIVERY METHOD/LOCATION </w:t>
            </w:r>
          </w:p>
        </w:tc>
        <w:tc>
          <w:tcPr>
            <w:tcW w:w="3291" w:type="pct"/>
            <w:shd w:val="clear" w:color="auto" w:fill="auto"/>
          </w:tcPr>
          <w:p w:rsidR="00D8526B" w:rsidRPr="00D8526B" w:rsidRDefault="00D8526B" w:rsidP="00D8526B">
            <w:pPr>
              <w:spacing w:before="120" w:after="120"/>
              <w:jc w:val="both"/>
              <w:rPr>
                <w:rFonts w:ascii="Arial" w:hAnsi="Arial" w:cs="Arial"/>
                <w:b/>
              </w:rPr>
            </w:pPr>
            <w:r w:rsidRPr="00D8526B">
              <w:rPr>
                <w:rFonts w:ascii="Arial" w:hAnsi="Arial" w:cs="Arial"/>
                <w:b/>
              </w:rPr>
              <w:t>All items Delivered Duty Paid (DDP).</w:t>
            </w:r>
          </w:p>
          <w:p w:rsidR="00D160CE" w:rsidRDefault="00D8526B" w:rsidP="00D8526B">
            <w:pPr>
              <w:spacing w:before="120" w:after="120"/>
              <w:jc w:val="both"/>
              <w:rPr>
                <w:rFonts w:ascii="Arial" w:hAnsi="Arial" w:cs="Arial"/>
                <w:b/>
                <w:u w:val="single"/>
              </w:rPr>
            </w:pPr>
            <w:r w:rsidRPr="00D8526B">
              <w:rPr>
                <w:rFonts w:ascii="Arial" w:hAnsi="Arial" w:cs="Arial"/>
                <w:b/>
                <w:u w:val="single"/>
              </w:rPr>
              <w:t>Specific amount / destination:</w:t>
            </w:r>
          </w:p>
          <w:p w:rsidR="009F3E35" w:rsidRPr="00D160CE" w:rsidRDefault="009B71FB" w:rsidP="00D8526B">
            <w:pPr>
              <w:spacing w:before="120" w:after="120"/>
              <w:jc w:val="both"/>
              <w:rPr>
                <w:rFonts w:ascii="Arial" w:hAnsi="Arial" w:cs="Arial"/>
                <w:b/>
              </w:rPr>
            </w:pPr>
            <w:r>
              <w:rPr>
                <w:rFonts w:ascii="Arial" w:hAnsi="Arial" w:cs="Arial"/>
                <w:b/>
              </w:rPr>
              <w:t>15</w:t>
            </w:r>
            <w:r w:rsidR="00D8526B" w:rsidRPr="00D160CE">
              <w:rPr>
                <w:rFonts w:ascii="Arial" w:hAnsi="Arial" w:cs="Arial"/>
                <w:b/>
              </w:rPr>
              <w:t xml:space="preserve">,000 m3 of F-35 to be delivered to BFC, </w:t>
            </w:r>
            <w:r w:rsidR="00A80E76">
              <w:rPr>
                <w:rFonts w:ascii="Arial" w:hAnsi="Arial" w:cs="Arial"/>
                <w:b/>
              </w:rPr>
              <w:t xml:space="preserve">RAF </w:t>
            </w:r>
            <w:proofErr w:type="spellStart"/>
            <w:r w:rsidR="00D8526B" w:rsidRPr="00D160CE">
              <w:rPr>
                <w:rFonts w:ascii="Arial" w:hAnsi="Arial" w:cs="Arial"/>
                <w:b/>
              </w:rPr>
              <w:t>Akrotiri</w:t>
            </w:r>
            <w:proofErr w:type="spellEnd"/>
            <w:r w:rsidR="00D8526B" w:rsidRPr="00D160CE">
              <w:rPr>
                <w:rFonts w:ascii="Arial" w:hAnsi="Arial" w:cs="Arial"/>
                <w:b/>
              </w:rPr>
              <w:t>, Cyprus.</w:t>
            </w:r>
          </w:p>
        </w:tc>
      </w:tr>
      <w:tr w:rsidR="009F3E35" w:rsidRPr="009F3E35" w:rsidTr="004F1FA3">
        <w:tc>
          <w:tcPr>
            <w:tcW w:w="1709" w:type="pct"/>
            <w:tcBorders>
              <w:bottom w:val="single" w:sz="4" w:space="0" w:color="auto"/>
            </w:tcBorders>
            <w:shd w:val="clear" w:color="auto" w:fill="auto"/>
          </w:tcPr>
          <w:p w:rsidR="009F3E35" w:rsidRPr="009F3E35" w:rsidRDefault="009F3E35" w:rsidP="009F3E35">
            <w:pPr>
              <w:tabs>
                <w:tab w:val="left" w:pos="567"/>
              </w:tabs>
              <w:spacing w:after="0" w:line="240" w:lineRule="auto"/>
              <w:rPr>
                <w:rFonts w:ascii="Arial" w:eastAsia="Times New Roman" w:hAnsi="Arial" w:cs="Arial"/>
                <w:lang w:eastAsia="en-GB"/>
              </w:rPr>
            </w:pPr>
            <w:r w:rsidRPr="009F3E35">
              <w:rPr>
                <w:rFonts w:ascii="Arial" w:eastAsia="Times New Roman" w:hAnsi="Arial" w:cs="Arial"/>
                <w:lang w:eastAsia="en-GB"/>
              </w:rPr>
              <w:t>LAYCAN / DELIVERY PERIOD</w:t>
            </w:r>
          </w:p>
        </w:tc>
        <w:tc>
          <w:tcPr>
            <w:tcW w:w="3291" w:type="pct"/>
            <w:tcBorders>
              <w:bottom w:val="single" w:sz="4" w:space="0" w:color="auto"/>
            </w:tcBorders>
            <w:shd w:val="clear" w:color="auto" w:fill="auto"/>
          </w:tcPr>
          <w:p w:rsidR="009F3E35" w:rsidRPr="009F3E35" w:rsidRDefault="00705C07" w:rsidP="003675F5">
            <w:pPr>
              <w:tabs>
                <w:tab w:val="left" w:pos="567"/>
              </w:tabs>
              <w:spacing w:after="0" w:line="240" w:lineRule="auto"/>
              <w:rPr>
                <w:rFonts w:ascii="Arial" w:eastAsia="Times New Roman" w:hAnsi="Arial" w:cs="Arial"/>
                <w:b/>
                <w:i/>
                <w:lang w:eastAsia="en-GB"/>
              </w:rPr>
            </w:pPr>
            <w:r>
              <w:rPr>
                <w:rFonts w:ascii="Arial" w:eastAsia="Times New Roman" w:hAnsi="Arial" w:cs="Arial"/>
                <w:b/>
                <w:i/>
                <w:lang w:eastAsia="en-GB"/>
              </w:rPr>
              <w:t xml:space="preserve">REDACTED </w:t>
            </w:r>
            <w:bookmarkStart w:id="2" w:name="_GoBack"/>
            <w:bookmarkEnd w:id="2"/>
            <w:r w:rsidR="00D160CE">
              <w:rPr>
                <w:rFonts w:ascii="Arial" w:eastAsia="Times New Roman" w:hAnsi="Arial" w:cs="Arial"/>
                <w:b/>
                <w:i/>
                <w:lang w:eastAsia="en-GB"/>
              </w:rPr>
              <w:t xml:space="preserve"> </w:t>
            </w:r>
          </w:p>
        </w:tc>
      </w:tr>
      <w:tr w:rsidR="009F3E35" w:rsidRPr="009F3E35" w:rsidTr="004F1FA3">
        <w:tc>
          <w:tcPr>
            <w:tcW w:w="5000" w:type="pct"/>
            <w:gridSpan w:val="2"/>
            <w:shd w:val="clear" w:color="auto" w:fill="BFBFBF"/>
          </w:tcPr>
          <w:p w:rsidR="009F3E35" w:rsidRPr="009F3E35" w:rsidRDefault="009F3E35" w:rsidP="009F3E35">
            <w:pPr>
              <w:tabs>
                <w:tab w:val="left" w:pos="567"/>
              </w:tabs>
              <w:spacing w:after="0" w:line="240" w:lineRule="auto"/>
              <w:jc w:val="center"/>
              <w:rPr>
                <w:rFonts w:ascii="Arial" w:eastAsia="Times New Roman" w:hAnsi="Arial" w:cs="Arial"/>
                <w:b/>
                <w:lang w:eastAsia="en-GB"/>
              </w:rPr>
            </w:pPr>
            <w:r w:rsidRPr="009F3E35">
              <w:rPr>
                <w:rFonts w:ascii="Arial" w:eastAsia="Times New Roman" w:hAnsi="Arial" w:cs="Arial"/>
                <w:b/>
                <w:lang w:eastAsia="en-GB"/>
              </w:rPr>
              <w:t>PRICING</w:t>
            </w:r>
          </w:p>
        </w:tc>
      </w:tr>
      <w:tr w:rsidR="009F3E35" w:rsidRPr="009F3E35" w:rsidTr="004F1FA3">
        <w:tc>
          <w:tcPr>
            <w:tcW w:w="1709" w:type="pct"/>
            <w:shd w:val="clear" w:color="auto" w:fill="auto"/>
          </w:tcPr>
          <w:p w:rsidR="009F3E35" w:rsidRPr="009F3E35" w:rsidRDefault="009F3E35" w:rsidP="009F3E35">
            <w:pPr>
              <w:tabs>
                <w:tab w:val="left" w:pos="567"/>
              </w:tabs>
              <w:spacing w:after="0" w:line="240" w:lineRule="auto"/>
              <w:jc w:val="center"/>
              <w:rPr>
                <w:rFonts w:ascii="Arial" w:eastAsia="Times New Roman" w:hAnsi="Arial" w:cs="Arial"/>
                <w:lang w:eastAsia="en-GB"/>
              </w:rPr>
            </w:pPr>
            <w:r w:rsidRPr="009F3E35">
              <w:rPr>
                <w:rFonts w:ascii="Arial" w:eastAsia="Times New Roman" w:hAnsi="Arial" w:cs="Arial"/>
                <w:lang w:eastAsia="en-GB"/>
              </w:rPr>
              <w:t>PLATTS INDEX</w:t>
            </w:r>
          </w:p>
        </w:tc>
        <w:tc>
          <w:tcPr>
            <w:tcW w:w="3291" w:type="pct"/>
            <w:shd w:val="clear" w:color="auto" w:fill="auto"/>
          </w:tcPr>
          <w:p w:rsidR="003332DD" w:rsidRDefault="003332DD" w:rsidP="003332DD">
            <w:pPr>
              <w:spacing w:before="120" w:after="120"/>
              <w:jc w:val="both"/>
              <w:rPr>
                <w:rFonts w:ascii="Arial" w:hAnsi="Arial" w:cs="Arial"/>
                <w:b/>
              </w:rPr>
            </w:pPr>
            <w:r w:rsidRPr="003332DD">
              <w:rPr>
                <w:rFonts w:ascii="Arial" w:hAnsi="Arial" w:cs="Arial"/>
                <w:b/>
              </w:rPr>
              <w:t>CIF NWE Basis / ARA JET (Code PJAAU00)</w:t>
            </w:r>
          </w:p>
          <w:p w:rsidR="003332DD" w:rsidRDefault="003332DD" w:rsidP="003332DD">
            <w:pPr>
              <w:pStyle w:val="Style5"/>
              <w:numPr>
                <w:ilvl w:val="0"/>
                <w:numId w:val="0"/>
              </w:numPr>
            </w:pPr>
            <w:r>
              <w:t xml:space="preserve">For the purpose of the price competition only, in accordance with clause 3.8 of the Framework Agreement, </w:t>
            </w:r>
            <w:r w:rsidRPr="006460B9">
              <w:t xml:space="preserve">The Authority will calculate an estimated Platts Price, based on the average of the </w:t>
            </w:r>
            <w:r>
              <w:t>‘</w:t>
            </w:r>
            <w:r w:rsidRPr="006460B9">
              <w:t>mean</w:t>
            </w:r>
            <w:r>
              <w:t>’</w:t>
            </w:r>
            <w:r w:rsidRPr="006460B9">
              <w:t xml:space="preserve"> figures published by Platts</w:t>
            </w:r>
            <w:r>
              <w:t xml:space="preserve"> </w:t>
            </w:r>
            <w:proofErr w:type="spellStart"/>
            <w:r>
              <w:t>Marketscan</w:t>
            </w:r>
            <w:proofErr w:type="spellEnd"/>
            <w:r w:rsidRPr="006460B9">
              <w:t xml:space="preserve"> for the month prior to the ITC issue date, for the purpose of estimating the total value of the</w:t>
            </w:r>
            <w:r>
              <w:t xml:space="preserve"> resultant Call-off Contract</w:t>
            </w:r>
            <w:r w:rsidRPr="006852A8">
              <w:t xml:space="preserve">, and to confirm that the total value does not exceed the </w:t>
            </w:r>
            <w:r>
              <w:t xml:space="preserve">Authority’s </w:t>
            </w:r>
            <w:r w:rsidRPr="006852A8">
              <w:t>financial approval limit.</w:t>
            </w:r>
            <w:r>
              <w:t xml:space="preserve">  In the event that the estimated total value of the resultant Call-off Contract exceeds the Authority’s financial approval limit, the Authority reserves the right to cancel the Mini-Competition</w:t>
            </w:r>
            <w:r w:rsidRPr="006460B9">
              <w:t>. The actual Platts Price which will be paid shall be calculated in accordance with Clause 22 – Pricing.</w:t>
            </w:r>
          </w:p>
          <w:p w:rsidR="003332DD" w:rsidRDefault="003332DD" w:rsidP="003332DD">
            <w:pPr>
              <w:spacing w:before="120" w:after="120"/>
              <w:jc w:val="both"/>
            </w:pPr>
          </w:p>
          <w:p w:rsidR="003332DD" w:rsidRDefault="003332DD" w:rsidP="003332DD">
            <w:pPr>
              <w:pStyle w:val="Heading4"/>
              <w:numPr>
                <w:ilvl w:val="0"/>
                <w:numId w:val="0"/>
              </w:numPr>
            </w:pPr>
            <w:r w:rsidRPr="00FE7B01">
              <w:rPr>
                <w:rFonts w:cs="Arial"/>
              </w:rPr>
              <w:t>For the purpose of payment,</w:t>
            </w:r>
            <w:r>
              <w:rPr>
                <w:rFonts w:cs="Arial"/>
              </w:rPr>
              <w:t xml:space="preserve"> in accordance with Clause 22.4</w:t>
            </w:r>
            <w:r w:rsidRPr="00FE7B01">
              <w:rPr>
                <w:rFonts w:cs="Arial"/>
              </w:rPr>
              <w:t xml:space="preserve"> </w:t>
            </w:r>
            <w:r>
              <w:rPr>
                <w:rFonts w:cs="Arial"/>
              </w:rPr>
              <w:t xml:space="preserve">of the Framework Agreement.  </w:t>
            </w:r>
            <w:r w:rsidRPr="006460B9">
              <w:t xml:space="preserve">Each </w:t>
            </w:r>
            <w:r>
              <w:t>Business D</w:t>
            </w:r>
            <w:r w:rsidRPr="006460B9">
              <w:t xml:space="preserve">ay the Platts </w:t>
            </w:r>
            <w:proofErr w:type="spellStart"/>
            <w:r w:rsidRPr="006460B9">
              <w:t>Marketscan</w:t>
            </w:r>
            <w:proofErr w:type="spellEnd"/>
            <w:r w:rsidRPr="006460B9">
              <w:t xml:space="preserve"> publishes </w:t>
            </w:r>
            <w:r>
              <w:t>‘</w:t>
            </w:r>
            <w:r w:rsidRPr="006460B9">
              <w:t>low</w:t>
            </w:r>
            <w:r>
              <w:t>’</w:t>
            </w:r>
            <w:r w:rsidRPr="006460B9">
              <w:t xml:space="preserve">, </w:t>
            </w:r>
            <w:r>
              <w:t>‘</w:t>
            </w:r>
            <w:r w:rsidRPr="006460B9">
              <w:t>high</w:t>
            </w:r>
            <w:r>
              <w:t>’</w:t>
            </w:r>
            <w:r w:rsidRPr="006460B9">
              <w:t xml:space="preserve"> and </w:t>
            </w:r>
            <w:r>
              <w:t>‘</w:t>
            </w:r>
            <w:r w:rsidRPr="006460B9">
              <w:t>mean</w:t>
            </w:r>
            <w:r>
              <w:t>’</w:t>
            </w:r>
            <w:r w:rsidRPr="006460B9">
              <w:t xml:space="preserve"> figures for each Platts Index.  The relevant Platts Index will be detailed in the ITC and the Call-off Contract</w:t>
            </w:r>
            <w:r>
              <w:t>.</w:t>
            </w:r>
            <w:r w:rsidRPr="006460B9">
              <w:t xml:space="preserve"> </w:t>
            </w:r>
            <w:r>
              <w:t>T</w:t>
            </w:r>
            <w:r w:rsidRPr="006460B9">
              <w:t>he Platts Price shall be calculated by taking the average of the</w:t>
            </w:r>
            <w:r w:rsidRPr="00CB7D5D">
              <w:t xml:space="preserve"> </w:t>
            </w:r>
            <w:r>
              <w:t>published</w:t>
            </w:r>
            <w:r w:rsidRPr="006460B9">
              <w:t xml:space="preserve"> </w:t>
            </w:r>
            <w:r>
              <w:t>‘</w:t>
            </w:r>
            <w:r w:rsidRPr="006460B9">
              <w:t>mean</w:t>
            </w:r>
            <w:r>
              <w:t>’</w:t>
            </w:r>
            <w:r w:rsidRPr="006460B9">
              <w:t xml:space="preserve"> figures for this Platts Index for the month prior to delivery (M-1</w:t>
            </w:r>
            <w:r>
              <w:t xml:space="preserve"> – see Definitions</w:t>
            </w:r>
            <w:r w:rsidRPr="006460B9">
              <w:t xml:space="preserve">).  </w:t>
            </w:r>
          </w:p>
          <w:p w:rsidR="003675F5" w:rsidRDefault="003675F5" w:rsidP="003675F5">
            <w:pPr>
              <w:rPr>
                <w:lang w:eastAsia="en-GB"/>
              </w:rPr>
            </w:pPr>
          </w:p>
          <w:p w:rsidR="009F3E35" w:rsidRDefault="009F3E35" w:rsidP="003332DD">
            <w:pPr>
              <w:spacing w:before="120" w:after="120"/>
              <w:jc w:val="both"/>
              <w:rPr>
                <w:lang w:eastAsia="en-GB"/>
              </w:rPr>
            </w:pPr>
          </w:p>
          <w:p w:rsidR="003675F5" w:rsidRPr="009F3E35" w:rsidRDefault="003675F5" w:rsidP="003332DD">
            <w:pPr>
              <w:spacing w:before="120" w:after="120"/>
              <w:jc w:val="both"/>
              <w:rPr>
                <w:rFonts w:ascii="Arial" w:eastAsia="Times New Roman" w:hAnsi="Arial" w:cs="Arial"/>
                <w:b/>
                <w:lang w:eastAsia="en-GB"/>
              </w:rPr>
            </w:pPr>
          </w:p>
        </w:tc>
      </w:tr>
      <w:tr w:rsidR="009F3E35" w:rsidRPr="009F3E35" w:rsidTr="004F1FA3">
        <w:tc>
          <w:tcPr>
            <w:tcW w:w="5000" w:type="pct"/>
            <w:gridSpan w:val="2"/>
            <w:shd w:val="clear" w:color="auto" w:fill="BFBFBF"/>
          </w:tcPr>
          <w:p w:rsidR="009F3E35" w:rsidRPr="009F3E35" w:rsidRDefault="009F3E35" w:rsidP="009F3E35">
            <w:pPr>
              <w:tabs>
                <w:tab w:val="left" w:pos="567"/>
              </w:tabs>
              <w:spacing w:after="0" w:line="240" w:lineRule="auto"/>
              <w:jc w:val="center"/>
              <w:rPr>
                <w:rFonts w:ascii="Arial" w:eastAsia="Times New Roman" w:hAnsi="Arial" w:cs="Arial"/>
                <w:b/>
                <w:lang w:eastAsia="en-GB"/>
              </w:rPr>
            </w:pPr>
            <w:r w:rsidRPr="009F3E35">
              <w:rPr>
                <w:rFonts w:ascii="Arial" w:eastAsia="Times New Roman" w:hAnsi="Arial" w:cs="Arial"/>
                <w:b/>
                <w:lang w:eastAsia="en-GB"/>
              </w:rPr>
              <w:lastRenderedPageBreak/>
              <w:t>FOB WEIGHTING FACTOR (IF APPLICABLE)</w:t>
            </w:r>
          </w:p>
          <w:p w:rsidR="009F3E35" w:rsidRPr="009F3E35" w:rsidRDefault="009F3E35" w:rsidP="009F3E35">
            <w:pPr>
              <w:tabs>
                <w:tab w:val="left" w:pos="567"/>
              </w:tabs>
              <w:spacing w:after="0" w:line="240" w:lineRule="auto"/>
              <w:jc w:val="center"/>
              <w:rPr>
                <w:rFonts w:ascii="Arial" w:eastAsia="Times New Roman" w:hAnsi="Arial" w:cs="Arial"/>
                <w:lang w:eastAsia="en-GB"/>
              </w:rPr>
            </w:pPr>
            <w:r w:rsidRPr="009F3E35">
              <w:rPr>
                <w:rFonts w:ascii="Arial" w:eastAsia="Times New Roman" w:hAnsi="Arial" w:cs="Arial"/>
                <w:b/>
                <w:lang w:eastAsia="en-GB"/>
              </w:rPr>
              <w:t>Clause 13 of the Framework Agreement refers</w:t>
            </w:r>
          </w:p>
        </w:tc>
      </w:tr>
      <w:tr w:rsidR="009F3E35" w:rsidRPr="009F3E35" w:rsidTr="004F1FA3">
        <w:tc>
          <w:tcPr>
            <w:tcW w:w="1709" w:type="pct"/>
            <w:shd w:val="clear" w:color="auto" w:fill="auto"/>
          </w:tcPr>
          <w:p w:rsidR="009F3E35" w:rsidRPr="009F3E35" w:rsidRDefault="009F3E35" w:rsidP="009F3E35">
            <w:pPr>
              <w:tabs>
                <w:tab w:val="left" w:pos="567"/>
              </w:tabs>
              <w:spacing w:after="0" w:line="240" w:lineRule="auto"/>
              <w:rPr>
                <w:rFonts w:ascii="Arial" w:eastAsia="Times New Roman" w:hAnsi="Arial" w:cs="Arial"/>
                <w:lang w:eastAsia="en-GB"/>
              </w:rPr>
            </w:pPr>
            <w:r w:rsidRPr="009F3E35">
              <w:rPr>
                <w:rFonts w:ascii="Arial" w:eastAsia="Times New Roman" w:hAnsi="Arial" w:cs="Arial"/>
                <w:lang w:eastAsia="en-GB"/>
              </w:rPr>
              <w:t>AUTHORITY VESSEL START POINT</w:t>
            </w:r>
          </w:p>
        </w:tc>
        <w:tc>
          <w:tcPr>
            <w:tcW w:w="3291" w:type="pct"/>
            <w:shd w:val="clear" w:color="auto" w:fill="auto"/>
          </w:tcPr>
          <w:p w:rsidR="009F3E35" w:rsidRPr="009F3E35" w:rsidRDefault="003332DD" w:rsidP="009F3E35">
            <w:pPr>
              <w:tabs>
                <w:tab w:val="left" w:pos="567"/>
              </w:tabs>
              <w:spacing w:after="0" w:line="240" w:lineRule="auto"/>
              <w:rPr>
                <w:rFonts w:ascii="Arial" w:eastAsia="Times New Roman" w:hAnsi="Arial" w:cs="Arial"/>
                <w:b/>
                <w:i/>
                <w:lang w:eastAsia="en-GB"/>
              </w:rPr>
            </w:pPr>
            <w:r>
              <w:rPr>
                <w:rFonts w:ascii="Arial" w:eastAsia="Times New Roman" w:hAnsi="Arial" w:cs="Arial"/>
                <w:b/>
                <w:i/>
                <w:lang w:eastAsia="en-GB"/>
              </w:rPr>
              <w:t>N/A</w:t>
            </w:r>
          </w:p>
        </w:tc>
      </w:tr>
      <w:tr w:rsidR="009F3E35" w:rsidRPr="009F3E35" w:rsidTr="004F1FA3">
        <w:tc>
          <w:tcPr>
            <w:tcW w:w="1709" w:type="pct"/>
            <w:shd w:val="clear" w:color="auto" w:fill="auto"/>
          </w:tcPr>
          <w:p w:rsidR="009F3E35" w:rsidRPr="009F3E35" w:rsidRDefault="009F3E35" w:rsidP="009F3E35">
            <w:pPr>
              <w:tabs>
                <w:tab w:val="left" w:pos="567"/>
              </w:tabs>
              <w:spacing w:after="0" w:line="240" w:lineRule="auto"/>
              <w:rPr>
                <w:rFonts w:ascii="Arial" w:eastAsia="Times New Roman" w:hAnsi="Arial" w:cs="Arial"/>
                <w:lang w:eastAsia="en-GB"/>
              </w:rPr>
            </w:pPr>
            <w:r w:rsidRPr="009F3E35">
              <w:rPr>
                <w:rFonts w:ascii="Arial" w:eastAsia="Times New Roman" w:hAnsi="Arial" w:cs="Arial"/>
                <w:lang w:eastAsia="en-GB"/>
              </w:rPr>
              <w:t xml:space="preserve"> AUTHORITY VESSEL END POINT</w:t>
            </w:r>
          </w:p>
        </w:tc>
        <w:tc>
          <w:tcPr>
            <w:tcW w:w="3291" w:type="pct"/>
            <w:shd w:val="clear" w:color="auto" w:fill="auto"/>
          </w:tcPr>
          <w:p w:rsidR="009F3E35" w:rsidRPr="009F3E35" w:rsidRDefault="003332DD" w:rsidP="009F3E35">
            <w:pPr>
              <w:tabs>
                <w:tab w:val="left" w:pos="567"/>
              </w:tabs>
              <w:spacing w:after="0" w:line="240" w:lineRule="auto"/>
              <w:rPr>
                <w:rFonts w:ascii="Arial" w:eastAsia="Times New Roman" w:hAnsi="Arial" w:cs="Arial"/>
                <w:b/>
                <w:i/>
                <w:lang w:eastAsia="en-GB"/>
              </w:rPr>
            </w:pPr>
            <w:r>
              <w:rPr>
                <w:rFonts w:ascii="Arial" w:eastAsia="Times New Roman" w:hAnsi="Arial" w:cs="Arial"/>
                <w:b/>
                <w:i/>
                <w:lang w:eastAsia="en-GB"/>
              </w:rPr>
              <w:t>N/A</w:t>
            </w:r>
          </w:p>
        </w:tc>
      </w:tr>
      <w:tr w:rsidR="009F3E35" w:rsidRPr="009F3E35" w:rsidTr="004F1FA3">
        <w:tc>
          <w:tcPr>
            <w:tcW w:w="5000" w:type="pct"/>
            <w:gridSpan w:val="2"/>
            <w:shd w:val="clear" w:color="auto" w:fill="BFBFBF"/>
          </w:tcPr>
          <w:p w:rsidR="009F3E35" w:rsidRPr="009F3E35" w:rsidRDefault="009F3E35" w:rsidP="009F3E35">
            <w:pPr>
              <w:tabs>
                <w:tab w:val="left" w:pos="567"/>
              </w:tabs>
              <w:spacing w:after="0" w:line="240" w:lineRule="auto"/>
              <w:jc w:val="center"/>
              <w:rPr>
                <w:rFonts w:ascii="Arial" w:eastAsia="Times New Roman" w:hAnsi="Arial" w:cs="Arial"/>
                <w:lang w:eastAsia="en-GB"/>
              </w:rPr>
            </w:pPr>
            <w:r w:rsidRPr="009F3E35">
              <w:rPr>
                <w:rFonts w:ascii="Arial" w:eastAsia="Times New Roman" w:hAnsi="Arial" w:cs="Arial"/>
                <w:b/>
                <w:lang w:eastAsia="en-GB"/>
              </w:rPr>
              <w:t>ITC RESPONSE</w:t>
            </w:r>
          </w:p>
        </w:tc>
      </w:tr>
      <w:tr w:rsidR="009F3E35" w:rsidRPr="009F3E35" w:rsidTr="004F1FA3">
        <w:trPr>
          <w:trHeight w:val="70"/>
        </w:trPr>
        <w:tc>
          <w:tcPr>
            <w:tcW w:w="1709" w:type="pct"/>
            <w:shd w:val="clear" w:color="auto" w:fill="auto"/>
          </w:tcPr>
          <w:p w:rsidR="009F3E35" w:rsidRPr="009F3E35" w:rsidRDefault="009F3E35" w:rsidP="009F3E35">
            <w:pPr>
              <w:tabs>
                <w:tab w:val="left" w:pos="567"/>
              </w:tabs>
              <w:spacing w:after="0" w:line="240" w:lineRule="auto"/>
              <w:rPr>
                <w:rFonts w:ascii="Arial" w:eastAsia="Times New Roman" w:hAnsi="Arial" w:cs="Arial"/>
                <w:lang w:eastAsia="en-GB"/>
              </w:rPr>
            </w:pPr>
            <w:r w:rsidRPr="009F3E35">
              <w:rPr>
                <w:rFonts w:ascii="Arial" w:eastAsia="Times New Roman" w:hAnsi="Arial" w:cs="Arial"/>
                <w:lang w:eastAsia="en-GB"/>
              </w:rPr>
              <w:t>SUPPLIER’S RESPONSE TO ITC</w:t>
            </w:r>
          </w:p>
        </w:tc>
        <w:tc>
          <w:tcPr>
            <w:tcW w:w="3291" w:type="pct"/>
            <w:shd w:val="clear" w:color="auto" w:fill="auto"/>
          </w:tcPr>
          <w:p w:rsidR="009F3E35" w:rsidRPr="009F3E35" w:rsidRDefault="009F3E35" w:rsidP="009F3E35">
            <w:pPr>
              <w:tabs>
                <w:tab w:val="left" w:pos="567"/>
              </w:tabs>
              <w:spacing w:after="0" w:line="240" w:lineRule="auto"/>
              <w:rPr>
                <w:rFonts w:ascii="Arial" w:eastAsia="Times New Roman" w:hAnsi="Arial" w:cs="Arial"/>
                <w:lang w:eastAsia="en-GB"/>
              </w:rPr>
            </w:pPr>
            <w:r w:rsidRPr="009F3E35">
              <w:rPr>
                <w:rFonts w:ascii="Arial" w:eastAsia="Times New Roman" w:hAnsi="Arial" w:cs="Arial"/>
                <w:lang w:eastAsia="en-GB"/>
              </w:rPr>
              <w:t>The Supplier shall:</w:t>
            </w:r>
          </w:p>
          <w:p w:rsidR="009F3E35" w:rsidRPr="009F3E35" w:rsidRDefault="009F3E35" w:rsidP="009F3E35">
            <w:pPr>
              <w:tabs>
                <w:tab w:val="left" w:pos="567"/>
              </w:tabs>
              <w:spacing w:after="0" w:line="240" w:lineRule="auto"/>
              <w:rPr>
                <w:rFonts w:ascii="Arial" w:eastAsia="Times New Roman" w:hAnsi="Arial" w:cs="Arial"/>
                <w:lang w:eastAsia="en-GB"/>
              </w:rPr>
            </w:pPr>
          </w:p>
          <w:p w:rsidR="009F3E35" w:rsidRPr="009F3E35" w:rsidRDefault="009F3E35" w:rsidP="009F3E35">
            <w:pPr>
              <w:numPr>
                <w:ilvl w:val="0"/>
                <w:numId w:val="1"/>
              </w:numPr>
              <w:tabs>
                <w:tab w:val="left" w:pos="567"/>
              </w:tabs>
              <w:spacing w:after="0" w:line="240" w:lineRule="auto"/>
              <w:rPr>
                <w:rFonts w:ascii="Arial" w:eastAsia="Times New Roman" w:hAnsi="Arial" w:cs="Arial"/>
                <w:lang w:eastAsia="en-GB"/>
              </w:rPr>
            </w:pPr>
            <w:r w:rsidRPr="009F3E35">
              <w:rPr>
                <w:rFonts w:ascii="Arial" w:eastAsia="Times New Roman" w:hAnsi="Arial" w:cs="Arial"/>
                <w:lang w:eastAsia="en-GB"/>
              </w:rPr>
              <w:t>fully complete and submit the attached Bidding Sheet in response to an ITC by the final date and time for submission detailed below;</w:t>
            </w:r>
          </w:p>
          <w:p w:rsidR="009F3E35" w:rsidRPr="009F3E35" w:rsidRDefault="009F3E35" w:rsidP="009F3E35">
            <w:pPr>
              <w:tabs>
                <w:tab w:val="left" w:pos="567"/>
              </w:tabs>
              <w:spacing w:after="0" w:line="240" w:lineRule="auto"/>
              <w:ind w:left="720"/>
              <w:rPr>
                <w:rFonts w:ascii="Arial" w:eastAsia="Times New Roman" w:hAnsi="Arial" w:cs="Arial"/>
                <w:lang w:eastAsia="en-GB"/>
              </w:rPr>
            </w:pPr>
          </w:p>
          <w:p w:rsidR="009F3E35" w:rsidRPr="009F3E35" w:rsidRDefault="009F3E35" w:rsidP="009F3E35">
            <w:pPr>
              <w:numPr>
                <w:ilvl w:val="0"/>
                <w:numId w:val="1"/>
              </w:numPr>
              <w:tabs>
                <w:tab w:val="left" w:pos="567"/>
              </w:tabs>
              <w:spacing w:after="0" w:line="240" w:lineRule="auto"/>
              <w:rPr>
                <w:rFonts w:ascii="Arial" w:eastAsia="Times New Roman" w:hAnsi="Arial" w:cs="Arial"/>
                <w:lang w:eastAsia="en-GB"/>
              </w:rPr>
            </w:pPr>
            <w:r w:rsidRPr="009F3E35">
              <w:rPr>
                <w:rFonts w:ascii="Arial" w:eastAsia="Times New Roman" w:hAnsi="Arial" w:cs="Arial"/>
                <w:lang w:eastAsia="en-GB"/>
              </w:rPr>
              <w:t>submit a completed Supplier’s Commercially Sensitive Information Form (Annex G);</w:t>
            </w:r>
          </w:p>
          <w:p w:rsidR="009F3E35" w:rsidRPr="009F3E35" w:rsidRDefault="009F3E35" w:rsidP="009F3E35">
            <w:pPr>
              <w:tabs>
                <w:tab w:val="left" w:pos="567"/>
              </w:tabs>
              <w:spacing w:after="0" w:line="240" w:lineRule="auto"/>
              <w:rPr>
                <w:rFonts w:ascii="Arial" w:eastAsia="Times New Roman" w:hAnsi="Arial" w:cs="Arial"/>
                <w:lang w:eastAsia="en-GB"/>
              </w:rPr>
            </w:pPr>
          </w:p>
          <w:p w:rsidR="009F3E35" w:rsidRPr="009F3E35" w:rsidRDefault="009F3E35" w:rsidP="009F3E35">
            <w:pPr>
              <w:numPr>
                <w:ilvl w:val="0"/>
                <w:numId w:val="1"/>
              </w:numPr>
              <w:tabs>
                <w:tab w:val="left" w:pos="567"/>
              </w:tabs>
              <w:spacing w:after="0" w:line="240" w:lineRule="auto"/>
              <w:rPr>
                <w:rFonts w:ascii="Arial" w:eastAsia="Times New Roman" w:hAnsi="Arial" w:cs="Arial"/>
                <w:lang w:eastAsia="en-GB"/>
              </w:rPr>
            </w:pPr>
            <w:r w:rsidRPr="009F3E35">
              <w:rPr>
                <w:rFonts w:ascii="Arial" w:eastAsia="Times New Roman" w:hAnsi="Arial" w:cs="Arial"/>
                <w:lang w:eastAsia="en-GB"/>
              </w:rPr>
              <w:t>submit a complete DEFFORM 47 – Annex A (offer);</w:t>
            </w:r>
          </w:p>
          <w:p w:rsidR="009F3E35" w:rsidRPr="009F3E35" w:rsidRDefault="009F3E35" w:rsidP="009F3E35">
            <w:pPr>
              <w:tabs>
                <w:tab w:val="left" w:pos="567"/>
              </w:tabs>
              <w:spacing w:after="0" w:line="240" w:lineRule="auto"/>
              <w:rPr>
                <w:rFonts w:ascii="Arial" w:eastAsia="Times New Roman" w:hAnsi="Arial" w:cs="Arial"/>
                <w:lang w:eastAsia="en-GB"/>
              </w:rPr>
            </w:pPr>
          </w:p>
          <w:p w:rsidR="009F3E35" w:rsidRPr="009F3E35" w:rsidRDefault="009F3E35" w:rsidP="009F3E35">
            <w:pPr>
              <w:numPr>
                <w:ilvl w:val="0"/>
                <w:numId w:val="1"/>
              </w:numPr>
              <w:tabs>
                <w:tab w:val="left" w:pos="567"/>
              </w:tabs>
              <w:spacing w:after="0" w:line="240" w:lineRule="auto"/>
              <w:rPr>
                <w:rFonts w:ascii="Arial" w:eastAsia="Times New Roman" w:hAnsi="Arial" w:cs="Arial"/>
                <w:lang w:eastAsia="en-GB"/>
              </w:rPr>
            </w:pPr>
            <w:r w:rsidRPr="009F3E35">
              <w:rPr>
                <w:rFonts w:ascii="Arial" w:eastAsia="Times New Roman" w:hAnsi="Arial" w:cs="Arial"/>
                <w:lang w:eastAsia="en-GB"/>
              </w:rPr>
              <w:t xml:space="preserve">submit a Firm Premium (inclusive of all costs and not subject to variation) and, if applicable the FOB Weighting Factor, in accordance with Clause 13 – Pricing; </w:t>
            </w:r>
          </w:p>
          <w:p w:rsidR="009F3E35" w:rsidRPr="009F3E35" w:rsidRDefault="009F3E35" w:rsidP="009F3E35">
            <w:pPr>
              <w:tabs>
                <w:tab w:val="left" w:pos="567"/>
              </w:tabs>
              <w:spacing w:after="0" w:line="240" w:lineRule="auto"/>
              <w:rPr>
                <w:rFonts w:ascii="Arial" w:eastAsia="Times New Roman" w:hAnsi="Arial" w:cs="Arial"/>
                <w:lang w:eastAsia="en-GB"/>
              </w:rPr>
            </w:pPr>
          </w:p>
          <w:p w:rsidR="009F3E35" w:rsidRPr="009F3E35" w:rsidRDefault="009F3E35" w:rsidP="009F3E35">
            <w:pPr>
              <w:numPr>
                <w:ilvl w:val="0"/>
                <w:numId w:val="1"/>
              </w:numPr>
              <w:tabs>
                <w:tab w:val="left" w:pos="567"/>
              </w:tabs>
              <w:spacing w:after="0" w:line="240" w:lineRule="auto"/>
              <w:rPr>
                <w:rFonts w:ascii="Arial" w:eastAsia="Times New Roman" w:hAnsi="Arial" w:cs="Arial"/>
                <w:lang w:eastAsia="en-GB"/>
              </w:rPr>
            </w:pPr>
            <w:r w:rsidRPr="009F3E35">
              <w:rPr>
                <w:rFonts w:ascii="Arial" w:eastAsia="Times New Roman" w:hAnsi="Arial" w:cs="Arial"/>
                <w:lang w:eastAsia="en-GB"/>
              </w:rPr>
              <w:t xml:space="preserve">Submit any further information as requested by the Authority under Additional Information below. </w:t>
            </w:r>
          </w:p>
          <w:p w:rsidR="009F3E35" w:rsidRPr="009F3E35" w:rsidRDefault="009F3E35" w:rsidP="009F3E35">
            <w:pPr>
              <w:tabs>
                <w:tab w:val="left" w:pos="567"/>
              </w:tabs>
              <w:spacing w:after="0" w:line="240" w:lineRule="auto"/>
              <w:rPr>
                <w:rFonts w:ascii="Arial" w:eastAsia="Times New Roman" w:hAnsi="Arial" w:cs="Arial"/>
                <w:lang w:eastAsia="en-GB"/>
              </w:rPr>
            </w:pPr>
          </w:p>
          <w:p w:rsidR="009F3E35" w:rsidRPr="009F3E35" w:rsidRDefault="009F3E35" w:rsidP="009F3E35">
            <w:pPr>
              <w:tabs>
                <w:tab w:val="left" w:pos="567"/>
              </w:tabs>
              <w:spacing w:after="0" w:line="240" w:lineRule="auto"/>
              <w:rPr>
                <w:rFonts w:ascii="Arial" w:eastAsia="Times New Roman" w:hAnsi="Arial" w:cs="Arial"/>
                <w:lang w:eastAsia="en-GB"/>
              </w:rPr>
            </w:pPr>
          </w:p>
        </w:tc>
      </w:tr>
      <w:tr w:rsidR="009F3E35" w:rsidRPr="009F3E35" w:rsidTr="004F1FA3">
        <w:trPr>
          <w:trHeight w:val="70"/>
        </w:trPr>
        <w:tc>
          <w:tcPr>
            <w:tcW w:w="1709" w:type="pct"/>
            <w:shd w:val="clear" w:color="auto" w:fill="auto"/>
          </w:tcPr>
          <w:p w:rsidR="009F3E35" w:rsidRPr="009F3E35" w:rsidRDefault="009F3E35" w:rsidP="009F3E35">
            <w:pPr>
              <w:tabs>
                <w:tab w:val="left" w:pos="567"/>
              </w:tabs>
              <w:spacing w:after="0" w:line="240" w:lineRule="auto"/>
              <w:rPr>
                <w:rFonts w:ascii="Arial" w:eastAsia="Times New Roman" w:hAnsi="Arial" w:cs="Arial"/>
                <w:lang w:eastAsia="en-GB"/>
              </w:rPr>
            </w:pPr>
            <w:r w:rsidRPr="009F3E35">
              <w:rPr>
                <w:rFonts w:ascii="Arial" w:eastAsia="Times New Roman" w:hAnsi="Arial" w:cs="Arial"/>
                <w:lang w:eastAsia="en-GB"/>
              </w:rPr>
              <w:t>FINAL DATE FOR SUBMISSION OF COMPLETED BIDDING SHEET.</w:t>
            </w:r>
          </w:p>
        </w:tc>
        <w:tc>
          <w:tcPr>
            <w:tcW w:w="3291" w:type="pct"/>
            <w:shd w:val="clear" w:color="auto" w:fill="auto"/>
          </w:tcPr>
          <w:p w:rsidR="009F3E35" w:rsidRPr="009F3E35" w:rsidRDefault="009F3E35" w:rsidP="009F3E35">
            <w:pPr>
              <w:tabs>
                <w:tab w:val="left" w:pos="567"/>
              </w:tabs>
              <w:spacing w:after="0" w:line="240" w:lineRule="auto"/>
              <w:rPr>
                <w:rFonts w:ascii="Arial" w:eastAsia="Times New Roman" w:hAnsi="Arial" w:cs="Arial"/>
                <w:lang w:eastAsia="en-GB"/>
              </w:rPr>
            </w:pPr>
            <w:r w:rsidRPr="009F3E35">
              <w:rPr>
                <w:rFonts w:ascii="Arial" w:eastAsia="Times New Roman" w:hAnsi="Arial" w:cs="Arial"/>
                <w:lang w:eastAsia="en-GB"/>
              </w:rPr>
              <w:t>Bidding Sheets shall be sent by e-mail to:</w:t>
            </w:r>
          </w:p>
          <w:p w:rsidR="009F3E35" w:rsidRPr="009F3E35" w:rsidRDefault="009F3E35" w:rsidP="009F3E35">
            <w:pPr>
              <w:tabs>
                <w:tab w:val="left" w:pos="567"/>
              </w:tabs>
              <w:spacing w:after="0" w:line="240" w:lineRule="auto"/>
              <w:rPr>
                <w:rFonts w:ascii="Arial" w:eastAsia="Times New Roman" w:hAnsi="Arial" w:cs="Arial"/>
                <w:lang w:eastAsia="en-GB"/>
              </w:rPr>
            </w:pPr>
          </w:p>
          <w:p w:rsidR="009F3E35" w:rsidRPr="00D160CE" w:rsidRDefault="003332DD" w:rsidP="009F3E35">
            <w:pPr>
              <w:tabs>
                <w:tab w:val="left" w:pos="567"/>
              </w:tabs>
              <w:spacing w:after="0" w:line="240" w:lineRule="auto"/>
              <w:rPr>
                <w:rStyle w:val="Hyperlink"/>
                <w:rFonts w:ascii="Arial" w:eastAsia="Times New Roman" w:hAnsi="Arial" w:cs="Arial"/>
                <w:b/>
                <w:lang w:eastAsia="en-GB"/>
              </w:rPr>
            </w:pPr>
            <w:r w:rsidRPr="00D160CE">
              <w:rPr>
                <w:rStyle w:val="Hyperlink"/>
                <w:rFonts w:ascii="Arial" w:eastAsia="Times New Roman" w:hAnsi="Arial" w:cs="Arial"/>
                <w:b/>
                <w:lang w:eastAsia="en-GB"/>
              </w:rPr>
              <w:t>DESC</w:t>
            </w:r>
            <w:hyperlink r:id="rId6" w:history="1">
              <w:r w:rsidR="00A80595" w:rsidRPr="00E43946">
                <w:rPr>
                  <w:rStyle w:val="Hyperlink"/>
                  <w:rFonts w:ascii="Arial" w:eastAsia="Times New Roman" w:hAnsi="Arial" w:cs="Arial"/>
                  <w:b/>
                  <w:lang w:eastAsia="en-GB"/>
                </w:rPr>
                <w:t>ommodities-Comrcl-Fuel@mod.gov.uk</w:t>
              </w:r>
            </w:hyperlink>
          </w:p>
          <w:p w:rsidR="009F3E35" w:rsidRPr="009F3E35" w:rsidRDefault="009F3E35" w:rsidP="009F3E35">
            <w:pPr>
              <w:tabs>
                <w:tab w:val="left" w:pos="567"/>
              </w:tabs>
              <w:spacing w:after="0" w:line="240" w:lineRule="auto"/>
              <w:rPr>
                <w:rFonts w:ascii="Arial" w:eastAsia="Times New Roman" w:hAnsi="Arial" w:cs="Arial"/>
                <w:lang w:eastAsia="en-GB"/>
              </w:rPr>
            </w:pPr>
          </w:p>
          <w:p w:rsidR="009F3E35" w:rsidRPr="009F3E35" w:rsidRDefault="005D1808" w:rsidP="009F3E35">
            <w:pPr>
              <w:tabs>
                <w:tab w:val="left" w:pos="567"/>
              </w:tabs>
              <w:spacing w:after="0" w:line="240" w:lineRule="auto"/>
              <w:rPr>
                <w:rFonts w:ascii="Arial" w:eastAsia="Times New Roman" w:hAnsi="Arial" w:cs="Arial"/>
                <w:lang w:eastAsia="en-GB"/>
              </w:rPr>
            </w:pPr>
            <w:r>
              <w:rPr>
                <w:rFonts w:ascii="Arial" w:eastAsia="Times New Roman" w:hAnsi="Arial" w:cs="Arial"/>
                <w:lang w:eastAsia="en-GB"/>
              </w:rPr>
              <w:t xml:space="preserve">by </w:t>
            </w:r>
            <w:r w:rsidRPr="0051484D">
              <w:rPr>
                <w:rFonts w:ascii="Arial" w:eastAsia="Times New Roman" w:hAnsi="Arial" w:cs="Arial"/>
                <w:color w:val="FF0000"/>
                <w:lang w:eastAsia="en-GB"/>
              </w:rPr>
              <w:t>10</w:t>
            </w:r>
            <w:r w:rsidR="003332DD" w:rsidRPr="0051484D">
              <w:rPr>
                <w:rFonts w:ascii="Arial" w:eastAsia="Times New Roman" w:hAnsi="Arial" w:cs="Arial"/>
                <w:color w:val="FF0000"/>
                <w:lang w:eastAsia="en-GB"/>
              </w:rPr>
              <w:t xml:space="preserve">:00 </w:t>
            </w:r>
            <w:r w:rsidR="00A80595" w:rsidRPr="0051484D">
              <w:rPr>
                <w:rFonts w:ascii="Arial" w:eastAsia="Times New Roman" w:hAnsi="Arial" w:cs="Arial"/>
                <w:color w:val="FF0000"/>
                <w:lang w:eastAsia="en-GB"/>
              </w:rPr>
              <w:t>(</w:t>
            </w:r>
            <w:r w:rsidR="00A80E76">
              <w:rPr>
                <w:rFonts w:ascii="Arial" w:eastAsia="Times New Roman" w:hAnsi="Arial" w:cs="Arial"/>
                <w:color w:val="FF0000"/>
                <w:lang w:eastAsia="en-GB"/>
              </w:rPr>
              <w:t>BST</w:t>
            </w:r>
            <w:r w:rsidR="00A80595" w:rsidRPr="0051484D">
              <w:rPr>
                <w:rFonts w:ascii="Arial" w:eastAsia="Times New Roman" w:hAnsi="Arial" w:cs="Arial"/>
                <w:color w:val="FF0000"/>
                <w:lang w:eastAsia="en-GB"/>
              </w:rPr>
              <w:t>)</w:t>
            </w:r>
            <w:r w:rsidR="009F3E35" w:rsidRPr="0051484D">
              <w:rPr>
                <w:rFonts w:ascii="Arial" w:eastAsia="Times New Roman" w:hAnsi="Arial" w:cs="Arial"/>
                <w:color w:val="FF0000"/>
                <w:lang w:eastAsia="en-GB"/>
              </w:rPr>
              <w:t xml:space="preserve"> on </w:t>
            </w:r>
            <w:r w:rsidR="00370049">
              <w:rPr>
                <w:rFonts w:ascii="Arial" w:eastAsia="Times New Roman" w:hAnsi="Arial" w:cs="Arial"/>
                <w:color w:val="FF0000"/>
                <w:lang w:eastAsia="en-GB"/>
              </w:rPr>
              <w:t>Thursday 28 June</w:t>
            </w:r>
            <w:r w:rsidR="005F3AAC">
              <w:rPr>
                <w:rFonts w:ascii="Arial" w:eastAsia="Times New Roman" w:hAnsi="Arial" w:cs="Arial"/>
                <w:color w:val="FF0000"/>
                <w:lang w:eastAsia="en-GB"/>
              </w:rPr>
              <w:t xml:space="preserve"> 2018 </w:t>
            </w:r>
          </w:p>
          <w:p w:rsidR="009F3E35" w:rsidRPr="009F3E35" w:rsidRDefault="009F3E35" w:rsidP="009F3E35">
            <w:pPr>
              <w:tabs>
                <w:tab w:val="left" w:pos="567"/>
              </w:tabs>
              <w:spacing w:after="0" w:line="240" w:lineRule="auto"/>
              <w:rPr>
                <w:rFonts w:ascii="Arial" w:eastAsia="Times New Roman" w:hAnsi="Arial" w:cs="Arial"/>
                <w:lang w:eastAsia="en-GB"/>
              </w:rPr>
            </w:pPr>
          </w:p>
          <w:p w:rsidR="009F3E35" w:rsidRDefault="009F3E35" w:rsidP="009F3E35">
            <w:pPr>
              <w:tabs>
                <w:tab w:val="left" w:pos="567"/>
              </w:tabs>
              <w:spacing w:after="0" w:line="240" w:lineRule="auto"/>
              <w:rPr>
                <w:rFonts w:ascii="Arial" w:eastAsia="Times New Roman" w:hAnsi="Arial" w:cs="Arial"/>
                <w:lang w:eastAsia="en-GB"/>
              </w:rPr>
            </w:pPr>
            <w:r w:rsidRPr="009F3E35">
              <w:rPr>
                <w:rFonts w:ascii="Arial" w:eastAsia="Times New Roman" w:hAnsi="Arial" w:cs="Arial"/>
                <w:lang w:eastAsia="en-GB"/>
              </w:rPr>
              <w:t xml:space="preserve">An award decision will be notified by 14:00 </w:t>
            </w:r>
            <w:r w:rsidR="00A80E76">
              <w:rPr>
                <w:rFonts w:ascii="Arial" w:eastAsia="Times New Roman" w:hAnsi="Arial" w:cs="Arial"/>
                <w:lang w:eastAsia="en-GB"/>
              </w:rPr>
              <w:t>(BST</w:t>
            </w:r>
            <w:r w:rsidRPr="009F3E35">
              <w:rPr>
                <w:rFonts w:ascii="Arial" w:eastAsia="Times New Roman" w:hAnsi="Arial" w:cs="Arial"/>
                <w:lang w:eastAsia="en-GB"/>
              </w:rPr>
              <w:t xml:space="preserve">) the same day.  </w:t>
            </w:r>
          </w:p>
          <w:p w:rsidR="00D160CE" w:rsidRPr="009F3E35" w:rsidRDefault="00D160CE" w:rsidP="009F3E35">
            <w:pPr>
              <w:tabs>
                <w:tab w:val="left" w:pos="567"/>
              </w:tabs>
              <w:spacing w:after="0" w:line="240" w:lineRule="auto"/>
              <w:rPr>
                <w:rFonts w:ascii="Arial" w:eastAsia="Times New Roman" w:hAnsi="Arial" w:cs="Arial"/>
                <w:lang w:eastAsia="en-GB"/>
              </w:rPr>
            </w:pPr>
          </w:p>
        </w:tc>
      </w:tr>
      <w:tr w:rsidR="009F3E35" w:rsidRPr="009F3E35" w:rsidTr="004F1FA3">
        <w:tc>
          <w:tcPr>
            <w:tcW w:w="5000" w:type="pct"/>
            <w:gridSpan w:val="2"/>
            <w:shd w:val="clear" w:color="auto" w:fill="BFBFBF"/>
          </w:tcPr>
          <w:p w:rsidR="009F3E35" w:rsidRPr="009F3E35" w:rsidRDefault="009F3E35" w:rsidP="009F3E35">
            <w:pPr>
              <w:tabs>
                <w:tab w:val="left" w:pos="567"/>
              </w:tabs>
              <w:spacing w:after="0" w:line="240" w:lineRule="auto"/>
              <w:jc w:val="center"/>
              <w:rPr>
                <w:rFonts w:ascii="Arial" w:eastAsia="Times New Roman" w:hAnsi="Arial" w:cs="Arial"/>
                <w:lang w:eastAsia="en-GB"/>
              </w:rPr>
            </w:pPr>
            <w:r w:rsidRPr="009F3E35">
              <w:rPr>
                <w:rFonts w:ascii="Arial" w:eastAsia="Times New Roman" w:hAnsi="Arial" w:cs="Arial"/>
                <w:b/>
                <w:lang w:eastAsia="en-GB"/>
              </w:rPr>
              <w:t>BIDDING SHEET EVALUATION</w:t>
            </w:r>
          </w:p>
        </w:tc>
      </w:tr>
      <w:tr w:rsidR="009F3E35" w:rsidRPr="009F3E35" w:rsidTr="004F1FA3">
        <w:tc>
          <w:tcPr>
            <w:tcW w:w="1709" w:type="pct"/>
            <w:shd w:val="clear" w:color="auto" w:fill="auto"/>
          </w:tcPr>
          <w:p w:rsidR="009F3E35" w:rsidRPr="009F3E35" w:rsidRDefault="009F3E35" w:rsidP="009F3E35">
            <w:pPr>
              <w:tabs>
                <w:tab w:val="left" w:pos="567"/>
              </w:tabs>
              <w:spacing w:after="0" w:line="240" w:lineRule="auto"/>
              <w:rPr>
                <w:rFonts w:ascii="Arial" w:eastAsia="Times New Roman" w:hAnsi="Arial" w:cs="Arial"/>
                <w:lang w:eastAsia="en-GB"/>
              </w:rPr>
            </w:pPr>
            <w:r w:rsidRPr="009F3E35">
              <w:rPr>
                <w:rFonts w:ascii="Arial" w:eastAsia="Times New Roman" w:hAnsi="Arial" w:cs="Arial"/>
                <w:lang w:eastAsia="en-GB"/>
              </w:rPr>
              <w:t>AWARD DECISION</w:t>
            </w:r>
          </w:p>
        </w:tc>
        <w:tc>
          <w:tcPr>
            <w:tcW w:w="3291" w:type="pct"/>
            <w:shd w:val="clear" w:color="auto" w:fill="auto"/>
          </w:tcPr>
          <w:p w:rsidR="00D8526B" w:rsidRPr="009F3E35" w:rsidRDefault="00D8526B" w:rsidP="00D8526B">
            <w:pPr>
              <w:tabs>
                <w:tab w:val="left" w:pos="62"/>
              </w:tabs>
              <w:spacing w:after="0" w:line="240" w:lineRule="auto"/>
              <w:ind w:left="62"/>
              <w:rPr>
                <w:rFonts w:ascii="Arial" w:eastAsia="Times New Roman" w:hAnsi="Arial" w:cs="Arial"/>
                <w:lang w:eastAsia="en-GB"/>
              </w:rPr>
            </w:pPr>
            <w:r w:rsidRPr="009F3E35">
              <w:rPr>
                <w:rFonts w:ascii="Arial" w:eastAsia="Times New Roman" w:hAnsi="Arial" w:cs="Times New Roman"/>
                <w:szCs w:val="20"/>
                <w:lang w:eastAsia="en-GB"/>
              </w:rPr>
              <w:t xml:space="preserve">The Call-off Contract will be awarded to the most economically advantageous tender (MEAT) in accordance with the evaluation criteria detailed at </w:t>
            </w:r>
            <w:r w:rsidRPr="009F3E35">
              <w:rPr>
                <w:rFonts w:ascii="Arial" w:eastAsia="Times New Roman" w:hAnsi="Arial" w:cs="Times New Roman"/>
                <w:b/>
                <w:szCs w:val="20"/>
                <w:lang w:eastAsia="en-GB"/>
              </w:rPr>
              <w:t xml:space="preserve">Appendix 1 </w:t>
            </w:r>
            <w:r>
              <w:rPr>
                <w:rFonts w:ascii="Arial" w:eastAsia="Times New Roman" w:hAnsi="Arial" w:cs="Times New Roman"/>
                <w:b/>
                <w:szCs w:val="20"/>
                <w:lang w:eastAsia="en-GB"/>
              </w:rPr>
              <w:t>of Annex C.</w:t>
            </w:r>
          </w:p>
          <w:p w:rsidR="009F3E35" w:rsidRPr="009F3E35" w:rsidRDefault="009F3E35" w:rsidP="009F3E35">
            <w:pPr>
              <w:tabs>
                <w:tab w:val="left" w:pos="567"/>
              </w:tabs>
              <w:spacing w:after="0" w:line="240" w:lineRule="auto"/>
              <w:rPr>
                <w:rFonts w:ascii="Arial" w:eastAsia="Times New Roman" w:hAnsi="Arial" w:cs="Arial"/>
                <w:lang w:eastAsia="en-GB"/>
              </w:rPr>
            </w:pPr>
          </w:p>
        </w:tc>
      </w:tr>
      <w:tr w:rsidR="009F3E35" w:rsidRPr="009F3E35" w:rsidTr="004F1FA3">
        <w:tc>
          <w:tcPr>
            <w:tcW w:w="5000" w:type="pct"/>
            <w:gridSpan w:val="2"/>
            <w:shd w:val="clear" w:color="auto" w:fill="BFBFBF"/>
          </w:tcPr>
          <w:p w:rsidR="009F3E35" w:rsidRPr="009F3E35" w:rsidRDefault="009F3E35" w:rsidP="009F3E35">
            <w:pPr>
              <w:tabs>
                <w:tab w:val="left" w:pos="567"/>
              </w:tabs>
              <w:spacing w:after="0" w:line="240" w:lineRule="auto"/>
              <w:jc w:val="center"/>
              <w:rPr>
                <w:rFonts w:ascii="Arial" w:eastAsia="Times New Roman" w:hAnsi="Arial" w:cs="Arial"/>
                <w:lang w:eastAsia="en-GB"/>
              </w:rPr>
            </w:pPr>
            <w:r w:rsidRPr="009F3E35">
              <w:rPr>
                <w:rFonts w:ascii="Arial" w:eastAsia="Times New Roman" w:hAnsi="Arial" w:cs="Arial"/>
                <w:b/>
                <w:lang w:eastAsia="en-GB"/>
              </w:rPr>
              <w:t>ADDITIONAL INFORMATION</w:t>
            </w:r>
          </w:p>
        </w:tc>
      </w:tr>
      <w:tr w:rsidR="009F3E35" w:rsidRPr="009F3E35" w:rsidTr="004F1FA3">
        <w:tc>
          <w:tcPr>
            <w:tcW w:w="5000" w:type="pct"/>
            <w:gridSpan w:val="2"/>
            <w:shd w:val="clear" w:color="auto" w:fill="auto"/>
          </w:tcPr>
          <w:p w:rsidR="009F3E35" w:rsidRDefault="00C366AE" w:rsidP="009F3E35">
            <w:pPr>
              <w:tabs>
                <w:tab w:val="left" w:pos="567"/>
              </w:tabs>
              <w:spacing w:after="0" w:line="240" w:lineRule="auto"/>
              <w:rPr>
                <w:rFonts w:ascii="Arial" w:eastAsia="Times New Roman" w:hAnsi="Arial" w:cs="Arial"/>
                <w:b/>
                <w:lang w:eastAsia="en-GB"/>
              </w:rPr>
            </w:pPr>
            <w:r w:rsidRPr="00C366AE">
              <w:rPr>
                <w:rFonts w:ascii="Arial" w:eastAsia="Times New Roman" w:hAnsi="Arial" w:cs="Arial"/>
                <w:b/>
                <w:lang w:eastAsia="en-GB"/>
              </w:rPr>
              <w:t>Please note that the final time for the submission of clarification questions to the Authority shall be no later than 24 hours prior to the final time for submission of the completed bidding sheet.</w:t>
            </w:r>
          </w:p>
          <w:p w:rsidR="00A80595" w:rsidRDefault="00A80595" w:rsidP="009F3E35">
            <w:pPr>
              <w:tabs>
                <w:tab w:val="left" w:pos="567"/>
              </w:tabs>
              <w:spacing w:after="0" w:line="240" w:lineRule="auto"/>
              <w:rPr>
                <w:rFonts w:ascii="Arial" w:eastAsia="Times New Roman" w:hAnsi="Arial" w:cs="Arial"/>
                <w:b/>
                <w:lang w:eastAsia="en-GB"/>
              </w:rPr>
            </w:pPr>
          </w:p>
          <w:p w:rsidR="009F3E35" w:rsidRDefault="0058393A" w:rsidP="00A80595">
            <w:pPr>
              <w:rPr>
                <w:rFonts w:ascii="Arial" w:hAnsi="Arial" w:cs="Arial"/>
                <w:b/>
                <w:bCs/>
                <w:color w:val="FF0000"/>
              </w:rPr>
            </w:pPr>
            <w:r>
              <w:rPr>
                <w:rFonts w:ascii="Arial" w:hAnsi="Arial" w:cs="Arial"/>
                <w:b/>
                <w:bCs/>
                <w:color w:val="FF0000"/>
              </w:rPr>
              <w:t>T</w:t>
            </w:r>
            <w:r w:rsidR="00A80595" w:rsidRPr="00A80595">
              <w:rPr>
                <w:rFonts w:ascii="Arial" w:hAnsi="Arial" w:cs="Arial"/>
                <w:b/>
                <w:bCs/>
                <w:color w:val="FF0000"/>
              </w:rPr>
              <w:t xml:space="preserve">he supplier’s shipping agent must ensure that they employ a Pilot who meets the following criteria. The Pilot must be: currently licensed to operate in Limassol Port and its environs; have previously conducted or observed a successful mooring at </w:t>
            </w:r>
            <w:r w:rsidR="00A80595" w:rsidRPr="00A80595">
              <w:rPr>
                <w:rFonts w:ascii="Arial" w:hAnsi="Arial" w:cs="Arial"/>
                <w:b/>
                <w:bCs/>
                <w:color w:val="FF0000"/>
              </w:rPr>
              <w:lastRenderedPageBreak/>
              <w:t>this terminal and; have experience of operating as a coherent team with a tug master allocated to the task.</w:t>
            </w:r>
          </w:p>
          <w:p w:rsidR="007E4F75" w:rsidRDefault="007E4F75" w:rsidP="007E4F75">
            <w:pPr>
              <w:rPr>
                <w:rFonts w:ascii="Arial" w:hAnsi="Arial" w:cs="Arial"/>
                <w:b/>
                <w:bCs/>
                <w:color w:val="FF0000"/>
              </w:rPr>
            </w:pPr>
            <w:r w:rsidRPr="007E4F75">
              <w:rPr>
                <w:rFonts w:ascii="Arial" w:hAnsi="Arial" w:cs="Arial"/>
                <w:b/>
                <w:bCs/>
                <w:color w:val="FF0000"/>
              </w:rPr>
              <w:t xml:space="preserve">To inform the future requirement for Fatty Acid Methyl Ester (FAME) specification limits for incidental materials in Defence Standard 91-091,  FAME content results are to be determined </w:t>
            </w:r>
            <w:proofErr w:type="spellStart"/>
            <w:r w:rsidRPr="007E4F75">
              <w:rPr>
                <w:rFonts w:ascii="Arial" w:hAnsi="Arial" w:cs="Arial"/>
                <w:b/>
                <w:bCs/>
                <w:color w:val="FF0000"/>
              </w:rPr>
              <w:t>iaw</w:t>
            </w:r>
            <w:proofErr w:type="spellEnd"/>
            <w:r w:rsidRPr="007E4F75">
              <w:rPr>
                <w:rFonts w:ascii="Arial" w:hAnsi="Arial" w:cs="Arial"/>
                <w:b/>
                <w:bCs/>
                <w:color w:val="FF0000"/>
              </w:rPr>
              <w:t xml:space="preserve"> Defence Standard 91-091 latest issue for every F-35 cargo uplifted.</w:t>
            </w:r>
          </w:p>
          <w:p w:rsidR="007E4F75" w:rsidRPr="007E4F75" w:rsidRDefault="007E4F75" w:rsidP="007E4F75">
            <w:pPr>
              <w:rPr>
                <w:rFonts w:ascii="Arial" w:hAnsi="Arial" w:cs="Arial"/>
                <w:b/>
                <w:bCs/>
                <w:color w:val="FF0000"/>
              </w:rPr>
            </w:pPr>
            <w:r w:rsidRPr="007E4F75">
              <w:rPr>
                <w:rFonts w:ascii="Arial" w:hAnsi="Arial" w:cs="Arial"/>
                <w:b/>
                <w:bCs/>
                <w:color w:val="FF0000"/>
              </w:rPr>
              <w:t xml:space="preserve">Where the supplier is unable to provide the FAME content result of F-35 prior to cargo loading (FOB) or receipt (DDP), the supplier is required to submit in advance, along with the </w:t>
            </w:r>
            <w:proofErr w:type="spellStart"/>
            <w:r w:rsidRPr="007E4F75">
              <w:rPr>
                <w:rFonts w:ascii="Arial" w:hAnsi="Arial" w:cs="Arial"/>
                <w:b/>
                <w:bCs/>
                <w:color w:val="FF0000"/>
              </w:rPr>
              <w:t>CofQ</w:t>
            </w:r>
            <w:proofErr w:type="spellEnd"/>
            <w:r w:rsidRPr="007E4F75">
              <w:rPr>
                <w:rFonts w:ascii="Arial" w:hAnsi="Arial" w:cs="Arial"/>
                <w:b/>
                <w:bCs/>
                <w:color w:val="FF0000"/>
              </w:rPr>
              <w:t xml:space="preserve"> for each call off contract, confirmation to the Authority that the refinery is FAME free throughout the production and storage/movement of all refinery operations. Note: Due to the risk of refinery operations changing this confirmation must be reaffirmed, signed and dated for each cargo uplift and submitted to the Authority.  </w:t>
            </w:r>
          </w:p>
          <w:p w:rsidR="007E4F75" w:rsidRPr="007E4F75" w:rsidRDefault="007E4F75" w:rsidP="007E4F75">
            <w:pPr>
              <w:rPr>
                <w:rFonts w:ascii="Arial" w:hAnsi="Arial" w:cs="Arial"/>
                <w:b/>
                <w:bCs/>
                <w:color w:val="FF0000"/>
              </w:rPr>
            </w:pPr>
            <w:r w:rsidRPr="007E4F75">
              <w:rPr>
                <w:rFonts w:ascii="Arial" w:hAnsi="Arial" w:cs="Arial"/>
                <w:b/>
                <w:bCs/>
                <w:color w:val="FF0000"/>
              </w:rPr>
              <w:t xml:space="preserve">The Authority reserves the right to test the retained samples of the subject cargo to determine specification compliance with respect to FAME content </w:t>
            </w:r>
            <w:proofErr w:type="spellStart"/>
            <w:r w:rsidRPr="007E4F75">
              <w:rPr>
                <w:rFonts w:ascii="Arial" w:hAnsi="Arial" w:cs="Arial"/>
                <w:b/>
                <w:bCs/>
                <w:color w:val="FF0000"/>
              </w:rPr>
              <w:t>iaw</w:t>
            </w:r>
            <w:proofErr w:type="spellEnd"/>
            <w:r w:rsidRPr="007E4F75">
              <w:rPr>
                <w:rFonts w:ascii="Arial" w:hAnsi="Arial" w:cs="Arial"/>
                <w:b/>
                <w:bCs/>
                <w:color w:val="FF0000"/>
              </w:rPr>
              <w:t xml:space="preserve"> Defence Standard 91-091 latest issue. </w:t>
            </w:r>
          </w:p>
          <w:p w:rsidR="007E4F75" w:rsidRPr="00A80595" w:rsidRDefault="007E4F75" w:rsidP="00A80595">
            <w:pPr>
              <w:rPr>
                <w:rFonts w:ascii="Arial" w:hAnsi="Arial" w:cs="Arial"/>
                <w:b/>
                <w:bCs/>
                <w:color w:val="FF0000"/>
                <w:lang w:eastAsia="en-GB"/>
              </w:rPr>
            </w:pPr>
          </w:p>
          <w:p w:rsidR="009F3E35" w:rsidRPr="009F3E35" w:rsidRDefault="009F3E35" w:rsidP="009F3E35">
            <w:pPr>
              <w:tabs>
                <w:tab w:val="left" w:pos="567"/>
              </w:tabs>
              <w:spacing w:after="0" w:line="240" w:lineRule="auto"/>
              <w:rPr>
                <w:rFonts w:ascii="Arial" w:eastAsia="Times New Roman" w:hAnsi="Arial" w:cs="Arial"/>
                <w:lang w:eastAsia="en-GB"/>
              </w:rPr>
            </w:pPr>
          </w:p>
        </w:tc>
      </w:tr>
    </w:tbl>
    <w:p w:rsidR="00BD7D0E" w:rsidRDefault="00BD7D0E"/>
    <w:sectPr w:rsidR="00BD7D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52524"/>
    <w:multiLevelType w:val="hybridMultilevel"/>
    <w:tmpl w:val="345E806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F511E60"/>
    <w:multiLevelType w:val="multilevel"/>
    <w:tmpl w:val="668A1D7A"/>
    <w:lvl w:ilvl="0">
      <w:start w:val="1"/>
      <w:numFmt w:val="decimal"/>
      <w:lvlText w:val="%1"/>
      <w:lvlJc w:val="left"/>
      <w:pPr>
        <w:tabs>
          <w:tab w:val="num" w:pos="567"/>
        </w:tabs>
        <w:ind w:left="0" w:firstLine="0"/>
      </w:pPr>
      <w:rPr>
        <w:rFonts w:hint="default"/>
      </w:rPr>
    </w:lvl>
    <w:lvl w:ilvl="1">
      <w:start w:val="1"/>
      <w:numFmt w:val="decimal"/>
      <w:lvlText w:val="%1.%2"/>
      <w:lvlJc w:val="left"/>
      <w:pPr>
        <w:tabs>
          <w:tab w:val="num" w:pos="567"/>
        </w:tabs>
        <w:ind w:left="0" w:firstLine="0"/>
      </w:pPr>
      <w:rPr>
        <w:rFonts w:hint="default"/>
        <w:b w:val="0"/>
      </w:rPr>
    </w:lvl>
    <w:lvl w:ilvl="2">
      <w:start w:val="1"/>
      <w:numFmt w:val="lowerLetter"/>
      <w:pStyle w:val="Heading4"/>
      <w:lvlText w:val="(%3)"/>
      <w:lvlJc w:val="left"/>
      <w:pPr>
        <w:tabs>
          <w:tab w:val="num" w:pos="1134"/>
        </w:tabs>
        <w:ind w:left="567"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Heading6"/>
      <w:lvlText w:val="%4."/>
      <w:lvlJc w:val="left"/>
      <w:pPr>
        <w:tabs>
          <w:tab w:val="num" w:pos="1701"/>
        </w:tabs>
        <w:ind w:left="1134" w:firstLine="0"/>
      </w:pPr>
      <w:rPr>
        <w:rFonts w:hint="default"/>
      </w:rPr>
    </w:lvl>
    <w:lvl w:ilvl="4">
      <w:start w:val="1"/>
      <w:numFmt w:val="decimal"/>
      <w:pStyle w:val="Heading7"/>
      <w:lvlText w:val="(%5)"/>
      <w:lvlJc w:val="left"/>
      <w:pPr>
        <w:tabs>
          <w:tab w:val="num" w:pos="2268"/>
        </w:tabs>
        <w:ind w:left="1701"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56C16019"/>
    <w:multiLevelType w:val="multilevel"/>
    <w:tmpl w:val="8C32E54A"/>
    <w:lvl w:ilvl="0">
      <w:start w:val="1"/>
      <w:numFmt w:val="decimal"/>
      <w:pStyle w:val="Style4"/>
      <w:lvlText w:val="%1"/>
      <w:lvlJc w:val="left"/>
      <w:pPr>
        <w:tabs>
          <w:tab w:val="num" w:pos="567"/>
        </w:tabs>
        <w:ind w:left="0" w:firstLine="0"/>
      </w:pPr>
      <w:rPr>
        <w:rFonts w:hint="default"/>
      </w:rPr>
    </w:lvl>
    <w:lvl w:ilvl="1">
      <w:start w:val="1"/>
      <w:numFmt w:val="decimal"/>
      <w:pStyle w:val="Style5"/>
      <w:lvlText w:val="%1.%2"/>
      <w:lvlJc w:val="left"/>
      <w:pPr>
        <w:tabs>
          <w:tab w:val="num" w:pos="567"/>
        </w:tabs>
        <w:ind w:left="0"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E35"/>
    <w:rsid w:val="001C1A28"/>
    <w:rsid w:val="002F28BF"/>
    <w:rsid w:val="003332DD"/>
    <w:rsid w:val="003675F5"/>
    <w:rsid w:val="00370049"/>
    <w:rsid w:val="0051484D"/>
    <w:rsid w:val="0058393A"/>
    <w:rsid w:val="005D1808"/>
    <w:rsid w:val="005F3AAC"/>
    <w:rsid w:val="00705C07"/>
    <w:rsid w:val="007E4F75"/>
    <w:rsid w:val="00931AB3"/>
    <w:rsid w:val="009B71FB"/>
    <w:rsid w:val="009F3E35"/>
    <w:rsid w:val="00A80595"/>
    <w:rsid w:val="00A80E76"/>
    <w:rsid w:val="00AD2008"/>
    <w:rsid w:val="00BD7D0E"/>
    <w:rsid w:val="00C366AE"/>
    <w:rsid w:val="00D160CE"/>
    <w:rsid w:val="00D37169"/>
    <w:rsid w:val="00D8526B"/>
    <w:rsid w:val="00DC7FD5"/>
    <w:rsid w:val="00EC58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6E7F8"/>
  <w15:docId w15:val="{B2449DD8-975C-4897-BC79-25C094D95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3332D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aliases w:val="h4,H41,H42,H43,H44,H45,H46,H47,H48,H49,H410,H411,H421,H431,H441,H451,H461,H471,H481,H491,H4101,H412,H413,H414,H415,H416,H417,H418,H419,H420,H422,H423,H4110,H432,H442,H452,H462,H472,H482,H492,H4102,H4111,H4121,H4131,H4141,H4151,H4161,H4171,H4,4"/>
    <w:basedOn w:val="Heading3"/>
    <w:next w:val="Normal"/>
    <w:link w:val="Heading4Char"/>
    <w:qFormat/>
    <w:rsid w:val="003332DD"/>
    <w:pPr>
      <w:keepNext w:val="0"/>
      <w:keepLines w:val="0"/>
      <w:numPr>
        <w:ilvl w:val="2"/>
        <w:numId w:val="2"/>
      </w:numPr>
      <w:spacing w:before="0" w:line="240" w:lineRule="auto"/>
      <w:outlineLvl w:val="3"/>
    </w:pPr>
    <w:rPr>
      <w:rFonts w:ascii="Arial" w:eastAsia="Times New Roman" w:hAnsi="Arial" w:cs="Times New Roman"/>
      <w:b w:val="0"/>
      <w:bCs w:val="0"/>
      <w:color w:val="auto"/>
      <w:lang w:eastAsia="en-GB"/>
    </w:rPr>
  </w:style>
  <w:style w:type="paragraph" w:styleId="Heading5">
    <w:name w:val="heading 5"/>
    <w:basedOn w:val="Normal"/>
    <w:next w:val="Normal"/>
    <w:link w:val="Heading5Char"/>
    <w:uiPriority w:val="9"/>
    <w:semiHidden/>
    <w:unhideWhenUsed/>
    <w:qFormat/>
    <w:rsid w:val="003332DD"/>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aliases w:val="h6,H6,H61,H62,H63,H64,H65,H66,H67,H68,H69,H610,H611,H612,H613,H614,H615,H616,H617,H618,H619,H621,H631,H641,H651,H661,H671,H681,H691,H6101,H6111,H6121,H6131,H6141,H6151,H6161,H6171,H6181,H620,H622,H623,H624,H625,H626,H627,H628,H629,H630,H632,6"/>
    <w:basedOn w:val="Normal"/>
    <w:next w:val="Normal"/>
    <w:link w:val="Heading6Char"/>
    <w:qFormat/>
    <w:rsid w:val="003332DD"/>
    <w:pPr>
      <w:keepNext/>
      <w:numPr>
        <w:ilvl w:val="3"/>
        <w:numId w:val="2"/>
      </w:numPr>
      <w:spacing w:after="0" w:line="240" w:lineRule="auto"/>
      <w:jc w:val="both"/>
      <w:outlineLvl w:val="5"/>
    </w:pPr>
    <w:rPr>
      <w:rFonts w:ascii="Arial" w:eastAsia="Times New Roman" w:hAnsi="Arial" w:cs="Times New Roman"/>
      <w:lang w:eastAsia="zh-CN"/>
    </w:rPr>
  </w:style>
  <w:style w:type="paragraph" w:styleId="Heading7">
    <w:name w:val="heading 7"/>
    <w:aliases w:val="Heading 7(unused),Legal Level 1.1.,L2 PIP,Lev 7,H7DO NOT USE,PA Appendix Major,h7,Level 7 head,Bullets(roman),Do Not Use 7,Appendix 2,a2,Appendix Major,7"/>
    <w:basedOn w:val="Heading5"/>
    <w:next w:val="Normal"/>
    <w:link w:val="Heading7Char"/>
    <w:qFormat/>
    <w:rsid w:val="003332DD"/>
    <w:pPr>
      <w:keepNext w:val="0"/>
      <w:keepLines w:val="0"/>
      <w:numPr>
        <w:ilvl w:val="4"/>
        <w:numId w:val="2"/>
      </w:numPr>
      <w:spacing w:before="0" w:line="240" w:lineRule="auto"/>
      <w:outlineLvl w:val="6"/>
    </w:pPr>
    <w:rPr>
      <w:rFonts w:ascii="Arial" w:eastAsia="Times New Roman" w:hAnsi="Arial" w:cs="Arial"/>
      <w:color w:val="auto"/>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332DD"/>
    <w:rPr>
      <w:color w:val="0000FF"/>
      <w:u w:val="single"/>
    </w:rPr>
  </w:style>
  <w:style w:type="character" w:customStyle="1" w:styleId="Heading4Char">
    <w:name w:val="Heading 4 Char"/>
    <w:aliases w:val="h4 Char,H41 Char,H42 Char,H43 Char,H44 Char,H45 Char,H46 Char,H47 Char,H48 Char,H49 Char,H410 Char,H411 Char,H421 Char,H431 Char,H441 Char,H451 Char,H461 Char,H471 Char,H481 Char,H491 Char,H4101 Char,H412 Char,H413 Char,H414 Char,H4 Char"/>
    <w:basedOn w:val="DefaultParagraphFont"/>
    <w:link w:val="Heading4"/>
    <w:rsid w:val="003332DD"/>
    <w:rPr>
      <w:rFonts w:ascii="Arial" w:eastAsia="Times New Roman" w:hAnsi="Arial" w:cs="Times New Roman"/>
      <w:lang w:eastAsia="en-GB"/>
    </w:rPr>
  </w:style>
  <w:style w:type="character" w:customStyle="1" w:styleId="Heading6Char">
    <w:name w:val="Heading 6 Char"/>
    <w:aliases w:val="h6 Char,H6 Char,H61 Char,H62 Char,H63 Char,H64 Char,H65 Char,H66 Char,H67 Char,H68 Char,H69 Char,H610 Char,H611 Char,H612 Char,H613 Char,H614 Char,H615 Char,H616 Char,H617 Char,H618 Char,H619 Char,H621 Char,H631 Char,H641 Char,H651 Char"/>
    <w:basedOn w:val="DefaultParagraphFont"/>
    <w:link w:val="Heading6"/>
    <w:rsid w:val="003332DD"/>
    <w:rPr>
      <w:rFonts w:ascii="Arial" w:eastAsia="Times New Roman" w:hAnsi="Arial" w:cs="Times New Roman"/>
      <w:lang w:eastAsia="zh-CN"/>
    </w:rPr>
  </w:style>
  <w:style w:type="character" w:customStyle="1" w:styleId="Heading7Char">
    <w:name w:val="Heading 7 Char"/>
    <w:aliases w:val="Heading 7(unused) Char,Legal Level 1.1. Char,L2 PIP Char,Lev 7 Char,H7DO NOT USE Char,PA Appendix Major Char,h7 Char,Level 7 head Char,Bullets(roman) Char,Do Not Use 7 Char,Appendix 2 Char,a2 Char,Appendix Major Char,7 Char"/>
    <w:basedOn w:val="DefaultParagraphFont"/>
    <w:link w:val="Heading7"/>
    <w:rsid w:val="003332DD"/>
    <w:rPr>
      <w:rFonts w:ascii="Arial" w:eastAsia="Times New Roman" w:hAnsi="Arial" w:cs="Arial"/>
      <w:lang w:eastAsia="en-GB"/>
    </w:rPr>
  </w:style>
  <w:style w:type="character" w:customStyle="1" w:styleId="Heading3Char">
    <w:name w:val="Heading 3 Char"/>
    <w:basedOn w:val="DefaultParagraphFont"/>
    <w:link w:val="Heading3"/>
    <w:uiPriority w:val="9"/>
    <w:semiHidden/>
    <w:rsid w:val="003332DD"/>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semiHidden/>
    <w:rsid w:val="003332DD"/>
    <w:rPr>
      <w:rFonts w:asciiTheme="majorHAnsi" w:eastAsiaTheme="majorEastAsia" w:hAnsiTheme="majorHAnsi" w:cstheme="majorBidi"/>
      <w:color w:val="243F60" w:themeColor="accent1" w:themeShade="7F"/>
    </w:rPr>
  </w:style>
  <w:style w:type="paragraph" w:customStyle="1" w:styleId="Style4">
    <w:name w:val="Style4"/>
    <w:basedOn w:val="Normal"/>
    <w:qFormat/>
    <w:rsid w:val="003332DD"/>
    <w:pPr>
      <w:numPr>
        <w:numId w:val="3"/>
      </w:numPr>
      <w:spacing w:after="0" w:line="240" w:lineRule="auto"/>
    </w:pPr>
    <w:rPr>
      <w:rFonts w:ascii="Arial" w:eastAsia="Times New Roman" w:hAnsi="Arial" w:cs="Times New Roman"/>
      <w:b/>
      <w:szCs w:val="20"/>
      <w:lang w:eastAsia="en-GB"/>
    </w:rPr>
  </w:style>
  <w:style w:type="paragraph" w:customStyle="1" w:styleId="Style5">
    <w:name w:val="Style5"/>
    <w:basedOn w:val="Heading3"/>
    <w:link w:val="Style5Char"/>
    <w:qFormat/>
    <w:rsid w:val="003332DD"/>
    <w:pPr>
      <w:keepNext w:val="0"/>
      <w:keepLines w:val="0"/>
      <w:numPr>
        <w:ilvl w:val="1"/>
        <w:numId w:val="3"/>
      </w:numPr>
      <w:spacing w:before="0" w:line="240" w:lineRule="auto"/>
    </w:pPr>
    <w:rPr>
      <w:rFonts w:ascii="Arial" w:eastAsia="Times New Roman" w:hAnsi="Arial" w:cs="Times New Roman"/>
      <w:b w:val="0"/>
      <w:bCs w:val="0"/>
      <w:color w:val="auto"/>
      <w:lang w:eastAsia="en-GB"/>
    </w:rPr>
  </w:style>
  <w:style w:type="character" w:customStyle="1" w:styleId="Style5Char">
    <w:name w:val="Style5 Char"/>
    <w:basedOn w:val="DefaultParagraphFont"/>
    <w:link w:val="Style5"/>
    <w:rsid w:val="003332DD"/>
    <w:rPr>
      <w:rFonts w:ascii="Arial" w:eastAsia="Times New Roman" w:hAnsi="Arial"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4908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mmodities-Comrcl-Fuel@mod.gov.uk" TargetMode="External"/><Relationship Id="rId5" Type="http://schemas.openxmlformats.org/officeDocument/2006/relationships/hyperlink" Target="http://www.dstan.mod.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717</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Ministry of Defence</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harringtonc290</dc:creator>
  <cp:lastModifiedBy>Chester, David C2 (DES LD DFAP-Comrcl-CM1)</cp:lastModifiedBy>
  <cp:revision>2</cp:revision>
  <cp:lastPrinted>2017-01-11T08:24:00Z</cp:lastPrinted>
  <dcterms:created xsi:type="dcterms:W3CDTF">2018-06-20T15:25:00Z</dcterms:created>
  <dcterms:modified xsi:type="dcterms:W3CDTF">2018-06-20T15:25:00Z</dcterms:modified>
</cp:coreProperties>
</file>