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2D57DD7A" w:rsidR="00FE18AC" w:rsidRDefault="00BB00B0" w:rsidP="00FE18AC">
      <w:pPr>
        <w:pStyle w:val="bodystrongcentred"/>
      </w:pPr>
      <w:r>
        <w:br/>
      </w:r>
      <w:r w:rsidR="00FE18AC">
        <w:t>CONTENTS</w:t>
      </w:r>
    </w:p>
    <w:p w14:paraId="757634AA" w14:textId="77777777" w:rsidR="00FE18AC" w:rsidRDefault="00FE18AC" w:rsidP="00FE18AC"/>
    <w:p w14:paraId="06A81697" w14:textId="0622DC2D" w:rsidR="00954207"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13023118" w:history="1">
        <w:r w:rsidR="00954207" w:rsidRPr="00EE5C79">
          <w:rPr>
            <w:rStyle w:val="Hyperlink"/>
            <w:noProof/>
          </w:rPr>
          <w:t>1.</w:t>
        </w:r>
        <w:r w:rsidR="00954207">
          <w:rPr>
            <w:rFonts w:asciiTheme="minorHAnsi" w:eastAsiaTheme="minorEastAsia" w:hAnsiTheme="minorHAnsi" w:cstheme="minorBidi"/>
            <w:caps w:val="0"/>
            <w:noProof/>
            <w:szCs w:val="22"/>
            <w:lang w:eastAsia="en-GB"/>
          </w:rPr>
          <w:tab/>
        </w:r>
        <w:r w:rsidR="00954207" w:rsidRPr="00EE5C79">
          <w:rPr>
            <w:rStyle w:val="Hyperlink"/>
            <w:noProof/>
          </w:rPr>
          <w:t>PURPOSE</w:t>
        </w:r>
        <w:r w:rsidR="00954207">
          <w:rPr>
            <w:noProof/>
            <w:webHidden/>
          </w:rPr>
          <w:tab/>
        </w:r>
        <w:r w:rsidR="00954207">
          <w:rPr>
            <w:noProof/>
            <w:webHidden/>
          </w:rPr>
          <w:fldChar w:fldCharType="begin"/>
        </w:r>
        <w:r w:rsidR="00954207">
          <w:rPr>
            <w:noProof/>
            <w:webHidden/>
          </w:rPr>
          <w:instrText xml:space="preserve"> PAGEREF _Toc513023118 \h </w:instrText>
        </w:r>
        <w:r w:rsidR="00954207">
          <w:rPr>
            <w:noProof/>
            <w:webHidden/>
          </w:rPr>
        </w:r>
        <w:r w:rsidR="00954207">
          <w:rPr>
            <w:noProof/>
            <w:webHidden/>
          </w:rPr>
          <w:fldChar w:fldCharType="separate"/>
        </w:r>
        <w:r w:rsidR="00CB0CA9">
          <w:rPr>
            <w:noProof/>
            <w:webHidden/>
          </w:rPr>
          <w:t>2</w:t>
        </w:r>
        <w:r w:rsidR="00954207">
          <w:rPr>
            <w:noProof/>
            <w:webHidden/>
          </w:rPr>
          <w:fldChar w:fldCharType="end"/>
        </w:r>
      </w:hyperlink>
    </w:p>
    <w:p w14:paraId="79774883" w14:textId="026567CB" w:rsidR="00954207" w:rsidRDefault="006208B9">
      <w:pPr>
        <w:pStyle w:val="TOC1"/>
        <w:rPr>
          <w:rFonts w:asciiTheme="minorHAnsi" w:eastAsiaTheme="minorEastAsia" w:hAnsiTheme="minorHAnsi" w:cstheme="minorBidi"/>
          <w:caps w:val="0"/>
          <w:noProof/>
          <w:szCs w:val="22"/>
          <w:lang w:eastAsia="en-GB"/>
        </w:rPr>
      </w:pPr>
      <w:hyperlink w:anchor="_Toc513023119" w:history="1">
        <w:r w:rsidR="00954207" w:rsidRPr="00EE5C79">
          <w:rPr>
            <w:rStyle w:val="Hyperlink"/>
            <w:noProof/>
          </w:rPr>
          <w:t>2.</w:t>
        </w:r>
        <w:r w:rsidR="00954207">
          <w:rPr>
            <w:rFonts w:asciiTheme="minorHAnsi" w:eastAsiaTheme="minorEastAsia" w:hAnsiTheme="minorHAnsi" w:cstheme="minorBidi"/>
            <w:caps w:val="0"/>
            <w:noProof/>
            <w:szCs w:val="22"/>
            <w:lang w:eastAsia="en-GB"/>
          </w:rPr>
          <w:tab/>
        </w:r>
        <w:r w:rsidR="00954207" w:rsidRPr="00EE5C79">
          <w:rPr>
            <w:rStyle w:val="Hyperlink"/>
            <w:noProof/>
          </w:rPr>
          <w:t>BACKGROUND TO THE CONTRACTING aUTHORITY</w:t>
        </w:r>
        <w:r w:rsidR="00954207">
          <w:rPr>
            <w:noProof/>
            <w:webHidden/>
          </w:rPr>
          <w:tab/>
        </w:r>
        <w:r w:rsidR="00954207">
          <w:rPr>
            <w:noProof/>
            <w:webHidden/>
          </w:rPr>
          <w:fldChar w:fldCharType="begin"/>
        </w:r>
        <w:r w:rsidR="00954207">
          <w:rPr>
            <w:noProof/>
            <w:webHidden/>
          </w:rPr>
          <w:instrText xml:space="preserve"> PAGEREF _Toc513023119 \h </w:instrText>
        </w:r>
        <w:r w:rsidR="00954207">
          <w:rPr>
            <w:noProof/>
            <w:webHidden/>
          </w:rPr>
        </w:r>
        <w:r w:rsidR="00954207">
          <w:rPr>
            <w:noProof/>
            <w:webHidden/>
          </w:rPr>
          <w:fldChar w:fldCharType="separate"/>
        </w:r>
        <w:r w:rsidR="00CB0CA9">
          <w:rPr>
            <w:noProof/>
            <w:webHidden/>
          </w:rPr>
          <w:t>2</w:t>
        </w:r>
        <w:r w:rsidR="00954207">
          <w:rPr>
            <w:noProof/>
            <w:webHidden/>
          </w:rPr>
          <w:fldChar w:fldCharType="end"/>
        </w:r>
      </w:hyperlink>
    </w:p>
    <w:p w14:paraId="7025C97D" w14:textId="074B8821" w:rsidR="00954207" w:rsidRDefault="006208B9">
      <w:pPr>
        <w:pStyle w:val="TOC1"/>
        <w:rPr>
          <w:rFonts w:asciiTheme="minorHAnsi" w:eastAsiaTheme="minorEastAsia" w:hAnsiTheme="minorHAnsi" w:cstheme="minorBidi"/>
          <w:caps w:val="0"/>
          <w:noProof/>
          <w:szCs w:val="22"/>
          <w:lang w:eastAsia="en-GB"/>
        </w:rPr>
      </w:pPr>
      <w:hyperlink w:anchor="_Toc513023120" w:history="1">
        <w:r w:rsidR="00954207" w:rsidRPr="00EE5C79">
          <w:rPr>
            <w:rStyle w:val="Hyperlink"/>
            <w:noProof/>
          </w:rPr>
          <w:t>3.</w:t>
        </w:r>
        <w:r w:rsidR="00954207">
          <w:rPr>
            <w:rFonts w:asciiTheme="minorHAnsi" w:eastAsiaTheme="minorEastAsia" w:hAnsiTheme="minorHAnsi" w:cstheme="minorBidi"/>
            <w:caps w:val="0"/>
            <w:noProof/>
            <w:szCs w:val="22"/>
            <w:lang w:eastAsia="en-GB"/>
          </w:rPr>
          <w:tab/>
        </w:r>
        <w:r w:rsidR="00954207" w:rsidRPr="00EE5C79">
          <w:rPr>
            <w:rStyle w:val="Hyperlink"/>
            <w:noProof/>
          </w:rPr>
          <w:t>Background to requirement/OVERVIEW of requirement</w:t>
        </w:r>
        <w:r w:rsidR="00954207">
          <w:rPr>
            <w:noProof/>
            <w:webHidden/>
          </w:rPr>
          <w:tab/>
        </w:r>
        <w:r w:rsidR="00954207">
          <w:rPr>
            <w:noProof/>
            <w:webHidden/>
          </w:rPr>
          <w:fldChar w:fldCharType="begin"/>
        </w:r>
        <w:r w:rsidR="00954207">
          <w:rPr>
            <w:noProof/>
            <w:webHidden/>
          </w:rPr>
          <w:instrText xml:space="preserve"> PAGEREF _Toc513023120 \h </w:instrText>
        </w:r>
        <w:r w:rsidR="00954207">
          <w:rPr>
            <w:noProof/>
            <w:webHidden/>
          </w:rPr>
        </w:r>
        <w:r w:rsidR="00954207">
          <w:rPr>
            <w:noProof/>
            <w:webHidden/>
          </w:rPr>
          <w:fldChar w:fldCharType="separate"/>
        </w:r>
        <w:r w:rsidR="00CB0CA9">
          <w:rPr>
            <w:noProof/>
            <w:webHidden/>
          </w:rPr>
          <w:t>2</w:t>
        </w:r>
        <w:r w:rsidR="00954207">
          <w:rPr>
            <w:noProof/>
            <w:webHidden/>
          </w:rPr>
          <w:fldChar w:fldCharType="end"/>
        </w:r>
      </w:hyperlink>
    </w:p>
    <w:p w14:paraId="74AFC302" w14:textId="77B20200" w:rsidR="00954207" w:rsidRDefault="006208B9">
      <w:pPr>
        <w:pStyle w:val="TOC1"/>
        <w:rPr>
          <w:rFonts w:asciiTheme="minorHAnsi" w:eastAsiaTheme="minorEastAsia" w:hAnsiTheme="minorHAnsi" w:cstheme="minorBidi"/>
          <w:caps w:val="0"/>
          <w:noProof/>
          <w:szCs w:val="22"/>
          <w:lang w:eastAsia="en-GB"/>
        </w:rPr>
      </w:pPr>
      <w:hyperlink w:anchor="_Toc513023121" w:history="1">
        <w:r w:rsidR="00954207" w:rsidRPr="00EE5C79">
          <w:rPr>
            <w:rStyle w:val="Hyperlink"/>
            <w:noProof/>
          </w:rPr>
          <w:t>4.</w:t>
        </w:r>
        <w:r w:rsidR="00954207">
          <w:rPr>
            <w:rFonts w:asciiTheme="minorHAnsi" w:eastAsiaTheme="minorEastAsia" w:hAnsiTheme="minorHAnsi" w:cstheme="minorBidi"/>
            <w:caps w:val="0"/>
            <w:noProof/>
            <w:szCs w:val="22"/>
            <w:lang w:eastAsia="en-GB"/>
          </w:rPr>
          <w:tab/>
        </w:r>
        <w:r w:rsidR="00954207" w:rsidRPr="00EE5C79">
          <w:rPr>
            <w:rStyle w:val="Hyperlink"/>
            <w:noProof/>
          </w:rPr>
          <w:t>definitions</w:t>
        </w:r>
        <w:r w:rsidR="00954207">
          <w:rPr>
            <w:noProof/>
            <w:webHidden/>
          </w:rPr>
          <w:tab/>
        </w:r>
        <w:r w:rsidR="00954207">
          <w:rPr>
            <w:noProof/>
            <w:webHidden/>
          </w:rPr>
          <w:fldChar w:fldCharType="begin"/>
        </w:r>
        <w:r w:rsidR="00954207">
          <w:rPr>
            <w:noProof/>
            <w:webHidden/>
          </w:rPr>
          <w:instrText xml:space="preserve"> PAGEREF _Toc513023121 \h </w:instrText>
        </w:r>
        <w:r w:rsidR="00954207">
          <w:rPr>
            <w:noProof/>
            <w:webHidden/>
          </w:rPr>
        </w:r>
        <w:r w:rsidR="00954207">
          <w:rPr>
            <w:noProof/>
            <w:webHidden/>
          </w:rPr>
          <w:fldChar w:fldCharType="separate"/>
        </w:r>
        <w:r w:rsidR="00CB0CA9">
          <w:rPr>
            <w:noProof/>
            <w:webHidden/>
          </w:rPr>
          <w:t>3</w:t>
        </w:r>
        <w:r w:rsidR="00954207">
          <w:rPr>
            <w:noProof/>
            <w:webHidden/>
          </w:rPr>
          <w:fldChar w:fldCharType="end"/>
        </w:r>
      </w:hyperlink>
    </w:p>
    <w:p w14:paraId="15D914A5" w14:textId="0303AAB0" w:rsidR="00954207" w:rsidRDefault="006208B9">
      <w:pPr>
        <w:pStyle w:val="TOC1"/>
        <w:rPr>
          <w:rFonts w:asciiTheme="minorHAnsi" w:eastAsiaTheme="minorEastAsia" w:hAnsiTheme="minorHAnsi" w:cstheme="minorBidi"/>
          <w:caps w:val="0"/>
          <w:noProof/>
          <w:szCs w:val="22"/>
          <w:lang w:eastAsia="en-GB"/>
        </w:rPr>
      </w:pPr>
      <w:hyperlink w:anchor="_Toc513023122" w:history="1">
        <w:r w:rsidR="00954207" w:rsidRPr="00EE5C79">
          <w:rPr>
            <w:rStyle w:val="Hyperlink"/>
            <w:noProof/>
          </w:rPr>
          <w:t>5.</w:t>
        </w:r>
        <w:r w:rsidR="00954207">
          <w:rPr>
            <w:rFonts w:asciiTheme="minorHAnsi" w:eastAsiaTheme="minorEastAsia" w:hAnsiTheme="minorHAnsi" w:cstheme="minorBidi"/>
            <w:caps w:val="0"/>
            <w:noProof/>
            <w:szCs w:val="22"/>
            <w:lang w:eastAsia="en-GB"/>
          </w:rPr>
          <w:tab/>
        </w:r>
        <w:r w:rsidR="00954207" w:rsidRPr="00EE5C79">
          <w:rPr>
            <w:rStyle w:val="Hyperlink"/>
            <w:noProof/>
          </w:rPr>
          <w:t>scope of requirement</w:t>
        </w:r>
        <w:r w:rsidR="00954207">
          <w:rPr>
            <w:noProof/>
            <w:webHidden/>
          </w:rPr>
          <w:tab/>
        </w:r>
        <w:r w:rsidR="00954207">
          <w:rPr>
            <w:noProof/>
            <w:webHidden/>
          </w:rPr>
          <w:fldChar w:fldCharType="begin"/>
        </w:r>
        <w:r w:rsidR="00954207">
          <w:rPr>
            <w:noProof/>
            <w:webHidden/>
          </w:rPr>
          <w:instrText xml:space="preserve"> PAGEREF _Toc513023122 \h </w:instrText>
        </w:r>
        <w:r w:rsidR="00954207">
          <w:rPr>
            <w:noProof/>
            <w:webHidden/>
          </w:rPr>
        </w:r>
        <w:r w:rsidR="00954207">
          <w:rPr>
            <w:noProof/>
            <w:webHidden/>
          </w:rPr>
          <w:fldChar w:fldCharType="separate"/>
        </w:r>
        <w:r w:rsidR="00CB0CA9">
          <w:rPr>
            <w:noProof/>
            <w:webHidden/>
          </w:rPr>
          <w:t>3</w:t>
        </w:r>
        <w:r w:rsidR="00954207">
          <w:rPr>
            <w:noProof/>
            <w:webHidden/>
          </w:rPr>
          <w:fldChar w:fldCharType="end"/>
        </w:r>
      </w:hyperlink>
    </w:p>
    <w:p w14:paraId="43F9CD97" w14:textId="3EB7CD79" w:rsidR="00954207" w:rsidRDefault="006208B9">
      <w:pPr>
        <w:pStyle w:val="TOC1"/>
        <w:rPr>
          <w:rFonts w:asciiTheme="minorHAnsi" w:eastAsiaTheme="minorEastAsia" w:hAnsiTheme="minorHAnsi" w:cstheme="minorBidi"/>
          <w:caps w:val="0"/>
          <w:noProof/>
          <w:szCs w:val="22"/>
          <w:lang w:eastAsia="en-GB"/>
        </w:rPr>
      </w:pPr>
      <w:hyperlink w:anchor="_Toc513023123" w:history="1">
        <w:r w:rsidR="00954207" w:rsidRPr="00EE5C79">
          <w:rPr>
            <w:rStyle w:val="Hyperlink"/>
            <w:noProof/>
          </w:rPr>
          <w:t>6.</w:t>
        </w:r>
        <w:r w:rsidR="00954207">
          <w:rPr>
            <w:rFonts w:asciiTheme="minorHAnsi" w:eastAsiaTheme="minorEastAsia" w:hAnsiTheme="minorHAnsi" w:cstheme="minorBidi"/>
            <w:caps w:val="0"/>
            <w:noProof/>
            <w:szCs w:val="22"/>
            <w:lang w:eastAsia="en-GB"/>
          </w:rPr>
          <w:tab/>
        </w:r>
        <w:r w:rsidR="00954207" w:rsidRPr="00EE5C79">
          <w:rPr>
            <w:rStyle w:val="Hyperlink"/>
            <w:noProof/>
          </w:rPr>
          <w:t>The requirement</w:t>
        </w:r>
        <w:r w:rsidR="00954207">
          <w:rPr>
            <w:noProof/>
            <w:webHidden/>
          </w:rPr>
          <w:tab/>
        </w:r>
        <w:r w:rsidR="00954207">
          <w:rPr>
            <w:noProof/>
            <w:webHidden/>
          </w:rPr>
          <w:fldChar w:fldCharType="begin"/>
        </w:r>
        <w:r w:rsidR="00954207">
          <w:rPr>
            <w:noProof/>
            <w:webHidden/>
          </w:rPr>
          <w:instrText xml:space="preserve"> PAGEREF _Toc513023123 \h </w:instrText>
        </w:r>
        <w:r w:rsidR="00954207">
          <w:rPr>
            <w:noProof/>
            <w:webHidden/>
          </w:rPr>
        </w:r>
        <w:r w:rsidR="00954207">
          <w:rPr>
            <w:noProof/>
            <w:webHidden/>
          </w:rPr>
          <w:fldChar w:fldCharType="separate"/>
        </w:r>
        <w:r w:rsidR="00CB0CA9">
          <w:rPr>
            <w:noProof/>
            <w:webHidden/>
          </w:rPr>
          <w:t>4</w:t>
        </w:r>
        <w:r w:rsidR="00954207">
          <w:rPr>
            <w:noProof/>
            <w:webHidden/>
          </w:rPr>
          <w:fldChar w:fldCharType="end"/>
        </w:r>
      </w:hyperlink>
    </w:p>
    <w:p w14:paraId="6150F6EA" w14:textId="2C5262E4" w:rsidR="00954207" w:rsidRDefault="006208B9">
      <w:pPr>
        <w:pStyle w:val="TOC1"/>
        <w:rPr>
          <w:rFonts w:asciiTheme="minorHAnsi" w:eastAsiaTheme="minorEastAsia" w:hAnsiTheme="minorHAnsi" w:cstheme="minorBidi"/>
          <w:caps w:val="0"/>
          <w:noProof/>
          <w:szCs w:val="22"/>
          <w:lang w:eastAsia="en-GB"/>
        </w:rPr>
      </w:pPr>
      <w:hyperlink w:anchor="_Toc513023124" w:history="1">
        <w:r w:rsidR="00954207" w:rsidRPr="00EE5C79">
          <w:rPr>
            <w:rStyle w:val="Hyperlink"/>
            <w:noProof/>
          </w:rPr>
          <w:t>7.</w:t>
        </w:r>
        <w:r w:rsidR="00954207">
          <w:rPr>
            <w:rFonts w:asciiTheme="minorHAnsi" w:eastAsiaTheme="minorEastAsia" w:hAnsiTheme="minorHAnsi" w:cstheme="minorBidi"/>
            <w:caps w:val="0"/>
            <w:noProof/>
            <w:szCs w:val="22"/>
            <w:lang w:eastAsia="en-GB"/>
          </w:rPr>
          <w:tab/>
        </w:r>
        <w:r w:rsidR="00954207" w:rsidRPr="00EE5C79">
          <w:rPr>
            <w:rStyle w:val="Hyperlink"/>
            <w:noProof/>
          </w:rPr>
          <w:t>key milestones</w:t>
        </w:r>
        <w:r w:rsidR="00954207">
          <w:rPr>
            <w:noProof/>
            <w:webHidden/>
          </w:rPr>
          <w:tab/>
        </w:r>
        <w:r w:rsidR="00954207">
          <w:rPr>
            <w:noProof/>
            <w:webHidden/>
          </w:rPr>
          <w:fldChar w:fldCharType="begin"/>
        </w:r>
        <w:r w:rsidR="00954207">
          <w:rPr>
            <w:noProof/>
            <w:webHidden/>
          </w:rPr>
          <w:instrText xml:space="preserve"> PAGEREF _Toc513023124 \h </w:instrText>
        </w:r>
        <w:r w:rsidR="00954207">
          <w:rPr>
            <w:noProof/>
            <w:webHidden/>
          </w:rPr>
        </w:r>
        <w:r w:rsidR="00954207">
          <w:rPr>
            <w:noProof/>
            <w:webHidden/>
          </w:rPr>
          <w:fldChar w:fldCharType="separate"/>
        </w:r>
        <w:r w:rsidR="00CB0CA9">
          <w:rPr>
            <w:noProof/>
            <w:webHidden/>
          </w:rPr>
          <w:t>4</w:t>
        </w:r>
        <w:r w:rsidR="00954207">
          <w:rPr>
            <w:noProof/>
            <w:webHidden/>
          </w:rPr>
          <w:fldChar w:fldCharType="end"/>
        </w:r>
      </w:hyperlink>
    </w:p>
    <w:p w14:paraId="7A1D5FC6" w14:textId="6FA89DB1" w:rsidR="00954207" w:rsidRDefault="006208B9">
      <w:pPr>
        <w:pStyle w:val="TOC1"/>
        <w:rPr>
          <w:rFonts w:asciiTheme="minorHAnsi" w:eastAsiaTheme="minorEastAsia" w:hAnsiTheme="minorHAnsi" w:cstheme="minorBidi"/>
          <w:caps w:val="0"/>
          <w:noProof/>
          <w:szCs w:val="22"/>
          <w:lang w:eastAsia="en-GB"/>
        </w:rPr>
      </w:pPr>
      <w:hyperlink w:anchor="_Toc513023125" w:history="1">
        <w:r w:rsidR="00954207" w:rsidRPr="00EE5C79">
          <w:rPr>
            <w:rStyle w:val="Hyperlink"/>
            <w:rFonts w:cs="Arial"/>
            <w:noProof/>
          </w:rPr>
          <w:t>8.</w:t>
        </w:r>
        <w:r w:rsidR="00954207">
          <w:rPr>
            <w:rFonts w:asciiTheme="minorHAnsi" w:eastAsiaTheme="minorEastAsia" w:hAnsiTheme="minorHAnsi" w:cstheme="minorBidi"/>
            <w:caps w:val="0"/>
            <w:noProof/>
            <w:szCs w:val="22"/>
            <w:lang w:eastAsia="en-GB"/>
          </w:rPr>
          <w:tab/>
        </w:r>
        <w:r w:rsidR="00954207" w:rsidRPr="00EE5C79">
          <w:rPr>
            <w:rStyle w:val="Hyperlink"/>
            <w:rFonts w:cs="Arial"/>
            <w:noProof/>
          </w:rPr>
          <w:t>authority’s responsibilities</w:t>
        </w:r>
        <w:r w:rsidR="00954207">
          <w:rPr>
            <w:noProof/>
            <w:webHidden/>
          </w:rPr>
          <w:tab/>
        </w:r>
        <w:r w:rsidR="00954207">
          <w:rPr>
            <w:noProof/>
            <w:webHidden/>
          </w:rPr>
          <w:fldChar w:fldCharType="begin"/>
        </w:r>
        <w:r w:rsidR="00954207">
          <w:rPr>
            <w:noProof/>
            <w:webHidden/>
          </w:rPr>
          <w:instrText xml:space="preserve"> PAGEREF _Toc513023125 \h </w:instrText>
        </w:r>
        <w:r w:rsidR="00954207">
          <w:rPr>
            <w:noProof/>
            <w:webHidden/>
          </w:rPr>
        </w:r>
        <w:r w:rsidR="00954207">
          <w:rPr>
            <w:noProof/>
            <w:webHidden/>
          </w:rPr>
          <w:fldChar w:fldCharType="separate"/>
        </w:r>
        <w:r w:rsidR="00CB0CA9">
          <w:rPr>
            <w:noProof/>
            <w:webHidden/>
          </w:rPr>
          <w:t>5</w:t>
        </w:r>
        <w:r w:rsidR="00954207">
          <w:rPr>
            <w:noProof/>
            <w:webHidden/>
          </w:rPr>
          <w:fldChar w:fldCharType="end"/>
        </w:r>
      </w:hyperlink>
    </w:p>
    <w:p w14:paraId="53F016EE" w14:textId="32B6797A" w:rsidR="00954207" w:rsidRDefault="006208B9">
      <w:pPr>
        <w:pStyle w:val="TOC1"/>
        <w:rPr>
          <w:rFonts w:asciiTheme="minorHAnsi" w:eastAsiaTheme="minorEastAsia" w:hAnsiTheme="minorHAnsi" w:cstheme="minorBidi"/>
          <w:caps w:val="0"/>
          <w:noProof/>
          <w:szCs w:val="22"/>
          <w:lang w:eastAsia="en-GB"/>
        </w:rPr>
      </w:pPr>
      <w:hyperlink w:anchor="_Toc513023126" w:history="1">
        <w:r w:rsidR="00954207" w:rsidRPr="00EE5C79">
          <w:rPr>
            <w:rStyle w:val="Hyperlink"/>
            <w:rFonts w:cs="Arial"/>
            <w:noProof/>
          </w:rPr>
          <w:t>9.</w:t>
        </w:r>
        <w:r w:rsidR="00954207">
          <w:rPr>
            <w:rFonts w:asciiTheme="minorHAnsi" w:eastAsiaTheme="minorEastAsia" w:hAnsiTheme="minorHAnsi" w:cstheme="minorBidi"/>
            <w:caps w:val="0"/>
            <w:noProof/>
            <w:szCs w:val="22"/>
            <w:lang w:eastAsia="en-GB"/>
          </w:rPr>
          <w:tab/>
        </w:r>
        <w:r w:rsidR="00954207" w:rsidRPr="00EE5C79">
          <w:rPr>
            <w:rStyle w:val="Hyperlink"/>
            <w:rFonts w:cs="Arial"/>
            <w:noProof/>
          </w:rPr>
          <w:t>reporting</w:t>
        </w:r>
        <w:r w:rsidR="00954207">
          <w:rPr>
            <w:noProof/>
            <w:webHidden/>
          </w:rPr>
          <w:tab/>
        </w:r>
        <w:r w:rsidR="00954207">
          <w:rPr>
            <w:noProof/>
            <w:webHidden/>
          </w:rPr>
          <w:fldChar w:fldCharType="begin"/>
        </w:r>
        <w:r w:rsidR="00954207">
          <w:rPr>
            <w:noProof/>
            <w:webHidden/>
          </w:rPr>
          <w:instrText xml:space="preserve"> PAGEREF _Toc513023126 \h </w:instrText>
        </w:r>
        <w:r w:rsidR="00954207">
          <w:rPr>
            <w:noProof/>
            <w:webHidden/>
          </w:rPr>
        </w:r>
        <w:r w:rsidR="00954207">
          <w:rPr>
            <w:noProof/>
            <w:webHidden/>
          </w:rPr>
          <w:fldChar w:fldCharType="separate"/>
        </w:r>
        <w:r w:rsidR="00CB0CA9">
          <w:rPr>
            <w:noProof/>
            <w:webHidden/>
          </w:rPr>
          <w:t>5</w:t>
        </w:r>
        <w:r w:rsidR="00954207">
          <w:rPr>
            <w:noProof/>
            <w:webHidden/>
          </w:rPr>
          <w:fldChar w:fldCharType="end"/>
        </w:r>
      </w:hyperlink>
    </w:p>
    <w:p w14:paraId="3CAC86CC" w14:textId="1D5EFFA2" w:rsidR="00954207" w:rsidRDefault="006208B9">
      <w:pPr>
        <w:pStyle w:val="TOC1"/>
        <w:rPr>
          <w:rFonts w:asciiTheme="minorHAnsi" w:eastAsiaTheme="minorEastAsia" w:hAnsiTheme="minorHAnsi" w:cstheme="minorBidi"/>
          <w:caps w:val="0"/>
          <w:noProof/>
          <w:szCs w:val="22"/>
          <w:lang w:eastAsia="en-GB"/>
        </w:rPr>
      </w:pPr>
      <w:hyperlink w:anchor="_Toc513023127" w:history="1">
        <w:r w:rsidR="00954207" w:rsidRPr="00EE5C79">
          <w:rPr>
            <w:rStyle w:val="Hyperlink"/>
            <w:rFonts w:cs="Arial"/>
            <w:noProof/>
          </w:rPr>
          <w:t>10.</w:t>
        </w:r>
        <w:r w:rsidR="00954207">
          <w:rPr>
            <w:rFonts w:asciiTheme="minorHAnsi" w:eastAsiaTheme="minorEastAsia" w:hAnsiTheme="minorHAnsi" w:cstheme="minorBidi"/>
            <w:caps w:val="0"/>
            <w:noProof/>
            <w:szCs w:val="22"/>
            <w:lang w:eastAsia="en-GB"/>
          </w:rPr>
          <w:tab/>
        </w:r>
        <w:r w:rsidR="00954207" w:rsidRPr="00EE5C79">
          <w:rPr>
            <w:rStyle w:val="Hyperlink"/>
            <w:rFonts w:cs="Arial"/>
            <w:noProof/>
          </w:rPr>
          <w:t>volumes</w:t>
        </w:r>
        <w:r w:rsidR="00954207">
          <w:rPr>
            <w:noProof/>
            <w:webHidden/>
          </w:rPr>
          <w:tab/>
        </w:r>
        <w:r w:rsidR="00954207">
          <w:rPr>
            <w:noProof/>
            <w:webHidden/>
          </w:rPr>
          <w:fldChar w:fldCharType="begin"/>
        </w:r>
        <w:r w:rsidR="00954207">
          <w:rPr>
            <w:noProof/>
            <w:webHidden/>
          </w:rPr>
          <w:instrText xml:space="preserve"> PAGEREF _Toc513023127 \h </w:instrText>
        </w:r>
        <w:r w:rsidR="00954207">
          <w:rPr>
            <w:noProof/>
            <w:webHidden/>
          </w:rPr>
        </w:r>
        <w:r w:rsidR="00954207">
          <w:rPr>
            <w:noProof/>
            <w:webHidden/>
          </w:rPr>
          <w:fldChar w:fldCharType="separate"/>
        </w:r>
        <w:r w:rsidR="00CB0CA9">
          <w:rPr>
            <w:noProof/>
            <w:webHidden/>
          </w:rPr>
          <w:t>5</w:t>
        </w:r>
        <w:r w:rsidR="00954207">
          <w:rPr>
            <w:noProof/>
            <w:webHidden/>
          </w:rPr>
          <w:fldChar w:fldCharType="end"/>
        </w:r>
      </w:hyperlink>
    </w:p>
    <w:p w14:paraId="41BC0DE3" w14:textId="6081BA2C" w:rsidR="00954207" w:rsidRDefault="006208B9">
      <w:pPr>
        <w:pStyle w:val="TOC1"/>
        <w:rPr>
          <w:rFonts w:asciiTheme="minorHAnsi" w:eastAsiaTheme="minorEastAsia" w:hAnsiTheme="minorHAnsi" w:cstheme="minorBidi"/>
          <w:caps w:val="0"/>
          <w:noProof/>
          <w:szCs w:val="22"/>
          <w:lang w:eastAsia="en-GB"/>
        </w:rPr>
      </w:pPr>
      <w:hyperlink w:anchor="_Toc513023128" w:history="1">
        <w:r w:rsidR="00954207" w:rsidRPr="00EE5C79">
          <w:rPr>
            <w:rStyle w:val="Hyperlink"/>
            <w:rFonts w:cs="Arial"/>
            <w:noProof/>
          </w:rPr>
          <w:t>11.</w:t>
        </w:r>
        <w:r w:rsidR="00954207">
          <w:rPr>
            <w:rFonts w:asciiTheme="minorHAnsi" w:eastAsiaTheme="minorEastAsia" w:hAnsiTheme="minorHAnsi" w:cstheme="minorBidi"/>
            <w:caps w:val="0"/>
            <w:noProof/>
            <w:szCs w:val="22"/>
            <w:lang w:eastAsia="en-GB"/>
          </w:rPr>
          <w:tab/>
        </w:r>
        <w:r w:rsidR="00954207" w:rsidRPr="00EE5C79">
          <w:rPr>
            <w:rStyle w:val="Hyperlink"/>
            <w:rFonts w:cs="Arial"/>
            <w:noProof/>
          </w:rPr>
          <w:t>continuous improvement</w:t>
        </w:r>
        <w:r w:rsidR="00954207">
          <w:rPr>
            <w:noProof/>
            <w:webHidden/>
          </w:rPr>
          <w:tab/>
        </w:r>
        <w:r w:rsidR="00954207">
          <w:rPr>
            <w:noProof/>
            <w:webHidden/>
          </w:rPr>
          <w:fldChar w:fldCharType="begin"/>
        </w:r>
        <w:r w:rsidR="00954207">
          <w:rPr>
            <w:noProof/>
            <w:webHidden/>
          </w:rPr>
          <w:instrText xml:space="preserve"> PAGEREF _Toc513023128 \h </w:instrText>
        </w:r>
        <w:r w:rsidR="00954207">
          <w:rPr>
            <w:noProof/>
            <w:webHidden/>
          </w:rPr>
        </w:r>
        <w:r w:rsidR="00954207">
          <w:rPr>
            <w:noProof/>
            <w:webHidden/>
          </w:rPr>
          <w:fldChar w:fldCharType="separate"/>
        </w:r>
        <w:r w:rsidR="00CB0CA9">
          <w:rPr>
            <w:noProof/>
            <w:webHidden/>
          </w:rPr>
          <w:t>5</w:t>
        </w:r>
        <w:r w:rsidR="00954207">
          <w:rPr>
            <w:noProof/>
            <w:webHidden/>
          </w:rPr>
          <w:fldChar w:fldCharType="end"/>
        </w:r>
      </w:hyperlink>
    </w:p>
    <w:p w14:paraId="666D85C5" w14:textId="6BD01F65" w:rsidR="00954207" w:rsidRDefault="006208B9">
      <w:pPr>
        <w:pStyle w:val="TOC1"/>
        <w:rPr>
          <w:rFonts w:asciiTheme="minorHAnsi" w:eastAsiaTheme="minorEastAsia" w:hAnsiTheme="minorHAnsi" w:cstheme="minorBidi"/>
          <w:caps w:val="0"/>
          <w:noProof/>
          <w:szCs w:val="22"/>
          <w:lang w:eastAsia="en-GB"/>
        </w:rPr>
      </w:pPr>
      <w:hyperlink w:anchor="_Toc513023129" w:history="1">
        <w:r w:rsidR="00954207" w:rsidRPr="00EE5C79">
          <w:rPr>
            <w:rStyle w:val="Hyperlink"/>
            <w:noProof/>
          </w:rPr>
          <w:t>12.</w:t>
        </w:r>
        <w:r w:rsidR="00954207">
          <w:rPr>
            <w:rFonts w:asciiTheme="minorHAnsi" w:eastAsiaTheme="minorEastAsia" w:hAnsiTheme="minorHAnsi" w:cstheme="minorBidi"/>
            <w:caps w:val="0"/>
            <w:noProof/>
            <w:szCs w:val="22"/>
            <w:lang w:eastAsia="en-GB"/>
          </w:rPr>
          <w:tab/>
        </w:r>
        <w:r w:rsidR="00954207" w:rsidRPr="00EE5C79">
          <w:rPr>
            <w:rStyle w:val="Hyperlink"/>
            <w:noProof/>
          </w:rPr>
          <w:t>Sustainability</w:t>
        </w:r>
        <w:r w:rsidR="00954207">
          <w:rPr>
            <w:noProof/>
            <w:webHidden/>
          </w:rPr>
          <w:tab/>
        </w:r>
        <w:r w:rsidR="00954207">
          <w:rPr>
            <w:noProof/>
            <w:webHidden/>
          </w:rPr>
          <w:fldChar w:fldCharType="begin"/>
        </w:r>
        <w:r w:rsidR="00954207">
          <w:rPr>
            <w:noProof/>
            <w:webHidden/>
          </w:rPr>
          <w:instrText xml:space="preserve"> PAGEREF _Toc513023129 \h </w:instrText>
        </w:r>
        <w:r w:rsidR="00954207">
          <w:rPr>
            <w:noProof/>
            <w:webHidden/>
          </w:rPr>
        </w:r>
        <w:r w:rsidR="00954207">
          <w:rPr>
            <w:noProof/>
            <w:webHidden/>
          </w:rPr>
          <w:fldChar w:fldCharType="separate"/>
        </w:r>
        <w:r w:rsidR="00CB0CA9">
          <w:rPr>
            <w:noProof/>
            <w:webHidden/>
          </w:rPr>
          <w:t>5</w:t>
        </w:r>
        <w:r w:rsidR="00954207">
          <w:rPr>
            <w:noProof/>
            <w:webHidden/>
          </w:rPr>
          <w:fldChar w:fldCharType="end"/>
        </w:r>
      </w:hyperlink>
    </w:p>
    <w:p w14:paraId="12B1BB46" w14:textId="2A5157BC" w:rsidR="00954207" w:rsidRDefault="006208B9">
      <w:pPr>
        <w:pStyle w:val="TOC1"/>
        <w:rPr>
          <w:rFonts w:asciiTheme="minorHAnsi" w:eastAsiaTheme="minorEastAsia" w:hAnsiTheme="minorHAnsi" w:cstheme="minorBidi"/>
          <w:caps w:val="0"/>
          <w:noProof/>
          <w:szCs w:val="22"/>
          <w:lang w:eastAsia="en-GB"/>
        </w:rPr>
      </w:pPr>
      <w:hyperlink w:anchor="_Toc513023130" w:history="1">
        <w:r w:rsidR="00954207" w:rsidRPr="00EE5C79">
          <w:rPr>
            <w:rStyle w:val="Hyperlink"/>
            <w:rFonts w:cs="Arial"/>
            <w:noProof/>
          </w:rPr>
          <w:t>13.</w:t>
        </w:r>
        <w:r w:rsidR="00954207">
          <w:rPr>
            <w:rFonts w:asciiTheme="minorHAnsi" w:eastAsiaTheme="minorEastAsia" w:hAnsiTheme="minorHAnsi" w:cstheme="minorBidi"/>
            <w:caps w:val="0"/>
            <w:noProof/>
            <w:szCs w:val="22"/>
            <w:lang w:eastAsia="en-GB"/>
          </w:rPr>
          <w:tab/>
        </w:r>
        <w:r w:rsidR="00954207" w:rsidRPr="00EE5C79">
          <w:rPr>
            <w:rStyle w:val="Hyperlink"/>
            <w:rFonts w:cs="Arial"/>
            <w:noProof/>
          </w:rPr>
          <w:t>quality</w:t>
        </w:r>
        <w:r w:rsidR="00954207">
          <w:rPr>
            <w:noProof/>
            <w:webHidden/>
          </w:rPr>
          <w:tab/>
        </w:r>
        <w:r w:rsidR="00954207">
          <w:rPr>
            <w:noProof/>
            <w:webHidden/>
          </w:rPr>
          <w:fldChar w:fldCharType="begin"/>
        </w:r>
        <w:r w:rsidR="00954207">
          <w:rPr>
            <w:noProof/>
            <w:webHidden/>
          </w:rPr>
          <w:instrText xml:space="preserve"> PAGEREF _Toc513023130 \h </w:instrText>
        </w:r>
        <w:r w:rsidR="00954207">
          <w:rPr>
            <w:noProof/>
            <w:webHidden/>
          </w:rPr>
        </w:r>
        <w:r w:rsidR="00954207">
          <w:rPr>
            <w:noProof/>
            <w:webHidden/>
          </w:rPr>
          <w:fldChar w:fldCharType="separate"/>
        </w:r>
        <w:r w:rsidR="00CB0CA9">
          <w:rPr>
            <w:noProof/>
            <w:webHidden/>
          </w:rPr>
          <w:t>5</w:t>
        </w:r>
        <w:r w:rsidR="00954207">
          <w:rPr>
            <w:noProof/>
            <w:webHidden/>
          </w:rPr>
          <w:fldChar w:fldCharType="end"/>
        </w:r>
      </w:hyperlink>
    </w:p>
    <w:p w14:paraId="476A24B3" w14:textId="0D9F8C76" w:rsidR="00954207" w:rsidRDefault="006208B9">
      <w:pPr>
        <w:pStyle w:val="TOC1"/>
        <w:rPr>
          <w:rFonts w:asciiTheme="minorHAnsi" w:eastAsiaTheme="minorEastAsia" w:hAnsiTheme="minorHAnsi" w:cstheme="minorBidi"/>
          <w:caps w:val="0"/>
          <w:noProof/>
          <w:szCs w:val="22"/>
          <w:lang w:eastAsia="en-GB"/>
        </w:rPr>
      </w:pPr>
      <w:hyperlink w:anchor="_Toc513023131" w:history="1">
        <w:r w:rsidR="00954207" w:rsidRPr="00EE5C79">
          <w:rPr>
            <w:rStyle w:val="Hyperlink"/>
            <w:rFonts w:cs="Arial"/>
            <w:noProof/>
          </w:rPr>
          <w:t>14.</w:t>
        </w:r>
        <w:r w:rsidR="00954207">
          <w:rPr>
            <w:rFonts w:asciiTheme="minorHAnsi" w:eastAsiaTheme="minorEastAsia" w:hAnsiTheme="minorHAnsi" w:cstheme="minorBidi"/>
            <w:caps w:val="0"/>
            <w:noProof/>
            <w:szCs w:val="22"/>
            <w:lang w:eastAsia="en-GB"/>
          </w:rPr>
          <w:tab/>
        </w:r>
        <w:r w:rsidR="00954207" w:rsidRPr="00EE5C79">
          <w:rPr>
            <w:rStyle w:val="Hyperlink"/>
            <w:rFonts w:cs="Arial"/>
            <w:noProof/>
          </w:rPr>
          <w:t>PRICE</w:t>
        </w:r>
        <w:r w:rsidR="00954207">
          <w:rPr>
            <w:noProof/>
            <w:webHidden/>
          </w:rPr>
          <w:tab/>
        </w:r>
        <w:r w:rsidR="00954207">
          <w:rPr>
            <w:noProof/>
            <w:webHidden/>
          </w:rPr>
          <w:fldChar w:fldCharType="begin"/>
        </w:r>
        <w:r w:rsidR="00954207">
          <w:rPr>
            <w:noProof/>
            <w:webHidden/>
          </w:rPr>
          <w:instrText xml:space="preserve"> PAGEREF _Toc513023131 \h </w:instrText>
        </w:r>
        <w:r w:rsidR="00954207">
          <w:rPr>
            <w:noProof/>
            <w:webHidden/>
          </w:rPr>
        </w:r>
        <w:r w:rsidR="00954207">
          <w:rPr>
            <w:noProof/>
            <w:webHidden/>
          </w:rPr>
          <w:fldChar w:fldCharType="separate"/>
        </w:r>
        <w:r w:rsidR="00CB0CA9">
          <w:rPr>
            <w:noProof/>
            <w:webHidden/>
          </w:rPr>
          <w:t>5</w:t>
        </w:r>
        <w:r w:rsidR="00954207">
          <w:rPr>
            <w:noProof/>
            <w:webHidden/>
          </w:rPr>
          <w:fldChar w:fldCharType="end"/>
        </w:r>
      </w:hyperlink>
    </w:p>
    <w:p w14:paraId="4E0ED0AD" w14:textId="3CDC3115" w:rsidR="00954207" w:rsidRDefault="006208B9">
      <w:pPr>
        <w:pStyle w:val="TOC1"/>
        <w:rPr>
          <w:rFonts w:asciiTheme="minorHAnsi" w:eastAsiaTheme="minorEastAsia" w:hAnsiTheme="minorHAnsi" w:cstheme="minorBidi"/>
          <w:caps w:val="0"/>
          <w:noProof/>
          <w:szCs w:val="22"/>
          <w:lang w:eastAsia="en-GB"/>
        </w:rPr>
      </w:pPr>
      <w:hyperlink w:anchor="_Toc513023132" w:history="1">
        <w:r w:rsidR="00954207" w:rsidRPr="00EE5C79">
          <w:rPr>
            <w:rStyle w:val="Hyperlink"/>
            <w:rFonts w:cs="Arial"/>
            <w:noProof/>
          </w:rPr>
          <w:t>15.</w:t>
        </w:r>
        <w:r w:rsidR="00954207">
          <w:rPr>
            <w:rFonts w:asciiTheme="minorHAnsi" w:eastAsiaTheme="minorEastAsia" w:hAnsiTheme="minorHAnsi" w:cstheme="minorBidi"/>
            <w:caps w:val="0"/>
            <w:noProof/>
            <w:szCs w:val="22"/>
            <w:lang w:eastAsia="en-GB"/>
          </w:rPr>
          <w:tab/>
        </w:r>
        <w:r w:rsidR="00954207" w:rsidRPr="00EE5C79">
          <w:rPr>
            <w:rStyle w:val="Hyperlink"/>
            <w:rFonts w:cs="Arial"/>
            <w:noProof/>
          </w:rPr>
          <w:t>STAFF AND CUSTOMER SERVICE</w:t>
        </w:r>
        <w:r w:rsidR="00954207">
          <w:rPr>
            <w:noProof/>
            <w:webHidden/>
          </w:rPr>
          <w:tab/>
        </w:r>
        <w:r w:rsidR="00954207">
          <w:rPr>
            <w:noProof/>
            <w:webHidden/>
          </w:rPr>
          <w:fldChar w:fldCharType="begin"/>
        </w:r>
        <w:r w:rsidR="00954207">
          <w:rPr>
            <w:noProof/>
            <w:webHidden/>
          </w:rPr>
          <w:instrText xml:space="preserve"> PAGEREF _Toc513023132 \h </w:instrText>
        </w:r>
        <w:r w:rsidR="00954207">
          <w:rPr>
            <w:noProof/>
            <w:webHidden/>
          </w:rPr>
        </w:r>
        <w:r w:rsidR="00954207">
          <w:rPr>
            <w:noProof/>
            <w:webHidden/>
          </w:rPr>
          <w:fldChar w:fldCharType="separate"/>
        </w:r>
        <w:r w:rsidR="00CB0CA9">
          <w:rPr>
            <w:noProof/>
            <w:webHidden/>
          </w:rPr>
          <w:t>5</w:t>
        </w:r>
        <w:r w:rsidR="00954207">
          <w:rPr>
            <w:noProof/>
            <w:webHidden/>
          </w:rPr>
          <w:fldChar w:fldCharType="end"/>
        </w:r>
      </w:hyperlink>
    </w:p>
    <w:p w14:paraId="29685B09" w14:textId="6653BE87" w:rsidR="00954207" w:rsidRDefault="006208B9">
      <w:pPr>
        <w:pStyle w:val="TOC1"/>
        <w:rPr>
          <w:rFonts w:asciiTheme="minorHAnsi" w:eastAsiaTheme="minorEastAsia" w:hAnsiTheme="minorHAnsi" w:cstheme="minorBidi"/>
          <w:caps w:val="0"/>
          <w:noProof/>
          <w:szCs w:val="22"/>
          <w:lang w:eastAsia="en-GB"/>
        </w:rPr>
      </w:pPr>
      <w:hyperlink w:anchor="_Toc513023133" w:history="1">
        <w:r w:rsidR="00954207" w:rsidRPr="00EE5C79">
          <w:rPr>
            <w:rStyle w:val="Hyperlink"/>
            <w:rFonts w:cs="Arial"/>
            <w:noProof/>
          </w:rPr>
          <w:t>16.</w:t>
        </w:r>
        <w:r w:rsidR="00954207">
          <w:rPr>
            <w:rFonts w:asciiTheme="minorHAnsi" w:eastAsiaTheme="minorEastAsia" w:hAnsiTheme="minorHAnsi" w:cstheme="minorBidi"/>
            <w:caps w:val="0"/>
            <w:noProof/>
            <w:szCs w:val="22"/>
            <w:lang w:eastAsia="en-GB"/>
          </w:rPr>
          <w:tab/>
        </w:r>
        <w:r w:rsidR="00954207" w:rsidRPr="00EE5C79">
          <w:rPr>
            <w:rStyle w:val="Hyperlink"/>
            <w:rFonts w:cs="Arial"/>
            <w:noProof/>
          </w:rPr>
          <w:t>service levels and performance</w:t>
        </w:r>
        <w:r w:rsidR="00954207">
          <w:rPr>
            <w:noProof/>
            <w:webHidden/>
          </w:rPr>
          <w:tab/>
        </w:r>
        <w:r w:rsidR="00954207">
          <w:rPr>
            <w:noProof/>
            <w:webHidden/>
          </w:rPr>
          <w:fldChar w:fldCharType="begin"/>
        </w:r>
        <w:r w:rsidR="00954207">
          <w:rPr>
            <w:noProof/>
            <w:webHidden/>
          </w:rPr>
          <w:instrText xml:space="preserve"> PAGEREF _Toc513023133 \h </w:instrText>
        </w:r>
        <w:r w:rsidR="00954207">
          <w:rPr>
            <w:noProof/>
            <w:webHidden/>
          </w:rPr>
        </w:r>
        <w:r w:rsidR="00954207">
          <w:rPr>
            <w:noProof/>
            <w:webHidden/>
          </w:rPr>
          <w:fldChar w:fldCharType="separate"/>
        </w:r>
        <w:r w:rsidR="00CB0CA9">
          <w:rPr>
            <w:noProof/>
            <w:webHidden/>
          </w:rPr>
          <w:t>5</w:t>
        </w:r>
        <w:r w:rsidR="00954207">
          <w:rPr>
            <w:noProof/>
            <w:webHidden/>
          </w:rPr>
          <w:fldChar w:fldCharType="end"/>
        </w:r>
      </w:hyperlink>
    </w:p>
    <w:p w14:paraId="2379281C" w14:textId="35C14152" w:rsidR="00954207" w:rsidRDefault="006208B9">
      <w:pPr>
        <w:pStyle w:val="TOC1"/>
        <w:rPr>
          <w:rFonts w:asciiTheme="minorHAnsi" w:eastAsiaTheme="minorEastAsia" w:hAnsiTheme="minorHAnsi" w:cstheme="minorBidi"/>
          <w:caps w:val="0"/>
          <w:noProof/>
          <w:szCs w:val="22"/>
          <w:lang w:eastAsia="en-GB"/>
        </w:rPr>
      </w:pPr>
      <w:hyperlink w:anchor="_Toc513023134" w:history="1">
        <w:r w:rsidR="00954207" w:rsidRPr="00EE5C79">
          <w:rPr>
            <w:rStyle w:val="Hyperlink"/>
            <w:noProof/>
          </w:rPr>
          <w:t>17.</w:t>
        </w:r>
        <w:r w:rsidR="00954207">
          <w:rPr>
            <w:rFonts w:asciiTheme="minorHAnsi" w:eastAsiaTheme="minorEastAsia" w:hAnsiTheme="minorHAnsi" w:cstheme="minorBidi"/>
            <w:caps w:val="0"/>
            <w:noProof/>
            <w:szCs w:val="22"/>
            <w:lang w:eastAsia="en-GB"/>
          </w:rPr>
          <w:tab/>
        </w:r>
        <w:r w:rsidR="00954207" w:rsidRPr="00EE5C79">
          <w:rPr>
            <w:rStyle w:val="Hyperlink"/>
            <w:noProof/>
          </w:rPr>
          <w:t>Security requirements</w:t>
        </w:r>
        <w:r w:rsidR="00954207">
          <w:rPr>
            <w:noProof/>
            <w:webHidden/>
          </w:rPr>
          <w:tab/>
        </w:r>
        <w:r w:rsidR="00954207">
          <w:rPr>
            <w:noProof/>
            <w:webHidden/>
          </w:rPr>
          <w:fldChar w:fldCharType="begin"/>
        </w:r>
        <w:r w:rsidR="00954207">
          <w:rPr>
            <w:noProof/>
            <w:webHidden/>
          </w:rPr>
          <w:instrText xml:space="preserve"> PAGEREF _Toc513023134 \h </w:instrText>
        </w:r>
        <w:r w:rsidR="00954207">
          <w:rPr>
            <w:noProof/>
            <w:webHidden/>
          </w:rPr>
        </w:r>
        <w:r w:rsidR="00954207">
          <w:rPr>
            <w:noProof/>
            <w:webHidden/>
          </w:rPr>
          <w:fldChar w:fldCharType="separate"/>
        </w:r>
        <w:r w:rsidR="00CB0CA9">
          <w:rPr>
            <w:noProof/>
            <w:webHidden/>
          </w:rPr>
          <w:t>6</w:t>
        </w:r>
        <w:r w:rsidR="00954207">
          <w:rPr>
            <w:noProof/>
            <w:webHidden/>
          </w:rPr>
          <w:fldChar w:fldCharType="end"/>
        </w:r>
      </w:hyperlink>
    </w:p>
    <w:p w14:paraId="7A048AB7" w14:textId="51F3BF6E" w:rsidR="00954207" w:rsidRDefault="006208B9">
      <w:pPr>
        <w:pStyle w:val="TOC1"/>
        <w:rPr>
          <w:rFonts w:asciiTheme="minorHAnsi" w:eastAsiaTheme="minorEastAsia" w:hAnsiTheme="minorHAnsi" w:cstheme="minorBidi"/>
          <w:caps w:val="0"/>
          <w:noProof/>
          <w:szCs w:val="22"/>
          <w:lang w:eastAsia="en-GB"/>
        </w:rPr>
      </w:pPr>
      <w:hyperlink w:anchor="_Toc513023135" w:history="1">
        <w:r w:rsidR="00954207" w:rsidRPr="00EE5C79">
          <w:rPr>
            <w:rStyle w:val="Hyperlink"/>
            <w:rFonts w:cs="Arial"/>
            <w:noProof/>
          </w:rPr>
          <w:t>18.</w:t>
        </w:r>
        <w:r w:rsidR="00954207">
          <w:rPr>
            <w:rFonts w:asciiTheme="minorHAnsi" w:eastAsiaTheme="minorEastAsia" w:hAnsiTheme="minorHAnsi" w:cstheme="minorBidi"/>
            <w:caps w:val="0"/>
            <w:noProof/>
            <w:szCs w:val="22"/>
            <w:lang w:eastAsia="en-GB"/>
          </w:rPr>
          <w:tab/>
        </w:r>
        <w:r w:rsidR="00954207" w:rsidRPr="00EE5C79">
          <w:rPr>
            <w:rStyle w:val="Hyperlink"/>
            <w:rFonts w:cs="Arial"/>
            <w:noProof/>
          </w:rPr>
          <w:t>intellectual property rights (ipr)</w:t>
        </w:r>
        <w:r w:rsidR="00954207">
          <w:rPr>
            <w:noProof/>
            <w:webHidden/>
          </w:rPr>
          <w:tab/>
        </w:r>
        <w:r w:rsidR="00954207">
          <w:rPr>
            <w:noProof/>
            <w:webHidden/>
          </w:rPr>
          <w:fldChar w:fldCharType="begin"/>
        </w:r>
        <w:r w:rsidR="00954207">
          <w:rPr>
            <w:noProof/>
            <w:webHidden/>
          </w:rPr>
          <w:instrText xml:space="preserve"> PAGEREF _Toc513023135 \h </w:instrText>
        </w:r>
        <w:r w:rsidR="00954207">
          <w:rPr>
            <w:noProof/>
            <w:webHidden/>
          </w:rPr>
        </w:r>
        <w:r w:rsidR="00954207">
          <w:rPr>
            <w:noProof/>
            <w:webHidden/>
          </w:rPr>
          <w:fldChar w:fldCharType="separate"/>
        </w:r>
        <w:r w:rsidR="00CB0CA9">
          <w:rPr>
            <w:noProof/>
            <w:webHidden/>
          </w:rPr>
          <w:t>6</w:t>
        </w:r>
        <w:r w:rsidR="00954207">
          <w:rPr>
            <w:noProof/>
            <w:webHidden/>
          </w:rPr>
          <w:fldChar w:fldCharType="end"/>
        </w:r>
      </w:hyperlink>
    </w:p>
    <w:p w14:paraId="1B4A98CD" w14:textId="0F03B43C" w:rsidR="00954207" w:rsidRDefault="006208B9">
      <w:pPr>
        <w:pStyle w:val="TOC1"/>
        <w:rPr>
          <w:rFonts w:asciiTheme="minorHAnsi" w:eastAsiaTheme="minorEastAsia" w:hAnsiTheme="minorHAnsi" w:cstheme="minorBidi"/>
          <w:caps w:val="0"/>
          <w:noProof/>
          <w:szCs w:val="22"/>
          <w:lang w:eastAsia="en-GB"/>
        </w:rPr>
      </w:pPr>
      <w:hyperlink w:anchor="_Toc513023136" w:history="1">
        <w:r w:rsidR="00954207" w:rsidRPr="00EE5C79">
          <w:rPr>
            <w:rStyle w:val="Hyperlink"/>
            <w:rFonts w:cs="Arial"/>
            <w:noProof/>
          </w:rPr>
          <w:t>19.</w:t>
        </w:r>
        <w:r w:rsidR="00954207">
          <w:rPr>
            <w:rFonts w:asciiTheme="minorHAnsi" w:eastAsiaTheme="minorEastAsia" w:hAnsiTheme="minorHAnsi" w:cstheme="minorBidi"/>
            <w:caps w:val="0"/>
            <w:noProof/>
            <w:szCs w:val="22"/>
            <w:lang w:eastAsia="en-GB"/>
          </w:rPr>
          <w:tab/>
        </w:r>
        <w:r w:rsidR="00954207" w:rsidRPr="00EE5C79">
          <w:rPr>
            <w:rStyle w:val="Hyperlink"/>
            <w:rFonts w:cs="Arial"/>
            <w:noProof/>
          </w:rPr>
          <w:t>payment</w:t>
        </w:r>
        <w:r w:rsidR="00954207">
          <w:rPr>
            <w:noProof/>
            <w:webHidden/>
          </w:rPr>
          <w:tab/>
        </w:r>
        <w:r w:rsidR="00954207">
          <w:rPr>
            <w:noProof/>
            <w:webHidden/>
          </w:rPr>
          <w:fldChar w:fldCharType="begin"/>
        </w:r>
        <w:r w:rsidR="00954207">
          <w:rPr>
            <w:noProof/>
            <w:webHidden/>
          </w:rPr>
          <w:instrText xml:space="preserve"> PAGEREF _Toc513023136 \h </w:instrText>
        </w:r>
        <w:r w:rsidR="00954207">
          <w:rPr>
            <w:noProof/>
            <w:webHidden/>
          </w:rPr>
        </w:r>
        <w:r w:rsidR="00954207">
          <w:rPr>
            <w:noProof/>
            <w:webHidden/>
          </w:rPr>
          <w:fldChar w:fldCharType="separate"/>
        </w:r>
        <w:r w:rsidR="00CB0CA9">
          <w:rPr>
            <w:noProof/>
            <w:webHidden/>
          </w:rPr>
          <w:t>6</w:t>
        </w:r>
        <w:r w:rsidR="00954207">
          <w:rPr>
            <w:noProof/>
            <w:webHidden/>
          </w:rPr>
          <w:fldChar w:fldCharType="end"/>
        </w:r>
      </w:hyperlink>
    </w:p>
    <w:p w14:paraId="17D4AFF1" w14:textId="1C260A09" w:rsidR="00954207" w:rsidRDefault="006208B9">
      <w:pPr>
        <w:pStyle w:val="TOC1"/>
        <w:rPr>
          <w:rFonts w:asciiTheme="minorHAnsi" w:eastAsiaTheme="minorEastAsia" w:hAnsiTheme="minorHAnsi" w:cstheme="minorBidi"/>
          <w:caps w:val="0"/>
          <w:noProof/>
          <w:szCs w:val="22"/>
          <w:lang w:eastAsia="en-GB"/>
        </w:rPr>
      </w:pPr>
      <w:hyperlink w:anchor="_Toc513023137" w:history="1">
        <w:r w:rsidR="00954207" w:rsidRPr="00EE5C79">
          <w:rPr>
            <w:rStyle w:val="Hyperlink"/>
            <w:rFonts w:cs="Arial"/>
            <w:noProof/>
          </w:rPr>
          <w:t>20.</w:t>
        </w:r>
        <w:r w:rsidR="00954207">
          <w:rPr>
            <w:rFonts w:asciiTheme="minorHAnsi" w:eastAsiaTheme="minorEastAsia" w:hAnsiTheme="minorHAnsi" w:cstheme="minorBidi"/>
            <w:caps w:val="0"/>
            <w:noProof/>
            <w:szCs w:val="22"/>
            <w:lang w:eastAsia="en-GB"/>
          </w:rPr>
          <w:tab/>
        </w:r>
        <w:r w:rsidR="00954207" w:rsidRPr="00EE5C79">
          <w:rPr>
            <w:rStyle w:val="Hyperlink"/>
            <w:rFonts w:cs="Arial"/>
            <w:noProof/>
          </w:rPr>
          <w:t>additional information</w:t>
        </w:r>
        <w:r w:rsidR="00954207">
          <w:rPr>
            <w:noProof/>
            <w:webHidden/>
          </w:rPr>
          <w:tab/>
        </w:r>
        <w:r w:rsidR="00954207">
          <w:rPr>
            <w:noProof/>
            <w:webHidden/>
          </w:rPr>
          <w:fldChar w:fldCharType="begin"/>
        </w:r>
        <w:r w:rsidR="00954207">
          <w:rPr>
            <w:noProof/>
            <w:webHidden/>
          </w:rPr>
          <w:instrText xml:space="preserve"> PAGEREF _Toc513023137 \h </w:instrText>
        </w:r>
        <w:r w:rsidR="00954207">
          <w:rPr>
            <w:noProof/>
            <w:webHidden/>
          </w:rPr>
        </w:r>
        <w:r w:rsidR="00954207">
          <w:rPr>
            <w:noProof/>
            <w:webHidden/>
          </w:rPr>
          <w:fldChar w:fldCharType="separate"/>
        </w:r>
        <w:r w:rsidR="00CB0CA9">
          <w:rPr>
            <w:noProof/>
            <w:webHidden/>
          </w:rPr>
          <w:t>6</w:t>
        </w:r>
        <w:r w:rsidR="00954207">
          <w:rPr>
            <w:noProof/>
            <w:webHidden/>
          </w:rPr>
          <w:fldChar w:fldCharType="end"/>
        </w:r>
      </w:hyperlink>
    </w:p>
    <w:p w14:paraId="556E5E42" w14:textId="7A5BC37F" w:rsidR="00954207" w:rsidRDefault="006208B9">
      <w:pPr>
        <w:pStyle w:val="TOC1"/>
        <w:rPr>
          <w:rFonts w:asciiTheme="minorHAnsi" w:eastAsiaTheme="minorEastAsia" w:hAnsiTheme="minorHAnsi" w:cstheme="minorBidi"/>
          <w:caps w:val="0"/>
          <w:noProof/>
          <w:szCs w:val="22"/>
          <w:lang w:eastAsia="en-GB"/>
        </w:rPr>
      </w:pPr>
      <w:hyperlink w:anchor="_Toc513023138" w:history="1">
        <w:r w:rsidR="00954207" w:rsidRPr="00EE5C79">
          <w:rPr>
            <w:rStyle w:val="Hyperlink"/>
            <w:noProof/>
          </w:rPr>
          <w:t>21.</w:t>
        </w:r>
        <w:r w:rsidR="00954207">
          <w:rPr>
            <w:rFonts w:asciiTheme="minorHAnsi" w:eastAsiaTheme="minorEastAsia" w:hAnsiTheme="minorHAnsi" w:cstheme="minorBidi"/>
            <w:caps w:val="0"/>
            <w:noProof/>
            <w:szCs w:val="22"/>
            <w:lang w:eastAsia="en-GB"/>
          </w:rPr>
          <w:tab/>
        </w:r>
        <w:r w:rsidR="00954207" w:rsidRPr="00EE5C79">
          <w:rPr>
            <w:rStyle w:val="Hyperlink"/>
            <w:noProof/>
          </w:rPr>
          <w:t>Location</w:t>
        </w:r>
        <w:r w:rsidR="00954207">
          <w:rPr>
            <w:noProof/>
            <w:webHidden/>
          </w:rPr>
          <w:tab/>
        </w:r>
        <w:r w:rsidR="00954207">
          <w:rPr>
            <w:noProof/>
            <w:webHidden/>
          </w:rPr>
          <w:fldChar w:fldCharType="begin"/>
        </w:r>
        <w:r w:rsidR="00954207">
          <w:rPr>
            <w:noProof/>
            <w:webHidden/>
          </w:rPr>
          <w:instrText xml:space="preserve"> PAGEREF _Toc513023138 \h </w:instrText>
        </w:r>
        <w:r w:rsidR="00954207">
          <w:rPr>
            <w:noProof/>
            <w:webHidden/>
          </w:rPr>
        </w:r>
        <w:r w:rsidR="00954207">
          <w:rPr>
            <w:noProof/>
            <w:webHidden/>
          </w:rPr>
          <w:fldChar w:fldCharType="separate"/>
        </w:r>
        <w:r w:rsidR="00CB0CA9">
          <w:rPr>
            <w:noProof/>
            <w:webHidden/>
          </w:rPr>
          <w:t>6</w:t>
        </w:r>
        <w:r w:rsidR="00954207">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65B5D21A" w14:textId="617D9B8B" w:rsidR="00F44D62" w:rsidRPr="00606CEF" w:rsidRDefault="00F5102B" w:rsidP="00606CEF">
      <w:pPr>
        <w:rPr>
          <w:rFonts w:eastAsia="STZhongsong" w:cs="Arial"/>
          <w:b/>
          <w:szCs w:val="22"/>
        </w:rPr>
      </w:pPr>
      <w:bookmarkStart w:id="0" w:name="_Toc297554772"/>
      <w:r w:rsidRPr="00F5102B">
        <w:rPr>
          <w:rFonts w:eastAsia="STZhongsong" w:cs="Arial"/>
          <w:b/>
          <w:szCs w:val="22"/>
        </w:rPr>
        <w:br w:type="page"/>
      </w:r>
    </w:p>
    <w:p w14:paraId="7989F07B" w14:textId="77777777" w:rsidR="00FE18AC" w:rsidRPr="00CE295C" w:rsidRDefault="00FE18AC" w:rsidP="007B6ED4">
      <w:pPr>
        <w:pStyle w:val="Heading1"/>
        <w:numPr>
          <w:ilvl w:val="0"/>
          <w:numId w:val="30"/>
        </w:numPr>
        <w:tabs>
          <w:tab w:val="clear" w:pos="720"/>
        </w:tabs>
        <w:overflowPunct w:val="0"/>
        <w:autoSpaceDE w:val="0"/>
        <w:autoSpaceDN w:val="0"/>
        <w:spacing w:after="120"/>
        <w:jc w:val="left"/>
        <w:textAlignment w:val="baseline"/>
        <w:rPr>
          <w:szCs w:val="22"/>
        </w:rPr>
      </w:pPr>
      <w:bookmarkStart w:id="1" w:name="_Toc368573027"/>
      <w:bookmarkStart w:id="2" w:name="_Toc513023118"/>
      <w:r w:rsidRPr="00CE295C">
        <w:rPr>
          <w:caps w:val="0"/>
          <w:szCs w:val="22"/>
        </w:rPr>
        <w:lastRenderedPageBreak/>
        <w:t>PURPOSE</w:t>
      </w:r>
      <w:bookmarkEnd w:id="0"/>
      <w:bookmarkEnd w:id="1"/>
      <w:bookmarkEnd w:id="2"/>
    </w:p>
    <w:p w14:paraId="2E180298" w14:textId="35BDC13C" w:rsidR="00513E5E" w:rsidRPr="00B21441" w:rsidRDefault="009F6DB7" w:rsidP="007B6ED4">
      <w:pPr>
        <w:pStyle w:val="Heading2"/>
        <w:tabs>
          <w:tab w:val="clear" w:pos="720"/>
          <w:tab w:val="num" w:pos="709"/>
        </w:tabs>
        <w:overflowPunct w:val="0"/>
        <w:autoSpaceDE w:val="0"/>
        <w:autoSpaceDN w:val="0"/>
        <w:spacing w:after="120"/>
        <w:ind w:left="709" w:hanging="709"/>
        <w:jc w:val="left"/>
        <w:textAlignment w:val="baseline"/>
        <w:rPr>
          <w:szCs w:val="22"/>
        </w:rPr>
      </w:pPr>
      <w:bookmarkStart w:id="3" w:name="_Toc296415791"/>
      <w:r>
        <w:rPr>
          <w:szCs w:val="22"/>
        </w:rPr>
        <w:t>T</w:t>
      </w:r>
      <w:r w:rsidR="002C67A4">
        <w:rPr>
          <w:szCs w:val="22"/>
        </w:rPr>
        <w:t xml:space="preserve">he Authority </w:t>
      </w:r>
      <w:r w:rsidR="00513E5E" w:rsidRPr="00B21441">
        <w:rPr>
          <w:szCs w:val="22"/>
        </w:rPr>
        <w:t>requires executive search services for a forthcoming exercise to appoint a new Chair of the Royal Mint.</w:t>
      </w:r>
    </w:p>
    <w:p w14:paraId="7196B137" w14:textId="77777777" w:rsidR="00671798" w:rsidRPr="004E78BC" w:rsidRDefault="00FE18AC" w:rsidP="007B6ED4">
      <w:pPr>
        <w:pStyle w:val="Heading1"/>
        <w:tabs>
          <w:tab w:val="clear" w:pos="720"/>
        </w:tabs>
        <w:overflowPunct w:val="0"/>
        <w:autoSpaceDE w:val="0"/>
        <w:autoSpaceDN w:val="0"/>
        <w:spacing w:after="120"/>
        <w:jc w:val="left"/>
        <w:textAlignment w:val="baseline"/>
        <w:rPr>
          <w:szCs w:val="22"/>
        </w:rPr>
      </w:pPr>
      <w:bookmarkStart w:id="4" w:name="_Toc368573028"/>
      <w:bookmarkStart w:id="5" w:name="_Toc513023119"/>
      <w:bookmarkStart w:id="6" w:name="_Toc297554773"/>
      <w:bookmarkStart w:id="7" w:name="_Toc296415805"/>
      <w:bookmarkStart w:id="8" w:name="_Toc296415793"/>
      <w:bookmarkEnd w:id="3"/>
      <w:r w:rsidRPr="004E78BC">
        <w:rPr>
          <w:szCs w:val="22"/>
        </w:rPr>
        <w:t>BACKGROUND TO THE CONTRACTING aUTHORITY</w:t>
      </w:r>
      <w:bookmarkEnd w:id="4"/>
      <w:bookmarkEnd w:id="5"/>
    </w:p>
    <w:p w14:paraId="23D23C77" w14:textId="1E96F9A5" w:rsidR="00513E5E" w:rsidRPr="00B21441" w:rsidRDefault="00E37BDD" w:rsidP="007B6ED4">
      <w:pPr>
        <w:pStyle w:val="Heading2"/>
        <w:spacing w:after="120"/>
        <w:ind w:left="709" w:hanging="709"/>
        <w:jc w:val="left"/>
      </w:pPr>
      <w:r>
        <w:t>The Authority</w:t>
      </w:r>
      <w:r w:rsidR="00513E5E" w:rsidRPr="00B21441">
        <w:t xml:space="preserve"> is a </w:t>
      </w:r>
      <w:r w:rsidR="00F841C4">
        <w:t xml:space="preserve">government </w:t>
      </w:r>
      <w:r w:rsidR="00513E5E" w:rsidRPr="00B21441">
        <w:t xml:space="preserve">company owned by HM Treasury (HMT).  Part of its role is to act as shareholder in relation to Government’s shareholdings, often on behalf of other Government departments.  In addition, it also provides corporate finance expertise and advice within Government.   </w:t>
      </w:r>
    </w:p>
    <w:p w14:paraId="3D1977ED" w14:textId="5BF4B947" w:rsidR="00671798" w:rsidRPr="00B21441" w:rsidRDefault="00513E5E" w:rsidP="007B6ED4">
      <w:pPr>
        <w:pStyle w:val="Heading2"/>
        <w:tabs>
          <w:tab w:val="clear" w:pos="720"/>
          <w:tab w:val="num" w:pos="709"/>
        </w:tabs>
        <w:spacing w:after="120"/>
        <w:ind w:left="709" w:hanging="709"/>
        <w:jc w:val="left"/>
      </w:pPr>
      <w:r w:rsidRPr="00B21441">
        <w:t xml:space="preserve">The Royal Mint </w:t>
      </w:r>
      <w:r w:rsidRPr="00B21441">
        <w:rPr>
          <w:bCs/>
        </w:rPr>
        <w:t>is a wholly publicly owned institution, the shareholding of which is held by HMT. It manufactures circulating coins for the UK - under an arm’s length commercial contract with HMT - and for overseas countries in competition against other National mints. It also has a consumer products business built around UK commemorative coins and a bullion business offering bullion coins, bars and real-time bullion trading. Th</w:t>
      </w:r>
      <w:r w:rsidR="004507ED">
        <w:rPr>
          <w:bCs/>
        </w:rPr>
        <w:t xml:space="preserve">e Royal Mint has a turnover of </w:t>
      </w:r>
      <w:r w:rsidRPr="00B21441">
        <w:rPr>
          <w:bCs/>
        </w:rPr>
        <w:t xml:space="preserve">£360m, EBITDA of £22m and employs over 600 people. </w:t>
      </w:r>
    </w:p>
    <w:p w14:paraId="126D630F" w14:textId="2CAB5059" w:rsidR="00513E5E" w:rsidRPr="00B21441" w:rsidRDefault="00513E5E" w:rsidP="007B6ED4">
      <w:pPr>
        <w:pStyle w:val="Heading2"/>
        <w:tabs>
          <w:tab w:val="clear" w:pos="720"/>
          <w:tab w:val="num" w:pos="709"/>
        </w:tabs>
        <w:spacing w:after="120"/>
        <w:ind w:left="709" w:hanging="709"/>
        <w:jc w:val="left"/>
      </w:pPr>
      <w:r w:rsidRPr="00B21441">
        <w:rPr>
          <w:bCs/>
        </w:rPr>
        <w:t xml:space="preserve">HMT delegates its day to day shareholder role in respect of the Royal Mint to </w:t>
      </w:r>
      <w:r w:rsidR="009F6DB7">
        <w:rPr>
          <w:bCs/>
        </w:rPr>
        <w:t>t</w:t>
      </w:r>
      <w:r w:rsidR="00F841C4">
        <w:rPr>
          <w:bCs/>
        </w:rPr>
        <w:t>he Authority</w:t>
      </w:r>
      <w:r w:rsidRPr="00B21441">
        <w:rPr>
          <w:bCs/>
        </w:rPr>
        <w:t xml:space="preserve">.  </w:t>
      </w:r>
    </w:p>
    <w:p w14:paraId="151A9D23" w14:textId="77777777" w:rsidR="00FE18AC" w:rsidRPr="002C546C" w:rsidRDefault="00FE18AC" w:rsidP="007B6ED4">
      <w:pPr>
        <w:pStyle w:val="Heading1"/>
        <w:tabs>
          <w:tab w:val="clear" w:pos="720"/>
        </w:tabs>
        <w:overflowPunct w:val="0"/>
        <w:autoSpaceDE w:val="0"/>
        <w:autoSpaceDN w:val="0"/>
        <w:spacing w:after="120"/>
        <w:jc w:val="left"/>
        <w:textAlignment w:val="baseline"/>
        <w:rPr>
          <w:szCs w:val="22"/>
        </w:rPr>
      </w:pPr>
      <w:bookmarkStart w:id="9" w:name="_Toc368573029"/>
      <w:bookmarkStart w:id="10" w:name="_Toc513023120"/>
      <w:r>
        <w:rPr>
          <w:szCs w:val="22"/>
        </w:rPr>
        <w:t>Background to requirement/</w:t>
      </w:r>
      <w:r w:rsidRPr="002C546C">
        <w:rPr>
          <w:szCs w:val="22"/>
        </w:rPr>
        <w:t>OVERVIEW</w:t>
      </w:r>
      <w:bookmarkEnd w:id="6"/>
      <w:r>
        <w:rPr>
          <w:szCs w:val="22"/>
        </w:rPr>
        <w:t xml:space="preserve"> of requirement</w:t>
      </w:r>
      <w:bookmarkEnd w:id="9"/>
      <w:bookmarkEnd w:id="10"/>
    </w:p>
    <w:p w14:paraId="222B3157" w14:textId="7525D550" w:rsidR="00F64C44" w:rsidRPr="00B21441" w:rsidRDefault="00F64C44" w:rsidP="007B6ED4">
      <w:pPr>
        <w:pStyle w:val="Heading2"/>
        <w:tabs>
          <w:tab w:val="clear" w:pos="720"/>
          <w:tab w:val="num" w:pos="709"/>
        </w:tabs>
        <w:spacing w:after="120"/>
        <w:ind w:left="709" w:hanging="709"/>
        <w:jc w:val="left"/>
      </w:pPr>
      <w:bookmarkStart w:id="11" w:name="_Toc297554774"/>
      <w:bookmarkEnd w:id="7"/>
      <w:r w:rsidRPr="00B21441">
        <w:t xml:space="preserve">The current </w:t>
      </w:r>
      <w:r w:rsidR="00B21441">
        <w:t>C</w:t>
      </w:r>
      <w:r w:rsidRPr="00B21441">
        <w:t>hair of the Royal Mint, Peter Warry, reaches the end of his second and final term on 31 December 2018.</w:t>
      </w:r>
      <w:r w:rsidR="008F5F4B" w:rsidRPr="00B21441">
        <w:t xml:space="preserve"> </w:t>
      </w:r>
      <w:r w:rsidR="008941F6">
        <w:t>The Authority</w:t>
      </w:r>
      <w:r w:rsidR="008941F6" w:rsidRPr="00B21441">
        <w:t xml:space="preserve"> </w:t>
      </w:r>
      <w:r w:rsidRPr="00B21441">
        <w:t xml:space="preserve">is managing the competition to find a successor to Peter Warry on behalf </w:t>
      </w:r>
      <w:r w:rsidR="00F841C4">
        <w:t>of the appointing Minister, t</w:t>
      </w:r>
      <w:r w:rsidRPr="00B21441">
        <w:t>he Exchequer Secretary</w:t>
      </w:r>
      <w:r w:rsidR="00AF3727" w:rsidRPr="00B21441">
        <w:t xml:space="preserve"> and under the direction of an appointment panel that will comprise senior officials from </w:t>
      </w:r>
      <w:r w:rsidR="008941F6">
        <w:t>the Authority</w:t>
      </w:r>
      <w:r w:rsidR="00AF3727" w:rsidRPr="00B21441">
        <w:t xml:space="preserve">, </w:t>
      </w:r>
      <w:r w:rsidR="00C95B46">
        <w:t>HMT</w:t>
      </w:r>
      <w:r w:rsidR="008941F6">
        <w:t>,</w:t>
      </w:r>
      <w:r w:rsidR="00AF3727" w:rsidRPr="00B21441">
        <w:t xml:space="preserve"> and an independent member.</w:t>
      </w:r>
    </w:p>
    <w:p w14:paraId="41CB44CE" w14:textId="57DD6E4F" w:rsidR="00D54170" w:rsidRPr="00B21441" w:rsidRDefault="00D54170" w:rsidP="007B6ED4">
      <w:pPr>
        <w:pStyle w:val="Heading2"/>
        <w:jc w:val="left"/>
      </w:pPr>
      <w:r w:rsidRPr="00B21441">
        <w:t>Executive search services are required to identify a sufficiently strong and importantly, a diverse pool of candidates with the required expertise</w:t>
      </w:r>
      <w:r w:rsidR="00AF3727" w:rsidRPr="00B21441">
        <w:t xml:space="preserve"> in accordance </w:t>
      </w:r>
      <w:r w:rsidR="008941F6">
        <w:t>w</w:t>
      </w:r>
      <w:r w:rsidR="00AF3727" w:rsidRPr="00B21441">
        <w:t>ith th</w:t>
      </w:r>
      <w:r w:rsidR="008941F6">
        <w:t>e</w:t>
      </w:r>
      <w:r w:rsidR="00AF3727" w:rsidRPr="00B21441">
        <w:t xml:space="preserve"> specification set out below</w:t>
      </w:r>
      <w:r w:rsidRPr="00B21441">
        <w:t>.</w:t>
      </w:r>
    </w:p>
    <w:p w14:paraId="08FF2DF7" w14:textId="7BB2B416" w:rsidR="003C0AC5" w:rsidRPr="00B21441" w:rsidRDefault="003C0AC5" w:rsidP="007B6ED4">
      <w:pPr>
        <w:pStyle w:val="Heading2"/>
        <w:jc w:val="left"/>
      </w:pPr>
      <w:r w:rsidRPr="00B21441">
        <w:t>The Chair will play a pivotal role in leading the Royal Mint Board at a time of significant strategic change and reinvention. Key elements of the role are to:</w:t>
      </w:r>
    </w:p>
    <w:p w14:paraId="4093238A" w14:textId="23065CDB" w:rsidR="003C0AC5" w:rsidRPr="00B21441" w:rsidRDefault="003C0AC5" w:rsidP="00CB0CA9">
      <w:pPr>
        <w:pStyle w:val="Heading3"/>
        <w:jc w:val="left"/>
      </w:pPr>
      <w:r w:rsidRPr="00B21441">
        <w:t xml:space="preserve">Challenge, motivate and provide direction to the </w:t>
      </w:r>
      <w:r w:rsidRPr="00477D23">
        <w:t>organisation</w:t>
      </w:r>
      <w:r w:rsidRPr="00B21441">
        <w:t xml:space="preserve"> to help develop</w:t>
      </w:r>
      <w:r w:rsidRPr="00477D23">
        <w:t xml:space="preserve"> its </w:t>
      </w:r>
      <w:r w:rsidRPr="00B21441">
        <w:t xml:space="preserve">culture of continuous improvement and deliver shareholder value. </w:t>
      </w:r>
    </w:p>
    <w:p w14:paraId="67C7318F" w14:textId="3969259A" w:rsidR="003C0AC5" w:rsidRPr="00B21441" w:rsidRDefault="003C0AC5" w:rsidP="00CB0CA9">
      <w:pPr>
        <w:pStyle w:val="Heading3"/>
        <w:jc w:val="left"/>
      </w:pPr>
      <w:r w:rsidRPr="00B21441">
        <w:t>Lead the Board to determine and implement its strategy to achieve long term strategic growth within a framework of prudent and effective controls that enables risk to be managed</w:t>
      </w:r>
      <w:r w:rsidR="00D82386">
        <w:t>.</w:t>
      </w:r>
    </w:p>
    <w:p w14:paraId="5FC51F47" w14:textId="13F62D7D" w:rsidR="003C0AC5" w:rsidRPr="00B21441" w:rsidRDefault="003C0AC5" w:rsidP="00CB0CA9">
      <w:pPr>
        <w:pStyle w:val="Heading3"/>
        <w:jc w:val="left"/>
      </w:pPr>
      <w:r w:rsidRPr="00B21441">
        <w:t>Provide advice and support to the CEO to help drive business performance and deliver the strategy through achievement of business plans</w:t>
      </w:r>
      <w:r w:rsidR="000A667C">
        <w:t>.</w:t>
      </w:r>
    </w:p>
    <w:p w14:paraId="284DC8F3" w14:textId="462501F8" w:rsidR="003C0AC5" w:rsidRPr="00B21441" w:rsidRDefault="003C0AC5" w:rsidP="00CB0CA9">
      <w:pPr>
        <w:pStyle w:val="Heading3"/>
        <w:jc w:val="left"/>
      </w:pPr>
      <w:r w:rsidRPr="00B21441">
        <w:t xml:space="preserve">Establish the values and standards of the organisation ensuring obligations to its shareholder and </w:t>
      </w:r>
      <w:r w:rsidRPr="00477D23">
        <w:t xml:space="preserve">stakeholders </w:t>
      </w:r>
      <w:r w:rsidRPr="00B21441">
        <w:t>are understood and met.</w:t>
      </w:r>
    </w:p>
    <w:p w14:paraId="4B22EA2B" w14:textId="77777777" w:rsidR="003C0AC5" w:rsidRPr="00B21441" w:rsidRDefault="003C0AC5" w:rsidP="00CB0CA9">
      <w:pPr>
        <w:pStyle w:val="Heading3"/>
        <w:jc w:val="left"/>
      </w:pPr>
      <w:r w:rsidRPr="00B21441">
        <w:t xml:space="preserve">Build and maintain effective relationships with the shareholder and other major stakeholders as required. </w:t>
      </w:r>
    </w:p>
    <w:p w14:paraId="47203894" w14:textId="47E7F7F1" w:rsidR="003C0AC5" w:rsidRPr="00B21441" w:rsidRDefault="003C0AC5" w:rsidP="00CB0CA9">
      <w:pPr>
        <w:pStyle w:val="Heading3"/>
        <w:jc w:val="left"/>
      </w:pPr>
      <w:r w:rsidRPr="00B21441">
        <w:lastRenderedPageBreak/>
        <w:t>Monitor objectively management performance and attainment of objectives against target performance</w:t>
      </w:r>
      <w:r w:rsidR="000A667C">
        <w:t>.</w:t>
      </w:r>
    </w:p>
    <w:p w14:paraId="1215DFCC" w14:textId="7FAF9AED" w:rsidR="003C0AC5" w:rsidRPr="00B21441" w:rsidRDefault="003C0AC5" w:rsidP="007B6ED4">
      <w:pPr>
        <w:pStyle w:val="Heading2"/>
        <w:jc w:val="left"/>
      </w:pPr>
      <w:r w:rsidRPr="00B21441">
        <w:t xml:space="preserve">Candidates will have the ability to work within a broad stakeholder environment being effective at senior ministerial and official level. They will understand the requirements of working in a high-profile business with a commitment to high standards and diversity. They will meet the following essential criteria: </w:t>
      </w:r>
    </w:p>
    <w:p w14:paraId="6C3746C9" w14:textId="68EB6CC5" w:rsidR="003C0AC5" w:rsidRPr="00B21441" w:rsidRDefault="003C0AC5" w:rsidP="00CB0CA9">
      <w:pPr>
        <w:pStyle w:val="Heading3"/>
        <w:jc w:val="left"/>
      </w:pPr>
      <w:r w:rsidRPr="00B21441">
        <w:t>At least three years’ experience as a Non-Executive Director preferably with some Chair experience at least at Board committee level</w:t>
      </w:r>
      <w:r w:rsidR="000A667C">
        <w:t>;</w:t>
      </w:r>
    </w:p>
    <w:p w14:paraId="1FA37745" w14:textId="4D372A6E" w:rsidR="003C0AC5" w:rsidRPr="00B21441" w:rsidRDefault="003C0AC5" w:rsidP="00CB0CA9">
      <w:pPr>
        <w:pStyle w:val="Heading3"/>
        <w:jc w:val="left"/>
      </w:pPr>
      <w:r w:rsidRPr="00B21441">
        <w:t>Senior executive experience</w:t>
      </w:r>
      <w:r w:rsidR="000A667C">
        <w:t>;</w:t>
      </w:r>
    </w:p>
    <w:p w14:paraId="5D235B6B" w14:textId="64DDAC3B" w:rsidR="003C0AC5" w:rsidRPr="00B21441" w:rsidRDefault="003C0AC5" w:rsidP="00CB0CA9">
      <w:pPr>
        <w:pStyle w:val="Heading3"/>
        <w:jc w:val="left"/>
      </w:pPr>
      <w:r w:rsidRPr="00B21441">
        <w:t>Strong commercial acumen and demonstrable entrepreneurship with a proven track record of leading organisational development in the face of change</w:t>
      </w:r>
      <w:r w:rsidR="000A667C">
        <w:t>; and</w:t>
      </w:r>
    </w:p>
    <w:p w14:paraId="30771168" w14:textId="10FEC69B" w:rsidR="003C0AC5" w:rsidRPr="00477D23" w:rsidRDefault="003C0AC5" w:rsidP="00CB0CA9">
      <w:pPr>
        <w:pStyle w:val="Heading3"/>
        <w:jc w:val="left"/>
      </w:pPr>
      <w:r w:rsidRPr="000A667C">
        <w:t>An appreciation of the unique status of the Royal Mint as a wholly publicly owned institution, reporting to the Chancellor of the Exchequer, with an understanding of the balance of operating on the</w:t>
      </w:r>
      <w:r w:rsidRPr="00477D23">
        <w:t xml:space="preserve"> public</w:t>
      </w:r>
      <w:r w:rsidRPr="000A667C">
        <w:t xml:space="preserve">/private interface. </w:t>
      </w:r>
    </w:p>
    <w:p w14:paraId="13F74C57" w14:textId="1B6C226A" w:rsidR="00C95B46" w:rsidRDefault="00C95B46" w:rsidP="007B6ED4">
      <w:pPr>
        <w:pStyle w:val="Heading2"/>
        <w:jc w:val="left"/>
      </w:pPr>
      <w:r>
        <w:t>The current timetable for the Chair exercise is:</w:t>
      </w:r>
    </w:p>
    <w:p w14:paraId="4E62D5E4" w14:textId="7879B94D" w:rsidR="00C95B46" w:rsidRDefault="00F5102B" w:rsidP="00CB0CA9">
      <w:pPr>
        <w:pStyle w:val="Heading3"/>
        <w:jc w:val="left"/>
      </w:pPr>
      <w:r>
        <w:t>Advert opens: b</w:t>
      </w:r>
      <w:r w:rsidR="00C95B46" w:rsidRPr="00C95B46">
        <w:t>y 8 June</w:t>
      </w:r>
    </w:p>
    <w:p w14:paraId="40CEC882" w14:textId="74C54ABB" w:rsidR="00C95B46" w:rsidRDefault="00C95B46" w:rsidP="00CB0CA9">
      <w:pPr>
        <w:pStyle w:val="Heading3"/>
        <w:jc w:val="left"/>
      </w:pPr>
      <w:r w:rsidRPr="00C95B46">
        <w:t>Advert closing date</w:t>
      </w:r>
      <w:r w:rsidR="00F5102B">
        <w:t>: b</w:t>
      </w:r>
      <w:r w:rsidRPr="00C95B46">
        <w:t>etween 22 June and 29 June depending on take up</w:t>
      </w:r>
    </w:p>
    <w:p w14:paraId="46449E79" w14:textId="38D3EBFF" w:rsidR="00C95B46" w:rsidRDefault="00C95B46" w:rsidP="00CB0CA9">
      <w:pPr>
        <w:pStyle w:val="Heading3"/>
        <w:jc w:val="left"/>
      </w:pPr>
      <w:r w:rsidRPr="00C95B46">
        <w:t>Long list meeting</w:t>
      </w:r>
      <w:r w:rsidR="00F5102B">
        <w:t xml:space="preserve">: by </w:t>
      </w:r>
      <w:r w:rsidRPr="00C95B46">
        <w:t>13 July</w:t>
      </w:r>
    </w:p>
    <w:p w14:paraId="552439E3" w14:textId="40FDEB4F" w:rsidR="00C95B46" w:rsidRDefault="00F5102B" w:rsidP="00CB0CA9">
      <w:pPr>
        <w:pStyle w:val="Heading3"/>
        <w:jc w:val="left"/>
      </w:pPr>
      <w:r>
        <w:t>Short list meeting: by</w:t>
      </w:r>
      <w:r w:rsidR="00C95B46" w:rsidRPr="00C95B46">
        <w:t xml:space="preserve"> 5 September</w:t>
      </w:r>
    </w:p>
    <w:p w14:paraId="35F43439" w14:textId="7013E943" w:rsidR="00C95B46" w:rsidRDefault="00F5102B" w:rsidP="00CB0CA9">
      <w:pPr>
        <w:pStyle w:val="Heading3"/>
        <w:jc w:val="left"/>
      </w:pPr>
      <w:r>
        <w:t xml:space="preserve">Interviews: </w:t>
      </w:r>
      <w:r w:rsidR="00C95B46">
        <w:t>l</w:t>
      </w:r>
      <w:r w:rsidR="00C95B46" w:rsidRPr="00C95B46">
        <w:t>ast 2 weeks in September</w:t>
      </w:r>
    </w:p>
    <w:p w14:paraId="75D3E1D8" w14:textId="7F652F9D" w:rsidR="00C95B46" w:rsidRPr="000A667C" w:rsidRDefault="00C95B46" w:rsidP="00CB0CA9">
      <w:pPr>
        <w:pStyle w:val="Heading3"/>
        <w:jc w:val="left"/>
      </w:pPr>
      <w:r w:rsidRPr="00C95B46">
        <w:t>Secure all necessary approvals to confirm appointments</w:t>
      </w:r>
      <w:r>
        <w:t xml:space="preserve"> -</w:t>
      </w:r>
      <w:r>
        <w:tab/>
        <w:t>b</w:t>
      </w:r>
      <w:r w:rsidRPr="00C95B46">
        <w:t xml:space="preserve">y end October 2018  </w:t>
      </w:r>
    </w:p>
    <w:p w14:paraId="081CFAE7" w14:textId="731B7C84" w:rsidR="00C4233A" w:rsidRPr="000A667C" w:rsidRDefault="00106F24" w:rsidP="00F5102B">
      <w:pPr>
        <w:pStyle w:val="Heading1"/>
        <w:tabs>
          <w:tab w:val="clear" w:pos="720"/>
        </w:tabs>
        <w:overflowPunct w:val="0"/>
        <w:autoSpaceDE w:val="0"/>
        <w:autoSpaceDN w:val="0"/>
        <w:spacing w:after="120"/>
        <w:textAlignment w:val="baseline"/>
        <w:rPr>
          <w:szCs w:val="22"/>
        </w:rPr>
      </w:pPr>
      <w:bookmarkStart w:id="12" w:name="_Toc513023121"/>
      <w:bookmarkStart w:id="13" w:name="_Toc368573030"/>
      <w:r w:rsidRPr="000A667C">
        <w:rPr>
          <w:szCs w:val="22"/>
        </w:rPr>
        <w:t>definitions</w:t>
      </w:r>
      <w:bookmarkEnd w:id="12"/>
      <w:r w:rsidRPr="000A667C">
        <w:rPr>
          <w:szCs w:val="22"/>
        </w:rPr>
        <w:t xml:space="preserve"> </w:t>
      </w:r>
    </w:p>
    <w:tbl>
      <w:tblPr>
        <w:tblStyle w:val="TableGrid"/>
        <w:tblW w:w="0" w:type="auto"/>
        <w:tblInd w:w="720" w:type="dxa"/>
        <w:tblLook w:val="04A0" w:firstRow="1" w:lastRow="0" w:firstColumn="1" w:lastColumn="0" w:noHBand="0" w:noVBand="1"/>
      </w:tblPr>
      <w:tblGrid>
        <w:gridCol w:w="1841"/>
        <w:gridCol w:w="6458"/>
      </w:tblGrid>
      <w:tr w:rsidR="00106F24" w:rsidRPr="000A667C" w14:paraId="553CCD95" w14:textId="77777777" w:rsidTr="00F5102B">
        <w:tc>
          <w:tcPr>
            <w:tcW w:w="1841" w:type="dxa"/>
            <w:shd w:val="clear" w:color="auto" w:fill="C6D9F1" w:themeFill="text2" w:themeFillTint="33"/>
          </w:tcPr>
          <w:p w14:paraId="2E04E555" w14:textId="1E410DA5" w:rsidR="00106F24" w:rsidRPr="00477D23" w:rsidRDefault="00106F24" w:rsidP="0081061A">
            <w:pPr>
              <w:pStyle w:val="Heading2"/>
              <w:numPr>
                <w:ilvl w:val="0"/>
                <w:numId w:val="0"/>
              </w:numPr>
              <w:spacing w:after="120"/>
              <w:ind w:left="18" w:hanging="18"/>
              <w:jc w:val="left"/>
              <w:outlineLvl w:val="1"/>
            </w:pPr>
            <w:r w:rsidRPr="00477D23">
              <w:t>Expression</w:t>
            </w:r>
            <w:r w:rsidR="0081061A" w:rsidRPr="00477D23">
              <w:t xml:space="preserve"> or </w:t>
            </w:r>
            <w:r w:rsidRPr="00477D23">
              <w:t>Acronym</w:t>
            </w:r>
          </w:p>
        </w:tc>
        <w:tc>
          <w:tcPr>
            <w:tcW w:w="6458" w:type="dxa"/>
            <w:shd w:val="clear" w:color="auto" w:fill="C6D9F1" w:themeFill="text2" w:themeFillTint="33"/>
          </w:tcPr>
          <w:p w14:paraId="0CDEAA6D" w14:textId="00739683" w:rsidR="00106F24" w:rsidRPr="00477D23" w:rsidRDefault="00106F24" w:rsidP="0081061A">
            <w:pPr>
              <w:pStyle w:val="Heading2"/>
              <w:numPr>
                <w:ilvl w:val="0"/>
                <w:numId w:val="0"/>
              </w:numPr>
              <w:spacing w:after="120"/>
              <w:ind w:left="720" w:hanging="720"/>
              <w:outlineLvl w:val="1"/>
            </w:pPr>
            <w:r w:rsidRPr="00477D23">
              <w:t>Definition</w:t>
            </w:r>
          </w:p>
        </w:tc>
      </w:tr>
      <w:tr w:rsidR="00106F24" w:rsidRPr="00E37BDD" w14:paraId="722819D3" w14:textId="77777777" w:rsidTr="00F5102B">
        <w:tc>
          <w:tcPr>
            <w:tcW w:w="1841" w:type="dxa"/>
          </w:tcPr>
          <w:p w14:paraId="18A7B53F" w14:textId="63C3E9A3" w:rsidR="00106F24" w:rsidRPr="000A667C" w:rsidRDefault="00E37BDD" w:rsidP="0081061A">
            <w:pPr>
              <w:pStyle w:val="Heading2"/>
              <w:numPr>
                <w:ilvl w:val="0"/>
                <w:numId w:val="0"/>
              </w:numPr>
              <w:spacing w:after="120"/>
              <w:ind w:left="720" w:hanging="720"/>
              <w:outlineLvl w:val="1"/>
              <w:rPr>
                <w:highlight w:val="yellow"/>
              </w:rPr>
            </w:pPr>
            <w:r w:rsidRPr="0015075F">
              <w:rPr>
                <w:bCs/>
              </w:rPr>
              <w:t>EBITDA</w:t>
            </w:r>
          </w:p>
        </w:tc>
        <w:tc>
          <w:tcPr>
            <w:tcW w:w="6458" w:type="dxa"/>
          </w:tcPr>
          <w:p w14:paraId="74E0E117" w14:textId="107A09FE" w:rsidR="00106F24" w:rsidRPr="000A667C" w:rsidRDefault="009F6DB7" w:rsidP="00F5102B">
            <w:pPr>
              <w:pStyle w:val="Heading2"/>
              <w:numPr>
                <w:ilvl w:val="0"/>
                <w:numId w:val="0"/>
              </w:numPr>
              <w:spacing w:after="120"/>
              <w:jc w:val="left"/>
              <w:outlineLvl w:val="1"/>
              <w:rPr>
                <w:highlight w:val="yellow"/>
              </w:rPr>
            </w:pPr>
            <w:r>
              <w:t>m</w:t>
            </w:r>
            <w:r w:rsidR="00F5102B" w:rsidRPr="000A667C">
              <w:t>eans</w:t>
            </w:r>
            <w:r w:rsidR="00F841C4">
              <w:t xml:space="preserve">: </w:t>
            </w:r>
            <w:r w:rsidR="00E37BDD" w:rsidRPr="000A667C">
              <w:t xml:space="preserve">Earnings </w:t>
            </w:r>
            <w:r w:rsidR="00F5102B" w:rsidRPr="000A667C">
              <w:t>before</w:t>
            </w:r>
            <w:r w:rsidR="00E37BDD" w:rsidRPr="000A667C">
              <w:t xml:space="preserve"> Interest, Taxes, Depreciation and </w:t>
            </w:r>
            <w:r w:rsidR="00E37BDD" w:rsidRPr="00E37BDD">
              <w:t>Amortisation</w:t>
            </w:r>
          </w:p>
        </w:tc>
      </w:tr>
      <w:tr w:rsidR="00106F24" w:rsidRPr="000A667C" w14:paraId="0ED1505B" w14:textId="77777777" w:rsidTr="00F5102B">
        <w:tc>
          <w:tcPr>
            <w:tcW w:w="1841" w:type="dxa"/>
          </w:tcPr>
          <w:p w14:paraId="0773B834" w14:textId="087DFE70" w:rsidR="00106F24" w:rsidRPr="000A667C" w:rsidRDefault="00C56B50" w:rsidP="0081061A">
            <w:pPr>
              <w:pStyle w:val="Heading2"/>
              <w:numPr>
                <w:ilvl w:val="0"/>
                <w:numId w:val="0"/>
              </w:numPr>
              <w:spacing w:after="120"/>
              <w:ind w:left="720" w:hanging="720"/>
              <w:outlineLvl w:val="1"/>
              <w:rPr>
                <w:highlight w:val="yellow"/>
              </w:rPr>
            </w:pPr>
            <w:r w:rsidRPr="00C56B50">
              <w:t>RML</w:t>
            </w:r>
          </w:p>
        </w:tc>
        <w:tc>
          <w:tcPr>
            <w:tcW w:w="6458" w:type="dxa"/>
          </w:tcPr>
          <w:p w14:paraId="7D6E62CD" w14:textId="441C89C5" w:rsidR="00106F24" w:rsidRPr="000A667C" w:rsidRDefault="009F6DB7" w:rsidP="00F5102B">
            <w:pPr>
              <w:pStyle w:val="Heading2"/>
              <w:numPr>
                <w:ilvl w:val="0"/>
                <w:numId w:val="0"/>
              </w:numPr>
              <w:spacing w:after="120"/>
              <w:ind w:left="720" w:hanging="720"/>
              <w:jc w:val="left"/>
              <w:outlineLvl w:val="1"/>
              <w:rPr>
                <w:highlight w:val="yellow"/>
              </w:rPr>
            </w:pPr>
            <w:r>
              <w:t>m</w:t>
            </w:r>
            <w:r w:rsidR="00F242C1" w:rsidRPr="000A667C">
              <w:t>eans</w:t>
            </w:r>
            <w:r w:rsidR="00F841C4">
              <w:t>:</w:t>
            </w:r>
            <w:r w:rsidR="00C56B50">
              <w:t xml:space="preserve"> </w:t>
            </w:r>
            <w:r w:rsidR="00C56B50" w:rsidRPr="00C56B50">
              <w:t>Royal Mail Limited</w:t>
            </w:r>
          </w:p>
        </w:tc>
      </w:tr>
    </w:tbl>
    <w:p w14:paraId="0DAF43A5" w14:textId="77777777" w:rsidR="00671798" w:rsidRDefault="00FE18AC" w:rsidP="007B6ED4">
      <w:pPr>
        <w:pStyle w:val="Heading1"/>
        <w:tabs>
          <w:tab w:val="clear" w:pos="720"/>
        </w:tabs>
        <w:overflowPunct w:val="0"/>
        <w:autoSpaceDE w:val="0"/>
        <w:autoSpaceDN w:val="0"/>
        <w:spacing w:before="240" w:after="120"/>
        <w:jc w:val="left"/>
        <w:textAlignment w:val="baseline"/>
        <w:rPr>
          <w:szCs w:val="22"/>
        </w:rPr>
      </w:pPr>
      <w:bookmarkStart w:id="14" w:name="_Toc513023122"/>
      <w:r w:rsidRPr="00B9425F">
        <w:rPr>
          <w:szCs w:val="22"/>
        </w:rPr>
        <w:t>scope of requirement</w:t>
      </w:r>
      <w:bookmarkEnd w:id="11"/>
      <w:bookmarkEnd w:id="13"/>
      <w:bookmarkEnd w:id="14"/>
      <w:r w:rsidRPr="00B9425F">
        <w:rPr>
          <w:szCs w:val="22"/>
        </w:rPr>
        <w:t xml:space="preserve"> </w:t>
      </w:r>
    </w:p>
    <w:bookmarkEnd w:id="8"/>
    <w:p w14:paraId="353BA816" w14:textId="4C10C5A3" w:rsidR="00D54170" w:rsidRPr="000A667C" w:rsidRDefault="00F841C4" w:rsidP="007B6ED4">
      <w:pPr>
        <w:pStyle w:val="Heading2"/>
        <w:tabs>
          <w:tab w:val="clear" w:pos="720"/>
          <w:tab w:val="num" w:pos="862"/>
        </w:tabs>
        <w:overflowPunct w:val="0"/>
        <w:autoSpaceDE w:val="0"/>
        <w:autoSpaceDN w:val="0"/>
        <w:spacing w:after="120"/>
        <w:ind w:left="709" w:hanging="709"/>
        <w:jc w:val="left"/>
        <w:textAlignment w:val="baseline"/>
        <w:rPr>
          <w:szCs w:val="22"/>
        </w:rPr>
      </w:pPr>
      <w:r>
        <w:rPr>
          <w:szCs w:val="22"/>
        </w:rPr>
        <w:t>The S</w:t>
      </w:r>
      <w:r w:rsidR="00D54170" w:rsidRPr="000A667C">
        <w:rPr>
          <w:szCs w:val="22"/>
        </w:rPr>
        <w:t xml:space="preserve">uccessful </w:t>
      </w:r>
      <w:r>
        <w:rPr>
          <w:szCs w:val="22"/>
        </w:rPr>
        <w:t>Supplier</w:t>
      </w:r>
      <w:r w:rsidR="00D54170" w:rsidRPr="000A667C">
        <w:rPr>
          <w:szCs w:val="22"/>
        </w:rPr>
        <w:t xml:space="preserve"> will be responsible for the full range o</w:t>
      </w:r>
      <w:r w:rsidR="00C95B46">
        <w:rPr>
          <w:szCs w:val="22"/>
        </w:rPr>
        <w:t>f</w:t>
      </w:r>
      <w:r w:rsidR="00D54170" w:rsidRPr="000A667C">
        <w:rPr>
          <w:szCs w:val="22"/>
        </w:rPr>
        <w:t xml:space="preserve"> executive search and selection activity from advising on advert placement, thoroughly researching the market place, long and short listing to providing feedback to candidates.</w:t>
      </w:r>
    </w:p>
    <w:p w14:paraId="03B7BDF2" w14:textId="0B6C6238" w:rsidR="00D54170" w:rsidRPr="000A667C" w:rsidRDefault="000A667C" w:rsidP="007B6ED4">
      <w:pPr>
        <w:pStyle w:val="Heading2"/>
        <w:tabs>
          <w:tab w:val="clear" w:pos="720"/>
          <w:tab w:val="num" w:pos="862"/>
        </w:tabs>
        <w:overflowPunct w:val="0"/>
        <w:autoSpaceDE w:val="0"/>
        <w:autoSpaceDN w:val="0"/>
        <w:spacing w:after="120"/>
        <w:ind w:left="709" w:hanging="709"/>
        <w:jc w:val="left"/>
        <w:textAlignment w:val="baseline"/>
        <w:rPr>
          <w:szCs w:val="22"/>
        </w:rPr>
      </w:pPr>
      <w:r>
        <w:rPr>
          <w:szCs w:val="22"/>
        </w:rPr>
        <w:t>The Authority</w:t>
      </w:r>
      <w:r w:rsidR="00D54170" w:rsidRPr="000A667C">
        <w:rPr>
          <w:szCs w:val="22"/>
        </w:rPr>
        <w:t xml:space="preserve"> requires the following services for this </w:t>
      </w:r>
      <w:r w:rsidR="00F841C4">
        <w:rPr>
          <w:szCs w:val="22"/>
        </w:rPr>
        <w:t>executive s</w:t>
      </w:r>
      <w:r w:rsidR="00D54170" w:rsidRPr="000A667C">
        <w:rPr>
          <w:szCs w:val="22"/>
        </w:rPr>
        <w:t>earch:</w:t>
      </w:r>
    </w:p>
    <w:p w14:paraId="3AFE8EC8" w14:textId="2CF4DF7F" w:rsidR="00D54170" w:rsidRPr="00CB0CA9" w:rsidRDefault="00F5102B" w:rsidP="00CB0CA9">
      <w:pPr>
        <w:pStyle w:val="Heading3"/>
        <w:jc w:val="left"/>
      </w:pPr>
      <w:r w:rsidRPr="00CB0CA9">
        <w:lastRenderedPageBreak/>
        <w:t>Advice</w:t>
      </w:r>
      <w:r w:rsidR="00D54170" w:rsidRPr="00CB0CA9">
        <w:t xml:space="preserve"> on advert design and media placement</w:t>
      </w:r>
      <w:r w:rsidR="00F841C4" w:rsidRPr="00CB0CA9">
        <w:t>;</w:t>
      </w:r>
    </w:p>
    <w:p w14:paraId="52B86C64" w14:textId="27861752" w:rsidR="00D54170" w:rsidRPr="00CB0CA9" w:rsidRDefault="00F5102B" w:rsidP="00CB0CA9">
      <w:pPr>
        <w:pStyle w:val="Heading3"/>
        <w:jc w:val="left"/>
      </w:pPr>
      <w:r w:rsidRPr="00CB0CA9">
        <w:t>Microsite</w:t>
      </w:r>
      <w:r w:rsidR="00D54170" w:rsidRPr="00CB0CA9">
        <w:t xml:space="preserve"> development</w:t>
      </w:r>
      <w:r w:rsidR="00F841C4" w:rsidRPr="00CB0CA9">
        <w:t>;</w:t>
      </w:r>
    </w:p>
    <w:p w14:paraId="08231B16" w14:textId="5CF58C98" w:rsidR="00D54170" w:rsidRPr="00CB0CA9" w:rsidRDefault="00F5102B" w:rsidP="00CB0CA9">
      <w:pPr>
        <w:pStyle w:val="Heading3"/>
        <w:jc w:val="left"/>
      </w:pPr>
      <w:r w:rsidRPr="00CB0CA9">
        <w:t>Market</w:t>
      </w:r>
      <w:r w:rsidR="00D54170" w:rsidRPr="00CB0CA9">
        <w:t xml:space="preserve"> place research and use of networks to source candidates</w:t>
      </w:r>
      <w:r w:rsidR="00F841C4" w:rsidRPr="00CB0CA9">
        <w:t>;</w:t>
      </w:r>
    </w:p>
    <w:p w14:paraId="45D2DDE7" w14:textId="79D3FCB4" w:rsidR="00D54170" w:rsidRPr="00CB0CA9" w:rsidRDefault="00F5102B" w:rsidP="00CB0CA9">
      <w:pPr>
        <w:pStyle w:val="Heading3"/>
        <w:jc w:val="left"/>
      </w:pPr>
      <w:r w:rsidRPr="00CB0CA9">
        <w:t>Weekly</w:t>
      </w:r>
      <w:r w:rsidR="00D54170" w:rsidRPr="00CB0CA9">
        <w:t xml:space="preserve"> updates on progress</w:t>
      </w:r>
      <w:r w:rsidR="00F841C4" w:rsidRPr="00CB0CA9">
        <w:t>;</w:t>
      </w:r>
    </w:p>
    <w:p w14:paraId="4597C8A0" w14:textId="15DE1460" w:rsidR="00D54170" w:rsidRPr="00CB0CA9" w:rsidRDefault="005A29EC" w:rsidP="00CB0CA9">
      <w:pPr>
        <w:pStyle w:val="Heading3"/>
        <w:jc w:val="left"/>
      </w:pPr>
      <w:r w:rsidRPr="00CB0CA9">
        <w:t>Receipt, a</w:t>
      </w:r>
      <w:r w:rsidR="00F5102B" w:rsidRPr="00CB0CA9">
        <w:t>dministration</w:t>
      </w:r>
      <w:r w:rsidRPr="00CB0CA9">
        <w:t xml:space="preserve"> and processing</w:t>
      </w:r>
      <w:r w:rsidR="00D54170" w:rsidRPr="00CB0CA9">
        <w:t xml:space="preserve"> of applications (including provision of diversity and equality information)</w:t>
      </w:r>
      <w:r w:rsidR="00F841C4" w:rsidRPr="00CB0CA9">
        <w:t>;</w:t>
      </w:r>
    </w:p>
    <w:p w14:paraId="6AF87691" w14:textId="03C05722" w:rsidR="00D54170" w:rsidRPr="00CB0CA9" w:rsidRDefault="00F5102B" w:rsidP="00CB0CA9">
      <w:pPr>
        <w:pStyle w:val="Heading3"/>
        <w:jc w:val="left"/>
      </w:pPr>
      <w:r w:rsidRPr="00CB0CA9">
        <w:t>Sifting</w:t>
      </w:r>
      <w:r w:rsidR="00D54170" w:rsidRPr="00CB0CA9">
        <w:t xml:space="preserve"> of applications to produce </w:t>
      </w:r>
      <w:r w:rsidR="005A29EC" w:rsidRPr="00CB0CA9">
        <w:t xml:space="preserve">a </w:t>
      </w:r>
      <w:r w:rsidR="00D54170" w:rsidRPr="00CB0CA9">
        <w:t>longlist of recommendations</w:t>
      </w:r>
      <w:r w:rsidR="005A29EC" w:rsidRPr="00CB0CA9">
        <w:t xml:space="preserve"> to the Authority</w:t>
      </w:r>
      <w:r w:rsidR="00D54170" w:rsidRPr="00CB0CA9">
        <w:t>, interviews of longlisted candidates</w:t>
      </w:r>
      <w:r w:rsidR="007C3F41" w:rsidRPr="00CB0CA9">
        <w:t xml:space="preserve"> </w:t>
      </w:r>
      <w:r w:rsidR="00D54170" w:rsidRPr="00CB0CA9">
        <w:t>to</w:t>
      </w:r>
      <w:r w:rsidR="00D54170" w:rsidRPr="00477D23">
        <w:t xml:space="preserve"> provide</w:t>
      </w:r>
      <w:r w:rsidR="005A29EC">
        <w:t xml:space="preserve"> the</w:t>
      </w:r>
      <w:r w:rsidR="00D54170" w:rsidRPr="00477D23">
        <w:t xml:space="preserve"> </w:t>
      </w:r>
      <w:r w:rsidR="00D54170" w:rsidRPr="00CB0CA9">
        <w:t>recommended shortlist</w:t>
      </w:r>
      <w:r w:rsidR="00F841C4" w:rsidRPr="00CB0CA9">
        <w:t>; and</w:t>
      </w:r>
    </w:p>
    <w:p w14:paraId="58E98DB6" w14:textId="4517A55F" w:rsidR="00D54170" w:rsidRPr="00CB0CA9" w:rsidRDefault="00F5102B" w:rsidP="00CB0CA9">
      <w:pPr>
        <w:pStyle w:val="Heading3"/>
        <w:jc w:val="left"/>
      </w:pPr>
      <w:r w:rsidRPr="00CB0CA9">
        <w:t>Assistance</w:t>
      </w:r>
      <w:r w:rsidR="00D54170" w:rsidRPr="00CB0CA9">
        <w:t xml:space="preserve"> with preparation for final interviews (which will be conducted by </w:t>
      </w:r>
      <w:r w:rsidR="000A667C" w:rsidRPr="00CB0CA9">
        <w:t>the Authority</w:t>
      </w:r>
      <w:r w:rsidR="00D54170" w:rsidRPr="00CB0CA9">
        <w:t>) and response handling</w:t>
      </w:r>
      <w:r w:rsidRPr="00CB0CA9">
        <w:t>.</w:t>
      </w:r>
    </w:p>
    <w:p w14:paraId="3491B80B" w14:textId="277451A3" w:rsidR="00671798" w:rsidRDefault="00FE18AC" w:rsidP="007B6ED4">
      <w:pPr>
        <w:pStyle w:val="Heading1"/>
        <w:spacing w:after="120"/>
        <w:jc w:val="left"/>
      </w:pPr>
      <w:bookmarkStart w:id="15" w:name="_Toc368573031"/>
      <w:bookmarkStart w:id="16" w:name="_Toc513023123"/>
      <w:r w:rsidRPr="00BE6EE0">
        <w:t xml:space="preserve">The </w:t>
      </w:r>
      <w:r w:rsidRPr="00477D23">
        <w:t>requirement</w:t>
      </w:r>
      <w:bookmarkEnd w:id="15"/>
      <w:bookmarkEnd w:id="16"/>
    </w:p>
    <w:p w14:paraId="505E85C3" w14:textId="7CEBA521" w:rsidR="003B60D6" w:rsidRPr="00477D23" w:rsidRDefault="003B60D6" w:rsidP="007B6ED4">
      <w:pPr>
        <w:pStyle w:val="Heading2"/>
        <w:spacing w:after="120"/>
        <w:ind w:left="709" w:hanging="709"/>
        <w:jc w:val="left"/>
      </w:pPr>
      <w:r w:rsidRPr="00B87ACC">
        <w:t xml:space="preserve">In addition to the </w:t>
      </w:r>
      <w:r w:rsidRPr="00477D23">
        <w:t>scope</w:t>
      </w:r>
      <w:r w:rsidRPr="00B87ACC">
        <w:t xml:space="preserve"> items set out above</w:t>
      </w:r>
      <w:r w:rsidR="000A667C" w:rsidRPr="00B87ACC">
        <w:t>, the Successful Supplier</w:t>
      </w:r>
      <w:r w:rsidRPr="00B87ACC">
        <w:t xml:space="preserve"> will be required to</w:t>
      </w:r>
      <w:r w:rsidR="00F5102B">
        <w:t>:</w:t>
      </w:r>
      <w:r w:rsidRPr="00B87ACC">
        <w:t xml:space="preserve"> </w:t>
      </w:r>
    </w:p>
    <w:p w14:paraId="5B19AB6F" w14:textId="41B6F36E" w:rsidR="003B60D6" w:rsidRPr="00CB0CA9" w:rsidRDefault="00F5102B" w:rsidP="00CB0CA9">
      <w:pPr>
        <w:pStyle w:val="Heading3"/>
        <w:jc w:val="left"/>
      </w:pPr>
      <w:r w:rsidRPr="00CB0CA9">
        <w:t>Have</w:t>
      </w:r>
      <w:r w:rsidR="003B60D6" w:rsidRPr="00CB0CA9">
        <w:t xml:space="preserve"> ad hoc discussions </w:t>
      </w:r>
      <w:r w:rsidR="000A667C" w:rsidRPr="00CB0CA9">
        <w:t>with the Authority</w:t>
      </w:r>
      <w:r w:rsidR="003B60D6" w:rsidRPr="00CB0CA9">
        <w:t xml:space="preserve"> on candidates</w:t>
      </w:r>
      <w:r w:rsidR="000A667C" w:rsidRPr="00CB0CA9">
        <w:t>;</w:t>
      </w:r>
    </w:p>
    <w:p w14:paraId="5A28CA04" w14:textId="45A87FB7" w:rsidR="003B60D6" w:rsidRPr="00477D23" w:rsidRDefault="00F5102B" w:rsidP="00CB0CA9">
      <w:pPr>
        <w:pStyle w:val="Heading3"/>
        <w:jc w:val="left"/>
      </w:pPr>
      <w:r w:rsidRPr="00CB0CA9">
        <w:t>Attend</w:t>
      </w:r>
      <w:r w:rsidR="003B60D6" w:rsidRPr="00CB0CA9">
        <w:t xml:space="preserve"> longlisting</w:t>
      </w:r>
      <w:r w:rsidR="003B60D6" w:rsidRPr="00477D23">
        <w:t xml:space="preserve"> and</w:t>
      </w:r>
      <w:r w:rsidR="003B60D6" w:rsidRPr="00CB0CA9">
        <w:t xml:space="preserve"> shortlisting meetings with</w:t>
      </w:r>
      <w:r w:rsidR="003B60D6" w:rsidRPr="00477D23">
        <w:t xml:space="preserve"> the </w:t>
      </w:r>
      <w:r w:rsidR="003B60D6" w:rsidRPr="00CB0CA9">
        <w:t>appointment panel and any meetings with Ministers if</w:t>
      </w:r>
      <w:r w:rsidR="003B60D6" w:rsidRPr="00477D23">
        <w:t xml:space="preserve"> required</w:t>
      </w:r>
      <w:r w:rsidR="000A667C" w:rsidRPr="00CB0CA9">
        <w:t>;</w:t>
      </w:r>
      <w:r w:rsidR="003B60D6" w:rsidRPr="00CB0CA9">
        <w:t xml:space="preserve"> </w:t>
      </w:r>
    </w:p>
    <w:p w14:paraId="71CBB2B6" w14:textId="0B1B804C" w:rsidR="003B60D6" w:rsidRPr="00CB0CA9" w:rsidRDefault="00F5102B" w:rsidP="00CB0CA9">
      <w:pPr>
        <w:pStyle w:val="Heading3"/>
        <w:jc w:val="left"/>
      </w:pPr>
      <w:r w:rsidRPr="00CB0CA9">
        <w:t>Undertake</w:t>
      </w:r>
      <w:r w:rsidR="003B60D6" w:rsidRPr="00CB0CA9">
        <w:t xml:space="preserve"> relevant searches on </w:t>
      </w:r>
      <w:r w:rsidR="00AC0DB7" w:rsidRPr="00CB0CA9">
        <w:t>C</w:t>
      </w:r>
      <w:r w:rsidR="003B60D6" w:rsidRPr="00CB0CA9">
        <w:t>andidate</w:t>
      </w:r>
      <w:r w:rsidR="00DF1DD4" w:rsidRPr="00CB0CA9">
        <w:t>s</w:t>
      </w:r>
      <w:r w:rsidR="003B60D6" w:rsidRPr="00CB0CA9">
        <w:t xml:space="preserve">, including </w:t>
      </w:r>
      <w:r w:rsidR="00CE4507" w:rsidRPr="00CB0CA9">
        <w:t xml:space="preserve">obtaining </w:t>
      </w:r>
      <w:r w:rsidR="003B60D6" w:rsidRPr="00CB0CA9">
        <w:t>references as required</w:t>
      </w:r>
      <w:r w:rsidR="00AC0DB7" w:rsidRPr="00CB0CA9">
        <w:t xml:space="preserve">; </w:t>
      </w:r>
    </w:p>
    <w:p w14:paraId="02EA8E4D" w14:textId="5FF813F6" w:rsidR="00C95B46" w:rsidRPr="00CB0CA9" w:rsidRDefault="005A29EC" w:rsidP="00CB0CA9">
      <w:pPr>
        <w:pStyle w:val="Heading3"/>
        <w:jc w:val="left"/>
      </w:pPr>
      <w:r w:rsidRPr="00CB0CA9">
        <w:t xml:space="preserve">Inform Candidates of outcome, provide </w:t>
      </w:r>
      <w:r w:rsidR="003B60D6" w:rsidRPr="00CB0CA9">
        <w:t>feedback to</w:t>
      </w:r>
      <w:r w:rsidR="002C038E">
        <w:t xml:space="preserve"> unsuccessful Candidates.</w:t>
      </w:r>
    </w:p>
    <w:p w14:paraId="35734D9E" w14:textId="77777777" w:rsidR="00671798" w:rsidRDefault="00FE18AC" w:rsidP="007B6ED4">
      <w:pPr>
        <w:pStyle w:val="Heading1"/>
        <w:spacing w:after="120"/>
        <w:jc w:val="left"/>
      </w:pPr>
      <w:bookmarkStart w:id="17" w:name="_Toc368573032"/>
      <w:bookmarkStart w:id="18" w:name="_Toc513023124"/>
      <w:r>
        <w:t>key milestones</w:t>
      </w:r>
      <w:bookmarkEnd w:id="17"/>
      <w:bookmarkEnd w:id="18"/>
    </w:p>
    <w:p w14:paraId="4D0E0CBA" w14:textId="26365329" w:rsidR="00FE18AC" w:rsidRPr="00962152" w:rsidRDefault="003438D3" w:rsidP="007B6ED4">
      <w:pPr>
        <w:pStyle w:val="Heading2"/>
        <w:tabs>
          <w:tab w:val="clear" w:pos="720"/>
          <w:tab w:val="num" w:pos="132"/>
          <w:tab w:val="num" w:pos="862"/>
        </w:tabs>
        <w:overflowPunct w:val="0"/>
        <w:autoSpaceDE w:val="0"/>
        <w:autoSpaceDN w:val="0"/>
        <w:spacing w:after="120"/>
        <w:ind w:left="709" w:hanging="709"/>
        <w:jc w:val="left"/>
        <w:textAlignment w:val="baseline"/>
        <w:rPr>
          <w:rFonts w:cs="Arial"/>
          <w:szCs w:val="22"/>
        </w:rPr>
      </w:pPr>
      <w:r w:rsidRPr="003438D3">
        <w:rPr>
          <w:rFonts w:cs="Arial"/>
          <w:szCs w:val="22"/>
        </w:rPr>
        <w:t>Potential Provider</w:t>
      </w:r>
      <w:r w:rsidR="000A667C">
        <w:rPr>
          <w:rFonts w:cs="Arial"/>
          <w:szCs w:val="22"/>
        </w:rPr>
        <w:t>s</w:t>
      </w:r>
      <w:r w:rsidRPr="003438D3">
        <w:rPr>
          <w:rFonts w:cs="Arial"/>
          <w:szCs w:val="22"/>
        </w:rPr>
        <w:t xml:space="preserve"> should note the following pr</w:t>
      </w:r>
      <w:r w:rsidR="00A57B4E">
        <w:rPr>
          <w:rFonts w:cs="Arial"/>
          <w:szCs w:val="22"/>
        </w:rPr>
        <w:t>oject milestones that the Authority</w:t>
      </w:r>
      <w:r w:rsidRPr="003438D3">
        <w:rPr>
          <w:rFonts w:cs="Arial"/>
          <w:szCs w:val="22"/>
        </w:rPr>
        <w:t xml:space="preserve"> will </w:t>
      </w:r>
      <w:r w:rsidRPr="00962152">
        <w:rPr>
          <w:rFonts w:cs="Arial"/>
          <w:szCs w:val="22"/>
        </w:rPr>
        <w:t>measure the quality of delivery against:</w:t>
      </w:r>
    </w:p>
    <w:tbl>
      <w:tblPr>
        <w:tblStyle w:val="TableGrid"/>
        <w:tblW w:w="5000" w:type="pct"/>
        <w:tblLook w:val="04A0" w:firstRow="1" w:lastRow="0" w:firstColumn="1" w:lastColumn="0" w:noHBand="0" w:noVBand="1"/>
      </w:tblPr>
      <w:tblGrid>
        <w:gridCol w:w="1620"/>
        <w:gridCol w:w="4473"/>
        <w:gridCol w:w="2926"/>
      </w:tblGrid>
      <w:tr w:rsidR="00FE18AC" w:rsidRPr="00962152" w14:paraId="6BF78E35" w14:textId="77777777" w:rsidTr="00106F24">
        <w:tc>
          <w:tcPr>
            <w:tcW w:w="898" w:type="pct"/>
            <w:shd w:val="clear" w:color="auto" w:fill="C6D9F1" w:themeFill="text2" w:themeFillTint="33"/>
            <w:vAlign w:val="center"/>
          </w:tcPr>
          <w:p w14:paraId="2F0B096C" w14:textId="77777777" w:rsidR="00671798" w:rsidRPr="00477D23" w:rsidRDefault="00FE18AC">
            <w:pPr>
              <w:pStyle w:val="Heading3"/>
              <w:numPr>
                <w:ilvl w:val="0"/>
                <w:numId w:val="0"/>
              </w:numPr>
              <w:spacing w:after="120"/>
              <w:jc w:val="center"/>
              <w:outlineLvl w:val="2"/>
              <w:rPr>
                <w:b/>
              </w:rPr>
            </w:pPr>
            <w:r w:rsidRPr="00477D23">
              <w:rPr>
                <w:b/>
              </w:rPr>
              <w:t>Milestone</w:t>
            </w:r>
          </w:p>
        </w:tc>
        <w:tc>
          <w:tcPr>
            <w:tcW w:w="2480" w:type="pct"/>
            <w:shd w:val="clear" w:color="auto" w:fill="C6D9F1" w:themeFill="text2" w:themeFillTint="33"/>
            <w:vAlign w:val="center"/>
          </w:tcPr>
          <w:p w14:paraId="55754382" w14:textId="77777777" w:rsidR="00671798" w:rsidRPr="00477D23" w:rsidRDefault="00FE18AC">
            <w:pPr>
              <w:pStyle w:val="Heading3"/>
              <w:numPr>
                <w:ilvl w:val="0"/>
                <w:numId w:val="0"/>
              </w:numPr>
              <w:spacing w:after="120"/>
              <w:jc w:val="center"/>
              <w:outlineLvl w:val="2"/>
              <w:rPr>
                <w:b/>
              </w:rPr>
            </w:pPr>
            <w:r w:rsidRPr="00477D23">
              <w:rPr>
                <w:b/>
              </w:rPr>
              <w:t>Description</w:t>
            </w:r>
          </w:p>
        </w:tc>
        <w:tc>
          <w:tcPr>
            <w:tcW w:w="1622" w:type="pct"/>
            <w:shd w:val="clear" w:color="auto" w:fill="C6D9F1" w:themeFill="text2" w:themeFillTint="33"/>
            <w:vAlign w:val="center"/>
          </w:tcPr>
          <w:p w14:paraId="0EABB2D0" w14:textId="77777777" w:rsidR="00671798" w:rsidRPr="00477D23" w:rsidRDefault="00FE18AC">
            <w:pPr>
              <w:pStyle w:val="Heading3"/>
              <w:numPr>
                <w:ilvl w:val="0"/>
                <w:numId w:val="0"/>
              </w:numPr>
              <w:spacing w:after="120"/>
              <w:jc w:val="center"/>
              <w:outlineLvl w:val="2"/>
              <w:rPr>
                <w:b/>
              </w:rPr>
            </w:pPr>
            <w:r w:rsidRPr="00477D23">
              <w:rPr>
                <w:b/>
              </w:rPr>
              <w:t>Timeframe</w:t>
            </w:r>
          </w:p>
        </w:tc>
      </w:tr>
      <w:tr w:rsidR="00FE18AC" w:rsidRPr="00962152" w14:paraId="2B6EAC37" w14:textId="77777777" w:rsidTr="00E245A6">
        <w:tc>
          <w:tcPr>
            <w:tcW w:w="898" w:type="pct"/>
            <w:vAlign w:val="center"/>
          </w:tcPr>
          <w:p w14:paraId="13176D62" w14:textId="77777777" w:rsidR="00671798" w:rsidRPr="00477D23" w:rsidRDefault="00FE18AC">
            <w:pPr>
              <w:pStyle w:val="Heading3"/>
              <w:numPr>
                <w:ilvl w:val="0"/>
                <w:numId w:val="0"/>
              </w:numPr>
              <w:spacing w:after="120"/>
              <w:jc w:val="center"/>
              <w:outlineLvl w:val="2"/>
            </w:pPr>
            <w:r w:rsidRPr="00477D23">
              <w:t>1</w:t>
            </w:r>
          </w:p>
        </w:tc>
        <w:tc>
          <w:tcPr>
            <w:tcW w:w="2480" w:type="pct"/>
            <w:vAlign w:val="center"/>
          </w:tcPr>
          <w:p w14:paraId="04CC1243" w14:textId="47EB9A6C" w:rsidR="00671798" w:rsidRPr="00477D23" w:rsidRDefault="00355D15" w:rsidP="00CD38F0">
            <w:pPr>
              <w:pStyle w:val="Heading3"/>
              <w:numPr>
                <w:ilvl w:val="0"/>
                <w:numId w:val="0"/>
              </w:numPr>
              <w:spacing w:after="120"/>
              <w:jc w:val="left"/>
              <w:outlineLvl w:val="2"/>
            </w:pPr>
            <w:r w:rsidRPr="00962152">
              <w:t xml:space="preserve">Placing of advert </w:t>
            </w:r>
          </w:p>
        </w:tc>
        <w:tc>
          <w:tcPr>
            <w:tcW w:w="1622" w:type="pct"/>
            <w:vAlign w:val="center"/>
          </w:tcPr>
          <w:p w14:paraId="23E536A9" w14:textId="30F81533" w:rsidR="00671798" w:rsidRPr="00477D23" w:rsidRDefault="00355D15">
            <w:pPr>
              <w:pStyle w:val="Heading3"/>
              <w:numPr>
                <w:ilvl w:val="0"/>
                <w:numId w:val="0"/>
              </w:numPr>
              <w:spacing w:after="120"/>
              <w:jc w:val="center"/>
              <w:outlineLvl w:val="2"/>
            </w:pPr>
            <w:r w:rsidRPr="00477D23">
              <w:t xml:space="preserve">Within </w:t>
            </w:r>
            <w:r w:rsidRPr="00962152">
              <w:t>2 weeks</w:t>
            </w:r>
            <w:r w:rsidRPr="00477D23">
              <w:t xml:space="preserve"> of </w:t>
            </w:r>
            <w:r w:rsidRPr="00962152">
              <w:t>contract award</w:t>
            </w:r>
            <w:r w:rsidR="00FE18AC" w:rsidRPr="00477D23">
              <w:t xml:space="preserve"> </w:t>
            </w:r>
          </w:p>
        </w:tc>
      </w:tr>
      <w:tr w:rsidR="00FE18AC" w:rsidRPr="00962152" w14:paraId="16F113EC" w14:textId="77777777" w:rsidTr="00E245A6">
        <w:tc>
          <w:tcPr>
            <w:tcW w:w="898" w:type="pct"/>
            <w:vAlign w:val="center"/>
          </w:tcPr>
          <w:p w14:paraId="4FD18402" w14:textId="77777777" w:rsidR="00671798" w:rsidRPr="00477D23" w:rsidRDefault="00FE18AC">
            <w:pPr>
              <w:pStyle w:val="Heading3"/>
              <w:numPr>
                <w:ilvl w:val="0"/>
                <w:numId w:val="0"/>
              </w:numPr>
              <w:spacing w:after="120"/>
              <w:jc w:val="center"/>
              <w:outlineLvl w:val="2"/>
            </w:pPr>
            <w:r w:rsidRPr="00477D23">
              <w:t>2</w:t>
            </w:r>
          </w:p>
        </w:tc>
        <w:tc>
          <w:tcPr>
            <w:tcW w:w="2480" w:type="pct"/>
            <w:vAlign w:val="center"/>
          </w:tcPr>
          <w:p w14:paraId="33C22C40" w14:textId="422843B5" w:rsidR="00671798" w:rsidRPr="00477D23" w:rsidRDefault="00355D15">
            <w:pPr>
              <w:pStyle w:val="Heading3"/>
              <w:numPr>
                <w:ilvl w:val="0"/>
                <w:numId w:val="0"/>
              </w:numPr>
              <w:spacing w:after="120"/>
              <w:jc w:val="left"/>
              <w:outlineLvl w:val="2"/>
            </w:pPr>
            <w:r w:rsidRPr="00962152">
              <w:t>Longlisting report (covering all applicants)</w:t>
            </w:r>
          </w:p>
        </w:tc>
        <w:tc>
          <w:tcPr>
            <w:tcW w:w="1622" w:type="pct"/>
            <w:vAlign w:val="center"/>
          </w:tcPr>
          <w:p w14:paraId="3B285FD4" w14:textId="7DFFBDD7" w:rsidR="00671798" w:rsidRPr="00477D23" w:rsidRDefault="00FE18AC">
            <w:pPr>
              <w:pStyle w:val="Heading3"/>
              <w:numPr>
                <w:ilvl w:val="0"/>
                <w:numId w:val="0"/>
              </w:numPr>
              <w:spacing w:after="120"/>
              <w:jc w:val="center"/>
              <w:outlineLvl w:val="2"/>
            </w:pPr>
            <w:r w:rsidRPr="00477D23">
              <w:t xml:space="preserve">Within </w:t>
            </w:r>
            <w:r w:rsidR="00355D15" w:rsidRPr="00962152">
              <w:t xml:space="preserve">a </w:t>
            </w:r>
            <w:r w:rsidR="00355D15" w:rsidRPr="00477D23">
              <w:t xml:space="preserve">week of </w:t>
            </w:r>
            <w:r w:rsidR="00355D15" w:rsidRPr="00962152">
              <w:t>advert closing</w:t>
            </w:r>
            <w:r w:rsidRPr="00962152">
              <w:t xml:space="preserve"> </w:t>
            </w:r>
          </w:p>
        </w:tc>
      </w:tr>
      <w:tr w:rsidR="00FE18AC" w:rsidRPr="00962152" w14:paraId="3FD394DC" w14:textId="77777777" w:rsidTr="00E245A6">
        <w:tc>
          <w:tcPr>
            <w:tcW w:w="898" w:type="pct"/>
            <w:vAlign w:val="center"/>
          </w:tcPr>
          <w:p w14:paraId="3995F849" w14:textId="77777777" w:rsidR="00671798" w:rsidRPr="00477D23" w:rsidRDefault="00FE18AC">
            <w:pPr>
              <w:pStyle w:val="Heading3"/>
              <w:numPr>
                <w:ilvl w:val="0"/>
                <w:numId w:val="0"/>
              </w:numPr>
              <w:spacing w:after="120"/>
              <w:jc w:val="center"/>
              <w:outlineLvl w:val="2"/>
            </w:pPr>
            <w:r w:rsidRPr="00477D23">
              <w:t>3</w:t>
            </w:r>
          </w:p>
        </w:tc>
        <w:tc>
          <w:tcPr>
            <w:tcW w:w="2480" w:type="pct"/>
            <w:vAlign w:val="center"/>
          </w:tcPr>
          <w:p w14:paraId="4962E129" w14:textId="71BCD356" w:rsidR="00671798" w:rsidRPr="00477D23" w:rsidRDefault="00355D15">
            <w:pPr>
              <w:pStyle w:val="Heading3"/>
              <w:numPr>
                <w:ilvl w:val="0"/>
                <w:numId w:val="0"/>
              </w:numPr>
              <w:spacing w:after="120"/>
              <w:jc w:val="left"/>
              <w:outlineLvl w:val="2"/>
            </w:pPr>
            <w:r w:rsidRPr="00962152">
              <w:t>Shortlisting report (following interviews of selected candidates as agreed with the appointment panel)</w:t>
            </w:r>
          </w:p>
        </w:tc>
        <w:tc>
          <w:tcPr>
            <w:tcW w:w="1622" w:type="pct"/>
            <w:vAlign w:val="center"/>
          </w:tcPr>
          <w:p w14:paraId="7164B729" w14:textId="6E00A092" w:rsidR="00671798" w:rsidRPr="00477D23" w:rsidRDefault="00FE18AC">
            <w:pPr>
              <w:pStyle w:val="Heading3"/>
              <w:numPr>
                <w:ilvl w:val="0"/>
                <w:numId w:val="0"/>
              </w:numPr>
              <w:spacing w:after="120"/>
              <w:jc w:val="center"/>
              <w:outlineLvl w:val="2"/>
            </w:pPr>
            <w:r w:rsidRPr="00477D23">
              <w:t xml:space="preserve">Within </w:t>
            </w:r>
            <w:r w:rsidR="00355D15" w:rsidRPr="00962152">
              <w:t>2 weeks</w:t>
            </w:r>
            <w:r w:rsidR="00355D15" w:rsidRPr="00477D23">
              <w:t xml:space="preserve"> of </w:t>
            </w:r>
            <w:r w:rsidR="00355D15" w:rsidRPr="00962152">
              <w:t>longlisting meeting</w:t>
            </w:r>
          </w:p>
        </w:tc>
      </w:tr>
      <w:tr w:rsidR="00FE18AC" w:rsidRPr="00962152" w14:paraId="6A3230F6" w14:textId="77777777" w:rsidTr="00E245A6">
        <w:tc>
          <w:tcPr>
            <w:tcW w:w="898" w:type="pct"/>
            <w:vAlign w:val="center"/>
          </w:tcPr>
          <w:p w14:paraId="3302843B" w14:textId="77777777" w:rsidR="00671798" w:rsidRPr="00477D23" w:rsidRDefault="00FE18AC">
            <w:pPr>
              <w:pStyle w:val="Heading3"/>
              <w:numPr>
                <w:ilvl w:val="0"/>
                <w:numId w:val="0"/>
              </w:numPr>
              <w:spacing w:after="120"/>
              <w:jc w:val="center"/>
              <w:outlineLvl w:val="2"/>
            </w:pPr>
            <w:r w:rsidRPr="00477D23">
              <w:t>4</w:t>
            </w:r>
          </w:p>
        </w:tc>
        <w:tc>
          <w:tcPr>
            <w:tcW w:w="2480" w:type="pct"/>
            <w:vAlign w:val="center"/>
          </w:tcPr>
          <w:p w14:paraId="029789C7" w14:textId="53EBB123" w:rsidR="00671798" w:rsidRPr="00477D23" w:rsidRDefault="00355D15">
            <w:pPr>
              <w:pStyle w:val="Heading3"/>
              <w:numPr>
                <w:ilvl w:val="0"/>
                <w:numId w:val="0"/>
              </w:numPr>
              <w:spacing w:after="120"/>
              <w:jc w:val="left"/>
              <w:outlineLvl w:val="2"/>
            </w:pPr>
            <w:r w:rsidRPr="00962152">
              <w:t xml:space="preserve">Final searches on successful candidates </w:t>
            </w:r>
            <w:r w:rsidR="003B60D6" w:rsidRPr="00962152">
              <w:t>including references</w:t>
            </w:r>
          </w:p>
        </w:tc>
        <w:tc>
          <w:tcPr>
            <w:tcW w:w="1622" w:type="pct"/>
            <w:vAlign w:val="center"/>
          </w:tcPr>
          <w:p w14:paraId="0A8D4F91" w14:textId="184FC41C" w:rsidR="00671798" w:rsidRPr="00962152" w:rsidRDefault="00355D15">
            <w:pPr>
              <w:pStyle w:val="Heading3"/>
              <w:numPr>
                <w:ilvl w:val="0"/>
                <w:numId w:val="0"/>
              </w:numPr>
              <w:spacing w:after="120"/>
              <w:jc w:val="center"/>
              <w:outlineLvl w:val="2"/>
              <w:rPr>
                <w:szCs w:val="24"/>
              </w:rPr>
            </w:pPr>
            <w:r w:rsidRPr="00477D23">
              <w:t xml:space="preserve">Within </w:t>
            </w:r>
            <w:r w:rsidRPr="00962152">
              <w:t>2</w:t>
            </w:r>
            <w:r w:rsidRPr="00477D23">
              <w:t xml:space="preserve"> weeks of </w:t>
            </w:r>
            <w:r w:rsidRPr="00962152">
              <w:t>date requested.</w:t>
            </w:r>
          </w:p>
        </w:tc>
      </w:tr>
    </w:tbl>
    <w:p w14:paraId="228D428C" w14:textId="77777777" w:rsidR="00FE18AC" w:rsidRPr="00962152" w:rsidRDefault="00FE18AC" w:rsidP="00F44D62">
      <w:pPr>
        <w:pStyle w:val="Heading1"/>
        <w:numPr>
          <w:ilvl w:val="0"/>
          <w:numId w:val="0"/>
        </w:numPr>
        <w:overflowPunct w:val="0"/>
        <w:autoSpaceDE w:val="0"/>
        <w:autoSpaceDN w:val="0"/>
        <w:spacing w:after="120"/>
        <w:textAlignment w:val="baseline"/>
        <w:rPr>
          <w:rFonts w:cs="Arial"/>
          <w:szCs w:val="22"/>
        </w:rPr>
      </w:pPr>
      <w:bookmarkStart w:id="19" w:name="_Toc302637211"/>
    </w:p>
    <w:p w14:paraId="3C36765A" w14:textId="482E4F08" w:rsidR="00106F24" w:rsidRPr="00962152" w:rsidRDefault="00106F24" w:rsidP="007B6ED4">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20" w:name="_Toc513023125"/>
      <w:bookmarkStart w:id="21" w:name="_Toc368573033"/>
      <w:r w:rsidRPr="00962152">
        <w:rPr>
          <w:rFonts w:cs="Arial"/>
          <w:szCs w:val="22"/>
        </w:rPr>
        <w:t>authority’s responsibilities</w:t>
      </w:r>
      <w:bookmarkEnd w:id="20"/>
    </w:p>
    <w:p w14:paraId="7C348351" w14:textId="526688DD" w:rsidR="00355D15" w:rsidRPr="00962152" w:rsidRDefault="00CE4507" w:rsidP="007B6ED4">
      <w:pPr>
        <w:pStyle w:val="Heading2"/>
        <w:jc w:val="left"/>
      </w:pPr>
      <w:r w:rsidRPr="00962152">
        <w:t>The Authority will provide the job</w:t>
      </w:r>
      <w:r w:rsidR="00F841C4">
        <w:t xml:space="preserve"> specification prior to advert, access to Customer Authority Lead for queries, and provide reasonable notice of meetings. </w:t>
      </w:r>
    </w:p>
    <w:p w14:paraId="203EC2B6" w14:textId="77777777" w:rsidR="00671798" w:rsidRDefault="00FE18AC" w:rsidP="007B6ED4">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22" w:name="_Toc513023126"/>
      <w:r w:rsidRPr="00BE6EE0">
        <w:rPr>
          <w:rFonts w:cs="Arial"/>
          <w:szCs w:val="22"/>
        </w:rPr>
        <w:t>reporting</w:t>
      </w:r>
      <w:bookmarkEnd w:id="21"/>
      <w:bookmarkEnd w:id="22"/>
    </w:p>
    <w:p w14:paraId="22C08F65" w14:textId="529961FB" w:rsidR="00671798" w:rsidRPr="00B87ACC" w:rsidRDefault="00B87ACC" w:rsidP="007B6ED4">
      <w:pPr>
        <w:pStyle w:val="Heading2"/>
        <w:tabs>
          <w:tab w:val="clear" w:pos="720"/>
          <w:tab w:val="num" w:pos="709"/>
        </w:tabs>
        <w:spacing w:after="120"/>
        <w:ind w:left="709" w:hanging="709"/>
        <w:jc w:val="left"/>
      </w:pPr>
      <w:r w:rsidRPr="00B87ACC">
        <w:t xml:space="preserve">The Successful Supplier will </w:t>
      </w:r>
      <w:r w:rsidR="00CE4507" w:rsidRPr="00B87ACC">
        <w:t>provide</w:t>
      </w:r>
      <w:r w:rsidRPr="00B87ACC">
        <w:t xml:space="preserve"> regular reporting on progress to the Authority as agreed upon contract award. This may include formal oral weekly updates alongside appropriate metrics.</w:t>
      </w:r>
    </w:p>
    <w:p w14:paraId="5049CFE9" w14:textId="77777777" w:rsidR="00FE18AC" w:rsidRPr="00BE6EE0" w:rsidRDefault="00FE18AC" w:rsidP="007B6ED4">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23" w:name="_Toc368573034"/>
      <w:bookmarkStart w:id="24" w:name="_Toc513023127"/>
      <w:r w:rsidRPr="00BE6EE0">
        <w:rPr>
          <w:rFonts w:cs="Arial"/>
          <w:szCs w:val="22"/>
        </w:rPr>
        <w:t>volumes</w:t>
      </w:r>
      <w:bookmarkEnd w:id="23"/>
      <w:bookmarkEnd w:id="24"/>
    </w:p>
    <w:p w14:paraId="6A9302C8" w14:textId="1CE80769" w:rsidR="00355D15" w:rsidRPr="00B87ACC" w:rsidRDefault="00F5102B" w:rsidP="007B6ED4">
      <w:pPr>
        <w:pStyle w:val="Heading2"/>
        <w:tabs>
          <w:tab w:val="clear" w:pos="720"/>
          <w:tab w:val="num" w:pos="709"/>
        </w:tabs>
        <w:spacing w:after="120"/>
        <w:ind w:left="709" w:hanging="709"/>
        <w:jc w:val="left"/>
      </w:pPr>
      <w:r>
        <w:t xml:space="preserve">Not applicable. </w:t>
      </w:r>
    </w:p>
    <w:p w14:paraId="0C1E78CC" w14:textId="77777777" w:rsidR="00FE18AC" w:rsidRPr="00BE6EE0" w:rsidRDefault="00FE18AC" w:rsidP="007B6ED4">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25" w:name="_Toc368573035"/>
      <w:bookmarkStart w:id="26" w:name="_Toc513023128"/>
      <w:r w:rsidRPr="00BE6EE0">
        <w:rPr>
          <w:rFonts w:cs="Arial"/>
          <w:szCs w:val="22"/>
        </w:rPr>
        <w:t>continuous improvement</w:t>
      </w:r>
      <w:bookmarkEnd w:id="25"/>
      <w:bookmarkEnd w:id="26"/>
    </w:p>
    <w:p w14:paraId="51134532" w14:textId="64DE3C59" w:rsidR="00AB0C05" w:rsidRDefault="00F5102B" w:rsidP="007B6ED4">
      <w:pPr>
        <w:pStyle w:val="Heading2"/>
        <w:spacing w:after="120"/>
        <w:ind w:left="709" w:hanging="709"/>
        <w:jc w:val="left"/>
      </w:pPr>
      <w:r>
        <w:t xml:space="preserve">Not applicable. </w:t>
      </w:r>
    </w:p>
    <w:p w14:paraId="6935BEF5" w14:textId="72695746" w:rsidR="00AB0C05" w:rsidRDefault="004E78BC" w:rsidP="007B6ED4">
      <w:pPr>
        <w:pStyle w:val="Heading1"/>
        <w:jc w:val="left"/>
      </w:pPr>
      <w:bookmarkStart w:id="27" w:name="_Toc513023129"/>
      <w:r>
        <w:t>Sustainability</w:t>
      </w:r>
      <w:bookmarkEnd w:id="27"/>
    </w:p>
    <w:p w14:paraId="4E46011B" w14:textId="1CFF3A11" w:rsidR="00F5102B" w:rsidRPr="00B87ACC" w:rsidRDefault="00F5102B" w:rsidP="007B6ED4">
      <w:pPr>
        <w:pStyle w:val="Heading2"/>
        <w:spacing w:after="120"/>
        <w:ind w:left="709" w:hanging="709"/>
        <w:jc w:val="left"/>
      </w:pPr>
      <w:r>
        <w:t xml:space="preserve">Not applicable. </w:t>
      </w:r>
    </w:p>
    <w:p w14:paraId="1114BE17" w14:textId="77777777" w:rsidR="00FE18AC" w:rsidRPr="00517FEF" w:rsidRDefault="00FE18AC" w:rsidP="007B6ED4">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28" w:name="_Toc368573036"/>
      <w:bookmarkStart w:id="29" w:name="_Toc513023130"/>
      <w:r w:rsidRPr="00517FEF">
        <w:rPr>
          <w:rFonts w:cs="Arial"/>
          <w:szCs w:val="22"/>
        </w:rPr>
        <w:t>quality</w:t>
      </w:r>
      <w:bookmarkEnd w:id="28"/>
      <w:bookmarkEnd w:id="29"/>
    </w:p>
    <w:p w14:paraId="6A2A4C53" w14:textId="6BFE91AA" w:rsidR="00AB0C05" w:rsidRPr="00B87ACC" w:rsidRDefault="00B87ACC" w:rsidP="007B6ED4">
      <w:pPr>
        <w:pStyle w:val="Heading2"/>
        <w:tabs>
          <w:tab w:val="clear" w:pos="720"/>
          <w:tab w:val="num" w:pos="709"/>
        </w:tabs>
        <w:spacing w:after="120"/>
        <w:ind w:left="709" w:hanging="709"/>
        <w:jc w:val="left"/>
      </w:pPr>
      <w:r w:rsidRPr="00B87ACC">
        <w:t>The Successful Supplier will ensure that feedback provided on content / design or delivery of the service is reflected in the way that the contract is delivered.</w:t>
      </w:r>
    </w:p>
    <w:p w14:paraId="533C7A5A" w14:textId="77777777" w:rsidR="00FE18AC" w:rsidRPr="00BE6EE0" w:rsidRDefault="00FE18AC" w:rsidP="007B6ED4">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30" w:name="_Toc368573037"/>
      <w:bookmarkStart w:id="31" w:name="_Toc513023131"/>
      <w:r w:rsidRPr="00BE6EE0">
        <w:rPr>
          <w:rFonts w:cs="Arial"/>
          <w:szCs w:val="22"/>
        </w:rPr>
        <w:t>PRICE</w:t>
      </w:r>
      <w:bookmarkEnd w:id="30"/>
      <w:bookmarkEnd w:id="31"/>
    </w:p>
    <w:p w14:paraId="41617392" w14:textId="77777777" w:rsidR="007B6ED4" w:rsidRDefault="00AB0C05" w:rsidP="007B6ED4">
      <w:pPr>
        <w:pStyle w:val="Heading2"/>
        <w:spacing w:after="120"/>
        <w:ind w:left="709" w:hanging="709"/>
        <w:jc w:val="left"/>
      </w:pPr>
      <w:r w:rsidRPr="00B87ACC">
        <w:t xml:space="preserve">Potential providers should </w:t>
      </w:r>
      <w:r w:rsidR="00DF1DD4" w:rsidRPr="00B87ACC">
        <w:t>provide fee quotation</w:t>
      </w:r>
      <w:r w:rsidR="00CE4507">
        <w:t>s</w:t>
      </w:r>
      <w:r w:rsidR="00DF1DD4" w:rsidRPr="00B87ACC">
        <w:t xml:space="preserve"> split</w:t>
      </w:r>
      <w:r w:rsidR="007B6ED4">
        <w:t xml:space="preserve"> into two elements:</w:t>
      </w:r>
    </w:p>
    <w:p w14:paraId="177E3C12" w14:textId="2B18B651" w:rsidR="007B6ED4" w:rsidRDefault="007B6ED4" w:rsidP="007B6ED4">
      <w:pPr>
        <w:pStyle w:val="Heading3"/>
        <w:jc w:val="left"/>
      </w:pPr>
      <w:r w:rsidRPr="00B87ACC">
        <w:t>Cost</w:t>
      </w:r>
      <w:r w:rsidR="00AB0C05" w:rsidRPr="00B87ACC">
        <w:t xml:space="preserve"> for undertaking the search </w:t>
      </w:r>
      <w:r w:rsidR="00CE4507">
        <w:t xml:space="preserve">and </w:t>
      </w:r>
      <w:r w:rsidR="00F841C4">
        <w:t>selection process;</w:t>
      </w:r>
      <w:r>
        <w:t xml:space="preserve"> and </w:t>
      </w:r>
    </w:p>
    <w:p w14:paraId="72CD8250" w14:textId="19531F94" w:rsidR="00AB0C05" w:rsidRPr="00B87ACC" w:rsidRDefault="007B6ED4" w:rsidP="007B6ED4">
      <w:pPr>
        <w:pStyle w:val="Heading3"/>
        <w:jc w:val="left"/>
      </w:pPr>
      <w:r>
        <w:t>A success fee - on the basis</w:t>
      </w:r>
      <w:r w:rsidR="00AB0C05" w:rsidRPr="00B87ACC">
        <w:t xml:space="preserve"> </w:t>
      </w:r>
      <w:r>
        <w:t>it</w:t>
      </w:r>
      <w:r w:rsidR="00AB0C05" w:rsidRPr="00B87ACC">
        <w:t xml:space="preserve"> </w:t>
      </w:r>
      <w:r>
        <w:t>will</w:t>
      </w:r>
      <w:r w:rsidR="00AB0C05" w:rsidRPr="00B87ACC">
        <w:t xml:space="preserve"> only be payable if Ministers agree to appoint a candidate </w:t>
      </w:r>
      <w:r w:rsidR="00CE4507">
        <w:t>included in the search and selection process</w:t>
      </w:r>
      <w:r w:rsidR="00F841C4">
        <w:t xml:space="preserve">, and said </w:t>
      </w:r>
      <w:r w:rsidR="00AC0DB7">
        <w:t xml:space="preserve">Candidate </w:t>
      </w:r>
      <w:r w:rsidR="00F841C4">
        <w:t>accepts and takes up</w:t>
      </w:r>
      <w:r w:rsidR="00AC0DB7">
        <w:t xml:space="preserve"> the post. </w:t>
      </w:r>
    </w:p>
    <w:p w14:paraId="645D51EC" w14:textId="7143AA06" w:rsidR="00671798" w:rsidRDefault="00FE18AC" w:rsidP="007B6ED4">
      <w:pPr>
        <w:pStyle w:val="Heading2"/>
        <w:tabs>
          <w:tab w:val="clear" w:pos="720"/>
          <w:tab w:val="num" w:pos="709"/>
        </w:tabs>
        <w:spacing w:after="120"/>
        <w:ind w:left="709" w:hanging="709"/>
        <w:jc w:val="left"/>
      </w:pPr>
      <w:r w:rsidRPr="00B87ACC">
        <w:t>Prices are to be submitted via the</w:t>
      </w:r>
      <w:r w:rsidR="00B87ACC" w:rsidRPr="00B87ACC">
        <w:t xml:space="preserve"> </w:t>
      </w:r>
      <w:r w:rsidR="005D1196" w:rsidRPr="00477D23">
        <w:t>Appendix E</w:t>
      </w:r>
      <w:r w:rsidRPr="00B87ACC">
        <w:t xml:space="preserve"> excluding</w:t>
      </w:r>
      <w:r>
        <w:t xml:space="preserve"> VAT</w:t>
      </w:r>
      <w:r w:rsidR="00AE3C65">
        <w:t>.</w:t>
      </w:r>
    </w:p>
    <w:p w14:paraId="6B1CA851" w14:textId="77777777" w:rsidR="00FE18AC" w:rsidRPr="00BE6EE0" w:rsidRDefault="00FE18AC" w:rsidP="007B6ED4">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32" w:name="_Toc368573038"/>
      <w:bookmarkStart w:id="33" w:name="_Toc513023132"/>
      <w:r w:rsidRPr="00BE6EE0">
        <w:rPr>
          <w:rFonts w:cs="Arial"/>
          <w:szCs w:val="22"/>
        </w:rPr>
        <w:t>STAFF AND CUSTOMER SERVICE</w:t>
      </w:r>
      <w:bookmarkEnd w:id="32"/>
      <w:bookmarkEnd w:id="33"/>
    </w:p>
    <w:p w14:paraId="473FF9D3" w14:textId="1573D582" w:rsidR="00671798" w:rsidRDefault="00FE18AC" w:rsidP="007B6ED4">
      <w:pPr>
        <w:pStyle w:val="Heading2"/>
        <w:tabs>
          <w:tab w:val="clear" w:pos="720"/>
          <w:tab w:val="num" w:pos="709"/>
        </w:tabs>
        <w:spacing w:after="120"/>
        <w:ind w:left="709" w:hanging="709"/>
        <w:jc w:val="left"/>
      </w:pPr>
      <w:r w:rsidRPr="002E7082">
        <w:t>The</w:t>
      </w:r>
      <w:r>
        <w:t xml:space="preserve"> </w:t>
      </w:r>
      <w:r w:rsidRPr="002E7082">
        <w:t xml:space="preserve">Authority requires the </w:t>
      </w:r>
      <w:r w:rsidR="00C56B50">
        <w:t>Successful Supplier</w:t>
      </w:r>
      <w:r w:rsidRPr="002E7082">
        <w:t xml:space="preserve"> to</w:t>
      </w:r>
      <w:r>
        <w:t xml:space="preserve"> provide a sufficient level of resource throughout the duration of the </w:t>
      </w:r>
      <w:r w:rsidR="00D048A0" w:rsidRPr="00C56B50">
        <w:t>RML Chair Executive Search</w:t>
      </w:r>
      <w:r>
        <w:t xml:space="preserve"> Contract in order to consistently deliver a quality service to all Parties.</w:t>
      </w:r>
    </w:p>
    <w:p w14:paraId="7C5FF49B" w14:textId="69E2E86C" w:rsidR="00671798" w:rsidRDefault="00C56B50" w:rsidP="007B6ED4">
      <w:pPr>
        <w:pStyle w:val="Heading2"/>
        <w:tabs>
          <w:tab w:val="clear" w:pos="720"/>
          <w:tab w:val="num" w:pos="709"/>
        </w:tabs>
        <w:spacing w:after="120"/>
        <w:ind w:left="709" w:hanging="709"/>
        <w:jc w:val="left"/>
      </w:pPr>
      <w:r>
        <w:t>Successful Supplier</w:t>
      </w:r>
      <w:r w:rsidR="00FE18AC">
        <w:t xml:space="preserve">’s staff assigned to the </w:t>
      </w:r>
      <w:r w:rsidR="00D048A0" w:rsidRPr="00C56B50">
        <w:t>RML Chair Executive Search</w:t>
      </w:r>
      <w:r w:rsidR="00FE18AC">
        <w:t xml:space="preserve"> Contract</w:t>
      </w:r>
      <w:r w:rsidR="00FE18AC" w:rsidRPr="002E7082">
        <w:t xml:space="preserve"> </w:t>
      </w:r>
      <w:r w:rsidR="00FE18AC">
        <w:t xml:space="preserve">shall have </w:t>
      </w:r>
      <w:r w:rsidR="00E63412">
        <w:t xml:space="preserve">the </w:t>
      </w:r>
      <w:r w:rsidR="00FE18AC" w:rsidRPr="002E7082">
        <w:t>relevant qualifications and experience to deliver</w:t>
      </w:r>
      <w:r w:rsidR="00E63412">
        <w:t xml:space="preserve"> the</w:t>
      </w:r>
      <w:r w:rsidR="00FE18AC" w:rsidRPr="002E7082">
        <w:t xml:space="preserve"> Contract. </w:t>
      </w:r>
    </w:p>
    <w:p w14:paraId="0837E02A" w14:textId="18E22188" w:rsidR="00671798" w:rsidRDefault="00F841C4" w:rsidP="007B6ED4">
      <w:pPr>
        <w:pStyle w:val="Heading2"/>
        <w:tabs>
          <w:tab w:val="clear" w:pos="720"/>
          <w:tab w:val="num" w:pos="709"/>
        </w:tabs>
        <w:spacing w:after="120"/>
        <w:ind w:left="709" w:hanging="709"/>
        <w:jc w:val="left"/>
      </w:pPr>
      <w:r>
        <w:t>The Successful Supplier</w:t>
      </w:r>
      <w:r w:rsidR="00FE18AC" w:rsidRPr="002E7082">
        <w:t xml:space="preserve"> shall ensure that </w:t>
      </w:r>
      <w:r w:rsidR="00FE18AC">
        <w:t>staff understand</w:t>
      </w:r>
      <w:r w:rsidR="00FE18AC" w:rsidRPr="002E7082">
        <w:t xml:space="preserve"> the</w:t>
      </w:r>
      <w:r w:rsidR="00FE18AC">
        <w:t xml:space="preserve"> </w:t>
      </w:r>
      <w:r w:rsidR="00FE18AC" w:rsidRPr="002E7082">
        <w:t>Authority’s vi</w:t>
      </w:r>
      <w:r w:rsidR="00FE18AC">
        <w:t xml:space="preserve">sion and objectives and </w:t>
      </w:r>
      <w:r w:rsidR="00E63412">
        <w:t xml:space="preserve">will </w:t>
      </w:r>
      <w:r w:rsidR="00FE18AC">
        <w:t>provide</w:t>
      </w:r>
      <w:r w:rsidR="00FE18AC" w:rsidRPr="002E7082">
        <w:t xml:space="preserve"> excellent customer service to the Authority throughout </w:t>
      </w:r>
      <w:r w:rsidR="00FE18AC">
        <w:t>the duration of the Contract.</w:t>
      </w:r>
      <w:r w:rsidR="00FE18AC" w:rsidRPr="002E7082">
        <w:t xml:space="preserve"> </w:t>
      </w:r>
      <w:r w:rsidR="00FE18AC">
        <w:t xml:space="preserve"> </w:t>
      </w:r>
    </w:p>
    <w:p w14:paraId="629F567D" w14:textId="77777777" w:rsidR="00FE18AC" w:rsidRDefault="00FE18AC" w:rsidP="007B6ED4">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34" w:name="_Toc368573039"/>
      <w:bookmarkStart w:id="35" w:name="_Toc513023133"/>
      <w:r w:rsidRPr="004E1D36">
        <w:rPr>
          <w:rFonts w:cs="Arial"/>
          <w:szCs w:val="22"/>
        </w:rPr>
        <w:t>service levels a</w:t>
      </w:r>
      <w:r>
        <w:rPr>
          <w:rFonts w:cs="Arial"/>
          <w:szCs w:val="22"/>
        </w:rPr>
        <w:t>nd performance</w:t>
      </w:r>
      <w:bookmarkEnd w:id="34"/>
      <w:bookmarkEnd w:id="35"/>
    </w:p>
    <w:p w14:paraId="789B15A4" w14:textId="6B42EA76" w:rsidR="0081061A" w:rsidRPr="00962152" w:rsidRDefault="00F5102B" w:rsidP="007B6ED4">
      <w:pPr>
        <w:pStyle w:val="Heading2"/>
        <w:jc w:val="left"/>
      </w:pPr>
      <w:bookmarkStart w:id="36" w:name="_Toc368573040"/>
      <w:r>
        <w:t xml:space="preserve">The Authority requires as a minimum that the Successful Supplier </w:t>
      </w:r>
      <w:r w:rsidR="000C738F">
        <w:t>must</w:t>
      </w:r>
      <w:r>
        <w:t xml:space="preserve"> meet the Key Milestones, as identified in Section 7 – Key Milestones.  </w:t>
      </w:r>
    </w:p>
    <w:p w14:paraId="3F767EF8" w14:textId="77777777" w:rsidR="00671798" w:rsidRPr="00962152" w:rsidRDefault="00FE18AC" w:rsidP="007B6ED4">
      <w:pPr>
        <w:pStyle w:val="Heading1"/>
        <w:spacing w:after="120"/>
        <w:jc w:val="left"/>
      </w:pPr>
      <w:bookmarkStart w:id="37" w:name="_Toc513023134"/>
      <w:r w:rsidRPr="00962152">
        <w:lastRenderedPageBreak/>
        <w:t>Security requirements</w:t>
      </w:r>
      <w:bookmarkEnd w:id="36"/>
      <w:bookmarkEnd w:id="37"/>
    </w:p>
    <w:p w14:paraId="3FF1BF98" w14:textId="261E5EC1" w:rsidR="00671798" w:rsidRDefault="00CE4507" w:rsidP="007B6ED4">
      <w:pPr>
        <w:pStyle w:val="Heading2"/>
        <w:spacing w:after="120"/>
        <w:ind w:left="709" w:hanging="709"/>
        <w:jc w:val="left"/>
      </w:pPr>
      <w:r w:rsidRPr="00962152">
        <w:t xml:space="preserve">The successful supplier </w:t>
      </w:r>
      <w:r w:rsidR="00B75930" w:rsidRPr="00962152">
        <w:t>will need to comply with the technical requirements prescribed by “Cyber Essentials”. Furt</w:t>
      </w:r>
      <w:r w:rsidR="004507ED">
        <w:t>her information is provided in Appendix D</w:t>
      </w:r>
      <w:r w:rsidR="00B75930" w:rsidRPr="00962152">
        <w:t xml:space="preserve"> which sets out the evaluation criteria that will be employed by the Authority to assess compliance.</w:t>
      </w:r>
      <w:r w:rsidRPr="00962152">
        <w:t xml:space="preserve"> </w:t>
      </w:r>
    </w:p>
    <w:p w14:paraId="53883DD9" w14:textId="0CC030A2" w:rsidR="00606CEF" w:rsidRPr="00962152" w:rsidRDefault="00606CEF" w:rsidP="003F6A50">
      <w:pPr>
        <w:pStyle w:val="Heading2"/>
        <w:spacing w:after="120"/>
        <w:ind w:left="709" w:hanging="709"/>
        <w:jc w:val="left"/>
      </w:pPr>
      <w:r>
        <w:t>The Supplie</w:t>
      </w:r>
      <w:r w:rsidR="00F841C4">
        <w:t>r shall be responsible for the security of its s</w:t>
      </w:r>
      <w:r>
        <w:t>ystems used to deliver this Requirement and shall a</w:t>
      </w:r>
      <w:r w:rsidR="00F841C4">
        <w:t>t all times provide a level of s</w:t>
      </w:r>
      <w:r>
        <w:t>ecurity which</w:t>
      </w:r>
      <w:r w:rsidR="009F6DB7">
        <w:t xml:space="preserve"> i</w:t>
      </w:r>
      <w:r>
        <w:t xml:space="preserve">s in accordance with Good Industry Practice and Law including Regulation (EU) 2016/679 (General Data Protection Regulation). </w:t>
      </w:r>
    </w:p>
    <w:p w14:paraId="24C5F5E0" w14:textId="77777777" w:rsidR="00183DAF" w:rsidRPr="00962152" w:rsidRDefault="00FE18AC" w:rsidP="007B6ED4">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38" w:name="_Toc368573041"/>
      <w:bookmarkStart w:id="39" w:name="_Toc513023135"/>
      <w:r w:rsidRPr="00962152">
        <w:rPr>
          <w:rFonts w:cs="Arial"/>
          <w:szCs w:val="22"/>
        </w:rPr>
        <w:t>intellectual property rights (ipr)</w:t>
      </w:r>
      <w:bookmarkEnd w:id="38"/>
      <w:bookmarkEnd w:id="39"/>
    </w:p>
    <w:p w14:paraId="1EB21656" w14:textId="0BF9AD84" w:rsidR="00D048A0" w:rsidRPr="000C738F" w:rsidRDefault="00C56B50" w:rsidP="007B6ED4">
      <w:pPr>
        <w:pStyle w:val="Heading2"/>
        <w:jc w:val="left"/>
        <w:rPr>
          <w:rFonts w:cs="Arial"/>
          <w:szCs w:val="22"/>
        </w:rPr>
      </w:pPr>
      <w:r w:rsidRPr="00962152">
        <w:t xml:space="preserve">As per the terms of the </w:t>
      </w:r>
      <w:r w:rsidR="000C738F">
        <w:t>C</w:t>
      </w:r>
      <w:r w:rsidRPr="00962152">
        <w:t>ontract.</w:t>
      </w:r>
    </w:p>
    <w:p w14:paraId="65283656" w14:textId="2FA53B3D" w:rsidR="0081061A" w:rsidRPr="00874062" w:rsidRDefault="0081061A" w:rsidP="007B6ED4">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40" w:name="_Toc513023136"/>
      <w:bookmarkStart w:id="41" w:name="_Toc368573042"/>
      <w:r w:rsidRPr="00874062">
        <w:rPr>
          <w:rFonts w:cs="Arial"/>
          <w:szCs w:val="22"/>
        </w:rPr>
        <w:t>payment</w:t>
      </w:r>
      <w:bookmarkEnd w:id="40"/>
    </w:p>
    <w:p w14:paraId="230A7344" w14:textId="78828BAA" w:rsidR="00D048A0" w:rsidRPr="00C56B50" w:rsidRDefault="00D048A0" w:rsidP="007B6ED4">
      <w:pPr>
        <w:pStyle w:val="Heading2"/>
        <w:jc w:val="left"/>
      </w:pPr>
      <w:r w:rsidRPr="00C56B50">
        <w:t xml:space="preserve">Invoices should be addressed to </w:t>
      </w:r>
      <w:r w:rsidR="00C56B50" w:rsidRPr="00C56B50">
        <w:t>UKGI Finance Team</w:t>
      </w:r>
      <w:r w:rsidRPr="00C56B50">
        <w:t>, UK</w:t>
      </w:r>
      <w:r w:rsidR="00C56B50" w:rsidRPr="00C56B50">
        <w:t xml:space="preserve"> </w:t>
      </w:r>
      <w:r w:rsidRPr="00C56B50">
        <w:t>G</w:t>
      </w:r>
      <w:r w:rsidR="00C56B50" w:rsidRPr="00C56B50">
        <w:t xml:space="preserve">overnment </w:t>
      </w:r>
      <w:r w:rsidRPr="00C56B50">
        <w:t>I</w:t>
      </w:r>
      <w:r w:rsidR="00C56B50" w:rsidRPr="00C56B50">
        <w:t>nvestments</w:t>
      </w:r>
      <w:r w:rsidRPr="00C56B50">
        <w:t>, 1 Victoria Street, London, SW1H</w:t>
      </w:r>
      <w:r w:rsidR="00C56B50" w:rsidRPr="00C56B50">
        <w:t xml:space="preserve"> </w:t>
      </w:r>
      <w:r w:rsidRPr="00C56B50">
        <w:t>0ET</w:t>
      </w:r>
      <w:r w:rsidR="00C56B50" w:rsidRPr="00C56B50">
        <w:t>, with a soft co</w:t>
      </w:r>
      <w:r w:rsidR="00B75930">
        <w:t>p</w:t>
      </w:r>
      <w:r w:rsidR="00C56B50" w:rsidRPr="00C56B50">
        <w:t>y sent to</w:t>
      </w:r>
      <w:r w:rsidR="000C738F">
        <w:t>:</w:t>
      </w:r>
      <w:r w:rsidR="00C56B50" w:rsidRPr="00C56B50">
        <w:t xml:space="preserve"> </w:t>
      </w:r>
      <w:hyperlink r:id="rId8" w:history="1">
        <w:r w:rsidR="00C56B50" w:rsidRPr="00C56B50">
          <w:rPr>
            <w:rStyle w:val="Hyperlink"/>
          </w:rPr>
          <w:t>UKGIFinance@ukgi.org.uk</w:t>
        </w:r>
      </w:hyperlink>
      <w:r w:rsidR="00C56B50" w:rsidRPr="00C56B50">
        <w:t>.</w:t>
      </w:r>
    </w:p>
    <w:p w14:paraId="042CA45C" w14:textId="2D472FAD" w:rsidR="00331523" w:rsidRPr="00477D23" w:rsidRDefault="0036555C" w:rsidP="007B6ED4">
      <w:pPr>
        <w:pStyle w:val="Heading2"/>
        <w:jc w:val="left"/>
      </w:pPr>
      <w:r w:rsidRPr="00477D23">
        <w:rPr>
          <w:color w:val="000000"/>
          <w:shd w:val="clear" w:color="auto" w:fill="FFFFFF"/>
        </w:rPr>
        <w:t xml:space="preserve">Payment can only be made following satisfactory delivery of pre-agreed deliverables. </w:t>
      </w:r>
    </w:p>
    <w:p w14:paraId="28B41D85" w14:textId="1EFCD86A" w:rsidR="0036555C" w:rsidRPr="00477D23" w:rsidRDefault="0036555C" w:rsidP="007B6ED4">
      <w:pPr>
        <w:pStyle w:val="Heading2"/>
        <w:jc w:val="left"/>
      </w:pPr>
      <w:r w:rsidRPr="00477D23">
        <w:rPr>
          <w:color w:val="000000"/>
          <w:shd w:val="clear" w:color="auto" w:fill="FFFFFF"/>
        </w:rPr>
        <w:t xml:space="preserve">Before payment can be considered, each invoice must include a detailed breakdown of work completed and the associated costs. </w:t>
      </w:r>
    </w:p>
    <w:p w14:paraId="08D719EC" w14:textId="77777777" w:rsidR="00FE18AC" w:rsidRDefault="00FE18AC" w:rsidP="007B6ED4">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42" w:name="_Toc513023137"/>
      <w:r>
        <w:rPr>
          <w:rFonts w:cs="Arial"/>
          <w:szCs w:val="22"/>
        </w:rPr>
        <w:t>additional information</w:t>
      </w:r>
      <w:bookmarkEnd w:id="41"/>
      <w:bookmarkEnd w:id="42"/>
      <w:r>
        <w:rPr>
          <w:rFonts w:cs="Arial"/>
          <w:szCs w:val="22"/>
        </w:rPr>
        <w:t xml:space="preserve"> </w:t>
      </w:r>
    </w:p>
    <w:p w14:paraId="1CB59AC0" w14:textId="650728CE" w:rsidR="009F6DB7" w:rsidRDefault="000C738F" w:rsidP="007B6ED4">
      <w:pPr>
        <w:pStyle w:val="Heading2"/>
        <w:jc w:val="left"/>
        <w:rPr>
          <w:rFonts w:cs="Arial"/>
          <w:color w:val="000000"/>
          <w:szCs w:val="22"/>
          <w:shd w:val="clear" w:color="auto" w:fill="FFFFFF"/>
        </w:rPr>
      </w:pPr>
      <w:r>
        <w:rPr>
          <w:rFonts w:cs="Arial"/>
          <w:color w:val="000000"/>
          <w:szCs w:val="22"/>
          <w:shd w:val="clear" w:color="auto" w:fill="FFFFFF"/>
        </w:rPr>
        <w:t>The Successful S</w:t>
      </w:r>
      <w:r w:rsidR="00B75930" w:rsidRPr="00962152">
        <w:rPr>
          <w:rFonts w:cs="Arial"/>
          <w:color w:val="000000"/>
          <w:szCs w:val="22"/>
          <w:shd w:val="clear" w:color="auto" w:fill="FFFFFF"/>
        </w:rPr>
        <w:t>upplier will need to share information with the Authority in a secure way, ensure that appropriate physical security measures are in place to protect the Authority’s data, ensure compliance with the Data Protection Act 1998 and are expected to be compliant with the General Data Protection Regulations (GDPR).</w:t>
      </w:r>
    </w:p>
    <w:p w14:paraId="2B84C6B6" w14:textId="025B5788" w:rsidR="00CE4507" w:rsidRPr="00962152" w:rsidRDefault="009F6DB7" w:rsidP="007B6ED4">
      <w:pPr>
        <w:pStyle w:val="Heading2"/>
        <w:jc w:val="left"/>
        <w:rPr>
          <w:rFonts w:cs="Arial"/>
          <w:color w:val="000000"/>
          <w:szCs w:val="22"/>
          <w:shd w:val="clear" w:color="auto" w:fill="FFFFFF"/>
        </w:rPr>
      </w:pPr>
      <w:r>
        <w:rPr>
          <w:rFonts w:cs="Arial"/>
          <w:color w:val="000000"/>
          <w:szCs w:val="22"/>
          <w:shd w:val="clear" w:color="auto" w:fill="FFFFFF"/>
        </w:rPr>
        <w:t xml:space="preserve">Details of the Controller and Processor roles are set out in </w:t>
      </w:r>
      <w:r w:rsidR="002C038E">
        <w:rPr>
          <w:rFonts w:cs="Arial"/>
          <w:color w:val="000000"/>
          <w:szCs w:val="22"/>
          <w:shd w:val="clear" w:color="auto" w:fill="FFFFFF"/>
        </w:rPr>
        <w:t>Schedule 1</w:t>
      </w:r>
      <w:bookmarkStart w:id="43" w:name="_GoBack"/>
      <w:bookmarkEnd w:id="43"/>
      <w:r>
        <w:rPr>
          <w:rFonts w:cs="Arial"/>
          <w:color w:val="000000"/>
          <w:szCs w:val="22"/>
          <w:shd w:val="clear" w:color="auto" w:fill="FFFFFF"/>
        </w:rPr>
        <w:t xml:space="preserve"> of Appendix C – Terms and Conditions.</w:t>
      </w:r>
    </w:p>
    <w:p w14:paraId="04BBE808" w14:textId="77777777" w:rsidR="00671798" w:rsidRDefault="00FE18AC" w:rsidP="007B6ED4">
      <w:pPr>
        <w:pStyle w:val="Heading1"/>
        <w:spacing w:after="120"/>
        <w:jc w:val="left"/>
      </w:pPr>
      <w:bookmarkStart w:id="44" w:name="_Toc368573043"/>
      <w:bookmarkStart w:id="45" w:name="_Toc513023138"/>
      <w:bookmarkEnd w:id="19"/>
      <w:r>
        <w:t>Location</w:t>
      </w:r>
      <w:bookmarkEnd w:id="44"/>
      <w:bookmarkEnd w:id="45"/>
      <w:r>
        <w:t xml:space="preserve"> </w:t>
      </w:r>
    </w:p>
    <w:p w14:paraId="37C13A5F" w14:textId="1774D7AB" w:rsidR="00671798" w:rsidRDefault="00FE18AC" w:rsidP="007B6ED4">
      <w:pPr>
        <w:pStyle w:val="Heading2"/>
        <w:tabs>
          <w:tab w:val="clear" w:pos="720"/>
          <w:tab w:val="num" w:pos="709"/>
        </w:tabs>
        <w:spacing w:after="120"/>
        <w:ind w:left="709" w:hanging="709"/>
        <w:jc w:val="left"/>
      </w:pPr>
      <w:r>
        <w:t xml:space="preserve">The </w:t>
      </w:r>
      <w:r w:rsidR="000C738F">
        <w:t>L</w:t>
      </w:r>
      <w:r>
        <w:t xml:space="preserve">ocation of the Services will be carried out at </w:t>
      </w:r>
      <w:r w:rsidR="00C56B50">
        <w:t>the Successful Supplier’s premises, with meetings held across government estate in London as needed.</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35CD56B7" w14:textId="77777777" w:rsidR="002F7AA1" w:rsidRDefault="002F7AA1" w:rsidP="002F7AA1">
      <w:pPr>
        <w:pStyle w:val="Heading1"/>
        <w:numPr>
          <w:ilvl w:val="0"/>
          <w:numId w:val="0"/>
        </w:numPr>
        <w:ind w:left="720" w:hanging="720"/>
        <w:jc w:val="center"/>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D0F69" w14:textId="77777777" w:rsidR="006208B9" w:rsidRDefault="006208B9">
      <w:pPr>
        <w:spacing w:line="20" w:lineRule="exact"/>
      </w:pPr>
    </w:p>
  </w:endnote>
  <w:endnote w:type="continuationSeparator" w:id="0">
    <w:p w14:paraId="7DED040E" w14:textId="77777777" w:rsidR="006208B9" w:rsidRDefault="006208B9">
      <w:pPr>
        <w:spacing w:line="20" w:lineRule="exact"/>
      </w:pPr>
      <w:r>
        <w:t xml:space="preserve"> </w:t>
      </w:r>
    </w:p>
  </w:endnote>
  <w:endnote w:type="continuationNotice" w:id="1">
    <w:p w14:paraId="0181C239" w14:textId="77777777" w:rsidR="006208B9" w:rsidRDefault="006208B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icrosoft YaHei"/>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430AE8" w:rsidRDefault="00430AE8"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651918"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430AE8" w:rsidRPr="00985B4D" w:rsidRDefault="00430AE8" w:rsidP="00985B4D">
        <w:pPr>
          <w:pStyle w:val="Footer"/>
          <w:jc w:val="center"/>
          <w:rPr>
            <w:sz w:val="20"/>
            <w:szCs w:val="20"/>
          </w:rPr>
        </w:pPr>
        <w:r w:rsidRPr="00985B4D">
          <w:rPr>
            <w:sz w:val="20"/>
            <w:szCs w:val="20"/>
          </w:rPr>
          <w:t>OFFICIAL</w:t>
        </w:r>
      </w:p>
      <w:p w14:paraId="7F67DA18" w14:textId="11B3DC9A" w:rsidR="00430AE8" w:rsidRPr="00985B4D" w:rsidRDefault="00430AE8">
        <w:pPr>
          <w:pStyle w:val="Footer"/>
          <w:rPr>
            <w:sz w:val="20"/>
            <w:szCs w:val="20"/>
          </w:rPr>
        </w:pPr>
        <w:r w:rsidRPr="00985B4D">
          <w:rPr>
            <w:sz w:val="20"/>
            <w:szCs w:val="20"/>
          </w:rPr>
          <w:t>Appendix B – Statement of Requirements</w:t>
        </w:r>
      </w:p>
      <w:p w14:paraId="5D89FCCB" w14:textId="28F76B32" w:rsidR="00430AE8" w:rsidRDefault="00430AE8">
        <w:pPr>
          <w:pStyle w:val="Footer"/>
          <w:rPr>
            <w:sz w:val="20"/>
            <w:szCs w:val="20"/>
          </w:rPr>
        </w:pPr>
        <w:r w:rsidRPr="00F5102B">
          <w:rPr>
            <w:sz w:val="20"/>
            <w:szCs w:val="20"/>
          </w:rPr>
          <w:t>Lewis J Evans</w:t>
        </w:r>
      </w:p>
      <w:p w14:paraId="1CB7D5DC" w14:textId="191B7152" w:rsidR="00430AE8" w:rsidRPr="00985B4D" w:rsidRDefault="00430AE8">
        <w:pPr>
          <w:pStyle w:val="Footer"/>
          <w:rPr>
            <w:sz w:val="20"/>
            <w:szCs w:val="20"/>
          </w:rPr>
        </w:pPr>
        <w:r>
          <w:rPr>
            <w:rFonts w:cs="Arial"/>
            <w:color w:val="222222"/>
            <w:sz w:val="19"/>
            <w:szCs w:val="19"/>
            <w:shd w:val="clear" w:color="auto" w:fill="FFFFFF"/>
          </w:rPr>
          <w:t>© Crown copyright 2016</w:t>
        </w:r>
      </w:p>
      <w:p w14:paraId="42D6E6E6" w14:textId="7C39C8EE" w:rsidR="00430AE8" w:rsidRPr="00985B4D" w:rsidRDefault="00446466" w:rsidP="00985B4D">
        <w:pPr>
          <w:pStyle w:val="Footer"/>
          <w:jc w:val="right"/>
          <w:rPr>
            <w:sz w:val="20"/>
            <w:szCs w:val="20"/>
          </w:rPr>
        </w:pPr>
        <w:r>
          <w:rPr>
            <w:sz w:val="20"/>
            <w:szCs w:val="20"/>
          </w:rPr>
          <w:t>V1.0 0</w:t>
        </w:r>
        <w:r w:rsidR="000E5398">
          <w:rPr>
            <w:sz w:val="20"/>
            <w:szCs w:val="20"/>
          </w:rPr>
          <w:t>8</w:t>
        </w:r>
        <w:r w:rsidR="00430AE8">
          <w:rPr>
            <w:sz w:val="20"/>
            <w:szCs w:val="20"/>
          </w:rPr>
          <w:t>/05/2018</w:t>
        </w:r>
      </w:p>
      <w:p w14:paraId="5214230D" w14:textId="39ED994D" w:rsidR="00430AE8" w:rsidRDefault="00430AE8"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2C038E">
          <w:rPr>
            <w:noProof/>
            <w:sz w:val="20"/>
            <w:szCs w:val="20"/>
          </w:rPr>
          <w:t>6</w:t>
        </w:r>
        <w:r w:rsidRPr="00985B4D">
          <w:rPr>
            <w:noProof/>
            <w:sz w:val="20"/>
            <w:szCs w:val="20"/>
          </w:rPr>
          <w:fldChar w:fldCharType="end"/>
        </w:r>
      </w:p>
    </w:sdtContent>
  </w:sdt>
  <w:p w14:paraId="6CEF1DBF" w14:textId="77777777" w:rsidR="00430AE8" w:rsidRPr="002933F8" w:rsidRDefault="00430AE8"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C9EB1" w14:textId="77777777" w:rsidR="006208B9" w:rsidRDefault="006208B9">
      <w:r>
        <w:separator/>
      </w:r>
    </w:p>
  </w:footnote>
  <w:footnote w:type="continuationSeparator" w:id="0">
    <w:p w14:paraId="7F188A5D" w14:textId="77777777" w:rsidR="006208B9" w:rsidRDefault="006208B9">
      <w:r>
        <w:continuationSeparator/>
      </w:r>
    </w:p>
  </w:footnote>
  <w:footnote w:type="continuationNotice" w:id="1">
    <w:p w14:paraId="520EE37C" w14:textId="77777777" w:rsidR="006208B9" w:rsidRDefault="006208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430AE8" w:rsidRPr="00F44D62" w:rsidRDefault="00430AE8"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70A5F406">
          <wp:simplePos x="0" y="0"/>
          <wp:positionH relativeFrom="column">
            <wp:posOffset>-552450</wp:posOffset>
          </wp:positionH>
          <wp:positionV relativeFrom="page">
            <wp:posOffset>142240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430AE8" w:rsidRPr="00BB00B0" w:rsidRDefault="00430AE8" w:rsidP="00985B4D">
    <w:pPr>
      <w:tabs>
        <w:tab w:val="center" w:pos="4153"/>
        <w:tab w:val="right" w:pos="8306"/>
      </w:tabs>
      <w:ind w:left="720"/>
      <w:jc w:val="center"/>
      <w:rPr>
        <w:b/>
        <w:sz w:val="20"/>
        <w:szCs w:val="20"/>
      </w:rPr>
    </w:pPr>
    <w:r w:rsidRPr="00BB00B0">
      <w:rPr>
        <w:b/>
        <w:sz w:val="20"/>
        <w:szCs w:val="20"/>
      </w:rPr>
      <w:t>Appendix B – Statement of Requirements</w:t>
    </w:r>
  </w:p>
  <w:p w14:paraId="2FFA1B3E" w14:textId="4382CD41" w:rsidR="00430AE8" w:rsidRPr="007B6ED4" w:rsidRDefault="00430AE8" w:rsidP="005334EA">
    <w:pPr>
      <w:tabs>
        <w:tab w:val="center" w:pos="4153"/>
        <w:tab w:val="right" w:pos="8306"/>
      </w:tabs>
      <w:ind w:left="720"/>
      <w:jc w:val="center"/>
      <w:rPr>
        <w:rFonts w:cs="Arial"/>
        <w:sz w:val="20"/>
        <w:szCs w:val="20"/>
      </w:rPr>
    </w:pPr>
    <w:r w:rsidRPr="007B6ED4">
      <w:rPr>
        <w:rFonts w:cs="Arial"/>
        <w:sz w:val="20"/>
        <w:szCs w:val="20"/>
      </w:rPr>
      <w:t xml:space="preserve">The Provision of </w:t>
    </w:r>
    <w:r>
      <w:rPr>
        <w:rFonts w:cs="Arial"/>
        <w:sz w:val="20"/>
        <w:szCs w:val="20"/>
      </w:rPr>
      <w:t>Royal Mint Limited (</w:t>
    </w:r>
    <w:r w:rsidRPr="007B6ED4">
      <w:rPr>
        <w:rFonts w:cs="Arial"/>
        <w:sz w:val="20"/>
        <w:szCs w:val="20"/>
      </w:rPr>
      <w:t>RML</w:t>
    </w:r>
    <w:r>
      <w:rPr>
        <w:rFonts w:cs="Arial"/>
        <w:sz w:val="20"/>
        <w:szCs w:val="20"/>
      </w:rPr>
      <w:t>)</w:t>
    </w:r>
    <w:r w:rsidRPr="007B6ED4">
      <w:rPr>
        <w:rFonts w:cs="Arial"/>
        <w:sz w:val="20"/>
        <w:szCs w:val="20"/>
      </w:rPr>
      <w:t xml:space="preserve"> Cha</w:t>
    </w:r>
    <w:r>
      <w:rPr>
        <w:rFonts w:cs="Arial"/>
        <w:sz w:val="20"/>
        <w:szCs w:val="20"/>
      </w:rPr>
      <w:t>ir Executive Search for UKGI</w:t>
    </w:r>
  </w:p>
  <w:p w14:paraId="605B3446" w14:textId="70B86E45" w:rsidR="00430AE8" w:rsidRPr="007B6ED4" w:rsidRDefault="00430AE8" w:rsidP="00F5102B">
    <w:pPr>
      <w:tabs>
        <w:tab w:val="center" w:pos="4153"/>
        <w:tab w:val="right" w:pos="8306"/>
      </w:tabs>
      <w:ind w:left="720"/>
      <w:jc w:val="center"/>
      <w:rPr>
        <w:sz w:val="20"/>
        <w:szCs w:val="20"/>
      </w:rPr>
    </w:pPr>
    <w:r w:rsidRPr="007B6ED4">
      <w:rPr>
        <w:rFonts w:cs="Arial"/>
        <w:sz w:val="20"/>
        <w:szCs w:val="20"/>
      </w:rPr>
      <w:t>Contract Reference: CCHR18A30</w:t>
    </w:r>
  </w:p>
  <w:p w14:paraId="6F1572B1" w14:textId="45CD0517" w:rsidR="00430AE8" w:rsidRPr="00074357" w:rsidRDefault="00430AE8" w:rsidP="00074357">
    <w:pPr>
      <w:pStyle w:val="Header"/>
    </w:pPr>
    <w:r w:rsidRPr="007B6ED4">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211BA6"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3C66DB"/>
    <w:multiLevelType w:val="multilevel"/>
    <w:tmpl w:val="B58897E4"/>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BE2118"/>
    <w:multiLevelType w:val="multilevel"/>
    <w:tmpl w:val="B58897E4"/>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5"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5"/>
  </w:num>
  <w:num w:numId="4">
    <w:abstractNumId w:val="16"/>
  </w:num>
  <w:num w:numId="5">
    <w:abstractNumId w:val="5"/>
  </w:num>
  <w:num w:numId="6">
    <w:abstractNumId w:val="21"/>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4"/>
  </w:num>
  <w:num w:numId="15">
    <w:abstractNumId w:val="10"/>
  </w:num>
  <w:num w:numId="16">
    <w:abstractNumId w:val="29"/>
  </w:num>
  <w:num w:numId="17">
    <w:abstractNumId w:val="9"/>
  </w:num>
  <w:num w:numId="18">
    <w:abstractNumId w:val="19"/>
  </w:num>
  <w:num w:numId="19">
    <w:abstractNumId w:val="17"/>
  </w:num>
  <w:num w:numId="20">
    <w:abstractNumId w:val="27"/>
  </w:num>
  <w:num w:numId="21">
    <w:abstractNumId w:val="13"/>
  </w:num>
  <w:num w:numId="22">
    <w:abstractNumId w:val="31"/>
  </w:num>
  <w:num w:numId="23">
    <w:abstractNumId w:val="22"/>
  </w:num>
  <w:num w:numId="24">
    <w:abstractNumId w:val="12"/>
  </w:num>
  <w:num w:numId="25">
    <w:abstractNumId w:val="30"/>
  </w:num>
  <w:num w:numId="26">
    <w:abstractNumId w:val="7"/>
  </w:num>
  <w:num w:numId="27">
    <w:abstractNumId w:val="26"/>
  </w:num>
  <w:num w:numId="28">
    <w:abstractNumId w:val="20"/>
  </w:num>
  <w:num w:numId="29">
    <w:abstractNumId w:val="3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8"/>
  </w:num>
  <w:num w:numId="34">
    <w:abstractNumId w:val="25"/>
  </w:num>
  <w:num w:numId="35">
    <w:abstractNumId w:val="25"/>
  </w:num>
  <w:num w:numId="36">
    <w:abstractNumId w:val="25"/>
  </w:num>
  <w:num w:numId="37">
    <w:abstractNumId w:val="33"/>
  </w:num>
  <w:num w:numId="38">
    <w:abstractNumId w:val="25"/>
  </w:num>
  <w:num w:numId="39">
    <w:abstractNumId w:val="25"/>
  </w:num>
  <w:num w:numId="40">
    <w:abstractNumId w:val="25"/>
  </w:num>
  <w:num w:numId="41">
    <w:abstractNumId w:val="25"/>
  </w:num>
  <w:num w:numId="42">
    <w:abstractNumId w:val="25"/>
  </w:num>
  <w:num w:numId="43">
    <w:abstractNumId w:val="25"/>
  </w:num>
  <w:num w:numId="44">
    <w:abstractNumId w:val="25"/>
  </w:num>
  <w:num w:numId="45">
    <w:abstractNumId w:val="25"/>
  </w:num>
  <w:num w:numId="46">
    <w:abstractNumId w:val="25"/>
  </w:num>
  <w:num w:numId="47">
    <w:abstractNumId w:val="25"/>
  </w:num>
  <w:num w:numId="48">
    <w:abstractNumId w:val="25"/>
  </w:num>
  <w:num w:numId="49">
    <w:abstractNumId w:val="25"/>
  </w:num>
  <w:num w:numId="5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667C"/>
    <w:rsid w:val="000A72F8"/>
    <w:rsid w:val="000B12A9"/>
    <w:rsid w:val="000B1C66"/>
    <w:rsid w:val="000B29B2"/>
    <w:rsid w:val="000B4297"/>
    <w:rsid w:val="000B4955"/>
    <w:rsid w:val="000B5C9F"/>
    <w:rsid w:val="000B7E75"/>
    <w:rsid w:val="000C1D0A"/>
    <w:rsid w:val="000C2484"/>
    <w:rsid w:val="000C2E05"/>
    <w:rsid w:val="000C68BF"/>
    <w:rsid w:val="000C6BD6"/>
    <w:rsid w:val="000C738F"/>
    <w:rsid w:val="000C7C2B"/>
    <w:rsid w:val="000D3719"/>
    <w:rsid w:val="000D4605"/>
    <w:rsid w:val="000E031B"/>
    <w:rsid w:val="000E4C53"/>
    <w:rsid w:val="000E5398"/>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2897"/>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261C"/>
    <w:rsid w:val="00183DAF"/>
    <w:rsid w:val="00183EB0"/>
    <w:rsid w:val="001842F4"/>
    <w:rsid w:val="00184673"/>
    <w:rsid w:val="001863E6"/>
    <w:rsid w:val="001866C8"/>
    <w:rsid w:val="00187512"/>
    <w:rsid w:val="0018756A"/>
    <w:rsid w:val="00193FB5"/>
    <w:rsid w:val="001962E6"/>
    <w:rsid w:val="001A1780"/>
    <w:rsid w:val="001A3C4D"/>
    <w:rsid w:val="001A7AB1"/>
    <w:rsid w:val="001B0587"/>
    <w:rsid w:val="001B2EA8"/>
    <w:rsid w:val="001B3C1C"/>
    <w:rsid w:val="001B485F"/>
    <w:rsid w:val="001B4B79"/>
    <w:rsid w:val="001B51A1"/>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49FF"/>
    <w:rsid w:val="00277524"/>
    <w:rsid w:val="00280B5B"/>
    <w:rsid w:val="002826D7"/>
    <w:rsid w:val="002848C1"/>
    <w:rsid w:val="0028697F"/>
    <w:rsid w:val="002869A7"/>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038E"/>
    <w:rsid w:val="002C1AF6"/>
    <w:rsid w:val="002C1DE8"/>
    <w:rsid w:val="002C2D54"/>
    <w:rsid w:val="002C3316"/>
    <w:rsid w:val="002C4729"/>
    <w:rsid w:val="002C519F"/>
    <w:rsid w:val="002C538F"/>
    <w:rsid w:val="002C671C"/>
    <w:rsid w:val="002C67A4"/>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25A00"/>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5D15"/>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468D"/>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60D6"/>
    <w:rsid w:val="003B74BC"/>
    <w:rsid w:val="003C0AC5"/>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3F6A50"/>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0AE8"/>
    <w:rsid w:val="004324B4"/>
    <w:rsid w:val="00433761"/>
    <w:rsid w:val="00436BB7"/>
    <w:rsid w:val="004401D5"/>
    <w:rsid w:val="00442EDE"/>
    <w:rsid w:val="00446466"/>
    <w:rsid w:val="00447F11"/>
    <w:rsid w:val="004507ED"/>
    <w:rsid w:val="004516D6"/>
    <w:rsid w:val="0045279B"/>
    <w:rsid w:val="00453EE6"/>
    <w:rsid w:val="0045425C"/>
    <w:rsid w:val="00456D72"/>
    <w:rsid w:val="00461688"/>
    <w:rsid w:val="00462365"/>
    <w:rsid w:val="00462E6A"/>
    <w:rsid w:val="00470A2A"/>
    <w:rsid w:val="004722DA"/>
    <w:rsid w:val="00476F39"/>
    <w:rsid w:val="004771C4"/>
    <w:rsid w:val="00477C7D"/>
    <w:rsid w:val="00477D23"/>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D66BA"/>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3E5E"/>
    <w:rsid w:val="005147FE"/>
    <w:rsid w:val="00515D51"/>
    <w:rsid w:val="00517904"/>
    <w:rsid w:val="0052086C"/>
    <w:rsid w:val="00522AAC"/>
    <w:rsid w:val="0052365A"/>
    <w:rsid w:val="0052487A"/>
    <w:rsid w:val="00527040"/>
    <w:rsid w:val="00531417"/>
    <w:rsid w:val="0053220D"/>
    <w:rsid w:val="005334EA"/>
    <w:rsid w:val="00533F76"/>
    <w:rsid w:val="005349B8"/>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29EC"/>
    <w:rsid w:val="005A49EA"/>
    <w:rsid w:val="005B228D"/>
    <w:rsid w:val="005B28B1"/>
    <w:rsid w:val="005B2BA5"/>
    <w:rsid w:val="005B466A"/>
    <w:rsid w:val="005B4A89"/>
    <w:rsid w:val="005C0826"/>
    <w:rsid w:val="005C2951"/>
    <w:rsid w:val="005C3B95"/>
    <w:rsid w:val="005C6291"/>
    <w:rsid w:val="005C6503"/>
    <w:rsid w:val="005D0EC5"/>
    <w:rsid w:val="005D1196"/>
    <w:rsid w:val="005D2362"/>
    <w:rsid w:val="005D699E"/>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6CEF"/>
    <w:rsid w:val="006072D7"/>
    <w:rsid w:val="00610600"/>
    <w:rsid w:val="0061104D"/>
    <w:rsid w:val="006121F2"/>
    <w:rsid w:val="00613C61"/>
    <w:rsid w:val="00616BD2"/>
    <w:rsid w:val="00617027"/>
    <w:rsid w:val="006208B9"/>
    <w:rsid w:val="006231D2"/>
    <w:rsid w:val="00624C53"/>
    <w:rsid w:val="00627B4B"/>
    <w:rsid w:val="00627D1B"/>
    <w:rsid w:val="0063077A"/>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0A0"/>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00F9"/>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6ED4"/>
    <w:rsid w:val="007B7B17"/>
    <w:rsid w:val="007C33F9"/>
    <w:rsid w:val="007C389F"/>
    <w:rsid w:val="007C3F41"/>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0228"/>
    <w:rsid w:val="00821734"/>
    <w:rsid w:val="00822196"/>
    <w:rsid w:val="008227FE"/>
    <w:rsid w:val="0082305E"/>
    <w:rsid w:val="0082468F"/>
    <w:rsid w:val="00825DD7"/>
    <w:rsid w:val="0082702F"/>
    <w:rsid w:val="00827E8F"/>
    <w:rsid w:val="00830EA9"/>
    <w:rsid w:val="008311F8"/>
    <w:rsid w:val="0083566B"/>
    <w:rsid w:val="008367F3"/>
    <w:rsid w:val="008372C0"/>
    <w:rsid w:val="00842735"/>
    <w:rsid w:val="00843256"/>
    <w:rsid w:val="008433A5"/>
    <w:rsid w:val="00843CA8"/>
    <w:rsid w:val="00843FCC"/>
    <w:rsid w:val="00845DE9"/>
    <w:rsid w:val="00846256"/>
    <w:rsid w:val="008465F9"/>
    <w:rsid w:val="008519A1"/>
    <w:rsid w:val="0085331D"/>
    <w:rsid w:val="00854513"/>
    <w:rsid w:val="008556F2"/>
    <w:rsid w:val="0086097F"/>
    <w:rsid w:val="00861D08"/>
    <w:rsid w:val="00862130"/>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41F6"/>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447"/>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5F4B"/>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103C"/>
    <w:rsid w:val="00943815"/>
    <w:rsid w:val="009448C5"/>
    <w:rsid w:val="0094512F"/>
    <w:rsid w:val="00951437"/>
    <w:rsid w:val="00951FEC"/>
    <w:rsid w:val="00953FE8"/>
    <w:rsid w:val="00954207"/>
    <w:rsid w:val="009572E2"/>
    <w:rsid w:val="0096215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9F6DB7"/>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0C05"/>
    <w:rsid w:val="00AB1D5F"/>
    <w:rsid w:val="00AB262A"/>
    <w:rsid w:val="00AB2C25"/>
    <w:rsid w:val="00AB4B48"/>
    <w:rsid w:val="00AB4FFF"/>
    <w:rsid w:val="00AB55DE"/>
    <w:rsid w:val="00AB656C"/>
    <w:rsid w:val="00AB65D2"/>
    <w:rsid w:val="00AB66B3"/>
    <w:rsid w:val="00AB6CFB"/>
    <w:rsid w:val="00AC0CBA"/>
    <w:rsid w:val="00AC0DB7"/>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3727"/>
    <w:rsid w:val="00AF5288"/>
    <w:rsid w:val="00AF5D31"/>
    <w:rsid w:val="00AF655B"/>
    <w:rsid w:val="00AF75E2"/>
    <w:rsid w:val="00AF7B04"/>
    <w:rsid w:val="00B008C0"/>
    <w:rsid w:val="00B0302C"/>
    <w:rsid w:val="00B06365"/>
    <w:rsid w:val="00B1155E"/>
    <w:rsid w:val="00B1289A"/>
    <w:rsid w:val="00B12987"/>
    <w:rsid w:val="00B13340"/>
    <w:rsid w:val="00B13763"/>
    <w:rsid w:val="00B21441"/>
    <w:rsid w:val="00B238B0"/>
    <w:rsid w:val="00B240CE"/>
    <w:rsid w:val="00B25132"/>
    <w:rsid w:val="00B2520D"/>
    <w:rsid w:val="00B25BB6"/>
    <w:rsid w:val="00B262F8"/>
    <w:rsid w:val="00B27A67"/>
    <w:rsid w:val="00B316A1"/>
    <w:rsid w:val="00B319BF"/>
    <w:rsid w:val="00B32B03"/>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5930"/>
    <w:rsid w:val="00B768E2"/>
    <w:rsid w:val="00B769AD"/>
    <w:rsid w:val="00B81025"/>
    <w:rsid w:val="00B81D11"/>
    <w:rsid w:val="00B82F46"/>
    <w:rsid w:val="00B87ACC"/>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0B0"/>
    <w:rsid w:val="00BB0A71"/>
    <w:rsid w:val="00BB201E"/>
    <w:rsid w:val="00BB3E2D"/>
    <w:rsid w:val="00BB3E77"/>
    <w:rsid w:val="00BB5C1E"/>
    <w:rsid w:val="00BB6DF6"/>
    <w:rsid w:val="00BB7AA8"/>
    <w:rsid w:val="00BC0359"/>
    <w:rsid w:val="00BC1EBF"/>
    <w:rsid w:val="00BC252F"/>
    <w:rsid w:val="00BC2E68"/>
    <w:rsid w:val="00BC44B6"/>
    <w:rsid w:val="00BC79C0"/>
    <w:rsid w:val="00BD1D37"/>
    <w:rsid w:val="00BD212B"/>
    <w:rsid w:val="00BD42DB"/>
    <w:rsid w:val="00BD6245"/>
    <w:rsid w:val="00BE1049"/>
    <w:rsid w:val="00BE17A9"/>
    <w:rsid w:val="00BE231E"/>
    <w:rsid w:val="00BE407A"/>
    <w:rsid w:val="00BE7449"/>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443A"/>
    <w:rsid w:val="00C569A3"/>
    <w:rsid w:val="00C56B50"/>
    <w:rsid w:val="00C60FF1"/>
    <w:rsid w:val="00C613B7"/>
    <w:rsid w:val="00C61512"/>
    <w:rsid w:val="00C61ED0"/>
    <w:rsid w:val="00C644A6"/>
    <w:rsid w:val="00C64CE8"/>
    <w:rsid w:val="00C65E9D"/>
    <w:rsid w:val="00C67D1A"/>
    <w:rsid w:val="00C704B7"/>
    <w:rsid w:val="00C71D94"/>
    <w:rsid w:val="00C73155"/>
    <w:rsid w:val="00C7447E"/>
    <w:rsid w:val="00C74C5F"/>
    <w:rsid w:val="00C75556"/>
    <w:rsid w:val="00C75B3B"/>
    <w:rsid w:val="00C76852"/>
    <w:rsid w:val="00C7767B"/>
    <w:rsid w:val="00C77D9C"/>
    <w:rsid w:val="00C81EC7"/>
    <w:rsid w:val="00C82013"/>
    <w:rsid w:val="00C847AF"/>
    <w:rsid w:val="00C860DD"/>
    <w:rsid w:val="00C8752E"/>
    <w:rsid w:val="00C901B4"/>
    <w:rsid w:val="00C92F49"/>
    <w:rsid w:val="00C944BE"/>
    <w:rsid w:val="00C959C7"/>
    <w:rsid w:val="00C95B46"/>
    <w:rsid w:val="00CA2595"/>
    <w:rsid w:val="00CA3052"/>
    <w:rsid w:val="00CA3130"/>
    <w:rsid w:val="00CA3806"/>
    <w:rsid w:val="00CA69F1"/>
    <w:rsid w:val="00CB0B3E"/>
    <w:rsid w:val="00CB0CA9"/>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3641"/>
    <w:rsid w:val="00CE43E0"/>
    <w:rsid w:val="00CE44DA"/>
    <w:rsid w:val="00CE4507"/>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48A0"/>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4BE4"/>
    <w:rsid w:val="00D47B67"/>
    <w:rsid w:val="00D5114F"/>
    <w:rsid w:val="00D53F84"/>
    <w:rsid w:val="00D54170"/>
    <w:rsid w:val="00D56944"/>
    <w:rsid w:val="00D56954"/>
    <w:rsid w:val="00D62E47"/>
    <w:rsid w:val="00D70A58"/>
    <w:rsid w:val="00D7211C"/>
    <w:rsid w:val="00D74BF3"/>
    <w:rsid w:val="00D74C4C"/>
    <w:rsid w:val="00D75C1C"/>
    <w:rsid w:val="00D80252"/>
    <w:rsid w:val="00D82386"/>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1DD4"/>
    <w:rsid w:val="00DF55DF"/>
    <w:rsid w:val="00DF5A32"/>
    <w:rsid w:val="00DF61D8"/>
    <w:rsid w:val="00E0083E"/>
    <w:rsid w:val="00E024D2"/>
    <w:rsid w:val="00E030C9"/>
    <w:rsid w:val="00E05439"/>
    <w:rsid w:val="00E05F1D"/>
    <w:rsid w:val="00E10534"/>
    <w:rsid w:val="00E10E97"/>
    <w:rsid w:val="00E11354"/>
    <w:rsid w:val="00E13CFC"/>
    <w:rsid w:val="00E14310"/>
    <w:rsid w:val="00E20D35"/>
    <w:rsid w:val="00E22084"/>
    <w:rsid w:val="00E22767"/>
    <w:rsid w:val="00E245A6"/>
    <w:rsid w:val="00E25C2D"/>
    <w:rsid w:val="00E2791D"/>
    <w:rsid w:val="00E32A1D"/>
    <w:rsid w:val="00E33788"/>
    <w:rsid w:val="00E3410E"/>
    <w:rsid w:val="00E37BDD"/>
    <w:rsid w:val="00E4045B"/>
    <w:rsid w:val="00E40A42"/>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764A0"/>
    <w:rsid w:val="00E8003D"/>
    <w:rsid w:val="00E83567"/>
    <w:rsid w:val="00E84FBC"/>
    <w:rsid w:val="00E8578F"/>
    <w:rsid w:val="00E876BF"/>
    <w:rsid w:val="00E8793D"/>
    <w:rsid w:val="00E90397"/>
    <w:rsid w:val="00E90BDB"/>
    <w:rsid w:val="00E9160D"/>
    <w:rsid w:val="00E91B23"/>
    <w:rsid w:val="00E92407"/>
    <w:rsid w:val="00E9262A"/>
    <w:rsid w:val="00E927E9"/>
    <w:rsid w:val="00EA0A6E"/>
    <w:rsid w:val="00EA3CBF"/>
    <w:rsid w:val="00EA6A93"/>
    <w:rsid w:val="00EB0A36"/>
    <w:rsid w:val="00EB1275"/>
    <w:rsid w:val="00EB3DA4"/>
    <w:rsid w:val="00EB512C"/>
    <w:rsid w:val="00EB5CE0"/>
    <w:rsid w:val="00EB6DB1"/>
    <w:rsid w:val="00EC1B98"/>
    <w:rsid w:val="00EC212C"/>
    <w:rsid w:val="00EC3A14"/>
    <w:rsid w:val="00EC6507"/>
    <w:rsid w:val="00EC77B4"/>
    <w:rsid w:val="00ED08E0"/>
    <w:rsid w:val="00ED0A35"/>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51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102B"/>
    <w:rsid w:val="00F533A3"/>
    <w:rsid w:val="00F576F1"/>
    <w:rsid w:val="00F62DC9"/>
    <w:rsid w:val="00F6463B"/>
    <w:rsid w:val="00F64C44"/>
    <w:rsid w:val="00F656D5"/>
    <w:rsid w:val="00F65C1B"/>
    <w:rsid w:val="00F718BA"/>
    <w:rsid w:val="00F71D56"/>
    <w:rsid w:val="00F722CD"/>
    <w:rsid w:val="00F7526B"/>
    <w:rsid w:val="00F80355"/>
    <w:rsid w:val="00F8366A"/>
    <w:rsid w:val="00F8387B"/>
    <w:rsid w:val="00F841C4"/>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95933">
      <w:bodyDiv w:val="1"/>
      <w:marLeft w:val="0"/>
      <w:marRight w:val="0"/>
      <w:marTop w:val="0"/>
      <w:marBottom w:val="0"/>
      <w:divBdr>
        <w:top w:val="none" w:sz="0" w:space="0" w:color="auto"/>
        <w:left w:val="none" w:sz="0" w:space="0" w:color="auto"/>
        <w:bottom w:val="none" w:sz="0" w:space="0" w:color="auto"/>
        <w:right w:val="none" w:sz="0" w:space="0" w:color="auto"/>
      </w:divBdr>
    </w:div>
    <w:div w:id="714542829">
      <w:bodyDiv w:val="1"/>
      <w:marLeft w:val="0"/>
      <w:marRight w:val="0"/>
      <w:marTop w:val="0"/>
      <w:marBottom w:val="0"/>
      <w:divBdr>
        <w:top w:val="none" w:sz="0" w:space="0" w:color="auto"/>
        <w:left w:val="none" w:sz="0" w:space="0" w:color="auto"/>
        <w:bottom w:val="none" w:sz="0" w:space="0" w:color="auto"/>
        <w:right w:val="none" w:sz="0" w:space="0" w:color="auto"/>
      </w:divBdr>
    </w:div>
    <w:div w:id="831330441">
      <w:bodyDiv w:val="1"/>
      <w:marLeft w:val="0"/>
      <w:marRight w:val="0"/>
      <w:marTop w:val="0"/>
      <w:marBottom w:val="0"/>
      <w:divBdr>
        <w:top w:val="none" w:sz="0" w:space="0" w:color="auto"/>
        <w:left w:val="none" w:sz="0" w:space="0" w:color="auto"/>
        <w:bottom w:val="none" w:sz="0" w:space="0" w:color="auto"/>
        <w:right w:val="none" w:sz="0" w:space="0" w:color="auto"/>
      </w:divBdr>
    </w:div>
    <w:div w:id="1167746401">
      <w:bodyDiv w:val="1"/>
      <w:marLeft w:val="0"/>
      <w:marRight w:val="0"/>
      <w:marTop w:val="0"/>
      <w:marBottom w:val="0"/>
      <w:divBdr>
        <w:top w:val="none" w:sz="0" w:space="0" w:color="auto"/>
        <w:left w:val="none" w:sz="0" w:space="0" w:color="auto"/>
        <w:bottom w:val="none" w:sz="0" w:space="0" w:color="auto"/>
        <w:right w:val="none" w:sz="0" w:space="0" w:color="auto"/>
      </w:divBdr>
    </w:div>
    <w:div w:id="1262254432">
      <w:bodyDiv w:val="1"/>
      <w:marLeft w:val="0"/>
      <w:marRight w:val="0"/>
      <w:marTop w:val="0"/>
      <w:marBottom w:val="0"/>
      <w:divBdr>
        <w:top w:val="none" w:sz="0" w:space="0" w:color="auto"/>
        <w:left w:val="none" w:sz="0" w:space="0" w:color="auto"/>
        <w:bottom w:val="none" w:sz="0" w:space="0" w:color="auto"/>
        <w:right w:val="none" w:sz="0" w:space="0" w:color="auto"/>
      </w:divBdr>
    </w:div>
    <w:div w:id="1417902403">
      <w:bodyDiv w:val="1"/>
      <w:marLeft w:val="0"/>
      <w:marRight w:val="0"/>
      <w:marTop w:val="0"/>
      <w:marBottom w:val="0"/>
      <w:divBdr>
        <w:top w:val="none" w:sz="0" w:space="0" w:color="auto"/>
        <w:left w:val="none" w:sz="0" w:space="0" w:color="auto"/>
        <w:bottom w:val="none" w:sz="0" w:space="0" w:color="auto"/>
        <w:right w:val="none" w:sz="0" w:space="0" w:color="auto"/>
      </w:divBdr>
    </w:div>
    <w:div w:id="1516114047">
      <w:bodyDiv w:val="1"/>
      <w:marLeft w:val="0"/>
      <w:marRight w:val="0"/>
      <w:marTop w:val="0"/>
      <w:marBottom w:val="0"/>
      <w:divBdr>
        <w:top w:val="none" w:sz="0" w:space="0" w:color="auto"/>
        <w:left w:val="none" w:sz="0" w:space="0" w:color="auto"/>
        <w:bottom w:val="none" w:sz="0" w:space="0" w:color="auto"/>
        <w:right w:val="none" w:sz="0" w:space="0" w:color="auto"/>
      </w:divBdr>
    </w:div>
    <w:div w:id="1554848051">
      <w:bodyDiv w:val="1"/>
      <w:marLeft w:val="0"/>
      <w:marRight w:val="0"/>
      <w:marTop w:val="0"/>
      <w:marBottom w:val="0"/>
      <w:divBdr>
        <w:top w:val="none" w:sz="0" w:space="0" w:color="auto"/>
        <w:left w:val="none" w:sz="0" w:space="0" w:color="auto"/>
        <w:bottom w:val="none" w:sz="0" w:space="0" w:color="auto"/>
        <w:right w:val="none" w:sz="0" w:space="0" w:color="auto"/>
      </w:divBdr>
    </w:div>
    <w:div w:id="1590770823">
      <w:bodyDiv w:val="1"/>
      <w:marLeft w:val="0"/>
      <w:marRight w:val="0"/>
      <w:marTop w:val="0"/>
      <w:marBottom w:val="0"/>
      <w:divBdr>
        <w:top w:val="none" w:sz="0" w:space="0" w:color="auto"/>
        <w:left w:val="none" w:sz="0" w:space="0" w:color="auto"/>
        <w:bottom w:val="none" w:sz="0" w:space="0" w:color="auto"/>
        <w:right w:val="none" w:sz="0" w:space="0" w:color="auto"/>
      </w:divBdr>
    </w:div>
    <w:div w:id="1722358928">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1371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GIFinance@ukgi.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C83B6-E7DC-4E46-B046-FF4CEEF1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Rachael Thomson</cp:lastModifiedBy>
  <cp:revision>2</cp:revision>
  <dcterms:created xsi:type="dcterms:W3CDTF">2018-05-08T14:14:00Z</dcterms:created>
  <dcterms:modified xsi:type="dcterms:W3CDTF">2018-05-08T14:14:00Z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