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EB9D3" w14:textId="03ABDFAB" w:rsidR="00943958" w:rsidRDefault="00A34277">
      <w:pPr>
        <w:pStyle w:val="Heading1"/>
        <w:rPr>
          <w:sz w:val="20"/>
          <w:szCs w:val="20"/>
        </w:rPr>
      </w:pPr>
      <w:bookmarkStart w:id="0" w:name="_p2ruorf8v71o"/>
      <w:bookmarkEnd w:id="0"/>
      <w:r>
        <w:rPr>
          <w:sz w:val="20"/>
          <w:szCs w:val="20"/>
        </w:rPr>
        <w:t>Framework Schedule 5 (Management Information)</w:t>
      </w:r>
    </w:p>
    <w:p w14:paraId="6E2BACF7" w14:textId="599894AB" w:rsidR="00943958" w:rsidRDefault="00A34277">
      <w:pPr>
        <w:pStyle w:val="Standard"/>
        <w:numPr>
          <w:ilvl w:val="0"/>
          <w:numId w:val="1"/>
        </w:numPr>
        <w:spacing w:before="120"/>
        <w:ind w:left="851" w:hanging="851"/>
        <w:jc w:val="left"/>
      </w:pPr>
      <w:r>
        <w:rPr>
          <w:rFonts w:ascii="Arial" w:eastAsia="Arial" w:hAnsi="Arial" w:cs="Arial"/>
          <w:b/>
          <w:color w:val="000000"/>
          <w:sz w:val="20"/>
          <w:szCs w:val="20"/>
        </w:rPr>
        <w:t xml:space="preserve">How To Provide Management Information </w:t>
      </w:r>
      <w:proofErr w:type="gramStart"/>
      <w:r>
        <w:rPr>
          <w:rFonts w:ascii="Arial" w:eastAsia="Arial" w:hAnsi="Arial" w:cs="Arial"/>
          <w:b/>
          <w:color w:val="000000"/>
          <w:sz w:val="20"/>
          <w:szCs w:val="20"/>
        </w:rPr>
        <w:t>To</w:t>
      </w:r>
      <w:proofErr w:type="gramEnd"/>
      <w:r>
        <w:rPr>
          <w:rFonts w:ascii="Arial" w:eastAsia="Arial" w:hAnsi="Arial" w:cs="Arial"/>
          <w:b/>
          <w:color w:val="000000"/>
          <w:sz w:val="20"/>
          <w:szCs w:val="20"/>
        </w:rPr>
        <w:t xml:space="preserve"> The </w:t>
      </w:r>
      <w:r w:rsidR="007A16D8">
        <w:rPr>
          <w:rFonts w:ascii="Arial" w:eastAsia="Arial" w:hAnsi="Arial" w:cs="Arial"/>
          <w:b/>
          <w:color w:val="000000"/>
          <w:sz w:val="20"/>
          <w:szCs w:val="20"/>
        </w:rPr>
        <w:t>Authority</w:t>
      </w:r>
    </w:p>
    <w:p w14:paraId="1C976D5A" w14:textId="63B9B748" w:rsidR="00943958" w:rsidRDefault="00A34277">
      <w:pPr>
        <w:pStyle w:val="Standard"/>
        <w:numPr>
          <w:ilvl w:val="1"/>
          <w:numId w:val="1"/>
        </w:numPr>
        <w:spacing w:before="120" w:after="120"/>
        <w:ind w:left="851" w:hanging="851"/>
        <w:jc w:val="left"/>
      </w:pPr>
      <w:r>
        <w:rPr>
          <w:rFonts w:ascii="Arial" w:eastAsia="Arial" w:hAnsi="Arial" w:cs="Arial"/>
          <w:color w:val="000000"/>
          <w:sz w:val="20"/>
          <w:szCs w:val="20"/>
        </w:rPr>
        <w:t xml:space="preserve">The Supplier shall, at no charge, provide timely, full, accurate and complete MI Reports to the </w:t>
      </w:r>
      <w:r w:rsidR="007A16D8">
        <w:rPr>
          <w:rFonts w:ascii="Arial" w:eastAsia="Arial" w:hAnsi="Arial" w:cs="Arial"/>
          <w:color w:val="000000"/>
          <w:sz w:val="20"/>
          <w:szCs w:val="20"/>
        </w:rPr>
        <w:t>Authority</w:t>
      </w:r>
      <w:r>
        <w:rPr>
          <w:rFonts w:ascii="Arial" w:eastAsia="Arial" w:hAnsi="Arial" w:cs="Arial"/>
          <w:color w:val="000000"/>
          <w:sz w:val="20"/>
          <w:szCs w:val="20"/>
        </w:rPr>
        <w:t xml:space="preserve"> which incorporate the data, in the correct format, required by the MI Reporting Template and such guidance that the </w:t>
      </w:r>
      <w:r w:rsidR="007A16D8">
        <w:rPr>
          <w:rFonts w:ascii="Arial" w:eastAsia="Arial" w:hAnsi="Arial" w:cs="Arial"/>
          <w:color w:val="000000"/>
          <w:sz w:val="20"/>
          <w:szCs w:val="20"/>
        </w:rPr>
        <w:t>Authority</w:t>
      </w:r>
      <w:r>
        <w:rPr>
          <w:rFonts w:ascii="Arial" w:eastAsia="Arial" w:hAnsi="Arial" w:cs="Arial"/>
          <w:color w:val="000000"/>
          <w:sz w:val="20"/>
          <w:szCs w:val="20"/>
        </w:rPr>
        <w:t xml:space="preserve"> may issue from time to time.  </w:t>
      </w:r>
    </w:p>
    <w:p w14:paraId="784AE5A4" w14:textId="3C87E04B" w:rsidR="00943958" w:rsidRDefault="00A34277">
      <w:pPr>
        <w:pStyle w:val="Standard"/>
        <w:numPr>
          <w:ilvl w:val="1"/>
          <w:numId w:val="1"/>
        </w:numPr>
        <w:spacing w:before="120" w:after="120"/>
        <w:ind w:left="851" w:hanging="851"/>
        <w:jc w:val="left"/>
      </w:pPr>
      <w:r>
        <w:rPr>
          <w:rFonts w:ascii="Arial" w:eastAsia="Arial" w:hAnsi="Arial" w:cs="Arial"/>
          <w:color w:val="000000"/>
          <w:sz w:val="20"/>
          <w:szCs w:val="20"/>
        </w:rPr>
        <w:t xml:space="preserve">The initial </w:t>
      </w:r>
      <w:r>
        <w:rPr>
          <w:rFonts w:ascii="Arial" w:eastAsia="Arial" w:hAnsi="Arial" w:cs="Arial"/>
          <w:b/>
          <w:color w:val="000000"/>
          <w:sz w:val="20"/>
          <w:szCs w:val="20"/>
        </w:rPr>
        <w:t>MI Reporting Template</w:t>
      </w:r>
      <w:r>
        <w:rPr>
          <w:rFonts w:ascii="Arial" w:eastAsia="Arial" w:hAnsi="Arial" w:cs="Arial"/>
          <w:color w:val="000000"/>
          <w:sz w:val="20"/>
          <w:szCs w:val="20"/>
        </w:rPr>
        <w:t xml:space="preserve"> is set out in the Annex to this Schedule and the </w:t>
      </w:r>
      <w:r w:rsidR="007A16D8">
        <w:rPr>
          <w:rFonts w:ascii="Arial" w:eastAsia="Arial" w:hAnsi="Arial" w:cs="Arial"/>
          <w:color w:val="000000"/>
          <w:sz w:val="20"/>
          <w:szCs w:val="20"/>
        </w:rPr>
        <w:t>Authority</w:t>
      </w:r>
      <w:r>
        <w:rPr>
          <w:rFonts w:ascii="Arial" w:eastAsia="Arial" w:hAnsi="Arial" w:cs="Arial"/>
          <w:color w:val="000000"/>
          <w:sz w:val="20"/>
          <w:szCs w:val="20"/>
        </w:rPr>
        <w:t xml:space="preserve"> may change it from time to time (including the data required and/or format) and issue a replacement version.  The </w:t>
      </w:r>
      <w:r w:rsidR="007A16D8">
        <w:rPr>
          <w:rFonts w:ascii="Arial" w:eastAsia="Arial" w:hAnsi="Arial" w:cs="Arial"/>
          <w:color w:val="000000"/>
          <w:sz w:val="20"/>
          <w:szCs w:val="20"/>
        </w:rPr>
        <w:t>Authority</w:t>
      </w:r>
      <w:r>
        <w:rPr>
          <w:rFonts w:ascii="Arial" w:eastAsia="Arial" w:hAnsi="Arial" w:cs="Arial"/>
          <w:color w:val="000000"/>
          <w:sz w:val="20"/>
          <w:szCs w:val="20"/>
        </w:rPr>
        <w:t xml:space="preserve"> shall give at least 30 days' notice in writing of any such change and shall specify the date from which it must be used. The Supplier may not make any amendment to the current MI Reporting Template without the prior Approval of the </w:t>
      </w:r>
      <w:r w:rsidR="007A16D8">
        <w:rPr>
          <w:rFonts w:ascii="Arial" w:eastAsia="Arial" w:hAnsi="Arial" w:cs="Arial"/>
          <w:color w:val="000000"/>
          <w:sz w:val="20"/>
          <w:szCs w:val="20"/>
        </w:rPr>
        <w:t>Authority</w:t>
      </w:r>
      <w:r>
        <w:rPr>
          <w:rFonts w:ascii="Arial" w:eastAsia="Arial" w:hAnsi="Arial" w:cs="Arial"/>
          <w:color w:val="000000"/>
          <w:sz w:val="20"/>
          <w:szCs w:val="20"/>
        </w:rPr>
        <w:t>.</w:t>
      </w:r>
    </w:p>
    <w:p w14:paraId="6C58BD83" w14:textId="14CD1FA6" w:rsidR="00943958" w:rsidRDefault="00A34277">
      <w:pPr>
        <w:pStyle w:val="Standard"/>
        <w:numPr>
          <w:ilvl w:val="0"/>
          <w:numId w:val="1"/>
        </w:numPr>
        <w:spacing w:before="120"/>
        <w:ind w:left="851" w:hanging="851"/>
        <w:jc w:val="left"/>
        <w:rPr>
          <w:rFonts w:ascii="Arial" w:eastAsia="Arial" w:hAnsi="Arial" w:cs="Arial"/>
          <w:b/>
          <w:color w:val="000000"/>
          <w:sz w:val="20"/>
          <w:szCs w:val="20"/>
        </w:rPr>
      </w:pPr>
      <w:r>
        <w:rPr>
          <w:rFonts w:ascii="Arial" w:eastAsia="Arial" w:hAnsi="Arial" w:cs="Arial"/>
          <w:b/>
          <w:color w:val="000000"/>
          <w:sz w:val="20"/>
          <w:szCs w:val="20"/>
        </w:rPr>
        <w:t xml:space="preserve">Reporting </w:t>
      </w:r>
      <w:r w:rsidR="00701BAF">
        <w:rPr>
          <w:rFonts w:ascii="Arial" w:eastAsia="Arial" w:hAnsi="Arial" w:cs="Arial"/>
          <w:b/>
          <w:color w:val="000000"/>
          <w:sz w:val="20"/>
          <w:szCs w:val="20"/>
        </w:rPr>
        <w:t>P</w:t>
      </w:r>
      <w:r>
        <w:rPr>
          <w:rFonts w:ascii="Arial" w:eastAsia="Arial" w:hAnsi="Arial" w:cs="Arial"/>
          <w:b/>
          <w:color w:val="000000"/>
          <w:sz w:val="20"/>
          <w:szCs w:val="20"/>
        </w:rPr>
        <w:t>eriod</w:t>
      </w:r>
    </w:p>
    <w:p w14:paraId="236B2B06" w14:textId="774A676E" w:rsidR="00943958" w:rsidRDefault="00A34277">
      <w:pPr>
        <w:pStyle w:val="Standard"/>
        <w:numPr>
          <w:ilvl w:val="1"/>
          <w:numId w:val="1"/>
        </w:numPr>
        <w:spacing w:before="120" w:after="120"/>
        <w:ind w:left="851" w:hanging="851"/>
        <w:jc w:val="left"/>
      </w:pPr>
      <w:r>
        <w:rPr>
          <w:rFonts w:ascii="Arial" w:eastAsia="Arial" w:hAnsi="Arial" w:cs="Arial"/>
          <w:b/>
          <w:color w:val="000000"/>
          <w:sz w:val="20"/>
          <w:szCs w:val="20"/>
        </w:rPr>
        <w:t>MI Reports</w:t>
      </w:r>
      <w:r>
        <w:rPr>
          <w:rFonts w:ascii="Arial" w:eastAsia="Arial" w:hAnsi="Arial" w:cs="Arial"/>
          <w:color w:val="000000"/>
          <w:sz w:val="20"/>
          <w:szCs w:val="20"/>
        </w:rPr>
        <w:t xml:space="preserve"> must be completed and returned to the </w:t>
      </w:r>
      <w:r w:rsidR="007A16D8">
        <w:rPr>
          <w:rFonts w:ascii="Arial" w:eastAsia="Arial" w:hAnsi="Arial" w:cs="Arial"/>
          <w:color w:val="000000"/>
          <w:sz w:val="20"/>
          <w:szCs w:val="20"/>
        </w:rPr>
        <w:t>Authority</w:t>
      </w:r>
      <w:r>
        <w:rPr>
          <w:rFonts w:ascii="Arial" w:eastAsia="Arial" w:hAnsi="Arial" w:cs="Arial"/>
          <w:color w:val="000000"/>
          <w:sz w:val="20"/>
          <w:szCs w:val="20"/>
        </w:rPr>
        <w:t xml:space="preserve"> by the fifth </w:t>
      </w:r>
      <w:r w:rsidR="00701BAF">
        <w:rPr>
          <w:rFonts w:ascii="Arial" w:eastAsia="Arial" w:hAnsi="Arial" w:cs="Arial"/>
          <w:color w:val="000000"/>
          <w:sz w:val="20"/>
          <w:szCs w:val="20"/>
        </w:rPr>
        <w:t>(5</w:t>
      </w:r>
      <w:r w:rsidR="00701BAF" w:rsidRPr="00701BAF">
        <w:rPr>
          <w:rFonts w:ascii="Arial" w:eastAsia="Arial" w:hAnsi="Arial" w:cs="Arial"/>
          <w:color w:val="000000"/>
          <w:sz w:val="20"/>
          <w:szCs w:val="20"/>
          <w:vertAlign w:val="superscript"/>
        </w:rPr>
        <w:t>th</w:t>
      </w:r>
      <w:r w:rsidR="00701BAF">
        <w:rPr>
          <w:rFonts w:ascii="Arial" w:eastAsia="Arial" w:hAnsi="Arial" w:cs="Arial"/>
          <w:color w:val="000000"/>
          <w:sz w:val="20"/>
          <w:szCs w:val="20"/>
        </w:rPr>
        <w:t xml:space="preserve">) </w:t>
      </w:r>
      <w:r>
        <w:rPr>
          <w:rFonts w:ascii="Arial" w:eastAsia="Arial" w:hAnsi="Arial" w:cs="Arial"/>
          <w:color w:val="000000"/>
          <w:sz w:val="20"/>
          <w:szCs w:val="20"/>
        </w:rPr>
        <w:t>Working Day of every month during the Framework Contract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615E5653" w14:textId="75A65CC0" w:rsidR="00943958" w:rsidRDefault="00A34277">
      <w:pPr>
        <w:pStyle w:val="Standard"/>
        <w:numPr>
          <w:ilvl w:val="1"/>
          <w:numId w:val="1"/>
        </w:numPr>
        <w:spacing w:before="120" w:after="120"/>
        <w:ind w:left="851" w:hanging="851"/>
        <w:jc w:val="left"/>
      </w:pPr>
      <w:r>
        <w:rPr>
          <w:rFonts w:ascii="Arial" w:eastAsia="Arial" w:hAnsi="Arial" w:cs="Arial"/>
          <w:color w:val="000000"/>
          <w:sz w:val="20"/>
          <w:szCs w:val="20"/>
        </w:rPr>
        <w:t xml:space="preserve">In an MI Report, the Supplier should report contract data that is one month in arrears. For example, if an invoice is raised for October but the work was </w:t>
      </w:r>
      <w:proofErr w:type="gramStart"/>
      <w:r>
        <w:rPr>
          <w:rFonts w:ascii="Arial" w:eastAsia="Arial" w:hAnsi="Arial" w:cs="Arial"/>
          <w:color w:val="000000"/>
          <w:sz w:val="20"/>
          <w:szCs w:val="20"/>
        </w:rPr>
        <w:t>actually completed</w:t>
      </w:r>
      <w:proofErr w:type="gramEnd"/>
      <w:r>
        <w:rPr>
          <w:rFonts w:ascii="Arial" w:eastAsia="Arial" w:hAnsi="Arial" w:cs="Arial"/>
          <w:color w:val="000000"/>
          <w:sz w:val="20"/>
          <w:szCs w:val="20"/>
        </w:rPr>
        <w:t xml:space="preserve"> in September, the Supplier must report the invoice in October's MI Report and not September's. Each Order received by the Supplier must be reported only once, i.e. when the Order is received.</w:t>
      </w:r>
    </w:p>
    <w:p w14:paraId="7B22A37D" w14:textId="77777777" w:rsidR="00943958" w:rsidRDefault="00A34277">
      <w:pPr>
        <w:pStyle w:val="Standard"/>
        <w:numPr>
          <w:ilvl w:val="0"/>
          <w:numId w:val="1"/>
        </w:numPr>
        <w:spacing w:before="120"/>
        <w:ind w:left="851" w:hanging="851"/>
        <w:jc w:val="left"/>
        <w:rPr>
          <w:rFonts w:ascii="Arial" w:eastAsia="Arial" w:hAnsi="Arial" w:cs="Arial"/>
          <w:b/>
          <w:color w:val="000000"/>
          <w:sz w:val="20"/>
          <w:szCs w:val="20"/>
        </w:rPr>
      </w:pPr>
      <w:r>
        <w:rPr>
          <w:rFonts w:ascii="Arial" w:eastAsia="Arial" w:hAnsi="Arial" w:cs="Arial"/>
          <w:b/>
          <w:color w:val="000000"/>
          <w:sz w:val="20"/>
          <w:szCs w:val="20"/>
        </w:rPr>
        <w:t>Submitting The Information</w:t>
      </w:r>
    </w:p>
    <w:p w14:paraId="7AE6DD7B" w14:textId="6150E6BF" w:rsidR="00943958" w:rsidRDefault="00A34277">
      <w:pPr>
        <w:pStyle w:val="Standard"/>
        <w:numPr>
          <w:ilvl w:val="1"/>
          <w:numId w:val="1"/>
        </w:numPr>
        <w:spacing w:before="120" w:after="120"/>
        <w:ind w:left="851" w:hanging="851"/>
        <w:jc w:val="left"/>
      </w:pPr>
      <w:bookmarkStart w:id="1" w:name="_gjdgxs"/>
      <w:bookmarkEnd w:id="1"/>
      <w:r w:rsidRPr="65843852">
        <w:rPr>
          <w:rFonts w:ascii="Arial" w:eastAsia="Arial" w:hAnsi="Arial" w:cs="Arial"/>
          <w:color w:val="000000" w:themeColor="text1"/>
          <w:sz w:val="20"/>
          <w:szCs w:val="20"/>
        </w:rPr>
        <w:t>MI Reports shall be completed electronically and</w:t>
      </w:r>
      <w:r w:rsidR="00DD32BD" w:rsidRPr="65843852">
        <w:rPr>
          <w:rFonts w:ascii="Arial" w:eastAsia="Arial" w:hAnsi="Arial" w:cs="Arial"/>
          <w:color w:val="000000" w:themeColor="text1"/>
          <w:sz w:val="20"/>
          <w:szCs w:val="20"/>
        </w:rPr>
        <w:t xml:space="preserve"> </w:t>
      </w:r>
      <w:r w:rsidR="00F96F0E" w:rsidRPr="65843852">
        <w:rPr>
          <w:rFonts w:ascii="Arial" w:eastAsia="Arial" w:hAnsi="Arial" w:cs="Arial"/>
          <w:color w:val="000000" w:themeColor="text1"/>
          <w:sz w:val="20"/>
          <w:szCs w:val="20"/>
        </w:rPr>
        <w:t>submitted to the Authority</w:t>
      </w:r>
      <w:r w:rsidR="00DD32BD" w:rsidRPr="65843852">
        <w:rPr>
          <w:rFonts w:ascii="Arial" w:eastAsia="Arial" w:hAnsi="Arial" w:cs="Arial"/>
          <w:color w:val="000000" w:themeColor="text1"/>
          <w:sz w:val="20"/>
          <w:szCs w:val="20"/>
        </w:rPr>
        <w:t xml:space="preserve"> electronically in the manner notified to the Supplier</w:t>
      </w:r>
      <w:r w:rsidR="00F96F0E" w:rsidRPr="65843852">
        <w:rPr>
          <w:rFonts w:ascii="Arial" w:eastAsia="Arial" w:hAnsi="Arial" w:cs="Arial"/>
          <w:color w:val="000000" w:themeColor="text1"/>
          <w:sz w:val="20"/>
          <w:szCs w:val="20"/>
        </w:rPr>
        <w:t>.</w:t>
      </w:r>
    </w:p>
    <w:p w14:paraId="05CBA741" w14:textId="147F8684" w:rsidR="00943958" w:rsidRDefault="00A34277">
      <w:pPr>
        <w:pStyle w:val="Standard"/>
        <w:numPr>
          <w:ilvl w:val="1"/>
          <w:numId w:val="1"/>
        </w:numPr>
        <w:spacing w:before="120" w:after="120"/>
        <w:ind w:left="851" w:hanging="851"/>
        <w:jc w:val="left"/>
      </w:pPr>
      <w:r>
        <w:rPr>
          <w:rFonts w:ascii="Arial" w:eastAsia="Arial" w:hAnsi="Arial" w:cs="Arial"/>
          <w:sz w:val="20"/>
          <w:szCs w:val="20"/>
        </w:rPr>
        <w:t xml:space="preserve">MI </w:t>
      </w:r>
      <w:r>
        <w:rPr>
          <w:rFonts w:ascii="Arial" w:eastAsia="Arial" w:hAnsi="Arial" w:cs="Arial"/>
          <w:color w:val="000000"/>
          <w:sz w:val="20"/>
          <w:szCs w:val="20"/>
        </w:rPr>
        <w:t>Reports</w:t>
      </w:r>
      <w:r>
        <w:rPr>
          <w:rFonts w:ascii="Arial" w:eastAsia="Arial" w:hAnsi="Arial" w:cs="Arial"/>
          <w:sz w:val="20"/>
          <w:szCs w:val="20"/>
        </w:rPr>
        <w:t xml:space="preserve"> must be completed in pounds sterling unless the </w:t>
      </w:r>
      <w:r w:rsidR="007A16D8">
        <w:rPr>
          <w:rFonts w:ascii="Arial" w:eastAsia="Arial" w:hAnsi="Arial" w:cs="Arial"/>
          <w:sz w:val="20"/>
          <w:szCs w:val="20"/>
        </w:rPr>
        <w:t>Authority</w:t>
      </w:r>
      <w:r>
        <w:rPr>
          <w:rFonts w:ascii="Arial" w:eastAsia="Arial" w:hAnsi="Arial" w:cs="Arial"/>
          <w:sz w:val="20"/>
          <w:szCs w:val="20"/>
        </w:rPr>
        <w:t xml:space="preserve"> has given prior written consent to the use of another currency.</w:t>
      </w:r>
    </w:p>
    <w:p w14:paraId="70DC2DEB" w14:textId="02E0941E" w:rsidR="00943958" w:rsidRDefault="00A34277">
      <w:pPr>
        <w:pStyle w:val="Standard"/>
        <w:numPr>
          <w:ilvl w:val="1"/>
          <w:numId w:val="1"/>
        </w:numPr>
        <w:spacing w:before="120" w:after="120"/>
        <w:ind w:left="851" w:hanging="851"/>
        <w:jc w:val="left"/>
      </w:pP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may reasonably require that MI Reports be submitted by an alternative means such as email.  </w:t>
      </w:r>
    </w:p>
    <w:p w14:paraId="49DA913F" w14:textId="77777777" w:rsidR="00943958" w:rsidRDefault="00A34277">
      <w:pPr>
        <w:pStyle w:val="Standard"/>
        <w:numPr>
          <w:ilvl w:val="1"/>
          <w:numId w:val="1"/>
        </w:numPr>
        <w:spacing w:before="120" w:after="120"/>
        <w:ind w:left="851" w:hanging="851"/>
        <w:jc w:val="left"/>
      </w:pPr>
      <w:r>
        <w:rPr>
          <w:rFonts w:ascii="Arial" w:eastAsia="Arial" w:hAnsi="Arial" w:cs="Arial"/>
          <w:color w:val="000000"/>
          <w:sz w:val="20"/>
          <w:szCs w:val="20"/>
        </w:rPr>
        <w:t>The Supplier shall:</w:t>
      </w:r>
    </w:p>
    <w:p w14:paraId="4C53504F" w14:textId="1384D4F9" w:rsidR="00943958" w:rsidRPr="007A16D8" w:rsidRDefault="00A34277" w:rsidP="00E16EF1">
      <w:pPr>
        <w:pStyle w:val="Standard"/>
        <w:numPr>
          <w:ilvl w:val="2"/>
          <w:numId w:val="1"/>
        </w:numPr>
        <w:tabs>
          <w:tab w:val="left" w:pos="4407"/>
        </w:tabs>
        <w:spacing w:before="120" w:after="120"/>
        <w:ind w:left="1701" w:hanging="850"/>
        <w:jc w:val="left"/>
        <w:rPr>
          <w:rFonts w:ascii="Arial" w:eastAsia="Arial" w:hAnsi="Arial" w:cs="Arial"/>
          <w:color w:val="000000"/>
          <w:sz w:val="20"/>
          <w:szCs w:val="20"/>
        </w:rPr>
      </w:pPr>
      <w:r>
        <w:rPr>
          <w:rFonts w:ascii="Arial" w:eastAsia="Arial" w:hAnsi="Arial" w:cs="Arial"/>
          <w:color w:val="000000"/>
          <w:sz w:val="20"/>
          <w:szCs w:val="20"/>
        </w:rPr>
        <w:t xml:space="preserve">promptly after the Framework Start Date provide at least one contact name and contact details for the purposes of queries relating to </w:t>
      </w:r>
      <w:r w:rsidR="007A16D8">
        <w:rPr>
          <w:rFonts w:ascii="Arial" w:eastAsia="Arial" w:hAnsi="Arial" w:cs="Arial"/>
          <w:color w:val="000000"/>
          <w:sz w:val="20"/>
          <w:szCs w:val="20"/>
        </w:rPr>
        <w:t>the</w:t>
      </w:r>
      <w:r>
        <w:rPr>
          <w:rFonts w:ascii="Arial" w:eastAsia="Arial" w:hAnsi="Arial" w:cs="Arial"/>
          <w:color w:val="000000"/>
          <w:sz w:val="20"/>
          <w:szCs w:val="20"/>
        </w:rPr>
        <w:t xml:space="preserve"> Management Information; and</w:t>
      </w:r>
    </w:p>
    <w:p w14:paraId="333CB84C" w14:textId="0E11A8EC" w:rsidR="00943958" w:rsidRPr="007A16D8" w:rsidRDefault="00A34277" w:rsidP="00E16EF1">
      <w:pPr>
        <w:pStyle w:val="Standard"/>
        <w:numPr>
          <w:ilvl w:val="2"/>
          <w:numId w:val="1"/>
        </w:numPr>
        <w:tabs>
          <w:tab w:val="left" w:pos="4407"/>
        </w:tabs>
        <w:spacing w:before="120" w:after="120"/>
        <w:ind w:left="1701" w:hanging="850"/>
        <w:jc w:val="left"/>
        <w:rPr>
          <w:rFonts w:ascii="Arial" w:eastAsia="Arial" w:hAnsi="Arial" w:cs="Arial"/>
          <w:color w:val="000000"/>
          <w:sz w:val="20"/>
          <w:szCs w:val="20"/>
        </w:rPr>
      </w:pPr>
      <w:r>
        <w:rPr>
          <w:rFonts w:ascii="Arial" w:eastAsia="Arial" w:hAnsi="Arial" w:cs="Arial"/>
          <w:color w:val="000000"/>
          <w:sz w:val="20"/>
          <w:szCs w:val="20"/>
        </w:rPr>
        <w:t xml:space="preserve">immediately notify </w:t>
      </w:r>
      <w:r w:rsidRPr="007A16D8">
        <w:rPr>
          <w:rFonts w:ascii="Arial" w:eastAsia="Arial" w:hAnsi="Arial" w:cs="Arial"/>
          <w:color w:val="000000"/>
          <w:sz w:val="20"/>
          <w:szCs w:val="20"/>
        </w:rPr>
        <w:t xml:space="preserve">the </w:t>
      </w:r>
      <w:r w:rsidR="007A16D8" w:rsidRPr="007A16D8">
        <w:rPr>
          <w:rFonts w:ascii="Arial" w:eastAsia="Arial" w:hAnsi="Arial" w:cs="Arial"/>
          <w:color w:val="000000"/>
          <w:sz w:val="20"/>
          <w:szCs w:val="20"/>
        </w:rPr>
        <w:t>Authority</w:t>
      </w:r>
      <w:r w:rsidRPr="007A16D8">
        <w:rPr>
          <w:rFonts w:ascii="Arial" w:eastAsia="Arial" w:hAnsi="Arial" w:cs="Arial"/>
          <w:color w:val="000000"/>
          <w:sz w:val="20"/>
          <w:szCs w:val="20"/>
        </w:rPr>
        <w:t xml:space="preserve"> </w:t>
      </w:r>
      <w:r>
        <w:rPr>
          <w:rFonts w:ascii="Arial" w:eastAsia="Arial" w:hAnsi="Arial" w:cs="Arial"/>
          <w:color w:val="000000"/>
          <w:sz w:val="20"/>
          <w:szCs w:val="20"/>
        </w:rPr>
        <w:t xml:space="preserve">of any changes to the details previously provided to </w:t>
      </w:r>
      <w:r w:rsidRPr="007A16D8">
        <w:rPr>
          <w:rFonts w:ascii="Arial" w:eastAsia="Arial" w:hAnsi="Arial" w:cs="Arial"/>
          <w:color w:val="000000"/>
          <w:sz w:val="20"/>
          <w:szCs w:val="20"/>
        </w:rPr>
        <w:t xml:space="preserve">the </w:t>
      </w:r>
      <w:r w:rsidR="007A16D8" w:rsidRPr="007A16D8">
        <w:rPr>
          <w:rFonts w:ascii="Arial" w:eastAsia="Arial" w:hAnsi="Arial" w:cs="Arial"/>
          <w:color w:val="000000"/>
          <w:sz w:val="20"/>
          <w:szCs w:val="20"/>
        </w:rPr>
        <w:t>Authority</w:t>
      </w:r>
      <w:r w:rsidRPr="007A16D8">
        <w:rPr>
          <w:rFonts w:ascii="Arial" w:eastAsia="Arial" w:hAnsi="Arial" w:cs="Arial"/>
          <w:color w:val="000000"/>
          <w:sz w:val="20"/>
          <w:szCs w:val="20"/>
        </w:rPr>
        <w:t xml:space="preserve"> </w:t>
      </w:r>
      <w:r>
        <w:rPr>
          <w:rFonts w:ascii="Arial" w:eastAsia="Arial" w:hAnsi="Arial" w:cs="Arial"/>
          <w:color w:val="000000"/>
          <w:sz w:val="20"/>
          <w:szCs w:val="20"/>
        </w:rPr>
        <w:t>under this Paragraph 3.4.</w:t>
      </w:r>
    </w:p>
    <w:p w14:paraId="3B770E08" w14:textId="6AEE6EDE" w:rsidR="00943958" w:rsidRDefault="00A34277">
      <w:pPr>
        <w:pStyle w:val="Standard"/>
        <w:numPr>
          <w:ilvl w:val="0"/>
          <w:numId w:val="1"/>
        </w:numPr>
        <w:spacing w:before="120"/>
        <w:ind w:left="851" w:hanging="851"/>
        <w:jc w:val="left"/>
      </w:pPr>
      <w:r>
        <w:rPr>
          <w:rFonts w:ascii="Arial" w:eastAsia="Arial" w:hAnsi="Arial" w:cs="Arial"/>
          <w:b/>
          <w:color w:val="000000"/>
          <w:sz w:val="20"/>
          <w:szCs w:val="20"/>
        </w:rPr>
        <w:t xml:space="preserve">How The </w:t>
      </w:r>
      <w:r w:rsidR="007A16D8">
        <w:rPr>
          <w:rFonts w:ascii="Arial" w:eastAsia="Arial" w:hAnsi="Arial" w:cs="Arial"/>
          <w:b/>
          <w:color w:val="000000"/>
          <w:sz w:val="20"/>
          <w:szCs w:val="20"/>
        </w:rPr>
        <w:t>Authority</w:t>
      </w:r>
      <w:r>
        <w:rPr>
          <w:rFonts w:ascii="Arial" w:eastAsia="Arial" w:hAnsi="Arial" w:cs="Arial"/>
          <w:b/>
          <w:color w:val="000000"/>
          <w:sz w:val="20"/>
          <w:szCs w:val="20"/>
        </w:rPr>
        <w:t xml:space="preserve"> </w:t>
      </w:r>
      <w:r w:rsidR="00EE1B1D">
        <w:rPr>
          <w:rFonts w:ascii="Arial" w:eastAsia="Arial" w:hAnsi="Arial" w:cs="Arial"/>
          <w:b/>
          <w:color w:val="000000"/>
          <w:sz w:val="20"/>
          <w:szCs w:val="20"/>
        </w:rPr>
        <w:t>C</w:t>
      </w:r>
      <w:r>
        <w:rPr>
          <w:rFonts w:ascii="Arial" w:eastAsia="Arial" w:hAnsi="Arial" w:cs="Arial"/>
          <w:b/>
          <w:color w:val="000000"/>
          <w:sz w:val="20"/>
          <w:szCs w:val="20"/>
        </w:rPr>
        <w:t xml:space="preserve">an </w:t>
      </w:r>
      <w:r w:rsidR="00EE1B1D">
        <w:rPr>
          <w:rFonts w:ascii="Arial" w:eastAsia="Arial" w:hAnsi="Arial" w:cs="Arial"/>
          <w:b/>
          <w:color w:val="000000"/>
          <w:sz w:val="20"/>
          <w:szCs w:val="20"/>
        </w:rPr>
        <w:t>U</w:t>
      </w:r>
      <w:r>
        <w:rPr>
          <w:rFonts w:ascii="Arial" w:eastAsia="Arial" w:hAnsi="Arial" w:cs="Arial"/>
          <w:b/>
          <w:color w:val="000000"/>
          <w:sz w:val="20"/>
          <w:szCs w:val="20"/>
        </w:rPr>
        <w:t xml:space="preserve">se </w:t>
      </w:r>
      <w:proofErr w:type="gramStart"/>
      <w:r w:rsidR="00EE1B1D">
        <w:rPr>
          <w:rFonts w:ascii="Arial" w:eastAsia="Arial" w:hAnsi="Arial" w:cs="Arial"/>
          <w:b/>
          <w:color w:val="000000"/>
          <w:sz w:val="20"/>
          <w:szCs w:val="20"/>
        </w:rPr>
        <w:t>T</w:t>
      </w:r>
      <w:r>
        <w:rPr>
          <w:rFonts w:ascii="Arial" w:eastAsia="Arial" w:hAnsi="Arial" w:cs="Arial"/>
          <w:b/>
          <w:color w:val="000000"/>
          <w:sz w:val="20"/>
          <w:szCs w:val="20"/>
        </w:rPr>
        <w:t>he</w:t>
      </w:r>
      <w:proofErr w:type="gramEnd"/>
      <w:r>
        <w:rPr>
          <w:rFonts w:ascii="Arial" w:eastAsia="Arial" w:hAnsi="Arial" w:cs="Arial"/>
          <w:b/>
          <w:color w:val="000000"/>
          <w:sz w:val="20"/>
          <w:szCs w:val="20"/>
        </w:rPr>
        <w:t xml:space="preserve"> Management Information</w:t>
      </w:r>
    </w:p>
    <w:p w14:paraId="61621B40" w14:textId="74877931" w:rsidR="00943958" w:rsidRDefault="00A34277">
      <w:pPr>
        <w:pStyle w:val="Standard"/>
        <w:numPr>
          <w:ilvl w:val="1"/>
          <w:numId w:val="1"/>
        </w:numPr>
        <w:spacing w:before="120" w:after="120"/>
        <w:ind w:left="851" w:hanging="851"/>
        <w:jc w:val="left"/>
      </w:pPr>
      <w:bookmarkStart w:id="2" w:name="_30j0zll"/>
      <w:bookmarkEnd w:id="2"/>
      <w:r>
        <w:rPr>
          <w:rFonts w:ascii="Arial" w:eastAsia="Arial" w:hAnsi="Arial" w:cs="Arial"/>
          <w:color w:val="000000"/>
          <w:sz w:val="20"/>
          <w:szCs w:val="20"/>
        </w:rPr>
        <w:t xml:space="preserve">The Supplier grants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a non-exclusive, transferable, perpetual, irrevocable, royalty free licence to:</w:t>
      </w:r>
    </w:p>
    <w:p w14:paraId="0BBC57FF" w14:textId="4B6C74DD" w:rsidR="00943958" w:rsidRDefault="00A34277" w:rsidP="00DE3292">
      <w:pPr>
        <w:pStyle w:val="Standard"/>
        <w:numPr>
          <w:ilvl w:val="2"/>
          <w:numId w:val="1"/>
        </w:numPr>
        <w:spacing w:before="120" w:after="120"/>
        <w:ind w:left="1701" w:hanging="850"/>
        <w:jc w:val="left"/>
      </w:pPr>
      <w:r>
        <w:rPr>
          <w:rFonts w:ascii="Arial" w:eastAsia="Arial" w:hAnsi="Arial" w:cs="Arial"/>
          <w:color w:val="000000"/>
          <w:sz w:val="20"/>
          <w:szCs w:val="20"/>
        </w:rPr>
        <w:t>use and to share with any relevant person; and/or</w:t>
      </w:r>
    </w:p>
    <w:p w14:paraId="53887AC6" w14:textId="77777777" w:rsidR="00943958" w:rsidRDefault="00A34277" w:rsidP="00DE3292">
      <w:pPr>
        <w:pStyle w:val="Standard"/>
        <w:numPr>
          <w:ilvl w:val="2"/>
          <w:numId w:val="1"/>
        </w:numPr>
        <w:spacing w:before="120" w:after="120"/>
        <w:ind w:left="1701" w:hanging="850"/>
        <w:jc w:val="left"/>
      </w:pPr>
      <w:r>
        <w:rPr>
          <w:rFonts w:ascii="Arial" w:eastAsia="Arial" w:hAnsi="Arial" w:cs="Arial"/>
          <w:color w:val="000000"/>
          <w:sz w:val="20"/>
          <w:szCs w:val="20"/>
        </w:rPr>
        <w:t>publish (subject to any information that is exempt from disclosure in accordance with the provisions of FOIA, being redacted),</w:t>
      </w:r>
    </w:p>
    <w:p w14:paraId="35DACD0E" w14:textId="519C6FE7" w:rsidR="00943958" w:rsidRDefault="00A34277">
      <w:pPr>
        <w:pStyle w:val="Standard"/>
        <w:spacing w:before="120" w:after="120"/>
        <w:ind w:left="851"/>
        <w:jc w:val="left"/>
      </w:pPr>
      <w:bookmarkStart w:id="3" w:name="_1fob9te"/>
      <w:bookmarkEnd w:id="3"/>
      <w:r>
        <w:rPr>
          <w:rFonts w:ascii="Arial" w:eastAsia="Arial" w:hAnsi="Arial" w:cs="Arial"/>
          <w:color w:val="000000"/>
          <w:sz w:val="20"/>
          <w:szCs w:val="20"/>
        </w:rPr>
        <w:t xml:space="preserve">any Management Information supplied to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for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’s </w:t>
      </w:r>
      <w:r>
        <w:rPr>
          <w:rFonts w:ascii="Arial" w:eastAsia="Arial" w:hAnsi="Arial" w:cs="Arial"/>
          <w:color w:val="000000"/>
          <w:sz w:val="20"/>
          <w:szCs w:val="20"/>
        </w:rPr>
        <w:t xml:space="preserve">normal operational activities including administering this Contract and/or all Call-Off Contracts, monitoring public sector expenditure, identifying savings or potential </w:t>
      </w:r>
      <w:proofErr w:type="gramStart"/>
      <w:r>
        <w:rPr>
          <w:rFonts w:ascii="Arial" w:eastAsia="Arial" w:hAnsi="Arial" w:cs="Arial"/>
          <w:color w:val="000000"/>
          <w:sz w:val="20"/>
          <w:szCs w:val="20"/>
        </w:rPr>
        <w:t>savings</w:t>
      </w:r>
      <w:proofErr w:type="gramEnd"/>
      <w:r>
        <w:rPr>
          <w:rFonts w:ascii="Arial" w:eastAsia="Arial" w:hAnsi="Arial" w:cs="Arial"/>
          <w:color w:val="000000"/>
          <w:sz w:val="20"/>
          <w:szCs w:val="20"/>
        </w:rPr>
        <w:t xml:space="preserve"> and planning future procurement activity.</w:t>
      </w:r>
    </w:p>
    <w:p w14:paraId="25F964BC" w14:textId="2A1C70E9" w:rsidR="00943958" w:rsidRDefault="00A34277">
      <w:pPr>
        <w:pStyle w:val="Standard"/>
        <w:numPr>
          <w:ilvl w:val="1"/>
          <w:numId w:val="1"/>
        </w:numPr>
        <w:spacing w:before="120" w:after="120"/>
        <w:ind w:left="851" w:hanging="851"/>
        <w:jc w:val="left"/>
      </w:pPr>
      <w:bookmarkStart w:id="4" w:name="_3znysh7"/>
      <w:bookmarkEnd w:id="4"/>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may consult with the Supplier to inform its decision to publish information. However,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shall retain absolute discretion regarding the extent, </w:t>
      </w:r>
      <w:proofErr w:type="gramStart"/>
      <w:r>
        <w:rPr>
          <w:rFonts w:ascii="Arial" w:eastAsia="Arial" w:hAnsi="Arial" w:cs="Arial"/>
          <w:color w:val="000000"/>
          <w:sz w:val="20"/>
          <w:szCs w:val="20"/>
        </w:rPr>
        <w:t>content</w:t>
      </w:r>
      <w:proofErr w:type="gramEnd"/>
      <w:r>
        <w:rPr>
          <w:rFonts w:ascii="Arial" w:eastAsia="Arial" w:hAnsi="Arial" w:cs="Arial"/>
          <w:color w:val="000000"/>
          <w:sz w:val="20"/>
          <w:szCs w:val="20"/>
        </w:rPr>
        <w:t xml:space="preserve"> and format of any disclosure.</w:t>
      </w:r>
    </w:p>
    <w:p w14:paraId="406E438E" w14:textId="6FAE10F6" w:rsidR="00943958" w:rsidRDefault="00A34277">
      <w:pPr>
        <w:pStyle w:val="Standard"/>
        <w:numPr>
          <w:ilvl w:val="0"/>
          <w:numId w:val="1"/>
        </w:numPr>
        <w:spacing w:before="120"/>
        <w:ind w:left="851" w:hanging="851"/>
        <w:jc w:val="left"/>
      </w:pPr>
      <w:r>
        <w:rPr>
          <w:rFonts w:ascii="Arial" w:eastAsia="Arial" w:hAnsi="Arial" w:cs="Arial"/>
          <w:b/>
          <w:color w:val="000000"/>
          <w:sz w:val="20"/>
          <w:szCs w:val="20"/>
        </w:rPr>
        <w:lastRenderedPageBreak/>
        <w:t xml:space="preserve">What </w:t>
      </w:r>
      <w:r w:rsidR="00EE1B1D">
        <w:rPr>
          <w:rFonts w:ascii="Arial" w:eastAsia="Arial" w:hAnsi="Arial" w:cs="Arial"/>
          <w:b/>
          <w:color w:val="000000"/>
          <w:sz w:val="20"/>
          <w:szCs w:val="20"/>
        </w:rPr>
        <w:t>H</w:t>
      </w:r>
      <w:r>
        <w:rPr>
          <w:rFonts w:ascii="Arial" w:eastAsia="Arial" w:hAnsi="Arial" w:cs="Arial"/>
          <w:b/>
          <w:color w:val="000000"/>
          <w:sz w:val="20"/>
          <w:szCs w:val="20"/>
        </w:rPr>
        <w:t xml:space="preserve">appens </w:t>
      </w:r>
      <w:r w:rsidR="00EE1B1D">
        <w:rPr>
          <w:rFonts w:ascii="Arial" w:eastAsia="Arial" w:hAnsi="Arial" w:cs="Arial"/>
          <w:b/>
          <w:color w:val="000000"/>
          <w:sz w:val="20"/>
          <w:szCs w:val="20"/>
        </w:rPr>
        <w:t>I</w:t>
      </w:r>
      <w:r>
        <w:rPr>
          <w:rFonts w:ascii="Arial" w:eastAsia="Arial" w:hAnsi="Arial" w:cs="Arial"/>
          <w:b/>
          <w:color w:val="000000"/>
          <w:sz w:val="20"/>
          <w:szCs w:val="20"/>
        </w:rPr>
        <w:t xml:space="preserve">f </w:t>
      </w:r>
      <w:proofErr w:type="gramStart"/>
      <w:r w:rsidR="00EE1B1D">
        <w:rPr>
          <w:rFonts w:ascii="Arial" w:eastAsia="Arial" w:hAnsi="Arial" w:cs="Arial"/>
          <w:b/>
          <w:color w:val="000000"/>
          <w:sz w:val="20"/>
          <w:szCs w:val="20"/>
        </w:rPr>
        <w:t>T</w:t>
      </w:r>
      <w:r>
        <w:rPr>
          <w:rFonts w:ascii="Arial" w:eastAsia="Arial" w:hAnsi="Arial" w:cs="Arial"/>
          <w:b/>
          <w:color w:val="000000"/>
          <w:sz w:val="20"/>
          <w:szCs w:val="20"/>
        </w:rPr>
        <w:t>he</w:t>
      </w:r>
      <w:proofErr w:type="gramEnd"/>
      <w:r>
        <w:rPr>
          <w:rFonts w:ascii="Arial" w:eastAsia="Arial" w:hAnsi="Arial" w:cs="Arial"/>
          <w:b/>
          <w:color w:val="000000"/>
          <w:sz w:val="20"/>
          <w:szCs w:val="20"/>
        </w:rPr>
        <w:t xml:space="preserve"> Management Information </w:t>
      </w:r>
      <w:r w:rsidR="00EE1B1D">
        <w:rPr>
          <w:rFonts w:ascii="Arial" w:eastAsia="Arial" w:hAnsi="Arial" w:cs="Arial"/>
          <w:b/>
          <w:color w:val="000000"/>
          <w:sz w:val="20"/>
          <w:szCs w:val="20"/>
        </w:rPr>
        <w:t>I</w:t>
      </w:r>
      <w:r>
        <w:rPr>
          <w:rFonts w:ascii="Arial" w:eastAsia="Arial" w:hAnsi="Arial" w:cs="Arial"/>
          <w:b/>
          <w:color w:val="000000"/>
          <w:sz w:val="20"/>
          <w:szCs w:val="20"/>
        </w:rPr>
        <w:t xml:space="preserve">s </w:t>
      </w:r>
      <w:r w:rsidR="00EE1B1D">
        <w:rPr>
          <w:rFonts w:ascii="Arial" w:eastAsia="Arial" w:hAnsi="Arial" w:cs="Arial"/>
          <w:b/>
          <w:color w:val="000000"/>
          <w:sz w:val="20"/>
          <w:szCs w:val="20"/>
        </w:rPr>
        <w:t>W</w:t>
      </w:r>
      <w:r>
        <w:rPr>
          <w:rFonts w:ascii="Arial" w:eastAsia="Arial" w:hAnsi="Arial" w:cs="Arial"/>
          <w:b/>
          <w:color w:val="000000"/>
          <w:sz w:val="20"/>
          <w:szCs w:val="20"/>
        </w:rPr>
        <w:t>rong?</w:t>
      </w:r>
    </w:p>
    <w:p w14:paraId="612269F6" w14:textId="2530BF7E" w:rsidR="00943958" w:rsidRDefault="00A34277" w:rsidP="00F00CDD">
      <w:pPr>
        <w:pStyle w:val="Standard"/>
        <w:numPr>
          <w:ilvl w:val="1"/>
          <w:numId w:val="1"/>
        </w:numPr>
        <w:spacing w:before="120"/>
        <w:ind w:hanging="786"/>
        <w:jc w:val="left"/>
      </w:pPr>
      <w:r w:rsidRPr="00AE76E4">
        <w:rPr>
          <w:rFonts w:ascii="Arial" w:eastAsia="Arial" w:hAnsi="Arial" w:cs="Arial"/>
          <w:bCs/>
          <w:color w:val="000000"/>
          <w:sz w:val="20"/>
          <w:szCs w:val="20"/>
        </w:rPr>
        <w:t>If</w:t>
      </w:r>
      <w:r>
        <w:rPr>
          <w:rFonts w:ascii="Arial" w:eastAsia="Arial" w:hAnsi="Arial" w:cs="Arial"/>
          <w:color w:val="000000"/>
          <w:sz w:val="20"/>
          <w:szCs w:val="20"/>
        </w:rPr>
        <w:t xml:space="preserve"> the Supplier or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identify error(s) and/or omission(s) in historic MI Report(s), the Supplier must provide corrected MI report(s) to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 xml:space="preserve">on or before the date when the next MI Report is due. Corrections may be either in the form of an addendum to the next MI submission, or a resubmission of existing historic returns, at the discretion of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color w:val="000000"/>
          <w:sz w:val="20"/>
          <w:szCs w:val="20"/>
        </w:rPr>
        <w:t>.</w:t>
      </w:r>
    </w:p>
    <w:p w14:paraId="0047F83C" w14:textId="49125762" w:rsidR="00943958" w:rsidRDefault="00A34277" w:rsidP="00AE76E4">
      <w:pPr>
        <w:pStyle w:val="Standard"/>
        <w:numPr>
          <w:ilvl w:val="1"/>
          <w:numId w:val="1"/>
        </w:numPr>
        <w:spacing w:before="120"/>
        <w:ind w:hanging="786"/>
        <w:jc w:val="left"/>
      </w:pPr>
      <w:r>
        <w:rPr>
          <w:rFonts w:ascii="Arial" w:eastAsia="Arial" w:hAnsi="Arial" w:cs="Arial"/>
          <w:color w:val="000000"/>
          <w:sz w:val="20"/>
          <w:szCs w:val="20"/>
        </w:rPr>
        <w:t xml:space="preserve">Following an </w:t>
      </w:r>
      <w:r>
        <w:rPr>
          <w:rFonts w:ascii="Arial" w:eastAsia="Arial" w:hAnsi="Arial" w:cs="Arial"/>
          <w:b/>
          <w:color w:val="000000"/>
          <w:sz w:val="20"/>
          <w:szCs w:val="20"/>
        </w:rPr>
        <w:t>MI Failure,</w:t>
      </w:r>
      <w:r>
        <w:rPr>
          <w:rFonts w:ascii="Arial" w:eastAsia="Arial" w:hAnsi="Arial" w:cs="Arial"/>
          <w:color w:val="000000"/>
          <w:sz w:val="20"/>
          <w:szCs w:val="20"/>
        </w:rPr>
        <w:t xml:space="preserve">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may issue reminders to the Supplier and require the Supplier to correctly complete the MI Report.  The Supplier shall rectify any deficient or incomplete MI Report as soon as possible and not more than 5 Working Days following receipt of any such reminder.</w:t>
      </w:r>
    </w:p>
    <w:p w14:paraId="640ABE8E" w14:textId="77777777" w:rsidR="00943958" w:rsidRDefault="00A34277" w:rsidP="00AE76E4">
      <w:pPr>
        <w:pStyle w:val="Standard"/>
        <w:numPr>
          <w:ilvl w:val="0"/>
          <w:numId w:val="1"/>
        </w:numPr>
        <w:spacing w:before="120"/>
        <w:ind w:left="851" w:hanging="851"/>
        <w:jc w:val="left"/>
      </w:pPr>
      <w:r>
        <w:rPr>
          <w:rFonts w:ascii="Arial" w:eastAsia="Arial" w:hAnsi="Arial" w:cs="Arial"/>
          <w:b/>
          <w:color w:val="000000"/>
          <w:sz w:val="20"/>
          <w:szCs w:val="20"/>
        </w:rPr>
        <w:t>Meetings</w:t>
      </w:r>
    </w:p>
    <w:p w14:paraId="0B3D469A" w14:textId="68556826" w:rsidR="00943958" w:rsidRDefault="00A34277" w:rsidP="00AE76E4">
      <w:pPr>
        <w:pStyle w:val="Standard"/>
        <w:numPr>
          <w:ilvl w:val="1"/>
          <w:numId w:val="1"/>
        </w:numPr>
        <w:spacing w:before="120"/>
        <w:ind w:hanging="786"/>
        <w:jc w:val="left"/>
      </w:pPr>
      <w:r>
        <w:rPr>
          <w:rFonts w:ascii="Arial" w:eastAsia="Arial" w:hAnsi="Arial" w:cs="Arial"/>
          <w:color w:val="000000"/>
          <w:sz w:val="20"/>
          <w:szCs w:val="20"/>
        </w:rPr>
        <w:t xml:space="preserve">The Supplier agrees to attend meetings between the Parties in person to discuss the circumstances of any MI Failure(s) at the request of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color w:val="000000"/>
          <w:sz w:val="20"/>
          <w:szCs w:val="20"/>
        </w:rPr>
        <w:t xml:space="preserve">.  If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requests such a meeting the Supplier shall propose and document measures as part of a Rectification Plan to ensure that the MI Failure(s) are corrected and do not occur in the future.</w:t>
      </w:r>
    </w:p>
    <w:p w14:paraId="02D87A20" w14:textId="4E122B34" w:rsidR="00943958" w:rsidRDefault="00A34277">
      <w:pPr>
        <w:pStyle w:val="Standard"/>
        <w:numPr>
          <w:ilvl w:val="0"/>
          <w:numId w:val="1"/>
        </w:numPr>
        <w:spacing w:before="120"/>
        <w:ind w:left="851" w:hanging="851"/>
        <w:jc w:val="left"/>
      </w:pPr>
      <w:bookmarkStart w:id="5" w:name="_tyjcwt"/>
      <w:bookmarkStart w:id="6" w:name="_3dy6vkm"/>
      <w:bookmarkEnd w:id="5"/>
      <w:bookmarkEnd w:id="6"/>
      <w:r>
        <w:rPr>
          <w:rFonts w:ascii="Arial" w:eastAsia="Arial" w:hAnsi="Arial" w:cs="Arial"/>
          <w:b/>
          <w:color w:val="000000"/>
          <w:sz w:val="20"/>
          <w:szCs w:val="20"/>
        </w:rPr>
        <w:t xml:space="preserve">What </w:t>
      </w:r>
      <w:r w:rsidR="00EE1B1D">
        <w:rPr>
          <w:rFonts w:ascii="Arial" w:eastAsia="Arial" w:hAnsi="Arial" w:cs="Arial"/>
          <w:b/>
          <w:color w:val="000000"/>
          <w:sz w:val="20"/>
          <w:szCs w:val="20"/>
        </w:rPr>
        <w:t>H</w:t>
      </w:r>
      <w:r>
        <w:rPr>
          <w:rFonts w:ascii="Arial" w:eastAsia="Arial" w:hAnsi="Arial" w:cs="Arial"/>
          <w:b/>
          <w:color w:val="000000"/>
          <w:sz w:val="20"/>
          <w:szCs w:val="20"/>
        </w:rPr>
        <w:t xml:space="preserve">appens </w:t>
      </w:r>
      <w:r w:rsidR="00EE1B1D">
        <w:rPr>
          <w:rFonts w:ascii="Arial" w:eastAsia="Arial" w:hAnsi="Arial" w:cs="Arial"/>
          <w:b/>
          <w:color w:val="000000"/>
          <w:sz w:val="20"/>
          <w:szCs w:val="20"/>
        </w:rPr>
        <w:t>I</w:t>
      </w:r>
      <w:r>
        <w:rPr>
          <w:rFonts w:ascii="Arial" w:eastAsia="Arial" w:hAnsi="Arial" w:cs="Arial"/>
          <w:b/>
          <w:color w:val="000000"/>
          <w:sz w:val="20"/>
          <w:szCs w:val="20"/>
        </w:rPr>
        <w:t xml:space="preserve">f Management Information Reports </w:t>
      </w:r>
      <w:r w:rsidR="00EE1B1D">
        <w:rPr>
          <w:rFonts w:ascii="Arial" w:eastAsia="Arial" w:hAnsi="Arial" w:cs="Arial"/>
          <w:b/>
          <w:color w:val="000000"/>
          <w:sz w:val="20"/>
          <w:szCs w:val="20"/>
        </w:rPr>
        <w:t>A</w:t>
      </w:r>
      <w:r>
        <w:rPr>
          <w:rFonts w:ascii="Arial" w:eastAsia="Arial" w:hAnsi="Arial" w:cs="Arial"/>
          <w:b/>
          <w:color w:val="000000"/>
          <w:sz w:val="20"/>
          <w:szCs w:val="20"/>
        </w:rPr>
        <w:t xml:space="preserve">re </w:t>
      </w:r>
      <w:r w:rsidR="00EE1B1D">
        <w:rPr>
          <w:rFonts w:ascii="Arial" w:eastAsia="Arial" w:hAnsi="Arial" w:cs="Arial"/>
          <w:b/>
          <w:color w:val="000000"/>
          <w:sz w:val="20"/>
          <w:szCs w:val="20"/>
        </w:rPr>
        <w:t>N</w:t>
      </w:r>
      <w:r>
        <w:rPr>
          <w:rFonts w:ascii="Arial" w:eastAsia="Arial" w:hAnsi="Arial" w:cs="Arial"/>
          <w:b/>
          <w:color w:val="000000"/>
          <w:sz w:val="20"/>
          <w:szCs w:val="20"/>
        </w:rPr>
        <w:t xml:space="preserve">ot </w:t>
      </w:r>
      <w:r w:rsidR="00EE1B1D">
        <w:rPr>
          <w:rFonts w:ascii="Arial" w:eastAsia="Arial" w:hAnsi="Arial" w:cs="Arial"/>
          <w:b/>
          <w:color w:val="000000"/>
          <w:sz w:val="20"/>
          <w:szCs w:val="20"/>
        </w:rPr>
        <w:t>P</w:t>
      </w:r>
      <w:r>
        <w:rPr>
          <w:rFonts w:ascii="Arial" w:eastAsia="Arial" w:hAnsi="Arial" w:cs="Arial"/>
          <w:b/>
          <w:color w:val="000000"/>
          <w:sz w:val="20"/>
          <w:szCs w:val="20"/>
        </w:rPr>
        <w:t>rovided?</w:t>
      </w:r>
    </w:p>
    <w:p w14:paraId="1ADFEBAF" w14:textId="1E602144" w:rsidR="00943958" w:rsidRDefault="00A34277" w:rsidP="008156C0">
      <w:pPr>
        <w:pStyle w:val="Standard"/>
        <w:numPr>
          <w:ilvl w:val="1"/>
          <w:numId w:val="1"/>
        </w:numPr>
        <w:spacing w:before="120"/>
        <w:ind w:hanging="786"/>
        <w:jc w:val="left"/>
      </w:pPr>
      <w:bookmarkStart w:id="7" w:name="_1t3h5sf"/>
      <w:bookmarkEnd w:id="7"/>
      <w:r>
        <w:rPr>
          <w:rFonts w:ascii="Arial" w:eastAsia="Arial" w:hAnsi="Arial" w:cs="Arial"/>
          <w:color w:val="000000"/>
          <w:sz w:val="20"/>
          <w:szCs w:val="20"/>
        </w:rPr>
        <w:t xml:space="preserve">If 2 MI Reports are not provided in any rolling </w:t>
      </w:r>
      <w:proofErr w:type="gramStart"/>
      <w:r>
        <w:rPr>
          <w:rFonts w:ascii="Arial" w:eastAsia="Arial" w:hAnsi="Arial" w:cs="Arial"/>
          <w:color w:val="000000"/>
          <w:sz w:val="20"/>
          <w:szCs w:val="20"/>
        </w:rPr>
        <w:t>6 month</w:t>
      </w:r>
      <w:proofErr w:type="gramEnd"/>
      <w:r>
        <w:rPr>
          <w:rFonts w:ascii="Arial" w:eastAsia="Arial" w:hAnsi="Arial" w:cs="Arial"/>
          <w:color w:val="000000"/>
          <w:sz w:val="20"/>
          <w:szCs w:val="20"/>
        </w:rPr>
        <w:t xml:space="preserve"> period then an </w:t>
      </w:r>
      <w:r>
        <w:rPr>
          <w:rFonts w:ascii="Arial" w:eastAsia="Arial" w:hAnsi="Arial" w:cs="Arial"/>
          <w:b/>
          <w:color w:val="000000"/>
          <w:sz w:val="20"/>
          <w:szCs w:val="20"/>
        </w:rPr>
        <w:t>MI Default</w:t>
      </w:r>
      <w:r>
        <w:rPr>
          <w:rFonts w:ascii="Arial" w:eastAsia="Arial" w:hAnsi="Arial" w:cs="Arial"/>
          <w:color w:val="000000"/>
          <w:sz w:val="20"/>
          <w:szCs w:val="20"/>
        </w:rPr>
        <w:t xml:space="preserve"> shall be deemed to have occurred and </w:t>
      </w:r>
      <w:r>
        <w:rPr>
          <w:rFonts w:ascii="Arial" w:eastAsia="Arial" w:hAnsi="Arial" w:cs="Arial"/>
          <w:sz w:val="20"/>
          <w:szCs w:val="20"/>
        </w:rPr>
        <w:t xml:space="preserve">the </w:t>
      </w:r>
      <w:r w:rsidR="007A16D8">
        <w:rPr>
          <w:rFonts w:ascii="Arial" w:eastAsia="Arial" w:hAnsi="Arial" w:cs="Arial"/>
          <w:sz w:val="20"/>
          <w:szCs w:val="20"/>
        </w:rPr>
        <w:t>Authority</w:t>
      </w:r>
      <w:r>
        <w:rPr>
          <w:rFonts w:ascii="Arial" w:eastAsia="Arial" w:hAnsi="Arial" w:cs="Arial"/>
          <w:sz w:val="20"/>
          <w:szCs w:val="20"/>
        </w:rPr>
        <w:t xml:space="preserve"> </w:t>
      </w:r>
      <w:r>
        <w:rPr>
          <w:rFonts w:ascii="Arial" w:eastAsia="Arial" w:hAnsi="Arial" w:cs="Arial"/>
          <w:color w:val="000000"/>
          <w:sz w:val="20"/>
          <w:szCs w:val="20"/>
        </w:rPr>
        <w:t>shall be entitled to:</w:t>
      </w:r>
    </w:p>
    <w:p w14:paraId="7F281AF6" w14:textId="2E5464F4" w:rsidR="00943958" w:rsidRDefault="00A34277" w:rsidP="008156C0">
      <w:pPr>
        <w:pStyle w:val="Standard"/>
        <w:numPr>
          <w:ilvl w:val="2"/>
          <w:numId w:val="1"/>
        </w:numPr>
        <w:spacing w:before="120"/>
        <w:ind w:left="1701" w:hanging="850"/>
        <w:jc w:val="left"/>
        <w:rPr>
          <w:rFonts w:ascii="Arial" w:eastAsia="Arial" w:hAnsi="Arial" w:cs="Arial"/>
          <w:color w:val="000000"/>
          <w:sz w:val="20"/>
          <w:szCs w:val="20"/>
        </w:rPr>
      </w:pPr>
      <w:r>
        <w:rPr>
          <w:rFonts w:ascii="Arial" w:eastAsia="Arial" w:hAnsi="Arial" w:cs="Arial"/>
          <w:color w:val="000000"/>
          <w:sz w:val="20"/>
          <w:szCs w:val="20"/>
        </w:rPr>
        <w:t xml:space="preserve">suspend the Supplier from the </w:t>
      </w:r>
      <w:r w:rsidR="00294A0C">
        <w:rPr>
          <w:rFonts w:ascii="Arial" w:eastAsia="Arial" w:hAnsi="Arial" w:cs="Arial"/>
          <w:color w:val="000000"/>
          <w:sz w:val="20"/>
          <w:szCs w:val="20"/>
        </w:rPr>
        <w:t>Contract</w:t>
      </w:r>
      <w:r>
        <w:rPr>
          <w:rFonts w:ascii="Arial" w:eastAsia="Arial" w:hAnsi="Arial" w:cs="Arial"/>
          <w:color w:val="000000"/>
          <w:sz w:val="20"/>
          <w:szCs w:val="20"/>
        </w:rPr>
        <w:t xml:space="preserve"> until such time that deficient MI reports(s) are rectified; and/or</w:t>
      </w:r>
    </w:p>
    <w:p w14:paraId="409F3B7D" w14:textId="77777777" w:rsidR="00943958" w:rsidRDefault="00A34277" w:rsidP="008156C0">
      <w:pPr>
        <w:pStyle w:val="Standard"/>
        <w:numPr>
          <w:ilvl w:val="2"/>
          <w:numId w:val="1"/>
        </w:numPr>
        <w:spacing w:before="120"/>
        <w:ind w:left="1701" w:hanging="850"/>
        <w:jc w:val="left"/>
        <w:rPr>
          <w:rFonts w:ascii="Arial" w:eastAsia="Arial" w:hAnsi="Arial" w:cs="Arial"/>
          <w:color w:val="000000"/>
          <w:sz w:val="20"/>
          <w:szCs w:val="20"/>
        </w:rPr>
      </w:pPr>
      <w:r>
        <w:rPr>
          <w:rFonts w:ascii="Arial" w:eastAsia="Arial" w:hAnsi="Arial" w:cs="Arial"/>
          <w:color w:val="000000"/>
          <w:sz w:val="20"/>
          <w:szCs w:val="20"/>
        </w:rPr>
        <w:t xml:space="preserve">terminate this Contract.  </w:t>
      </w:r>
    </w:p>
    <w:p w14:paraId="77D8D0D9" w14:textId="0EB06EBD" w:rsidR="00943958" w:rsidRDefault="00943958" w:rsidP="00F00CDD">
      <w:pPr>
        <w:pStyle w:val="Standard"/>
        <w:keepNext/>
        <w:spacing w:before="120" w:after="120"/>
        <w:jc w:val="left"/>
      </w:pPr>
      <w:bookmarkStart w:id="8" w:name="_4d34og8"/>
      <w:bookmarkEnd w:id="8"/>
    </w:p>
    <w:p w14:paraId="53D1151C" w14:textId="77777777" w:rsidR="00943958" w:rsidRDefault="00943958">
      <w:pPr>
        <w:pStyle w:val="Standard"/>
        <w:spacing w:after="200" w:line="276" w:lineRule="auto"/>
        <w:jc w:val="left"/>
        <w:rPr>
          <w:rFonts w:ascii="Arial" w:eastAsia="Arial" w:hAnsi="Arial" w:cs="Arial"/>
          <w:sz w:val="20"/>
          <w:szCs w:val="20"/>
        </w:rPr>
      </w:pPr>
    </w:p>
    <w:p w14:paraId="1723ABD1" w14:textId="77777777" w:rsidR="00943958" w:rsidRDefault="00A34277">
      <w:pPr>
        <w:pStyle w:val="Heading1"/>
        <w:pageBreakBefore/>
        <w:jc w:val="left"/>
        <w:rPr>
          <w:sz w:val="20"/>
          <w:szCs w:val="20"/>
        </w:rPr>
      </w:pPr>
      <w:bookmarkStart w:id="9" w:name="_wihn5lnkvl9v"/>
      <w:bookmarkEnd w:id="9"/>
      <w:r>
        <w:rPr>
          <w:sz w:val="20"/>
          <w:szCs w:val="20"/>
        </w:rPr>
        <w:lastRenderedPageBreak/>
        <w:t>Annex: MI Reporting Template</w:t>
      </w:r>
    </w:p>
    <w:p w14:paraId="4E831FD5" w14:textId="77777777" w:rsidR="00943958" w:rsidRDefault="00A34277">
      <w:pPr>
        <w:pStyle w:val="Standard"/>
        <w:jc w:val="left"/>
      </w:pPr>
      <w:r>
        <w:rPr>
          <w:rFonts w:ascii="Arial" w:eastAsia="Arial" w:hAnsi="Arial" w:cs="Arial"/>
          <w:b/>
          <w:sz w:val="20"/>
          <w:szCs w:val="20"/>
        </w:rPr>
        <w:t>[</w:t>
      </w:r>
      <w:r>
        <w:rPr>
          <w:rFonts w:ascii="Arial" w:eastAsia="Arial" w:hAnsi="Arial" w:cs="Arial"/>
          <w:b/>
          <w:sz w:val="20"/>
          <w:szCs w:val="20"/>
          <w:shd w:val="clear" w:color="auto" w:fill="FFFF00"/>
        </w:rPr>
        <w:t>Guidance Note:</w:t>
      </w:r>
      <w:r>
        <w:rPr>
          <w:rFonts w:ascii="Arial" w:eastAsia="Arial" w:hAnsi="Arial" w:cs="Arial"/>
          <w:b/>
          <w:sz w:val="20"/>
          <w:szCs w:val="20"/>
        </w:rPr>
        <w:t xml:space="preserve"> </w:t>
      </w:r>
      <w:r>
        <w:rPr>
          <w:rFonts w:ascii="Arial" w:eastAsia="Arial" w:hAnsi="Arial" w:cs="Arial"/>
          <w:sz w:val="20"/>
          <w:szCs w:val="20"/>
        </w:rPr>
        <w:t>Framework-specific template must be inserted.</w:t>
      </w:r>
    </w:p>
    <w:p w14:paraId="1768FCFB" w14:textId="77777777" w:rsidR="00943958" w:rsidRDefault="00A34277">
      <w:pPr>
        <w:pStyle w:val="Standard"/>
        <w:jc w:val="left"/>
      </w:pPr>
      <w:r>
        <w:rPr>
          <w:rFonts w:ascii="Arial" w:eastAsia="Arial" w:hAnsi="Arial" w:cs="Arial"/>
          <w:sz w:val="20"/>
          <w:szCs w:val="20"/>
        </w:rPr>
        <w:t>The MI Collection team in Data Insights create MI Templates. A minimum standard template is embedded below.</w:t>
      </w:r>
    </w:p>
    <w:p w14:paraId="31BDF16A" w14:textId="77777777" w:rsidR="00943958" w:rsidRDefault="00A34277">
      <w:pPr>
        <w:pStyle w:val="Standard"/>
        <w:jc w:val="left"/>
      </w:pPr>
      <w:r>
        <w:rPr>
          <w:rFonts w:ascii="Arial" w:eastAsia="Arial" w:hAnsi="Arial" w:cs="Arial"/>
          <w:sz w:val="20"/>
          <w:szCs w:val="20"/>
        </w:rPr>
        <w:t>Contact:</w:t>
      </w:r>
    </w:p>
    <w:p w14:paraId="51172647" w14:textId="7FA6B478" w:rsidR="00943958" w:rsidRDefault="00A34277">
      <w:pPr>
        <w:pStyle w:val="Standard"/>
        <w:rPr>
          <w:rFonts w:ascii="Arial" w:eastAsia="Times" w:hAnsi="Arial" w:cs="Arial"/>
          <w:sz w:val="20"/>
          <w:szCs w:val="20"/>
        </w:rPr>
      </w:pPr>
      <w:r w:rsidRPr="00DD32BD">
        <w:rPr>
          <w:rFonts w:ascii="Arial" w:eastAsia="Times" w:hAnsi="Arial" w:cs="Arial"/>
          <w:sz w:val="20"/>
          <w:szCs w:val="20"/>
          <w:highlight w:val="yellow"/>
        </w:rPr>
        <w:t>Please note – template will be shared for final Framework Agreement</w:t>
      </w:r>
    </w:p>
    <w:p w14:paraId="00245B12" w14:textId="77777777" w:rsidR="00943958" w:rsidRDefault="00943958">
      <w:pPr>
        <w:pStyle w:val="Standard"/>
        <w:jc w:val="left"/>
        <w:rPr>
          <w:rFonts w:ascii="Arial" w:eastAsia="Arial" w:hAnsi="Arial" w:cs="Arial"/>
          <w:sz w:val="20"/>
          <w:szCs w:val="20"/>
        </w:rPr>
      </w:pPr>
    </w:p>
    <w:p w14:paraId="0DC67CE3" w14:textId="77777777" w:rsidR="00943958" w:rsidRDefault="00943958">
      <w:pPr>
        <w:pStyle w:val="Standard"/>
        <w:jc w:val="left"/>
        <w:rPr>
          <w:rFonts w:ascii="Arial" w:eastAsia="Arial" w:hAnsi="Arial" w:cs="Arial"/>
          <w:sz w:val="20"/>
          <w:szCs w:val="20"/>
        </w:rPr>
      </w:pPr>
    </w:p>
    <w:p w14:paraId="12B1BE8D" w14:textId="77777777" w:rsidR="00943958" w:rsidRDefault="00943958">
      <w:pPr>
        <w:pStyle w:val="Standard"/>
        <w:jc w:val="left"/>
        <w:rPr>
          <w:rFonts w:ascii="Arial" w:eastAsia="Arial" w:hAnsi="Arial" w:cs="Arial"/>
          <w:sz w:val="20"/>
          <w:szCs w:val="20"/>
        </w:rPr>
      </w:pPr>
    </w:p>
    <w:p w14:paraId="47E7DDE7" w14:textId="77777777" w:rsidR="00943958" w:rsidRDefault="00943958">
      <w:pPr>
        <w:pStyle w:val="Standard"/>
        <w:jc w:val="left"/>
        <w:rPr>
          <w:rFonts w:ascii="Arial" w:eastAsia="Arial" w:hAnsi="Arial" w:cs="Arial"/>
          <w:sz w:val="20"/>
          <w:szCs w:val="20"/>
        </w:rPr>
      </w:pPr>
    </w:p>
    <w:p w14:paraId="2538B92C" w14:textId="77777777" w:rsidR="00943958" w:rsidRDefault="00943958">
      <w:pPr>
        <w:pStyle w:val="Standard"/>
        <w:jc w:val="left"/>
        <w:rPr>
          <w:rFonts w:ascii="Arial" w:eastAsia="Arial" w:hAnsi="Arial" w:cs="Arial"/>
          <w:sz w:val="20"/>
          <w:szCs w:val="20"/>
        </w:rPr>
      </w:pPr>
    </w:p>
    <w:p w14:paraId="0C249944" w14:textId="77777777" w:rsidR="00943958" w:rsidRDefault="00943958">
      <w:pPr>
        <w:pStyle w:val="Standard"/>
        <w:jc w:val="left"/>
        <w:rPr>
          <w:rFonts w:ascii="Arial" w:eastAsia="Arial" w:hAnsi="Arial" w:cs="Arial"/>
          <w:sz w:val="20"/>
          <w:szCs w:val="20"/>
        </w:rPr>
      </w:pPr>
    </w:p>
    <w:p w14:paraId="731875BB" w14:textId="77777777" w:rsidR="00943958" w:rsidRDefault="00943958">
      <w:pPr>
        <w:pStyle w:val="Standard"/>
        <w:rPr>
          <w:rFonts w:ascii="Arial" w:hAnsi="Arial" w:cs="Arial"/>
          <w:sz w:val="20"/>
          <w:szCs w:val="20"/>
        </w:rPr>
      </w:pPr>
    </w:p>
    <w:p w14:paraId="0C697156" w14:textId="77777777" w:rsidR="00943958" w:rsidRDefault="00943958">
      <w:pPr>
        <w:pStyle w:val="Standard"/>
        <w:rPr>
          <w:rFonts w:ascii="Arial" w:hAnsi="Arial" w:cs="Arial"/>
          <w:sz w:val="20"/>
          <w:szCs w:val="20"/>
        </w:rPr>
      </w:pPr>
    </w:p>
    <w:p w14:paraId="442DA105" w14:textId="77777777" w:rsidR="00943958" w:rsidRDefault="00943958">
      <w:pPr>
        <w:pStyle w:val="Standard"/>
        <w:rPr>
          <w:rFonts w:ascii="Arial" w:hAnsi="Arial" w:cs="Arial"/>
          <w:sz w:val="20"/>
          <w:szCs w:val="20"/>
        </w:rPr>
      </w:pPr>
    </w:p>
    <w:p w14:paraId="2587202C" w14:textId="77777777" w:rsidR="00943958" w:rsidRDefault="00943958">
      <w:pPr>
        <w:pStyle w:val="Standard"/>
        <w:jc w:val="left"/>
        <w:rPr>
          <w:rFonts w:ascii="Arial" w:hAnsi="Arial" w:cs="Arial"/>
          <w:sz w:val="20"/>
          <w:szCs w:val="20"/>
        </w:rPr>
      </w:pPr>
    </w:p>
    <w:sectPr w:rsidR="00943958">
      <w:headerReference w:type="default" r:id="rId11"/>
      <w:footerReference w:type="default" r:id="rId12"/>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D958F" w14:textId="77777777" w:rsidR="00544FC3" w:rsidRDefault="00544FC3">
      <w:r>
        <w:separator/>
      </w:r>
    </w:p>
  </w:endnote>
  <w:endnote w:type="continuationSeparator" w:id="0">
    <w:p w14:paraId="6B030BA7" w14:textId="77777777" w:rsidR="00544FC3" w:rsidRDefault="0054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D8393" w14:textId="339484E0" w:rsidR="00027BD5" w:rsidRDefault="00A34277">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FD7BC" w14:textId="77777777" w:rsidR="00544FC3" w:rsidRDefault="00544FC3">
      <w:r>
        <w:separator/>
      </w:r>
    </w:p>
  </w:footnote>
  <w:footnote w:type="continuationSeparator" w:id="0">
    <w:p w14:paraId="09D7F896" w14:textId="77777777" w:rsidR="00544FC3" w:rsidRDefault="0054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1C0D" w14:textId="2FB451BD" w:rsidR="00027BD5" w:rsidRDefault="00A34277">
    <w:pPr>
      <w:pStyle w:val="Standard"/>
      <w:tabs>
        <w:tab w:val="center" w:pos="4513"/>
        <w:tab w:val="right" w:pos="9026"/>
      </w:tabs>
      <w:spacing w:after="0"/>
    </w:pPr>
    <w:r>
      <w:rPr>
        <w:rFonts w:ascii="Arial" w:eastAsia="Arial" w:hAnsi="Arial" w:cs="Arial"/>
        <w:b/>
        <w:color w:val="000000"/>
        <w:sz w:val="20"/>
        <w:szCs w:val="20"/>
      </w:rPr>
      <w:t>Framework Schedule 5 (Management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46EF"/>
    <w:multiLevelType w:val="multilevel"/>
    <w:tmpl w:val="975E868A"/>
    <w:styleLink w:val="WWNum3"/>
    <w:lvl w:ilvl="0">
      <w:start w:val="7"/>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59702E1"/>
    <w:multiLevelType w:val="multilevel"/>
    <w:tmpl w:val="79DA2FEA"/>
    <w:styleLink w:val="WWNum2"/>
    <w:lvl w:ilvl="0">
      <w:start w:val="3"/>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984727F"/>
    <w:multiLevelType w:val="multilevel"/>
    <w:tmpl w:val="FD2C119A"/>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786"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8797356">
    <w:abstractNumId w:val="2"/>
    <w:lvlOverride w:ilvl="0">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786" w:hanging="36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2422" w:hanging="720"/>
        </w:pPr>
        <w:rPr>
          <w:rFonts w:ascii="Arial" w:hAnsi="Arial" w:cs="Arial" w:hint="default"/>
          <w:b w:val="0"/>
          <w:i w:val="0"/>
          <w:caps w:val="0"/>
          <w:smallCaps w:val="0"/>
          <w:strike w:val="0"/>
          <w:dstrike w:val="0"/>
          <w:color w:val="000000"/>
          <w:position w:val="0"/>
          <w:sz w:val="20"/>
          <w:szCs w:val="20"/>
          <w:u w:val="none"/>
          <w:vertAlign w:val="baseline"/>
        </w:rPr>
      </w:lvl>
    </w:lvlOverride>
  </w:num>
  <w:num w:numId="2" w16cid:durableId="10839670">
    <w:abstractNumId w:val="1"/>
    <w:lvlOverride w:ilvl="2">
      <w:lvl w:ilvl="2">
        <w:start w:val="1"/>
        <w:numFmt w:val="decimal"/>
        <w:lvlText w:val="%1.%2.%3"/>
        <w:lvlJc w:val="left"/>
        <w:pPr>
          <w:ind w:left="2422"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3" w16cid:durableId="1955135684">
    <w:abstractNumId w:val="0"/>
    <w:lvlOverride w:ilvl="1">
      <w:lvl w:ilvl="1">
        <w:start w:val="1"/>
        <w:numFmt w:val="decimal"/>
        <w:lvlText w:val="%1.%2"/>
        <w:lvlJc w:val="left"/>
        <w:pPr>
          <w:ind w:left="786" w:hanging="36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4" w16cid:durableId="2109738352">
    <w:abstractNumId w:val="0"/>
  </w:num>
  <w:num w:numId="5" w16cid:durableId="1872837824">
    <w:abstractNumId w:val="1"/>
  </w:num>
  <w:num w:numId="6" w16cid:durableId="7610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249"/>
    <w:docVar w:name="Revision" w:val="2"/>
  </w:docVars>
  <w:rsids>
    <w:rsidRoot w:val="00943958"/>
    <w:rsid w:val="00027BD5"/>
    <w:rsid w:val="000561D3"/>
    <w:rsid w:val="001C27D5"/>
    <w:rsid w:val="002908DE"/>
    <w:rsid w:val="00294A0C"/>
    <w:rsid w:val="003A701E"/>
    <w:rsid w:val="00544FC3"/>
    <w:rsid w:val="00701BAF"/>
    <w:rsid w:val="007A16D8"/>
    <w:rsid w:val="008156C0"/>
    <w:rsid w:val="008F2269"/>
    <w:rsid w:val="00904D64"/>
    <w:rsid w:val="00943958"/>
    <w:rsid w:val="00A34277"/>
    <w:rsid w:val="00A34B1F"/>
    <w:rsid w:val="00AE7256"/>
    <w:rsid w:val="00AE76E4"/>
    <w:rsid w:val="00B557A6"/>
    <w:rsid w:val="00C72266"/>
    <w:rsid w:val="00C764C0"/>
    <w:rsid w:val="00C90C1F"/>
    <w:rsid w:val="00DD32BD"/>
    <w:rsid w:val="00DE3292"/>
    <w:rsid w:val="00E16EF1"/>
    <w:rsid w:val="00E23414"/>
    <w:rsid w:val="00E72759"/>
    <w:rsid w:val="00EE1B1D"/>
    <w:rsid w:val="00F00CDD"/>
    <w:rsid w:val="00F11B7D"/>
    <w:rsid w:val="00F13015"/>
    <w:rsid w:val="00F96F0E"/>
    <w:rsid w:val="4D995C78"/>
    <w:rsid w:val="6584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7078"/>
  <w15:docId w15:val="{A4F7A790-545E-48BF-9113-B3C45814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eastAsia="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eastAsia="Arial" w:cs="Arial"/>
      <w:b/>
      <w:i w:val="0"/>
      <w:caps w:val="0"/>
      <w:smallCaps w:val="0"/>
      <w:strike w:val="0"/>
      <w:dstrike w:val="0"/>
      <w:color w:val="000000"/>
      <w:position w:val="0"/>
      <w:sz w:val="24"/>
      <w:szCs w:val="24"/>
      <w:u w:val="none"/>
      <w:vertAlign w:val="baseline"/>
    </w:rPr>
  </w:style>
  <w:style w:type="character" w:customStyle="1" w:styleId="ListLabel14">
    <w:name w:val="ListLabel 14"/>
    <w:rPr>
      <w:rFonts w:eastAsia="Arial" w:cs="Arial"/>
      <w:b w:val="0"/>
      <w:i w:val="0"/>
      <w:caps w:val="0"/>
      <w:smallCaps w:val="0"/>
      <w:strike w:val="0"/>
      <w:dstrike w:val="0"/>
      <w:color w:val="000000"/>
      <w:position w:val="0"/>
      <w:sz w:val="24"/>
      <w:szCs w:val="24"/>
      <w:u w:val="none"/>
      <w:vertAlign w:val="baseline"/>
    </w:rPr>
  </w:style>
  <w:style w:type="character" w:customStyle="1" w:styleId="ListLabel15">
    <w:name w:val="ListLabel 15"/>
    <w:rPr>
      <w:rFonts w:eastAsia="Arial" w:cs="Arial"/>
      <w:b w:val="0"/>
      <w:i w:val="0"/>
      <w:caps w:val="0"/>
      <w:smallCaps w:val="0"/>
      <w:strike w:val="0"/>
      <w:dstrike w:val="0"/>
      <w:color w:val="000000"/>
      <w:position w:val="0"/>
      <w:sz w:val="24"/>
      <w:szCs w:val="24"/>
      <w:u w:val="none"/>
      <w:vertAlign w:val="baseline"/>
    </w:rPr>
  </w:style>
  <w:style w:type="character" w:customStyle="1" w:styleId="ListLabel16">
    <w:name w:val="ListLabel 16"/>
    <w:rPr>
      <w:b w:val="0"/>
      <w:i w:val="0"/>
      <w:caps w:val="0"/>
      <w:smallCaps w:val="0"/>
      <w:strike w:val="0"/>
      <w:dstrike w:val="0"/>
      <w:color w:val="000000"/>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character" w:customStyle="1" w:styleId="ListLabel19">
    <w:name w:val="ListLabel 19"/>
    <w:rPr>
      <w:rFonts w:ascii="Arial" w:eastAsia="Arial" w:hAnsi="Arial" w:cs="Arial"/>
      <w:color w:val="0000FF"/>
      <w:sz w:val="24"/>
      <w:szCs w:val="24"/>
      <w:u w:val="single"/>
    </w:rPr>
  </w:style>
  <w:style w:type="character" w:customStyle="1" w:styleId="Internetlink">
    <w:name w:val="Internet link"/>
    <w:rPr>
      <w:color w:val="000080"/>
      <w:u w:val="single"/>
    </w:rPr>
  </w:style>
  <w:style w:type="character" w:customStyle="1" w:styleId="ListLabel20">
    <w:name w:val="ListLabel 20"/>
    <w:rPr>
      <w:rFonts w:ascii="Arial" w:eastAsia="Arial" w:hAnsi="Arial" w:cs="Arial"/>
      <w:color w:val="1155CC"/>
      <w:sz w:val="24"/>
      <w:szCs w:val="24"/>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0"/>
    </w:rPr>
  </w:style>
  <w:style w:type="paragraph" w:styleId="Revision">
    <w:name w:val="Revision"/>
    <w:pPr>
      <w:widowControl/>
      <w:textAlignment w:val="auto"/>
    </w:pPr>
    <w:rPr>
      <w:rFonts w:cs="Mangal"/>
      <w:szCs w:val="20"/>
    </w:rPr>
  </w:style>
  <w:style w:type="numbering" w:customStyle="1" w:styleId="WWNum1">
    <w:name w:val="WWNum1"/>
    <w:basedOn w:val="NoList"/>
    <w:pPr>
      <w:numPr>
        <w:numId w:val="6"/>
      </w:numPr>
    </w:pPr>
  </w:style>
  <w:style w:type="numbering" w:customStyle="1" w:styleId="WWNum2">
    <w:name w:val="WWNum2"/>
    <w:basedOn w:val="NoList"/>
    <w:pPr>
      <w:numPr>
        <w:numId w:val="5"/>
      </w:numPr>
    </w:pPr>
  </w:style>
  <w:style w:type="numbering" w:customStyle="1" w:styleId="WWNum3">
    <w:name w:val="WWNum3"/>
    <w:basedOn w:val="NoList"/>
    <w:pPr>
      <w:numPr>
        <w:numId w:val="4"/>
      </w:numPr>
    </w:pPr>
  </w:style>
  <w:style w:type="paragraph" w:styleId="NormalWeb">
    <w:name w:val="Normal (Web)"/>
    <w:basedOn w:val="Normal"/>
    <w:uiPriority w:val="99"/>
    <w:semiHidden/>
    <w:unhideWhenUsed/>
    <w:rsid w:val="002908DE"/>
    <w:pPr>
      <w:suppressAutoHyphens w:val="0"/>
      <w:autoSpaceDN/>
      <w:spacing w:before="100" w:beforeAutospacing="1" w:after="100" w:afterAutospacing="1"/>
      <w:jc w:val="left"/>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2024-03-12T14:35:36+00:00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WWVFZ3DUP6VR-488400291-77297</_dlc_DocId>
    <_dlc_DocIdUrl xmlns="2289aba0-e0ce-4c45-9e32-eab2d8212a20">
      <Url>https://beisgov.sharepoint.com/sites/ESC/_layouts/15/DocIdRedir.aspx?ID=WWVFZ3DUP6VR-488400291-77297</Url>
      <Description>WWVFZ3DUP6VR-488400291-77297</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C569F-15AB-4BAD-8C64-4FA5E7B75BC0}">
  <ds:schemaRefs>
    <ds:schemaRef ds:uri="http://schemas.microsoft.com/sharepoint/events"/>
  </ds:schemaRefs>
</ds:datastoreItem>
</file>

<file path=customXml/itemProps2.xml><?xml version="1.0" encoding="utf-8"?>
<ds:datastoreItem xmlns:ds="http://schemas.openxmlformats.org/officeDocument/2006/customXml" ds:itemID="{29E0C5DC-355B-4D81-B49A-24133059CC7B}"/>
</file>

<file path=customXml/itemProps3.xml><?xml version="1.0" encoding="utf-8"?>
<ds:datastoreItem xmlns:ds="http://schemas.openxmlformats.org/officeDocument/2006/customXml" ds:itemID="{5DA2CAEC-60CB-4720-A673-53704318408B}">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FF0221FB-2D4B-4B84-9952-A20A319D7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Berry</dc:creator>
  <cp:lastModifiedBy>Walkem, Mark (Energy Security)</cp:lastModifiedBy>
  <cp:revision>5</cp:revision>
  <dcterms:created xsi:type="dcterms:W3CDTF">2024-03-12T14:35:00Z</dcterms:created>
  <dcterms:modified xsi:type="dcterms:W3CDTF">2024-04-17T14:19:00Z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4cb0d39c-014b-46c6-8980-116382cca422</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2024-02-15T10:27:53Z</vt:lpwstr>
  </property>
  <property fmtid="{D5CDD505-2E9C-101B-9397-08002B2CF9AE}" pid="11" name="MSIP_Label_ba62f585-b40f-4ab9-bafe-39150f03d124_SiteId">
    <vt:lpwstr>cbac7005-02c1-43eb-b497-e6492d1b2dd8</vt:lpwstr>
  </property>
  <property fmtid="{D5CDD505-2E9C-101B-9397-08002B2CF9AE}" pid="12" name="_dlc_DocIdItemGuid">
    <vt:lpwstr>57f163f4-b11b-44ce-a7fa-20f3dacc7b69</vt:lpwstr>
  </property>
  <property fmtid="{D5CDD505-2E9C-101B-9397-08002B2CF9AE}" pid="13" name="Business_x0020_Unit">
    <vt:lpwstr>1;#BEIS:Corporate Services:Commercial and Operations Directorate|b75c6dd9-ca6e-4b01-bb8f-6b86ad456017</vt:lpwstr>
  </property>
</Properties>
</file>