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67C11" w:rsidP="00612809" w:rsidRDefault="00612809" w14:paraId="146D528D" w14:textId="094A09FB">
      <w:pPr>
        <w:jc w:val="center"/>
        <w:rPr>
          <w:rFonts w:ascii="Arial" w:hAnsi="Arial" w:eastAsia="Arial" w:cs="Arial"/>
          <w:color w:val="00717F"/>
          <w:sz w:val="32"/>
          <w:szCs w:val="32"/>
        </w:rPr>
      </w:pPr>
      <w:r w:rsidRPr="08C57EAA">
        <w:rPr>
          <w:rFonts w:ascii="Arial" w:hAnsi="Arial" w:eastAsia="Arial" w:cs="Arial"/>
          <w:b/>
          <w:color w:val="00717F"/>
          <w:sz w:val="32"/>
          <w:szCs w:val="32"/>
        </w:rPr>
        <w:t>Connecting Innovation</w:t>
      </w:r>
    </w:p>
    <w:p w:rsidR="00667C11" w:rsidP="5103D5DA" w:rsidRDefault="1F3D3E9B" w14:paraId="0A8206B7" w14:textId="50FABF6B">
      <w:pPr>
        <w:jc w:val="center"/>
        <w:rPr>
          <w:rFonts w:ascii="Arial" w:hAnsi="Arial" w:eastAsia="Arial" w:cs="Arial"/>
          <w:color w:val="00717F"/>
          <w:sz w:val="32"/>
          <w:szCs w:val="32"/>
        </w:rPr>
      </w:pPr>
      <w:r w:rsidRPr="08C57EAA">
        <w:rPr>
          <w:rFonts w:ascii="Arial" w:hAnsi="Arial" w:eastAsia="Arial" w:cs="Arial"/>
          <w:b/>
          <w:color w:val="00717F"/>
          <w:sz w:val="32"/>
          <w:szCs w:val="32"/>
        </w:rPr>
        <w:t>High Impact Project Advert Template</w:t>
      </w:r>
    </w:p>
    <w:p w:rsidR="08C57EAA" w:rsidP="08C57EAA" w:rsidRDefault="08C57EAA" w14:paraId="705C2EB8" w14:textId="40184B6F">
      <w:pPr>
        <w:jc w:val="center"/>
        <w:rPr>
          <w:rFonts w:ascii="Calibri" w:hAnsi="Calibri" w:eastAsia="Calibri" w:cs="Calibri"/>
          <w:color w:val="00717F"/>
          <w:sz w:val="32"/>
          <w:szCs w:val="32"/>
        </w:rPr>
      </w:pPr>
    </w:p>
    <w:tbl>
      <w:tblPr>
        <w:tblStyle w:val="TableGrid"/>
        <w:tblW w:w="9923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3405"/>
        <w:gridCol w:w="6518"/>
      </w:tblGrid>
      <w:tr w:rsidR="08C57EAA" w:rsidTr="54D68B37" w14:paraId="3036A1A6" w14:textId="77777777">
        <w:trPr>
          <w:trHeight w:val="570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24F0A039" w14:textId="7357CF3F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36291A" w14:paraId="74BF9DE1" w14:textId="2DB1D3BD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Alliance Transport Technologies Ltd</w:t>
            </w:r>
          </w:p>
        </w:tc>
      </w:tr>
      <w:tr w:rsidR="08C57EAA" w:rsidTr="54D68B37" w14:paraId="4ED5AC7E" w14:textId="77777777">
        <w:trPr>
          <w:trHeight w:val="1230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3E6B5C53" w14:textId="324356A2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Company Address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36291A" w14:paraId="2DBBFD3A" w14:textId="22497723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Registered at: The Arc, High Street, Clowne, Derbyshire,</w:t>
            </w:r>
            <w:r w:rsidR="008777F1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S43 4JY</w:t>
            </w:r>
          </w:p>
        </w:tc>
      </w:tr>
      <w:tr w:rsidR="08C57EAA" w:rsidTr="54D68B37" w14:paraId="2E4E77A1" w14:textId="77777777">
        <w:trPr>
          <w:trHeight w:val="435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29619FEB" w14:textId="52FFB9F0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Company Contact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391A43" w14:paraId="10565350" w14:textId="2A3688B6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Bernard Keane</w:t>
            </w:r>
          </w:p>
        </w:tc>
      </w:tr>
      <w:tr w:rsidR="08C57EAA" w:rsidTr="54D68B37" w14:paraId="553BD86B" w14:textId="77777777">
        <w:trPr>
          <w:trHeight w:val="975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04541495" w14:textId="7A878317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Description of Company Activity 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82210" w:rsidR="00082210" w:rsidP="08C57EAA" w:rsidRDefault="008777F1" w14:paraId="1A835E01" w14:textId="77777777">
            <w:pPr>
              <w:spacing w:after="160"/>
              <w:rPr>
                <w:rFonts w:ascii="Arial" w:hAnsi="Arial" w:cs="Arial"/>
              </w:rPr>
            </w:pPr>
            <w:r w:rsidRPr="00082210">
              <w:rPr>
                <w:rFonts w:ascii="Arial" w:hAnsi="Arial" w:cs="Arial"/>
              </w:rPr>
              <w:t>Our current business activities include the remanufacturing of electronic components</w:t>
            </w:r>
            <w:r w:rsidRPr="00082210" w:rsidR="00F0056E">
              <w:rPr>
                <w:rFonts w:ascii="Arial" w:hAnsi="Arial" w:cs="Arial"/>
              </w:rPr>
              <w:t xml:space="preserve">, energy storage systems  </w:t>
            </w:r>
            <w:r w:rsidRPr="00082210">
              <w:rPr>
                <w:rFonts w:ascii="Arial" w:hAnsi="Arial" w:cs="Arial"/>
              </w:rPr>
              <w:t xml:space="preserve"> </w:t>
            </w:r>
            <w:r w:rsidRPr="00082210" w:rsidR="00DE65EA">
              <w:rPr>
                <w:rFonts w:ascii="Arial" w:hAnsi="Arial" w:cs="Arial"/>
              </w:rPr>
              <w:t>and emission products to</w:t>
            </w:r>
            <w:r w:rsidRPr="00082210" w:rsidR="00F0056E">
              <w:rPr>
                <w:rFonts w:ascii="Arial" w:hAnsi="Arial" w:cs="Arial"/>
              </w:rPr>
              <w:t xml:space="preserve"> operators and repairers of commercial</w:t>
            </w:r>
            <w:r w:rsidRPr="00082210" w:rsidR="00DE65EA">
              <w:rPr>
                <w:rFonts w:ascii="Arial" w:hAnsi="Arial" w:cs="Arial"/>
              </w:rPr>
              <w:t xml:space="preserve"> </w:t>
            </w:r>
            <w:r w:rsidRPr="00082210" w:rsidR="00F0056E">
              <w:rPr>
                <w:rFonts w:ascii="Arial" w:hAnsi="Arial" w:cs="Arial"/>
              </w:rPr>
              <w:t>and public service vehicle</w:t>
            </w:r>
            <w:r w:rsidRPr="00082210">
              <w:rPr>
                <w:rFonts w:ascii="Arial" w:hAnsi="Arial" w:cs="Arial"/>
              </w:rPr>
              <w:t xml:space="preserve"> </w:t>
            </w:r>
            <w:r w:rsidRPr="00082210" w:rsidR="00F0056E">
              <w:rPr>
                <w:rFonts w:ascii="Arial" w:hAnsi="Arial" w:cs="Arial"/>
              </w:rPr>
              <w:t xml:space="preserve">operators. </w:t>
            </w:r>
          </w:p>
          <w:p w:rsidRPr="00082210" w:rsidR="08C57EAA" w:rsidP="08C57EAA" w:rsidRDefault="00F0056E" w14:paraId="601BC300" w14:textId="0CD67641">
            <w:pPr>
              <w:spacing w:after="160"/>
              <w:rPr>
                <w:rFonts w:ascii="Arial" w:hAnsi="Arial" w:cs="Arial"/>
              </w:rPr>
            </w:pPr>
            <w:r w:rsidRPr="00082210">
              <w:rPr>
                <w:rFonts w:ascii="Arial" w:hAnsi="Arial" w:cs="Arial"/>
              </w:rPr>
              <w:t xml:space="preserve">Remanufactured </w:t>
            </w:r>
            <w:r w:rsidRPr="00082210" w:rsidR="00082210">
              <w:rPr>
                <w:rFonts w:ascii="Arial" w:hAnsi="Arial" w:cs="Arial"/>
              </w:rPr>
              <w:t>parts are</w:t>
            </w:r>
            <w:r w:rsidRPr="00082210" w:rsidR="008777F1">
              <w:rPr>
                <w:rFonts w:ascii="Arial" w:hAnsi="Arial" w:cs="Arial"/>
              </w:rPr>
              <w:t xml:space="preserve"> channelled through a sales and parts distribution centre (Cleckheaton) and commercial workshop (Featherstone) in the Leeds City LEP area. These centres support our current customer base across the UK with a team of specialist field service and emissions retrofit engineers. We currently employ 60 people over three sites.</w:t>
            </w:r>
          </w:p>
        </w:tc>
      </w:tr>
      <w:tr w:rsidR="08C57EAA" w:rsidTr="54D68B37" w14:paraId="09D266E6" w14:textId="77777777">
        <w:trPr>
          <w:trHeight w:val="1680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69DDF7BE" w14:textId="62C8F073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Objective of the proposed project (Please explain what is required in the project) (max 250 words)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82742" w:rsidP="08C57EAA" w:rsidRDefault="008777F1" w14:paraId="64E64D85" w14:textId="77777777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D8B6F63">
              <w:rPr>
                <w:rFonts w:ascii="Arial" w:hAnsi="Arial" w:eastAsia="Arial" w:cs="Arial"/>
                <w:color w:val="000000" w:themeColor="text1"/>
              </w:rPr>
              <w:t>The</w:t>
            </w:r>
            <w:r w:rsidRPr="0D8B6F63" w:rsidR="00113D4D">
              <w:rPr>
                <w:rFonts w:ascii="Arial" w:hAnsi="Arial" w:eastAsia="Arial" w:cs="Arial"/>
                <w:color w:val="000000" w:themeColor="text1"/>
              </w:rPr>
              <w:t xml:space="preserve"> ‘ATT Connect’</w:t>
            </w:r>
            <w:r w:rsidRPr="0D8B6F63">
              <w:rPr>
                <w:rFonts w:ascii="Arial" w:hAnsi="Arial" w:eastAsia="Arial" w:cs="Arial"/>
                <w:color w:val="000000" w:themeColor="text1"/>
              </w:rPr>
              <w:t xml:space="preserve"> project is to create a single </w:t>
            </w:r>
            <w:r w:rsidR="00974738">
              <w:rPr>
                <w:rFonts w:ascii="Arial" w:hAnsi="Arial" w:eastAsia="Arial" w:cs="Arial"/>
                <w:color w:val="000000" w:themeColor="text1"/>
              </w:rPr>
              <w:t xml:space="preserve">Enterprise Resource Planning (ERP) </w:t>
            </w:r>
            <w:r w:rsidRPr="0D8B6F63">
              <w:rPr>
                <w:rFonts w:ascii="Arial" w:hAnsi="Arial" w:eastAsia="Arial" w:cs="Arial"/>
                <w:color w:val="000000" w:themeColor="text1"/>
              </w:rPr>
              <w:t>platform</w:t>
            </w:r>
            <w:r w:rsidRPr="0D8B6F63" w:rsidR="00721D0C">
              <w:rPr>
                <w:rFonts w:ascii="Arial" w:hAnsi="Arial" w:eastAsia="Arial" w:cs="Arial"/>
                <w:color w:val="000000" w:themeColor="text1"/>
              </w:rPr>
              <w:t xml:space="preserve"> to</w:t>
            </w:r>
            <w:r w:rsidR="004A267D">
              <w:rPr>
                <w:rFonts w:ascii="Arial" w:hAnsi="Arial" w:eastAsia="Arial" w:cs="Arial"/>
                <w:color w:val="000000" w:themeColor="text1"/>
              </w:rPr>
              <w:t xml:space="preserve"> allow bus and truck operators to</w:t>
            </w:r>
            <w:r w:rsidRPr="0D8B6F63" w:rsidR="00721D0C">
              <w:rPr>
                <w:rFonts w:ascii="Arial" w:hAnsi="Arial" w:eastAsia="Arial" w:cs="Arial"/>
                <w:color w:val="000000" w:themeColor="text1"/>
              </w:rPr>
              <w:t xml:space="preserve"> identify and source remanufactured engineering/electronic components for their vehicle </w:t>
            </w:r>
            <w:r w:rsidRPr="0D8B6F63" w:rsidR="00275666">
              <w:rPr>
                <w:rFonts w:ascii="Arial" w:hAnsi="Arial" w:eastAsia="Arial" w:cs="Arial"/>
                <w:color w:val="000000" w:themeColor="text1"/>
              </w:rPr>
              <w:t xml:space="preserve">fleets. </w:t>
            </w:r>
          </w:p>
          <w:p w:rsidR="00C82742" w:rsidP="08C57EAA" w:rsidRDefault="00275666" w14:paraId="08E36FDA" w14:textId="77777777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D8B6F63">
              <w:rPr>
                <w:rFonts w:ascii="Arial" w:hAnsi="Arial" w:eastAsia="Arial" w:cs="Arial"/>
                <w:color w:val="000000" w:themeColor="text1"/>
              </w:rPr>
              <w:t>The</w:t>
            </w:r>
            <w:r w:rsidRPr="0D8B6F63" w:rsidR="00113D4D">
              <w:rPr>
                <w:rFonts w:ascii="Arial" w:hAnsi="Arial" w:eastAsia="Arial" w:cs="Arial"/>
                <w:color w:val="000000" w:themeColor="text1"/>
              </w:rPr>
              <w:t xml:space="preserve"> objective is to increase</w:t>
            </w:r>
            <w:r w:rsidR="004A267D">
              <w:rPr>
                <w:rFonts w:ascii="Arial" w:hAnsi="Arial" w:eastAsia="Arial" w:cs="Arial"/>
                <w:color w:val="000000" w:themeColor="text1"/>
              </w:rPr>
              <w:t xml:space="preserve"> the awareness of remanufacturing and the benefits it brings</w:t>
            </w:r>
            <w:r w:rsidR="005B6287">
              <w:rPr>
                <w:rFonts w:ascii="Arial" w:hAnsi="Arial" w:eastAsia="Arial" w:cs="Arial"/>
                <w:color w:val="000000" w:themeColor="text1"/>
              </w:rPr>
              <w:t xml:space="preserve"> to the environment</w:t>
            </w:r>
            <w:r w:rsidR="004A267D">
              <w:rPr>
                <w:rFonts w:ascii="Arial" w:hAnsi="Arial" w:eastAsia="Arial" w:cs="Arial"/>
                <w:color w:val="000000" w:themeColor="text1"/>
              </w:rPr>
              <w:t xml:space="preserve"> in reducing carbon emissions.</w:t>
            </w:r>
            <w:r w:rsidRPr="0D8B6F63" w:rsidR="00721D0C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00C82742" w:rsidP="08C57EAA" w:rsidRDefault="00721D0C" w14:paraId="27533AA6" w14:textId="48370E77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D8B6F63">
              <w:rPr>
                <w:rFonts w:ascii="Arial" w:hAnsi="Arial" w:eastAsia="Arial" w:cs="Arial"/>
                <w:color w:val="000000" w:themeColor="text1"/>
              </w:rPr>
              <w:t>This will be achieved by</w:t>
            </w:r>
            <w:r w:rsidR="00974738">
              <w:rPr>
                <w:rFonts w:ascii="Arial" w:hAnsi="Arial" w:eastAsia="Arial" w:cs="Arial"/>
                <w:color w:val="000000" w:themeColor="text1"/>
              </w:rPr>
              <w:t xml:space="preserve"> linking together the current stand-alone systems being used </w:t>
            </w:r>
            <w:r w:rsidR="005518ED">
              <w:rPr>
                <w:rFonts w:ascii="Arial" w:hAnsi="Arial" w:eastAsia="Arial" w:cs="Arial"/>
                <w:color w:val="000000" w:themeColor="text1"/>
              </w:rPr>
              <w:t xml:space="preserve">by ATT </w:t>
            </w:r>
            <w:r w:rsidR="00974738">
              <w:rPr>
                <w:rFonts w:ascii="Arial" w:hAnsi="Arial" w:eastAsia="Arial" w:cs="Arial"/>
                <w:color w:val="000000" w:themeColor="text1"/>
              </w:rPr>
              <w:t xml:space="preserve">to </w:t>
            </w:r>
            <w:r w:rsidR="00C82742">
              <w:rPr>
                <w:rFonts w:ascii="Arial" w:hAnsi="Arial" w:eastAsia="Arial" w:cs="Arial"/>
                <w:color w:val="000000" w:themeColor="text1"/>
              </w:rPr>
              <w:t xml:space="preserve">manage </w:t>
            </w:r>
            <w:r w:rsidRPr="0D8B6F63" w:rsidR="00C82742">
              <w:rPr>
                <w:rFonts w:ascii="Arial" w:hAnsi="Arial" w:eastAsia="Arial" w:cs="Arial"/>
                <w:color w:val="000000" w:themeColor="text1"/>
              </w:rPr>
              <w:t>financial</w:t>
            </w:r>
            <w:r w:rsidR="00974738">
              <w:rPr>
                <w:rFonts w:ascii="Arial" w:hAnsi="Arial" w:eastAsia="Arial" w:cs="Arial"/>
                <w:color w:val="000000" w:themeColor="text1"/>
              </w:rPr>
              <w:t xml:space="preserve"> information, operations, commerce</w:t>
            </w:r>
            <w:r w:rsidR="00C82742">
              <w:rPr>
                <w:rFonts w:ascii="Arial" w:hAnsi="Arial" w:eastAsia="Arial" w:cs="Arial"/>
                <w:color w:val="000000" w:themeColor="text1"/>
              </w:rPr>
              <w:t xml:space="preserve">, </w:t>
            </w:r>
            <w:proofErr w:type="gramStart"/>
            <w:r w:rsidR="00C82742">
              <w:rPr>
                <w:rFonts w:ascii="Arial" w:hAnsi="Arial" w:eastAsia="Arial" w:cs="Arial"/>
                <w:color w:val="000000" w:themeColor="text1"/>
              </w:rPr>
              <w:t>remanufacturing</w:t>
            </w:r>
            <w:proofErr w:type="gramEnd"/>
            <w:r w:rsidR="00974738">
              <w:rPr>
                <w:rFonts w:ascii="Arial" w:hAnsi="Arial" w:eastAsia="Arial" w:cs="Arial"/>
                <w:color w:val="000000" w:themeColor="text1"/>
              </w:rPr>
              <w:t xml:space="preserve"> and supply chains</w:t>
            </w:r>
            <w:r w:rsidR="00C82742">
              <w:rPr>
                <w:rFonts w:ascii="Arial" w:hAnsi="Arial" w:eastAsia="Arial" w:cs="Arial"/>
                <w:color w:val="000000" w:themeColor="text1"/>
              </w:rPr>
              <w:t xml:space="preserve"> under a single ERP platform.</w:t>
            </w:r>
          </w:p>
          <w:p w:rsidRPr="009C3171" w:rsidR="00776EDD" w:rsidP="005B765F" w:rsidRDefault="00113D4D" w14:paraId="32E920FB" w14:textId="06E04931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D8B6F63">
              <w:rPr>
                <w:rFonts w:ascii="Arial" w:hAnsi="Arial" w:cs="Arial"/>
              </w:rPr>
              <w:t>The</w:t>
            </w:r>
            <w:r w:rsidRPr="0D8B6F63" w:rsidR="00D531C8">
              <w:rPr>
                <w:rFonts w:ascii="Arial" w:hAnsi="Arial" w:cs="Arial"/>
              </w:rPr>
              <w:t xml:space="preserve"> ‘ATT Connect’ project will incorporate </w:t>
            </w:r>
            <w:r w:rsidRPr="0D8B6F63">
              <w:rPr>
                <w:rFonts w:ascii="Arial" w:hAnsi="Arial" w:cs="Arial"/>
              </w:rPr>
              <w:t>an innovative ‘app’ which gives end users</w:t>
            </w:r>
            <w:r w:rsidRPr="0D8B6F63" w:rsidR="00D531C8">
              <w:rPr>
                <w:rFonts w:ascii="Arial" w:hAnsi="Arial" w:cs="Arial"/>
              </w:rPr>
              <w:t xml:space="preserve"> </w:t>
            </w:r>
            <w:r w:rsidRPr="0D8B6F63" w:rsidR="002B21C4">
              <w:rPr>
                <w:rFonts w:ascii="Arial" w:hAnsi="Arial" w:cs="Arial"/>
              </w:rPr>
              <w:t>direct information on the</w:t>
            </w:r>
            <w:r w:rsidRPr="0D8B6F63" w:rsidR="00D531C8">
              <w:rPr>
                <w:rFonts w:ascii="Arial" w:hAnsi="Arial" w:cs="Arial"/>
              </w:rPr>
              <w:t xml:space="preserve"> availab</w:t>
            </w:r>
            <w:r w:rsidRPr="0D8B6F63" w:rsidR="002B21C4">
              <w:rPr>
                <w:rFonts w:ascii="Arial" w:hAnsi="Arial" w:cs="Arial"/>
              </w:rPr>
              <w:t xml:space="preserve">ility of </w:t>
            </w:r>
            <w:r w:rsidRPr="0D8B6F63" w:rsidR="00D531C8">
              <w:rPr>
                <w:rFonts w:ascii="Arial" w:hAnsi="Arial" w:cs="Arial"/>
              </w:rPr>
              <w:t xml:space="preserve">remanufactured </w:t>
            </w:r>
            <w:r w:rsidRPr="0D8B6F63" w:rsidR="008C617D">
              <w:rPr>
                <w:rFonts w:ascii="Arial" w:hAnsi="Arial" w:cs="Arial"/>
              </w:rPr>
              <w:t>products</w:t>
            </w:r>
            <w:r w:rsidRPr="0D8B6F63" w:rsidR="00D531C8">
              <w:rPr>
                <w:rFonts w:ascii="Arial" w:hAnsi="Arial" w:cs="Arial"/>
              </w:rPr>
              <w:t xml:space="preserve"> specific to their vehicle fleets</w:t>
            </w:r>
            <w:r w:rsidR="005B765F">
              <w:rPr>
                <w:rFonts w:ascii="Arial" w:hAnsi="Arial" w:cs="Arial"/>
              </w:rPr>
              <w:t xml:space="preserve">. </w:t>
            </w:r>
            <w:r w:rsidR="00806F6F">
              <w:rPr>
                <w:rFonts w:ascii="Arial" w:hAnsi="Arial" w:cs="Arial"/>
              </w:rPr>
              <w:t>I</w:t>
            </w:r>
            <w:r w:rsidR="00C82742">
              <w:rPr>
                <w:rFonts w:ascii="Arial" w:hAnsi="Arial" w:cs="Arial"/>
              </w:rPr>
              <w:t>t will give customers</w:t>
            </w:r>
            <w:r w:rsidRPr="0D8B6F63" w:rsidR="002B21C4">
              <w:rPr>
                <w:rFonts w:ascii="Arial" w:hAnsi="Arial" w:cs="Arial"/>
              </w:rPr>
              <w:t xml:space="preserve"> </w:t>
            </w:r>
            <w:r w:rsidR="00C82742">
              <w:rPr>
                <w:rFonts w:ascii="Arial" w:hAnsi="Arial" w:cs="Arial"/>
              </w:rPr>
              <w:t>the ability to</w:t>
            </w:r>
            <w:r w:rsidRPr="0D8B6F63" w:rsidR="002B21C4">
              <w:rPr>
                <w:rFonts w:ascii="Arial" w:hAnsi="Arial" w:cs="Arial"/>
              </w:rPr>
              <w:t xml:space="preserve"> obtain quotations, place &amp; track order</w:t>
            </w:r>
            <w:r w:rsidR="00806F6F">
              <w:rPr>
                <w:rFonts w:ascii="Arial" w:hAnsi="Arial" w:cs="Arial"/>
              </w:rPr>
              <w:t>s,</w:t>
            </w:r>
            <w:r w:rsidRPr="0D8B6F63" w:rsidR="002B21C4">
              <w:rPr>
                <w:rFonts w:ascii="Arial" w:hAnsi="Arial" w:cs="Arial"/>
              </w:rPr>
              <w:t xml:space="preserve"> authorise payment</w:t>
            </w:r>
            <w:r w:rsidR="00C82742">
              <w:rPr>
                <w:rFonts w:ascii="Arial" w:hAnsi="Arial" w:cs="Arial"/>
              </w:rPr>
              <w:t>s</w:t>
            </w:r>
            <w:r w:rsidR="005B765F">
              <w:rPr>
                <w:rFonts w:ascii="Arial" w:hAnsi="Arial" w:cs="Arial"/>
              </w:rPr>
              <w:t xml:space="preserve">. A live customer dashboard </w:t>
            </w:r>
            <w:r w:rsidRPr="0D8B6F63" w:rsidR="00275666">
              <w:rPr>
                <w:rFonts w:ascii="Arial" w:hAnsi="Arial" w:cs="Arial"/>
              </w:rPr>
              <w:t xml:space="preserve">will show purchase history, current order/repair status and show </w:t>
            </w:r>
            <w:r w:rsidR="005B765F">
              <w:rPr>
                <w:rFonts w:ascii="Arial" w:hAnsi="Arial" w:cs="Arial"/>
              </w:rPr>
              <w:t>the amount of carbon savings</w:t>
            </w:r>
            <w:r w:rsidR="00A7148F">
              <w:rPr>
                <w:rFonts w:ascii="Arial" w:hAnsi="Arial" w:cs="Arial"/>
              </w:rPr>
              <w:t xml:space="preserve"> achieved</w:t>
            </w:r>
            <w:r w:rsidR="005B765F">
              <w:rPr>
                <w:rFonts w:ascii="Arial" w:hAnsi="Arial" w:cs="Arial"/>
              </w:rPr>
              <w:t xml:space="preserve"> via remanufacturing.</w:t>
            </w:r>
            <w:r w:rsidRPr="0D8B6F63" w:rsidR="00275666">
              <w:rPr>
                <w:rFonts w:ascii="Arial" w:hAnsi="Arial" w:cs="Arial"/>
              </w:rPr>
              <w:t xml:space="preserve"> </w:t>
            </w:r>
          </w:p>
        </w:tc>
      </w:tr>
      <w:tr w:rsidR="08C57EAA" w:rsidTr="54D68B37" w14:paraId="6025E579" w14:textId="77777777">
        <w:trPr>
          <w:trHeight w:val="840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7E5D43D0" w14:textId="640F2F91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Tenders are Invited from suppliers who can provide the necessary skills and expertise to deliver the specification</w:t>
            </w:r>
          </w:p>
          <w:p w:rsidR="08C57EAA" w:rsidP="08C57EAA" w:rsidRDefault="00F42A38" w14:paraId="7468E985" w14:textId="77777777">
            <w:pPr>
              <w:spacing w:after="160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42A3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Successful applicants should be aware that this project is part-funded by the England European Regional Development Fund as part of the European Structural and Investment Funds Growth Programme 2014-2020 and the Local Growth Fund.</w:t>
            </w:r>
          </w:p>
          <w:p w:rsidR="00F42A38" w:rsidP="08C57EAA" w:rsidRDefault="00F42A38" w14:paraId="0151FBAD" w14:textId="060D707A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Successful applicants should be aware that award of the contract is </w:t>
            </w:r>
            <w:r w:rsidR="009976E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reliant </w:t>
            </w:r>
            <w:r w:rsidR="007B46D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on the successful issue of a grant funding agreement following the clos</w:t>
            </w:r>
            <w:r w:rsidR="00A74A1D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="00B71FE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of the </w:t>
            </w:r>
            <w:r w:rsidR="00D63D4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tender</w:t>
            </w:r>
            <w:r w:rsidR="0046015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process.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A18F2" w:rsidP="003C403B" w:rsidRDefault="00E8282A" w14:paraId="33A5D2A2" w14:textId="4F088F04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54D68B37" w:rsidR="00E8282A">
              <w:rPr>
                <w:rFonts w:ascii="Arial" w:hAnsi="Arial" w:eastAsia="Arial" w:cs="Arial"/>
                <w:color w:val="000000" w:themeColor="text1" w:themeTint="FF" w:themeShade="FF"/>
              </w:rPr>
              <w:t xml:space="preserve">Suppliers will be expected to have </w:t>
            </w:r>
            <w:r w:rsidRPr="54D68B37" w:rsidR="006A08C7">
              <w:rPr>
                <w:rFonts w:ascii="Arial" w:hAnsi="Arial" w:eastAsia="Arial" w:cs="Arial"/>
                <w:color w:val="000000" w:themeColor="text1" w:themeTint="FF" w:themeShade="FF"/>
              </w:rPr>
              <w:t>previous experience in ERP</w:t>
            </w:r>
            <w:r w:rsidRPr="54D68B37" w:rsidR="00DC3466">
              <w:rPr>
                <w:rFonts w:ascii="Arial" w:hAnsi="Arial" w:eastAsia="Arial" w:cs="Arial"/>
                <w:color w:val="000000" w:themeColor="text1" w:themeTint="FF" w:themeShade="FF"/>
              </w:rPr>
              <w:t>/App</w:t>
            </w:r>
            <w:r w:rsidRPr="54D68B37" w:rsidR="006A08C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design </w:t>
            </w:r>
            <w:r w:rsidRPr="54D68B37" w:rsidR="00DC3466">
              <w:rPr>
                <w:rFonts w:ascii="Arial" w:hAnsi="Arial" w:eastAsia="Arial" w:cs="Arial"/>
                <w:color w:val="000000" w:themeColor="text1" w:themeTint="FF" w:themeShade="FF"/>
              </w:rPr>
              <w:t xml:space="preserve">and can demonstrate successful projects they have completed for previous </w:t>
            </w:r>
            <w:r w:rsidRPr="54D68B37" w:rsidR="00DC3466">
              <w:rPr>
                <w:rFonts w:ascii="Arial" w:hAnsi="Arial" w:eastAsia="Arial" w:cs="Arial"/>
                <w:color w:val="000000" w:themeColor="text1" w:themeTint="FF" w:themeShade="FF"/>
              </w:rPr>
              <w:t>clients</w:t>
            </w:r>
            <w:r w:rsidRPr="54D68B37" w:rsidR="00DC3466">
              <w:rPr>
                <w:rFonts w:ascii="Arial" w:hAnsi="Arial" w:eastAsia="Arial" w:cs="Arial"/>
                <w:color w:val="000000" w:themeColor="text1" w:themeTint="FF" w:themeShade="FF"/>
              </w:rPr>
              <w:t>.</w:t>
            </w:r>
            <w:r w:rsidRPr="54D68B37" w:rsidR="76E3EFE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54D68B37" w:rsidR="00AE29FE">
              <w:rPr>
                <w:rFonts w:ascii="Arial" w:hAnsi="Arial" w:eastAsia="Arial" w:cs="Arial"/>
                <w:color w:val="000000" w:themeColor="text1" w:themeTint="FF" w:themeShade="FF"/>
              </w:rPr>
              <w:t>The</w:t>
            </w:r>
            <w:r w:rsidRPr="54D68B37" w:rsidR="00AE29F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skills needed include </w:t>
            </w:r>
            <w:r w:rsidRPr="54D68B37" w:rsidR="005A18F2">
              <w:rPr>
                <w:rFonts w:ascii="Arial" w:hAnsi="Arial" w:eastAsia="Arial" w:cs="Arial"/>
                <w:color w:val="000000" w:themeColor="text1" w:themeTint="FF" w:themeShade="FF"/>
              </w:rPr>
              <w:t>web-based</w:t>
            </w:r>
            <w:r w:rsidRPr="54D68B37" w:rsidR="00AE29F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app design, using the Outsy</w:t>
            </w:r>
            <w:r w:rsidRPr="54D68B37" w:rsidR="005A18F2">
              <w:rPr>
                <w:rFonts w:ascii="Arial" w:hAnsi="Arial" w:eastAsia="Arial" w:cs="Arial"/>
                <w:color w:val="000000" w:themeColor="text1" w:themeTint="FF" w:themeShade="FF"/>
              </w:rPr>
              <w:t>s</w:t>
            </w:r>
            <w:r w:rsidRPr="54D68B37" w:rsidR="00AE29FE">
              <w:rPr>
                <w:rFonts w:ascii="Arial" w:hAnsi="Arial" w:eastAsia="Arial" w:cs="Arial"/>
                <w:color w:val="000000" w:themeColor="text1" w:themeTint="FF" w:themeShade="FF"/>
              </w:rPr>
              <w:t xml:space="preserve">tems platform </w:t>
            </w:r>
            <w:r w:rsidRPr="54D68B37" w:rsidR="003C403B">
              <w:rPr>
                <w:rFonts w:ascii="Arial" w:hAnsi="Arial" w:eastAsia="Arial" w:cs="Arial"/>
                <w:color w:val="000000" w:themeColor="text1" w:themeTint="FF" w:themeShade="FF"/>
              </w:rPr>
              <w:t>through</w:t>
            </w:r>
            <w:r w:rsidRPr="54D68B37" w:rsidR="00AE29F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Agile methodology. </w:t>
            </w:r>
          </w:p>
          <w:p w:rsidR="003C403B" w:rsidP="003C403B" w:rsidRDefault="00AE29FE" w14:paraId="06635886" w14:textId="2E36E656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6FBD50C">
              <w:rPr>
                <w:rFonts w:ascii="Arial" w:hAnsi="Arial" w:eastAsia="Arial" w:cs="Arial"/>
                <w:color w:val="000000" w:themeColor="text1"/>
              </w:rPr>
              <w:lastRenderedPageBreak/>
              <w:t>Th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is will include experience in the </w:t>
            </w:r>
            <w:r w:rsidRPr="06FBD50C" w:rsidR="00DD155F">
              <w:rPr>
                <w:rFonts w:ascii="Arial" w:hAnsi="Arial" w:eastAsia="Arial" w:cs="Arial"/>
                <w:color w:val="000000" w:themeColor="text1"/>
              </w:rPr>
              <w:t>delivery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 of</w:t>
            </w:r>
            <w:r w:rsidRPr="06FBD50C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6FBD50C" w:rsidR="003C403B">
              <w:rPr>
                <w:rFonts w:ascii="Arial" w:hAnsi="Arial" w:eastAsia="Arial" w:cs="Arial"/>
                <w:color w:val="000000" w:themeColor="text1"/>
              </w:rPr>
              <w:t xml:space="preserve">both front and rear end development, testing environments and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the </w:t>
            </w:r>
            <w:r w:rsidRPr="06FBD50C" w:rsidR="003C403B">
              <w:rPr>
                <w:rFonts w:ascii="Arial" w:hAnsi="Arial" w:eastAsia="Arial" w:cs="Arial"/>
                <w:color w:val="000000" w:themeColor="text1"/>
              </w:rPr>
              <w:t>develop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ment of</w:t>
            </w:r>
            <w:r w:rsidRPr="06FBD50C" w:rsidR="003C403B">
              <w:rPr>
                <w:rFonts w:ascii="Arial" w:hAnsi="Arial" w:eastAsia="Arial" w:cs="Arial"/>
                <w:color w:val="000000" w:themeColor="text1"/>
              </w:rPr>
              <w:t xml:space="preserve"> user experiences</w:t>
            </w:r>
            <w:r w:rsidR="005A18F2">
              <w:rPr>
                <w:rFonts w:ascii="Arial" w:hAnsi="Arial" w:eastAsia="Arial" w:cs="Arial"/>
                <w:color w:val="000000" w:themeColor="text1"/>
              </w:rPr>
              <w:t xml:space="preserve">, </w:t>
            </w:r>
            <w:r w:rsidRPr="06FBD50C" w:rsidR="008D19AA">
              <w:rPr>
                <w:rFonts w:ascii="Arial" w:hAnsi="Arial" w:eastAsia="Arial" w:cs="Arial"/>
                <w:color w:val="000000" w:themeColor="text1"/>
              </w:rPr>
              <w:t>utilising</w:t>
            </w:r>
            <w:r w:rsidRPr="06FBD50C" w:rsidR="003C403B">
              <w:rPr>
                <w:rFonts w:ascii="Arial" w:hAnsi="Arial" w:eastAsia="Arial" w:cs="Arial"/>
                <w:color w:val="000000" w:themeColor="text1"/>
              </w:rPr>
              <w:t xml:space="preserve"> Jira. The supplier will need to demonstrate the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proposed content and number of </w:t>
            </w:r>
            <w:r w:rsidRPr="06FBD50C" w:rsidR="003C403B">
              <w:rPr>
                <w:rFonts w:ascii="Arial" w:hAnsi="Arial" w:eastAsia="Arial" w:cs="Arial"/>
                <w:color w:val="000000" w:themeColor="text1"/>
              </w:rPr>
              <w:t xml:space="preserve">sprints to the stakeholder group. </w:t>
            </w:r>
          </w:p>
          <w:p w:rsidR="00D42D20" w:rsidP="003C403B" w:rsidRDefault="00DC3466" w14:paraId="3656CBC3" w14:textId="4CC44A8D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6FBD50C">
              <w:rPr>
                <w:rFonts w:ascii="Arial" w:hAnsi="Arial" w:eastAsia="Arial" w:cs="Arial"/>
                <w:color w:val="000000" w:themeColor="text1"/>
              </w:rPr>
              <w:t xml:space="preserve">The sectors the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‘</w:t>
            </w:r>
            <w:r w:rsidRPr="06FBD50C">
              <w:rPr>
                <w:rFonts w:ascii="Arial" w:hAnsi="Arial" w:eastAsia="Arial" w:cs="Arial"/>
                <w:color w:val="000000" w:themeColor="text1"/>
              </w:rPr>
              <w:t>ATT Connect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’</w:t>
            </w:r>
            <w:r w:rsidRPr="06FBD50C">
              <w:rPr>
                <w:rFonts w:ascii="Arial" w:hAnsi="Arial" w:eastAsia="Arial" w:cs="Arial"/>
                <w:color w:val="000000" w:themeColor="text1"/>
              </w:rPr>
              <w:t xml:space="preserve"> project are focused on </w:t>
            </w:r>
            <w:proofErr w:type="gramStart"/>
            <w:r w:rsidRPr="06FBD50C">
              <w:rPr>
                <w:rFonts w:ascii="Arial" w:hAnsi="Arial" w:eastAsia="Arial" w:cs="Arial"/>
                <w:color w:val="000000" w:themeColor="text1"/>
              </w:rPr>
              <w:t>are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>;</w:t>
            </w:r>
            <w:proofErr w:type="gramEnd"/>
            <w:r w:rsidRPr="06FBD50C" w:rsidR="00AE29FE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6FBD50C" w:rsidR="00812C64">
              <w:rPr>
                <w:rFonts w:ascii="Arial" w:hAnsi="Arial" w:eastAsia="Arial" w:cs="Arial"/>
                <w:color w:val="000000" w:themeColor="text1"/>
              </w:rPr>
              <w:t xml:space="preserve">Commercial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V</w:t>
            </w:r>
            <w:r w:rsidRPr="06FBD50C" w:rsidR="00812C64">
              <w:rPr>
                <w:rFonts w:ascii="Arial" w:hAnsi="Arial" w:eastAsia="Arial" w:cs="Arial"/>
                <w:color w:val="000000" w:themeColor="text1"/>
              </w:rPr>
              <w:t>ehicle operators</w:t>
            </w:r>
            <w:r w:rsidRPr="06FBD50C" w:rsidR="00A7148F">
              <w:rPr>
                <w:rFonts w:ascii="Arial" w:hAnsi="Arial" w:eastAsia="Arial" w:cs="Arial"/>
                <w:color w:val="000000" w:themeColor="text1"/>
              </w:rPr>
              <w:t xml:space="preserve"> (CV)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>,</w:t>
            </w:r>
            <w:r w:rsidRPr="06FBD50C" w:rsidR="00812C64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 xml:space="preserve">Public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C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 xml:space="preserve">arrying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V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>ehicle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s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 xml:space="preserve"> (PCV)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 operators,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6FBD50C" w:rsidR="00812C64">
              <w:rPr>
                <w:rFonts w:ascii="Arial" w:hAnsi="Arial" w:eastAsia="Arial" w:cs="Arial"/>
                <w:color w:val="000000" w:themeColor="text1"/>
              </w:rPr>
              <w:t xml:space="preserve">repairers </w:t>
            </w:r>
            <w:r w:rsidRPr="06FBD50C" w:rsidR="00AE29FE">
              <w:rPr>
                <w:rFonts w:ascii="Arial" w:hAnsi="Arial" w:eastAsia="Arial" w:cs="Arial"/>
                <w:color w:val="000000" w:themeColor="text1"/>
              </w:rPr>
              <w:t xml:space="preserve">and automotive factors </w:t>
            </w:r>
            <w:r w:rsidRPr="06FBD50C" w:rsidR="00812C64">
              <w:rPr>
                <w:rFonts w:ascii="Arial" w:hAnsi="Arial" w:eastAsia="Arial" w:cs="Arial"/>
                <w:color w:val="000000" w:themeColor="text1"/>
              </w:rPr>
              <w:t>who purchase remanufactured parts for maintaining their vehicle fleets.</w:t>
            </w:r>
            <w:r w:rsidRPr="06FBD50C" w:rsidR="00AF24BD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005A18F2" w:rsidP="003C403B" w:rsidRDefault="00D42D20" w14:paraId="7D377FE0" w14:textId="4A155687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6FBD50C">
              <w:rPr>
                <w:rFonts w:ascii="Arial" w:hAnsi="Arial" w:eastAsia="Arial" w:cs="Arial"/>
                <w:color w:val="000000" w:themeColor="text1"/>
              </w:rPr>
              <w:t xml:space="preserve">The current way of managing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and processing </w:t>
            </w:r>
            <w:r>
              <w:rPr>
                <w:rFonts w:ascii="Arial" w:hAnsi="Arial" w:eastAsia="Arial" w:cs="Arial"/>
                <w:color w:val="000000" w:themeColor="text1"/>
              </w:rPr>
              <w:t>orders is</w:t>
            </w:r>
            <w:r w:rsidRPr="06FBD50C">
              <w:rPr>
                <w:rFonts w:ascii="Arial" w:hAnsi="Arial" w:eastAsia="Arial" w:cs="Arial"/>
                <w:color w:val="000000" w:themeColor="text1"/>
              </w:rPr>
              <w:t xml:space="preserve"> through telephonic systems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which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are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inefficient and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 unreliable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. We are seeking to </w:t>
            </w:r>
            <w:r w:rsidR="005A18F2">
              <w:rPr>
                <w:rFonts w:ascii="Arial" w:hAnsi="Arial" w:eastAsia="Arial" w:cs="Arial"/>
                <w:color w:val="000000" w:themeColor="text1"/>
              </w:rPr>
              <w:t>move th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>e management of this</w:t>
            </w:r>
            <w:r w:rsidR="005A18F2">
              <w:rPr>
                <w:rFonts w:ascii="Arial" w:hAnsi="Arial" w:eastAsia="Arial" w:cs="Arial"/>
                <w:color w:val="000000" w:themeColor="text1"/>
              </w:rPr>
              <w:t xml:space="preserve"> onto a digital platform through development of the ‘ATT Connect’ app.</w:t>
            </w:r>
          </w:p>
          <w:p w:rsidR="00F905DE" w:rsidP="003C403B" w:rsidRDefault="005A18F2" w14:paraId="21DE62B7" w14:textId="77777777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S</w:t>
            </w:r>
            <w:r w:rsidRPr="06FBD50C" w:rsidR="003C403B">
              <w:rPr>
                <w:rFonts w:ascii="Arial" w:hAnsi="Arial" w:eastAsia="Arial" w:cs="Arial"/>
                <w:color w:val="000000" w:themeColor="text1"/>
              </w:rPr>
              <w:t>upplier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s </w:t>
            </w:r>
            <w:r w:rsidR="00DD155F">
              <w:rPr>
                <w:rFonts w:ascii="Arial" w:hAnsi="Arial" w:eastAsia="Arial" w:cs="Arial"/>
                <w:color w:val="000000" w:themeColor="text1"/>
              </w:rPr>
              <w:t xml:space="preserve">must demonstrate </w:t>
            </w:r>
            <w:r w:rsidR="00215F96">
              <w:rPr>
                <w:rFonts w:ascii="Arial" w:hAnsi="Arial" w:eastAsia="Arial" w:cs="Arial"/>
                <w:color w:val="000000" w:themeColor="text1"/>
              </w:rPr>
              <w:t xml:space="preserve">at least 5 previous projects which have delivered a similar digital transformation </w:t>
            </w:r>
            <w:r w:rsidRPr="06FBD50C" w:rsidR="005478EC">
              <w:rPr>
                <w:rFonts w:ascii="Arial" w:hAnsi="Arial" w:eastAsia="Arial" w:cs="Arial"/>
                <w:color w:val="000000" w:themeColor="text1"/>
              </w:rPr>
              <w:t>in changing customers</w:t>
            </w:r>
            <w:r w:rsidR="00215F96">
              <w:rPr>
                <w:rFonts w:ascii="Arial" w:hAnsi="Arial" w:eastAsia="Arial" w:cs="Arial"/>
                <w:color w:val="000000" w:themeColor="text1"/>
              </w:rPr>
              <w:t>’</w:t>
            </w:r>
            <w:r w:rsidRPr="06FBD50C" w:rsidR="005478EC">
              <w:rPr>
                <w:rFonts w:ascii="Arial" w:hAnsi="Arial" w:eastAsia="Arial" w:cs="Arial"/>
                <w:color w:val="000000" w:themeColor="text1"/>
              </w:rPr>
              <w:t xml:space="preserve"> buying</w:t>
            </w:r>
            <w:r w:rsidR="00215F96">
              <w:rPr>
                <w:rFonts w:ascii="Arial" w:hAnsi="Arial" w:eastAsia="Arial" w:cs="Arial"/>
                <w:color w:val="000000" w:themeColor="text1"/>
              </w:rPr>
              <w:t xml:space="preserve"> behaviours.</w:t>
            </w:r>
            <w:r w:rsidRPr="06FBD50C" w:rsidR="005478EC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00DE65EA" w:rsidP="003C403B" w:rsidRDefault="00F7339D" w14:paraId="44AB0141" w14:textId="3D559B14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Ability to map out current state and deliver user experiences that simplify current processes</w:t>
            </w:r>
          </w:p>
          <w:p w:rsidR="08C57EAA" w:rsidP="00A7148F" w:rsidRDefault="009C3171" w14:paraId="6A70A418" w14:textId="0CEF643E">
            <w:pPr>
              <w:rPr>
                <w:rFonts w:ascii="Arial" w:hAnsi="Arial" w:eastAsia="Arial" w:cs="Arial"/>
                <w:color w:val="000000" w:themeColor="text1"/>
              </w:rPr>
            </w:pPr>
            <w:r w:rsidRPr="00A7148F">
              <w:rPr>
                <w:rFonts w:ascii="Arial" w:hAnsi="Arial" w:eastAsia="Arial" w:cs="Arial"/>
                <w:color w:val="000000" w:themeColor="text1"/>
              </w:rPr>
              <w:t>A schematic of the proposed work packages associated with the project is shown below.</w:t>
            </w:r>
          </w:p>
          <w:p w:rsidRPr="00A7148F" w:rsidR="005518ED" w:rsidP="00A7148F" w:rsidRDefault="005518ED" w14:paraId="6E3D4F75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Pr="009C3171" w:rsidR="009C3171" w:rsidP="08C57EAA" w:rsidRDefault="009C3171" w14:paraId="0B38DB6D" w14:textId="6A024350">
            <w:pPr>
              <w:spacing w:after="160"/>
              <w:rPr>
                <w:rFonts w:ascii="Arial" w:hAnsi="Arial" w:eastAsia="Arial" w:cs="Arial"/>
                <w:color w:val="000000" w:themeColor="text1"/>
              </w:rPr>
            </w:pPr>
            <w:r w:rsidRPr="009C3171">
              <w:rPr>
                <w:noProof/>
              </w:rPr>
              <w:drawing>
                <wp:inline distT="0" distB="0" distL="0" distR="0" wp14:anchorId="73DD4F9E" wp14:editId="220FBF1B">
                  <wp:extent cx="4114800" cy="2278347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964" cy="2339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8C57EAA" w:rsidTr="54D68B37" w14:paraId="61A8F510" w14:textId="77777777">
        <w:trPr>
          <w:trHeight w:val="975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323F3648" w14:textId="00318E2F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47A23A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Required project timescales (start and duration of project?)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275666" w14:paraId="17CFB450" w14:textId="26072C35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Project commencement </w:t>
            </w:r>
            <w:r w:rsidR="00391A43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date 1</w:t>
            </w:r>
            <w:r w:rsidRPr="00391A43" w:rsidR="00391A43">
              <w:rPr>
                <w:rFonts w:ascii="Arial" w:hAnsi="Arial" w:eastAsia="Arial" w:cs="Arial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391A43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September 2022</w:t>
            </w:r>
          </w:p>
          <w:p w:rsidR="00E8282A" w:rsidP="08C57EAA" w:rsidRDefault="00E8282A" w14:paraId="580E714C" w14:textId="4E8E8C24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Completion deadline 30</w:t>
            </w:r>
            <w:r w:rsidRPr="00E8282A">
              <w:rPr>
                <w:rFonts w:ascii="Arial" w:hAnsi="Arial" w:eastAsia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December 2022</w:t>
            </w:r>
          </w:p>
        </w:tc>
      </w:tr>
      <w:tr w:rsidR="08C57EAA" w:rsidTr="54D68B37" w14:paraId="04ADB40B" w14:textId="77777777">
        <w:trPr>
          <w:trHeight w:val="975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3C5CD6C9" w14:textId="6CF38178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Total Anticipated Project Value</w:t>
            </w:r>
          </w:p>
          <w:p w:rsidR="08C57EAA" w:rsidP="08C57EAA" w:rsidRDefault="08C57EAA" w14:paraId="6697716E" w14:textId="1F0C189B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(Please note that the procurement will only go ahead to contract once the funding has been agreed)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E8282A" w14:paraId="671E8E4A" w14:textId="7F694299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Total anticipated project value £100k</w:t>
            </w:r>
          </w:p>
        </w:tc>
      </w:tr>
      <w:tr w:rsidR="08C57EAA" w:rsidTr="54D68B37" w14:paraId="2DA54591" w14:textId="77777777"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0EDD3BE5" w14:textId="5F686FE1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Required response date (this must be at least 10 </w:t>
            </w: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working days from posting of advert)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70688F" w14:paraId="6A691B8C" w14:textId="73D72732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lastRenderedPageBreak/>
              <w:t>TBC upon notification of application status</w:t>
            </w:r>
          </w:p>
        </w:tc>
      </w:tr>
      <w:tr w:rsidR="08C57EAA" w:rsidTr="54D68B37" w14:paraId="239A7A15" w14:textId="77777777"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4D37B357" w14:textId="26E2AF37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How to apply? 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F799C" w:rsidP="54D68B37" w:rsidRDefault="008F799C" w14:paraId="617C253E" w14:textId="1C64A4EE">
            <w:pPr>
              <w:pStyle w:val="Normal"/>
              <w:spacing w:after="160"/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</w:rPr>
            </w:pPr>
            <w:r w:rsidRPr="54D68B37" w:rsidR="71018BA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Applications will be submitted via email on the Form provided on Contracts Finder.</w:t>
            </w:r>
          </w:p>
          <w:p w:rsidRPr="004F3846" w:rsidR="008F799C" w:rsidP="54D68B37" w:rsidRDefault="00F97DD8" w14:paraId="51E94EE5" w14:textId="50693344">
            <w:pPr>
              <w:spacing w:after="160"/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hyperlink r:id="R106f877d2ea94002">
              <w:r w:rsidRPr="54D68B37" w:rsidR="16DC3CDA">
                <w:rPr>
                  <w:rStyle w:val="Hyperlink"/>
                  <w:rFonts w:ascii="Arial" w:hAnsi="Arial" w:eastAsia="Arial" w:cs="Arial"/>
                  <w:i w:val="0"/>
                  <w:iCs w:val="0"/>
                  <w:sz w:val="24"/>
                  <w:szCs w:val="24"/>
                </w:rPr>
                <w:t>https://www.contractsfinder.service.gov.uk/Notice/d9037536-3852-46ba-b106-4889fd971a7f</w:t>
              </w:r>
            </w:hyperlink>
          </w:p>
          <w:p w:rsidRPr="004F3846" w:rsidR="008F799C" w:rsidP="54D68B37" w:rsidRDefault="00F97DD8" w14:paraId="72AD98BB" w14:textId="34935CBD">
            <w:pPr>
              <w:pStyle w:val="Normal"/>
              <w:spacing w:after="160"/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</w:rPr>
            </w:pPr>
            <w:r w:rsidRPr="54D68B37" w:rsidR="5671FBD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4D68B37" w:rsidR="00F97DD8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For a</w:t>
            </w:r>
            <w:r w:rsidRPr="54D68B37" w:rsidR="008F799C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ny further questions</w:t>
            </w:r>
            <w:r w:rsidRPr="54D68B37" w:rsidR="00F97DD8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around the procurement </w:t>
            </w:r>
            <w:r w:rsidRPr="54D68B37" w:rsidR="3676733D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opportunity</w:t>
            </w:r>
            <w:r w:rsidRPr="54D68B37" w:rsidR="008F799C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please contact</w:t>
            </w:r>
            <w:r w:rsidRPr="54D68B37" w:rsidR="00391A43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Bernard Keane</w:t>
            </w:r>
            <w:r w:rsidRPr="54D68B37" w:rsidR="005A3141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4D68B37" w:rsidR="00F97DD8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via</w:t>
            </w:r>
            <w:r w:rsidRPr="54D68B37" w:rsidR="008F799C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the email address below</w:t>
            </w:r>
          </w:p>
          <w:p w:rsidRPr="00F97DD8" w:rsidR="08C57EAA" w:rsidP="54D68B37" w:rsidRDefault="00391A43" w14:paraId="762F8844" w14:textId="4294C002" w14:noSpellErr="1">
            <w:pPr>
              <w:spacing w:after="160"/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</w:rPr>
            </w:pPr>
            <w:r w:rsidRPr="54D68B37" w:rsidR="00391A43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bernard.keane</w:t>
            </w:r>
            <w:r w:rsidRPr="54D68B37" w:rsidR="0070688F">
              <w:rPr>
                <w:rFonts w:ascii="Arial" w:hAnsi="Arial" w:eastAsia="Arial" w:cs="Arial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@alliancett.co.uk</w:t>
            </w:r>
          </w:p>
        </w:tc>
      </w:tr>
      <w:tr w:rsidR="08C57EAA" w:rsidTr="54D68B37" w14:paraId="019B7A20" w14:textId="77777777"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6D4A7483" w14:textId="43ACAEC9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Criteria for decision making </w:t>
            </w:r>
          </w:p>
          <w:p w:rsidR="08C57EAA" w:rsidP="08C57EAA" w:rsidRDefault="08C57EAA" w14:paraId="6B450845" w14:textId="77CC4351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(Examples of Assessment Criteria could include:</w:t>
            </w:r>
          </w:p>
          <w:p w:rsidR="08C57EAA" w:rsidP="08C57EAA" w:rsidRDefault="08C57EAA" w14:paraId="47249F05" w14:textId="04D14F2D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Price</w:t>
            </w:r>
          </w:p>
          <w:p w:rsidR="08C57EAA" w:rsidP="08C57EAA" w:rsidRDefault="08C57EAA" w14:paraId="12CA83C3" w14:textId="7508C699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Expertise fit</w:t>
            </w:r>
          </w:p>
          <w:p w:rsidR="08C57EAA" w:rsidP="08C57EAA" w:rsidRDefault="08C57EAA" w14:paraId="6492D955" w14:textId="706CBDB3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Timing Fit</w:t>
            </w:r>
          </w:p>
          <w:p w:rsidR="08C57EAA" w:rsidP="08C57EAA" w:rsidRDefault="08C57EAA" w14:paraId="6518BEF5" w14:textId="1412E996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Suitability of proposed methodology)</w:t>
            </w:r>
          </w:p>
          <w:p w:rsidR="08C57EAA" w:rsidP="08C57EAA" w:rsidRDefault="08C57EAA" w14:paraId="6565B33F" w14:textId="4A662AA2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8C57EAA" w:rsidP="08C57EAA" w:rsidRDefault="08C57EAA" w14:paraId="4BCF15C9" w14:textId="74758C64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Weighting of the criteria to be determined by SME</w:t>
            </w:r>
          </w:p>
          <w:p w:rsidR="08C57EAA" w:rsidP="08C57EAA" w:rsidRDefault="08C57EAA" w14:paraId="271D8FA0" w14:textId="7A73D60C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8C57EAA" w:rsidP="08C57EAA" w:rsidRDefault="08C57EAA" w14:paraId="69E8E146" w14:textId="34DB6306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701CC9" w:rsidP="08C57EAA" w:rsidRDefault="00701CC9" w14:paraId="1BA2C041" w14:textId="77777777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5"/>
              <w:gridCol w:w="708"/>
              <w:gridCol w:w="956"/>
            </w:tblGrid>
            <w:tr w:rsidR="008D19AA" w:rsidTr="005156E7" w14:paraId="3713D7FC" w14:textId="77777777">
              <w:tc>
                <w:tcPr>
                  <w:tcW w:w="3705" w:type="dxa"/>
                </w:tcPr>
                <w:p w:rsidR="008D19AA" w:rsidP="08C57EAA" w:rsidRDefault="008D19AA" w14:paraId="6073B4F9" w14:textId="65030197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708" w:type="dxa"/>
                </w:tcPr>
                <w:p w:rsidR="008D19AA" w:rsidP="08C57EAA" w:rsidRDefault="008D19AA" w14:paraId="51F2AA18" w14:textId="7AC230DF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56" w:type="dxa"/>
                </w:tcPr>
                <w:p w:rsidR="008D19AA" w:rsidP="08C57EAA" w:rsidRDefault="008D19AA" w14:paraId="65743B4D" w14:textId="709A9058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Points</w:t>
                  </w:r>
                </w:p>
              </w:tc>
            </w:tr>
            <w:tr w:rsidR="008D19AA" w:rsidTr="005156E7" w14:paraId="1CAF26F9" w14:textId="77777777">
              <w:tc>
                <w:tcPr>
                  <w:tcW w:w="3705" w:type="dxa"/>
                </w:tcPr>
                <w:p w:rsidR="008D19AA" w:rsidP="08C57EAA" w:rsidRDefault="00BB4BD1" w14:paraId="0F519E50" w14:textId="0152162D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Experience </w:t>
                  </w:r>
                  <w:r w:rsidR="00E55716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of using the </w:t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‘Out</w:t>
                  </w:r>
                  <w:r w:rsidR="005156E7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systems</w:t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’</w:t>
                  </w:r>
                  <w:r w:rsidR="00E55716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 business </w:t>
                  </w:r>
                  <w:r w:rsidR="005156E7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design platform (minimum 5 previous projects)</w:t>
                  </w:r>
                </w:p>
              </w:tc>
              <w:tc>
                <w:tcPr>
                  <w:tcW w:w="708" w:type="dxa"/>
                </w:tcPr>
                <w:p w:rsidR="008D19AA" w:rsidP="08C57EAA" w:rsidRDefault="00F905DE" w14:paraId="49332CA4" w14:textId="0DEE31AA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56" w:type="dxa"/>
                </w:tcPr>
                <w:p w:rsidR="008D19AA" w:rsidP="08C57EAA" w:rsidRDefault="00F905DE" w14:paraId="4B4477A7" w14:textId="1AF776BD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35</w:t>
                  </w:r>
                </w:p>
              </w:tc>
            </w:tr>
            <w:tr w:rsidR="008D19AA" w:rsidTr="005156E7" w14:paraId="56BBC949" w14:textId="77777777">
              <w:tc>
                <w:tcPr>
                  <w:tcW w:w="3705" w:type="dxa"/>
                </w:tcPr>
                <w:p w:rsidR="008D19AA" w:rsidP="08C57EAA" w:rsidRDefault="005156E7" w14:paraId="0676E81E" w14:textId="32500CC8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Competencies in </w:t>
                  </w:r>
                  <w:r w:rsidR="00FC2F9A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‘</w:t>
                  </w:r>
                  <w:r w:rsidR="008D19AA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Agile</w:t>
                  </w:r>
                  <w:r w:rsidR="00FC2F9A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’ software development methodology</w:t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 (minimum 5 previous projects)</w:t>
                  </w:r>
                </w:p>
              </w:tc>
              <w:tc>
                <w:tcPr>
                  <w:tcW w:w="708" w:type="dxa"/>
                </w:tcPr>
                <w:p w:rsidR="008D19AA" w:rsidP="08C57EAA" w:rsidRDefault="00D8502F" w14:paraId="1AB36938" w14:textId="759972ED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56" w:type="dxa"/>
                </w:tcPr>
                <w:p w:rsidR="008D19AA" w:rsidP="08C57EAA" w:rsidRDefault="00D8502F" w14:paraId="6FD84429" w14:textId="0774A0AF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</w:tr>
            <w:tr w:rsidR="008D19AA" w:rsidTr="005156E7" w14:paraId="151DD7FF" w14:textId="77777777">
              <w:tc>
                <w:tcPr>
                  <w:tcW w:w="3705" w:type="dxa"/>
                </w:tcPr>
                <w:p w:rsidR="008D19AA" w:rsidP="08C57EAA" w:rsidRDefault="008D19AA" w14:paraId="7D25E10A" w14:textId="672CB17A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Experience with Jira</w:t>
                  </w:r>
                  <w:r w:rsidR="00D23FB0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 software for issue tracking &amp; project management (minimum 5 previous projects</w:t>
                  </w:r>
                </w:p>
              </w:tc>
              <w:tc>
                <w:tcPr>
                  <w:tcW w:w="708" w:type="dxa"/>
                </w:tcPr>
                <w:p w:rsidR="008D19AA" w:rsidP="08C57EAA" w:rsidRDefault="00124729" w14:paraId="31372F93" w14:textId="65E16A76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56" w:type="dxa"/>
                </w:tcPr>
                <w:p w:rsidR="008D19AA" w:rsidP="08C57EAA" w:rsidRDefault="00D8502F" w14:paraId="2D28E675" w14:textId="7D3E1F8E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</w:tr>
            <w:tr w:rsidR="008D19AA" w:rsidTr="005156E7" w14:paraId="7647839D" w14:textId="77777777">
              <w:tc>
                <w:tcPr>
                  <w:tcW w:w="3705" w:type="dxa"/>
                </w:tcPr>
                <w:p w:rsidR="008D19AA" w:rsidP="08C57EAA" w:rsidRDefault="00124729" w14:paraId="34F3FBAC" w14:textId="543FCA15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Pricing</w:t>
                  </w:r>
                </w:p>
              </w:tc>
              <w:tc>
                <w:tcPr>
                  <w:tcW w:w="708" w:type="dxa"/>
                </w:tcPr>
                <w:p w:rsidR="008D19AA" w:rsidP="08C57EAA" w:rsidRDefault="00124729" w14:paraId="0F0ACB81" w14:textId="1CA5E0FF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56" w:type="dxa"/>
                </w:tcPr>
                <w:p w:rsidR="008D19AA" w:rsidP="08C57EAA" w:rsidRDefault="00124729" w14:paraId="2C2DDB6C" w14:textId="423A0808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</w:tr>
            <w:tr w:rsidR="008D19AA" w:rsidTr="005156E7" w14:paraId="1BBF8CED" w14:textId="77777777">
              <w:tc>
                <w:tcPr>
                  <w:tcW w:w="3705" w:type="dxa"/>
                </w:tcPr>
                <w:p w:rsidR="008D19AA" w:rsidP="08C57EAA" w:rsidRDefault="00124729" w14:paraId="3CB748D0" w14:textId="55888E67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Ability to</w:t>
                  </w:r>
                  <w:r w:rsidR="00EC33CE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 deliver sprints to stakeholders</w:t>
                  </w:r>
                </w:p>
              </w:tc>
              <w:tc>
                <w:tcPr>
                  <w:tcW w:w="708" w:type="dxa"/>
                </w:tcPr>
                <w:p w:rsidR="008D19AA" w:rsidP="08C57EAA" w:rsidRDefault="0059046E" w14:paraId="5E711D84" w14:textId="7E22C349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56" w:type="dxa"/>
                </w:tcPr>
                <w:p w:rsidR="008D19AA" w:rsidP="08C57EAA" w:rsidRDefault="0059046E" w14:paraId="34863582" w14:textId="00ADD678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8C57EAA" w:rsidP="08C57EAA" w:rsidRDefault="08C57EAA" w14:paraId="43D96F8C" w14:textId="72C5FF53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="08C57EAA" w:rsidTr="54D68B37" w14:paraId="107C0165" w14:textId="77777777"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7D186D1B" w14:textId="7DEFF3A2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Scoring</w:t>
            </w:r>
          </w:p>
          <w:p w:rsidR="08C57EAA" w:rsidP="08C57EAA" w:rsidRDefault="08C57EAA" w14:paraId="4E1158B2" w14:textId="38F5CA3F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E74FC0" w14:paraId="0C07EC81" w14:textId="58F44118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100 points will be allocated</w:t>
            </w:r>
            <w:r w:rsidR="000B45BC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, weighted to the f</w:t>
            </w:r>
            <w:r w:rsidR="008D19AA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ive</w:t>
            </w:r>
            <w:r w:rsidR="000B45BC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criteria above. Appli</w:t>
            </w:r>
            <w:r w:rsidR="00E442BE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cants </w:t>
            </w:r>
            <w:r w:rsidR="000B45BC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will be awarded points against each o</w:t>
            </w:r>
            <w:r w:rsidR="00E442BE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f the f</w:t>
            </w:r>
            <w:r w:rsidR="008D19AA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ive</w:t>
            </w:r>
            <w:r w:rsidR="00E442BE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criteria above which will be added together to achieve a final score</w:t>
            </w:r>
            <w:r w:rsidR="005A3141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. The applicant with the highest score will be awarded the contract.</w:t>
            </w:r>
          </w:p>
        </w:tc>
      </w:tr>
      <w:tr w:rsidR="08C57EAA" w:rsidTr="54D68B37" w14:paraId="3239E248" w14:textId="77777777"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="08C57EAA" w:rsidP="08C57EAA" w:rsidRDefault="08C57EAA" w14:paraId="299EC383" w14:textId="5CE9CB35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Date for Contract Decision (</w:t>
            </w:r>
            <w:proofErr w:type="gramStart"/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i.e.</w:t>
            </w:r>
            <w:proofErr w:type="gramEnd"/>
            <w:r w:rsidRPr="08C57E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how long before the SME will inform the successful respondent)</w:t>
            </w:r>
          </w:p>
        </w:tc>
        <w:tc>
          <w:tcPr>
            <w:tcW w:w="6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8C57EAA" w:rsidP="08C57EAA" w:rsidRDefault="0026308E" w14:paraId="782553E1" w14:textId="3510D4CB">
            <w:pPr>
              <w:spacing w:after="16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TBC upon notification of application status</w:t>
            </w:r>
          </w:p>
        </w:tc>
      </w:tr>
    </w:tbl>
    <w:p w:rsidR="005C0594" w:rsidRDefault="005C0594" w14:paraId="63725D8D" w14:textId="5C3EBB25">
      <w:pPr>
        <w:rPr>
          <w:rFonts w:ascii="Arial" w:hAnsi="Arial" w:eastAsia="Arial" w:cs="Arial"/>
          <w:b/>
          <w:color w:val="00717F"/>
          <w:sz w:val="64"/>
          <w:szCs w:val="64"/>
        </w:rPr>
      </w:pPr>
    </w:p>
    <w:sectPr w:rsidR="005C0594">
      <w:headerReference w:type="default" r:id="rId17"/>
      <w:foot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E96" w:rsidP="00C6065C" w:rsidRDefault="00FE3E96" w14:paraId="7E6B103D" w14:textId="77777777">
      <w:pPr>
        <w:spacing w:after="0" w:line="240" w:lineRule="auto"/>
      </w:pPr>
      <w:r>
        <w:separator/>
      </w:r>
    </w:p>
  </w:endnote>
  <w:endnote w:type="continuationSeparator" w:id="0">
    <w:p w:rsidR="00FE3E96" w:rsidP="00C6065C" w:rsidRDefault="00FE3E96" w14:paraId="7993D790" w14:textId="77777777">
      <w:pPr>
        <w:spacing w:after="0" w:line="240" w:lineRule="auto"/>
      </w:pPr>
      <w:r>
        <w:continuationSeparator/>
      </w:r>
    </w:p>
  </w:endnote>
  <w:endnote w:type="continuationNotice" w:id="1">
    <w:p w:rsidR="00FE3E96" w:rsidRDefault="00FE3E96" w14:paraId="19FEC9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26B7" w:rsidRDefault="00B526B7" w14:paraId="5CF46AF2" w14:textId="22B67858">
    <w:pPr>
      <w:pStyle w:val="Footer"/>
    </w:pPr>
    <w:r w:rsidRPr="00C6065C">
      <w:rPr>
        <w:noProof/>
      </w:rPr>
      <w:drawing>
        <wp:anchor distT="0" distB="0" distL="114300" distR="114300" simplePos="0" relativeHeight="251658240" behindDoc="0" locked="0" layoutInCell="1" allowOverlap="1" wp14:anchorId="582FD9FE" wp14:editId="2598ECCA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823085" cy="57277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1A13372A" wp14:editId="79C59346">
          <wp:extent cx="2420620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E96" w:rsidP="00C6065C" w:rsidRDefault="00FE3E96" w14:paraId="3D6DE12F" w14:textId="77777777">
      <w:pPr>
        <w:spacing w:after="0" w:line="240" w:lineRule="auto"/>
      </w:pPr>
      <w:r>
        <w:separator/>
      </w:r>
    </w:p>
  </w:footnote>
  <w:footnote w:type="continuationSeparator" w:id="0">
    <w:p w:rsidR="00FE3E96" w:rsidP="00C6065C" w:rsidRDefault="00FE3E96" w14:paraId="1BE9DF1C" w14:textId="77777777">
      <w:pPr>
        <w:spacing w:after="0" w:line="240" w:lineRule="auto"/>
      </w:pPr>
      <w:r>
        <w:continuationSeparator/>
      </w:r>
    </w:p>
  </w:footnote>
  <w:footnote w:type="continuationNotice" w:id="1">
    <w:p w:rsidR="00FE3E96" w:rsidRDefault="00FE3E96" w14:paraId="681113E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p w:rsidR="00C6065C" w:rsidRDefault="008B1019" w14:paraId="10F46E19" w14:textId="38F6B564">
    <w:pPr>
      <w:pStyle w:val="Header"/>
    </w:pPr>
    <w:r>
      <w:rPr>
        <w:noProof/>
      </w:rPr>
      <w:drawing>
        <wp:inline distT="0" distB="0" distL="0" distR="0" wp14:anchorId="546FFCCE" wp14:editId="67424353">
          <wp:extent cx="1504355" cy="360045"/>
          <wp:effectExtent l="0" t="0" r="635" b="190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411" cy="361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67C11">
      <w:rPr>
        <w:noProof/>
      </w:rPr>
      <w:t xml:space="preserve">                                                                                 </w:t>
    </w:r>
    <w:r w:rsidRPr="0060414C" w:rsidR="00667C11">
      <w:rPr>
        <w:noProof/>
      </w:rPr>
      <w:drawing>
        <wp:inline distT="0" distB="0" distL="0" distR="0" wp14:anchorId="7C2E35CC" wp14:editId="13D2BCD6">
          <wp:extent cx="1199032" cy="459716"/>
          <wp:effectExtent l="0" t="0" r="1270" b="0"/>
          <wp:docPr id="13" name="Picture 22">
            <a:extLst xmlns:a="http://schemas.openxmlformats.org/drawingml/2006/main">
              <a:ext uri="{FF2B5EF4-FFF2-40B4-BE49-F238E27FC236}">
                <a16:creationId xmlns:a16="http://schemas.microsoft.com/office/drawing/2014/main" id="{44AC3726-A6EF-4808-991F-9F8140E5FA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>
                    <a:extLst>
                      <a:ext uri="{FF2B5EF4-FFF2-40B4-BE49-F238E27FC236}">
                        <a16:creationId xmlns:a16="http://schemas.microsoft.com/office/drawing/2014/main" id="{44AC3726-A6EF-4808-991F-9F8140E5FA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032" cy="45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666"/>
    <w:multiLevelType w:val="hybridMultilevel"/>
    <w:tmpl w:val="D42AE570"/>
    <w:lvl w:ilvl="0" w:tplc="55D09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24A2A"/>
    <w:multiLevelType w:val="hybridMultilevel"/>
    <w:tmpl w:val="B6C6592A"/>
    <w:lvl w:ilvl="0" w:tplc="60AE9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F45FD"/>
    <w:multiLevelType w:val="hybridMultilevel"/>
    <w:tmpl w:val="77DCB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B96B0B"/>
    <w:multiLevelType w:val="hybridMultilevel"/>
    <w:tmpl w:val="DDE07704"/>
    <w:lvl w:ilvl="0" w:tplc="B50C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E5F4D"/>
    <w:multiLevelType w:val="hybridMultilevel"/>
    <w:tmpl w:val="227EBB70"/>
    <w:lvl w:ilvl="0" w:tplc="D3F627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A31A1"/>
    <w:multiLevelType w:val="hybridMultilevel"/>
    <w:tmpl w:val="63EE1266"/>
    <w:lvl w:ilvl="0" w:tplc="3E34D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629594">
    <w:abstractNumId w:val="2"/>
  </w:num>
  <w:num w:numId="2" w16cid:durableId="764304684">
    <w:abstractNumId w:val="0"/>
  </w:num>
  <w:num w:numId="3" w16cid:durableId="517890647">
    <w:abstractNumId w:val="4"/>
  </w:num>
  <w:num w:numId="4" w16cid:durableId="359858257">
    <w:abstractNumId w:val="3"/>
  </w:num>
  <w:num w:numId="5" w16cid:durableId="1996952470">
    <w:abstractNumId w:val="5"/>
  </w:num>
  <w:num w:numId="6" w16cid:durableId="141415655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5C"/>
    <w:rsid w:val="00021C14"/>
    <w:rsid w:val="00067928"/>
    <w:rsid w:val="00082210"/>
    <w:rsid w:val="0008544D"/>
    <w:rsid w:val="000867D1"/>
    <w:rsid w:val="000A3B37"/>
    <w:rsid w:val="000B45BC"/>
    <w:rsid w:val="000C68C8"/>
    <w:rsid w:val="000F7B49"/>
    <w:rsid w:val="001136CC"/>
    <w:rsid w:val="00113D4D"/>
    <w:rsid w:val="00124729"/>
    <w:rsid w:val="00135DAC"/>
    <w:rsid w:val="00141339"/>
    <w:rsid w:val="0017264D"/>
    <w:rsid w:val="001B284A"/>
    <w:rsid w:val="00215F96"/>
    <w:rsid w:val="00246C4F"/>
    <w:rsid w:val="0026308E"/>
    <w:rsid w:val="00275666"/>
    <w:rsid w:val="00276293"/>
    <w:rsid w:val="002B1CC1"/>
    <w:rsid w:val="002B21C4"/>
    <w:rsid w:val="002B3ECC"/>
    <w:rsid w:val="002B6203"/>
    <w:rsid w:val="00312A30"/>
    <w:rsid w:val="00346D68"/>
    <w:rsid w:val="0035785B"/>
    <w:rsid w:val="0036291A"/>
    <w:rsid w:val="00391A43"/>
    <w:rsid w:val="003A0928"/>
    <w:rsid w:val="003B6D73"/>
    <w:rsid w:val="003C403B"/>
    <w:rsid w:val="004032E7"/>
    <w:rsid w:val="00431062"/>
    <w:rsid w:val="00460157"/>
    <w:rsid w:val="004A267D"/>
    <w:rsid w:val="004C7A13"/>
    <w:rsid w:val="004D4676"/>
    <w:rsid w:val="004F1D59"/>
    <w:rsid w:val="004F3846"/>
    <w:rsid w:val="005156E7"/>
    <w:rsid w:val="005478EC"/>
    <w:rsid w:val="005518ED"/>
    <w:rsid w:val="00585600"/>
    <w:rsid w:val="0059046E"/>
    <w:rsid w:val="005A18F2"/>
    <w:rsid w:val="005A3141"/>
    <w:rsid w:val="005B6287"/>
    <w:rsid w:val="005B765F"/>
    <w:rsid w:val="005C0594"/>
    <w:rsid w:val="006050C3"/>
    <w:rsid w:val="00612809"/>
    <w:rsid w:val="00620C6B"/>
    <w:rsid w:val="00667C11"/>
    <w:rsid w:val="00685886"/>
    <w:rsid w:val="006950B7"/>
    <w:rsid w:val="006A08C7"/>
    <w:rsid w:val="006E32C5"/>
    <w:rsid w:val="006E428E"/>
    <w:rsid w:val="00700612"/>
    <w:rsid w:val="00701CC9"/>
    <w:rsid w:val="0070688F"/>
    <w:rsid w:val="00721D0C"/>
    <w:rsid w:val="00740D07"/>
    <w:rsid w:val="0077226B"/>
    <w:rsid w:val="00772C98"/>
    <w:rsid w:val="00776EDD"/>
    <w:rsid w:val="0079257A"/>
    <w:rsid w:val="007956B6"/>
    <w:rsid w:val="007B46D7"/>
    <w:rsid w:val="007D47FB"/>
    <w:rsid w:val="007E2756"/>
    <w:rsid w:val="007E7E93"/>
    <w:rsid w:val="00806F6F"/>
    <w:rsid w:val="00811EB8"/>
    <w:rsid w:val="00812C64"/>
    <w:rsid w:val="00832A1D"/>
    <w:rsid w:val="008339F5"/>
    <w:rsid w:val="008777F1"/>
    <w:rsid w:val="00882A2C"/>
    <w:rsid w:val="008A08B9"/>
    <w:rsid w:val="008B1019"/>
    <w:rsid w:val="008C617D"/>
    <w:rsid w:val="008D19AA"/>
    <w:rsid w:val="008D52E6"/>
    <w:rsid w:val="008F799C"/>
    <w:rsid w:val="00900C65"/>
    <w:rsid w:val="00974738"/>
    <w:rsid w:val="00984401"/>
    <w:rsid w:val="00996F1A"/>
    <w:rsid w:val="009976E2"/>
    <w:rsid w:val="009C3171"/>
    <w:rsid w:val="009E79E7"/>
    <w:rsid w:val="00A7148F"/>
    <w:rsid w:val="00A74A1D"/>
    <w:rsid w:val="00A81BF8"/>
    <w:rsid w:val="00AD018C"/>
    <w:rsid w:val="00AE29FE"/>
    <w:rsid w:val="00AF063A"/>
    <w:rsid w:val="00AF24BD"/>
    <w:rsid w:val="00B0765A"/>
    <w:rsid w:val="00B1301E"/>
    <w:rsid w:val="00B2243C"/>
    <w:rsid w:val="00B526B7"/>
    <w:rsid w:val="00B71FE7"/>
    <w:rsid w:val="00B93010"/>
    <w:rsid w:val="00B94FEA"/>
    <w:rsid w:val="00B9554E"/>
    <w:rsid w:val="00BA10FA"/>
    <w:rsid w:val="00BA19B6"/>
    <w:rsid w:val="00BB4BD1"/>
    <w:rsid w:val="00C6065C"/>
    <w:rsid w:val="00C82742"/>
    <w:rsid w:val="00C94E6F"/>
    <w:rsid w:val="00CA1EB6"/>
    <w:rsid w:val="00CD2021"/>
    <w:rsid w:val="00CE6D05"/>
    <w:rsid w:val="00CF2214"/>
    <w:rsid w:val="00CF5461"/>
    <w:rsid w:val="00D23FB0"/>
    <w:rsid w:val="00D25033"/>
    <w:rsid w:val="00D41ABA"/>
    <w:rsid w:val="00D42D20"/>
    <w:rsid w:val="00D531C8"/>
    <w:rsid w:val="00D63D42"/>
    <w:rsid w:val="00D8502F"/>
    <w:rsid w:val="00DC0B7F"/>
    <w:rsid w:val="00DC0F63"/>
    <w:rsid w:val="00DC3466"/>
    <w:rsid w:val="00DD155F"/>
    <w:rsid w:val="00DE65EA"/>
    <w:rsid w:val="00DF34F5"/>
    <w:rsid w:val="00E442BE"/>
    <w:rsid w:val="00E55716"/>
    <w:rsid w:val="00E74FC0"/>
    <w:rsid w:val="00E8282A"/>
    <w:rsid w:val="00E8702B"/>
    <w:rsid w:val="00EB7362"/>
    <w:rsid w:val="00EC33CE"/>
    <w:rsid w:val="00ED1DDC"/>
    <w:rsid w:val="00F0056E"/>
    <w:rsid w:val="00F11003"/>
    <w:rsid w:val="00F13C50"/>
    <w:rsid w:val="00F15129"/>
    <w:rsid w:val="00F42A38"/>
    <w:rsid w:val="00F7339D"/>
    <w:rsid w:val="00F905DE"/>
    <w:rsid w:val="00F97DD8"/>
    <w:rsid w:val="00FC2F9A"/>
    <w:rsid w:val="00FD72AB"/>
    <w:rsid w:val="00FE2C20"/>
    <w:rsid w:val="00FE3E96"/>
    <w:rsid w:val="06FBD50C"/>
    <w:rsid w:val="0830EFAC"/>
    <w:rsid w:val="08C57EAA"/>
    <w:rsid w:val="0A16D691"/>
    <w:rsid w:val="0D8B6F63"/>
    <w:rsid w:val="0F45A37E"/>
    <w:rsid w:val="111DD4EF"/>
    <w:rsid w:val="11827AFB"/>
    <w:rsid w:val="15723A9A"/>
    <w:rsid w:val="16DC3CDA"/>
    <w:rsid w:val="1A23DDD4"/>
    <w:rsid w:val="1F3D3E9B"/>
    <w:rsid w:val="247A23A7"/>
    <w:rsid w:val="25326DA1"/>
    <w:rsid w:val="274AE97C"/>
    <w:rsid w:val="34350C24"/>
    <w:rsid w:val="3676733D"/>
    <w:rsid w:val="37CADEC1"/>
    <w:rsid w:val="3A7CF16B"/>
    <w:rsid w:val="3AA48079"/>
    <w:rsid w:val="3C791D55"/>
    <w:rsid w:val="3E04954B"/>
    <w:rsid w:val="42184486"/>
    <w:rsid w:val="465B0088"/>
    <w:rsid w:val="49D9674E"/>
    <w:rsid w:val="4A662B7D"/>
    <w:rsid w:val="4A7661A1"/>
    <w:rsid w:val="4B4CED68"/>
    <w:rsid w:val="50611AB0"/>
    <w:rsid w:val="5103D5DA"/>
    <w:rsid w:val="52518EE3"/>
    <w:rsid w:val="5279E15C"/>
    <w:rsid w:val="54D68B37"/>
    <w:rsid w:val="5671FBDC"/>
    <w:rsid w:val="619F0D15"/>
    <w:rsid w:val="62FA1562"/>
    <w:rsid w:val="648BF2ED"/>
    <w:rsid w:val="68CB621E"/>
    <w:rsid w:val="6A67327F"/>
    <w:rsid w:val="6B31703E"/>
    <w:rsid w:val="6E9F036F"/>
    <w:rsid w:val="700A149F"/>
    <w:rsid w:val="71018BAD"/>
    <w:rsid w:val="750F13F8"/>
    <w:rsid w:val="761079DC"/>
    <w:rsid w:val="76E3EFEF"/>
    <w:rsid w:val="77E5A399"/>
    <w:rsid w:val="7A45BCAD"/>
    <w:rsid w:val="7DC48CF2"/>
    <w:rsid w:val="7F38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76643"/>
  <w15:chartTrackingRefBased/>
  <w15:docId w15:val="{803A8A96-E797-452A-9D3D-6E6E1892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5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65C"/>
    <w:rPr>
      <w:rFonts w:asciiTheme="minorHAnsi" w:hAnsiTheme="minorHAnsi" w:cstheme="min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C606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next w:val="ListParagraph"/>
    <w:link w:val="BodyTextChar"/>
    <w:uiPriority w:val="54"/>
    <w:unhideWhenUsed/>
    <w:qFormat/>
    <w:rsid w:val="00C6065C"/>
    <w:pPr>
      <w:spacing w:after="120" w:line="240" w:lineRule="auto"/>
    </w:pPr>
    <w:rPr>
      <w:rFonts w:ascii="Arial" w:hAnsi="Arial" w:eastAsia="Arial" w:cs="Arial"/>
      <w:color w:val="000000"/>
      <w:sz w:val="24"/>
      <w:lang w:eastAsia="en-GB"/>
    </w:rPr>
  </w:style>
  <w:style w:type="character" w:styleId="BodyTextChar" w:customStyle="1">
    <w:name w:val="Body Text Char"/>
    <w:basedOn w:val="DefaultParagraphFont"/>
    <w:link w:val="BodyText"/>
    <w:uiPriority w:val="54"/>
    <w:rsid w:val="00C6065C"/>
    <w:rPr>
      <w:rFonts w:eastAsia="Arial"/>
      <w:color w:val="000000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C60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06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06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65C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6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65C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6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7264D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6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264D"/>
    <w:rPr>
      <w:rFonts w:asciiTheme="minorHAnsi" w:hAnsiTheme="minorHAnsi" w:cstheme="minorBidi"/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0867D1"/>
  </w:style>
  <w:style w:type="character" w:styleId="eop" w:customStyle="1">
    <w:name w:val="eop"/>
    <w:basedOn w:val="DefaultParagraphFont"/>
    <w:rsid w:val="000867D1"/>
  </w:style>
  <w:style w:type="character" w:styleId="Hyperlink">
    <w:name w:val="Hyperlink"/>
    <w:basedOn w:val="DefaultParagraphFont"/>
    <w:uiPriority w:val="99"/>
    <w:unhideWhenUsed/>
    <w:rsid w:val="00086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1.png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hyperlink" Target="https://www.contractsfinder.service.gov.uk/Notice/d9037536-3852-46ba-b106-4889fd971a7f" TargetMode="External" Id="R106f877d2ea9400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18be74b-408a-4821-a541-c1cb6a280853" ContentTypeId="0x010100CD2C4A6BD139E040B17750FF27DCB588" PreviousValue="tru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d8ea2-166c-4bc4-b8e6-471679cf7152" xsi:nil="true"/>
    <lcf76f155ced4ddcb4097134ff3c332f xmlns="d980aaa7-0145-4da4-a900-6f89e5dc3793">
      <Terms xmlns="http://schemas.microsoft.com/office/infopath/2007/PartnerControls"/>
    </lcf76f155ced4ddcb4097134ff3c332f>
    <SharedWithUsers xmlns="306c9e73-2020-485d-8d60-89a38c7e972f">
      <UserInfo>
        <DisplayName>Andrew Wilson</DisplayName>
        <AccountId>122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bined Authority Document" ma:contentTypeID="0x010100CD2C4A6BD139E040B17750FF27DCB58800BB9C25C491BC5047960DC89DB1183C16" ma:contentTypeVersion="37" ma:contentTypeDescription="Create a new document." ma:contentTypeScope="" ma:versionID="094378f0d70c88dcc3bc2e41b906f2fe">
  <xsd:schema xmlns:xsd="http://www.w3.org/2001/XMLSchema" xmlns:xs="http://www.w3.org/2001/XMLSchema" xmlns:p="http://schemas.microsoft.com/office/2006/metadata/properties" xmlns:ns2="609d8ea2-166c-4bc4-b8e6-471679cf7152" xmlns:ns3="d980aaa7-0145-4da4-a900-6f89e5dc3793" xmlns:ns4="306c9e73-2020-485d-8d60-89a38c7e972f" targetNamespace="http://schemas.microsoft.com/office/2006/metadata/properties" ma:root="true" ma:fieldsID="b3c8892949220a40b0b9217abfdade9d" ns2:_="" ns3:_="" ns4:_="">
    <xsd:import namespace="609d8ea2-166c-4bc4-b8e6-471679cf7152"/>
    <xsd:import namespace="d980aaa7-0145-4da4-a900-6f89e5dc3793"/>
    <xsd:import namespace="306c9e73-2020-485d-8d60-89a38c7e972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8ea2-166c-4bc4-b8e6-471679cf71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9764443-ce15-4360-b2f6-639107186080}" ma:internalName="TaxCatchAll" ma:showField="CatchAllData" ma:web="306c9e73-2020-485d-8d60-89a38c7e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9764443-ce15-4360-b2f6-639107186080}" ma:internalName="TaxCatchAllLabel" ma:readOnly="true" ma:showField="CatchAllDataLabel" ma:web="306c9e73-2020-485d-8d60-89a38c7e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aaa7-0145-4da4-a900-6f89e5dc3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18be74b-408a-4821-a541-c1cb6a280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73-2020-485d-8d60-89a38c7e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2E963-691A-42AE-8BFA-09417DEA21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C063AD-987A-4A95-A582-3FE9098595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63A61-B361-4832-AA18-DC3CB4C782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8E7E2-7BBF-49F8-A59C-F455C7DC1F40}">
  <ds:schemaRefs>
    <ds:schemaRef ds:uri="http://schemas.microsoft.com/office/2006/metadata/properties"/>
    <ds:schemaRef ds:uri="http://schemas.microsoft.com/office/infopath/2007/PartnerControls"/>
    <ds:schemaRef ds:uri="609d8ea2-166c-4bc4-b8e6-471679cf7152"/>
    <ds:schemaRef ds:uri="d980aaa7-0145-4da4-a900-6f89e5dc3793"/>
    <ds:schemaRef ds:uri="306c9e73-2020-485d-8d60-89a38c7e972f"/>
  </ds:schemaRefs>
</ds:datastoreItem>
</file>

<file path=customXml/itemProps5.xml><?xml version="1.0" encoding="utf-8"?>
<ds:datastoreItem xmlns:ds="http://schemas.openxmlformats.org/officeDocument/2006/customXml" ds:itemID="{6A18A5A8-174D-4BA5-808D-AED29BA4B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d8ea2-166c-4bc4-b8e6-471679cf7152"/>
    <ds:schemaRef ds:uri="d980aaa7-0145-4da4-a900-6f89e5dc3793"/>
    <ds:schemaRef ds:uri="306c9e73-2020-485d-8d60-89a38c7e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Handley-Marsh</dc:creator>
  <keywords/>
  <dc:description/>
  <lastModifiedBy>James Ordidge</lastModifiedBy>
  <revision>3</revision>
  <dcterms:created xsi:type="dcterms:W3CDTF">2022-08-17T14:12:00.0000000Z</dcterms:created>
  <dcterms:modified xsi:type="dcterms:W3CDTF">2022-08-25T13:02:11.4747858Z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0x010100CD2C4A6BD139E040B17750FF27DCB58800BB9C25C491BC5047960DC89DB1183C16</vt:lpwstr>
  </property>
  <property fmtid="{D5CDD505-2E9C-101B-9397-08002B2CF9AE}" pid="3" name="Order">
    <vt:r8>7900</vt:r8>
  </property>
  <property fmtid="{D5CDD505-2E9C-101B-9397-08002B2CF9AE}" pid="4" name="Information Asset Owner">
    <vt:lpwstr/>
  </property>
  <property fmtid="{D5CDD505-2E9C-101B-9397-08002B2CF9AE}" pid="5" name="MediaServiceImageTags">
    <vt:lpwstr/>
  </property>
</Properties>
</file>