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3E507845" w:rsidR="003A05B7" w:rsidRPr="002409E8" w:rsidRDefault="003A05B7" w:rsidP="003E6927">
      <w:pPr>
        <w:pStyle w:val="Norma"/>
        <w:ind w:left="2160"/>
        <w:jc w:val="center"/>
        <w:rPr>
          <w:rFonts w:asciiTheme="majorHAnsi" w:hAnsiTheme="majorHAnsi" w:cs="Arial"/>
          <w:b/>
          <w:sz w:val="28"/>
          <w:szCs w:val="28"/>
        </w:rPr>
      </w:pPr>
      <w:r w:rsidRPr="002409E8">
        <w:rPr>
          <w:rFonts w:asciiTheme="majorHAnsi" w:hAnsiTheme="majorHAnsi" w:cs="Arial"/>
          <w:b/>
          <w:sz w:val="28"/>
          <w:szCs w:val="28"/>
        </w:rPr>
        <w:t xml:space="preserve">Specification for </w:t>
      </w:r>
      <w:r w:rsidR="003E6927" w:rsidRPr="002409E8">
        <w:rPr>
          <w:rFonts w:asciiTheme="majorHAnsi" w:hAnsiTheme="majorHAnsi" w:cs="Arial"/>
          <w:b/>
          <w:sz w:val="28"/>
          <w:szCs w:val="28"/>
        </w:rPr>
        <w:t>“</w:t>
      </w:r>
      <w:r w:rsidR="002409E8" w:rsidRPr="002409E8">
        <w:rPr>
          <w:rFonts w:asciiTheme="majorHAnsi" w:hAnsiTheme="majorHAnsi" w:cs="Arial"/>
          <w:b/>
          <w:sz w:val="28"/>
          <w:szCs w:val="28"/>
        </w:rPr>
        <w:t>S</w:t>
      </w:r>
      <w:r w:rsidR="002409E8" w:rsidRPr="002409E8">
        <w:rPr>
          <w:rFonts w:asciiTheme="majorHAnsi" w:hAnsiTheme="majorHAnsi" w:cs="Arial"/>
          <w:b/>
        </w:rPr>
        <w:t>upport summarising the Call for Evidence responses for Offsets</w:t>
      </w:r>
      <w:r w:rsidR="003E6927" w:rsidRPr="002409E8">
        <w:rPr>
          <w:rFonts w:asciiTheme="majorHAnsi" w:hAnsiTheme="majorHAnsi" w:cs="Arial"/>
          <w:b/>
          <w:sz w:val="28"/>
          <w:szCs w:val="28"/>
        </w:rPr>
        <w:t>”</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31D6C52D"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0C2F8E">
        <w:rPr>
          <w:rFonts w:ascii="Century Gothic" w:hAnsi="Century Gothic" w:cs="Arial"/>
          <w:sz w:val="20"/>
          <w:szCs w:val="20"/>
        </w:rPr>
        <w:t>BN/0222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177F5BEA" w:rsidR="003A05B7" w:rsidRPr="003A05B7" w:rsidRDefault="003A05B7" w:rsidP="00D47285">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Invitation</w:t>
      </w:r>
      <w:r w:rsidRPr="009C4850">
        <w:rPr>
          <w:rFonts w:ascii="Century Gothic" w:hAnsi="Century Gothic" w:cs="Arial"/>
          <w:sz w:val="20"/>
          <w:szCs w:val="20"/>
        </w:rPr>
        <w:t xml:space="preserve"> to Tender for</w:t>
      </w:r>
      <w:r w:rsidR="009C4850" w:rsidRPr="009C4850">
        <w:rPr>
          <w:rFonts w:ascii="Century Gothic" w:hAnsi="Century Gothic" w:cs="Arial"/>
          <w:sz w:val="20"/>
          <w:szCs w:val="20"/>
        </w:rPr>
        <w:t xml:space="preserve"> </w:t>
      </w:r>
      <w:r w:rsidR="002409E8" w:rsidRPr="002409E8">
        <w:rPr>
          <w:rFonts w:asciiTheme="majorHAnsi" w:hAnsiTheme="majorHAnsi" w:cs="Arial"/>
          <w:bCs/>
          <w:sz w:val="20"/>
          <w:szCs w:val="20"/>
        </w:rPr>
        <w:t>Support summarising the Call for Evidence responses for Offsets</w:t>
      </w:r>
    </w:p>
    <w:p w14:paraId="2BF4D589" w14:textId="1C9EAC81"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0C2F8E">
        <w:rPr>
          <w:rFonts w:ascii="Century Gothic" w:hAnsi="Century Gothic" w:cs="Arial"/>
          <w:sz w:val="20"/>
          <w:szCs w:val="20"/>
        </w:rPr>
        <w:t>BN/0222</w:t>
      </w:r>
    </w:p>
    <w:p w14:paraId="6AB0AC47" w14:textId="50D100AD"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7F782E">
        <w:rPr>
          <w:rFonts w:ascii="Century Gothic" w:hAnsi="Century Gothic" w:cs="Arial"/>
          <w:sz w:val="20"/>
          <w:szCs w:val="20"/>
        </w:rPr>
        <w:t>Wednesday</w:t>
      </w:r>
      <w:r w:rsidR="005E4E42">
        <w:rPr>
          <w:rFonts w:ascii="Century Gothic" w:hAnsi="Century Gothic" w:cs="Arial"/>
          <w:sz w:val="20"/>
          <w:szCs w:val="20"/>
        </w:rPr>
        <w:t xml:space="preserve"> </w:t>
      </w:r>
      <w:r w:rsidR="007F782E">
        <w:rPr>
          <w:rFonts w:ascii="Century Gothic" w:hAnsi="Century Gothic" w:cs="Arial"/>
          <w:sz w:val="20"/>
          <w:szCs w:val="20"/>
        </w:rPr>
        <w:t>23</w:t>
      </w:r>
      <w:r w:rsidR="007F782E" w:rsidRPr="007F782E">
        <w:rPr>
          <w:rFonts w:ascii="Century Gothic" w:hAnsi="Century Gothic" w:cs="Arial"/>
          <w:sz w:val="20"/>
          <w:szCs w:val="20"/>
          <w:vertAlign w:val="superscript"/>
        </w:rPr>
        <w:t>rd</w:t>
      </w:r>
      <w:r w:rsidR="005E4E42">
        <w:rPr>
          <w:rFonts w:ascii="Century Gothic" w:hAnsi="Century Gothic" w:cs="Arial"/>
          <w:sz w:val="20"/>
          <w:szCs w:val="20"/>
        </w:rPr>
        <w:t xml:space="preserve"> February</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025FFFFE" w14:textId="7B00A96E"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DEAC973"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1956F56B"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1D126011"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24A7D925"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38388A" w:rsidRDefault="003A05B7" w:rsidP="003A05B7">
      <w:pPr>
        <w:pStyle w:val="Numbered"/>
        <w:widowControl/>
        <w:ind w:left="720"/>
        <w:rPr>
          <w:rFonts w:asciiTheme="minorHAnsi" w:hAnsiTheme="minorHAnsi" w:cs="Arial"/>
          <w:bCs/>
          <w:color w:val="222222"/>
          <w:sz w:val="20"/>
          <w:szCs w:val="20"/>
        </w:rPr>
      </w:pPr>
      <w:bookmarkStart w:id="0" w:name="_Ref357535594"/>
      <w:bookmarkStart w:id="1" w:name="_Ref373505096"/>
      <w:bookmarkStart w:id="2" w:name="_Toc381969506"/>
      <w:bookmarkStart w:id="3" w:name="_Toc405888455"/>
      <w:r w:rsidRPr="0038388A">
        <w:rPr>
          <w:rFonts w:asciiTheme="minorHAnsi" w:hAnsiTheme="minorHAnsi" w:cs="Arial"/>
          <w:b/>
          <w:color w:val="FF0000"/>
          <w:sz w:val="20"/>
          <w:szCs w:val="20"/>
        </w:rPr>
        <w:lastRenderedPageBreak/>
        <w:t>1 Introduction</w:t>
      </w:r>
      <w:bookmarkEnd w:id="0"/>
      <w:r w:rsidRPr="0038388A">
        <w:rPr>
          <w:rFonts w:asciiTheme="minorHAnsi" w:hAnsiTheme="minorHAnsi" w:cs="Arial"/>
          <w:b/>
          <w:color w:val="FF0000"/>
          <w:sz w:val="20"/>
          <w:szCs w:val="20"/>
        </w:rPr>
        <w:t xml:space="preserve"> and summary of requirements</w:t>
      </w:r>
      <w:bookmarkEnd w:id="1"/>
      <w:bookmarkEnd w:id="2"/>
      <w:bookmarkEnd w:id="3"/>
      <w:r w:rsidRPr="0038388A">
        <w:rPr>
          <w:rFonts w:asciiTheme="minorHAnsi" w:hAnsiTheme="minorHAnsi" w:cs="Arial"/>
          <w:b/>
          <w:color w:val="FF0000"/>
          <w:sz w:val="20"/>
          <w:szCs w:val="20"/>
        </w:rPr>
        <w:t xml:space="preserve"> / Preamble</w:t>
      </w:r>
    </w:p>
    <w:p w14:paraId="559604B1" w14:textId="3CC1D794" w:rsidR="005A21F8" w:rsidRDefault="005A21F8" w:rsidP="005A21F8">
      <w:pPr>
        <w:pStyle w:val="Norma"/>
        <w:rPr>
          <w:rFonts w:asciiTheme="minorHAnsi" w:hAnsiTheme="minorHAnsi"/>
          <w:bCs/>
          <w:sz w:val="20"/>
          <w:szCs w:val="20"/>
        </w:rPr>
      </w:pPr>
      <w:r w:rsidRPr="005A21F8">
        <w:rPr>
          <w:rFonts w:asciiTheme="minorHAnsi" w:hAnsiTheme="minorHAnsi"/>
          <w:bCs/>
          <w:sz w:val="20"/>
          <w:szCs w:val="20"/>
        </w:rPr>
        <w:t>The Committee on Climate Change (CCC)</w:t>
      </w:r>
      <w:r>
        <w:rPr>
          <w:rFonts w:asciiTheme="minorHAnsi" w:hAnsiTheme="minorHAnsi"/>
          <w:bCs/>
          <w:sz w:val="20"/>
          <w:szCs w:val="20"/>
        </w:rPr>
        <w:t xml:space="preserve"> is planning on publishing a report on voluntary carbon offsets in 2022. The report will characterise the current and anticipated status of voluntary offset usage in the UK, evidence the risks and opportunities that accompany that, and generate recommendations for </w:t>
      </w:r>
      <w:proofErr w:type="gramStart"/>
      <w:r>
        <w:rPr>
          <w:rFonts w:asciiTheme="minorHAnsi" w:hAnsiTheme="minorHAnsi"/>
          <w:bCs/>
          <w:sz w:val="20"/>
          <w:szCs w:val="20"/>
        </w:rPr>
        <w:t>policy-makers</w:t>
      </w:r>
      <w:proofErr w:type="gramEnd"/>
      <w:r>
        <w:rPr>
          <w:rFonts w:asciiTheme="minorHAnsi" w:hAnsiTheme="minorHAnsi"/>
          <w:bCs/>
          <w:sz w:val="20"/>
          <w:szCs w:val="20"/>
        </w:rPr>
        <w:t xml:space="preserve"> on </w:t>
      </w:r>
      <w:r w:rsidR="002D3396">
        <w:rPr>
          <w:rFonts w:asciiTheme="minorHAnsi" w:hAnsiTheme="minorHAnsi"/>
          <w:bCs/>
          <w:sz w:val="20"/>
          <w:szCs w:val="20"/>
        </w:rPr>
        <w:t>how</w:t>
      </w:r>
      <w:r>
        <w:rPr>
          <w:rFonts w:asciiTheme="minorHAnsi" w:hAnsiTheme="minorHAnsi"/>
          <w:bCs/>
          <w:sz w:val="20"/>
          <w:szCs w:val="20"/>
        </w:rPr>
        <w:t xml:space="preserve"> to direct voluntary offset activity</w:t>
      </w:r>
      <w:r w:rsidR="002D3396">
        <w:rPr>
          <w:rFonts w:asciiTheme="minorHAnsi" w:hAnsiTheme="minorHAnsi"/>
          <w:bCs/>
          <w:sz w:val="20"/>
          <w:szCs w:val="20"/>
        </w:rPr>
        <w:t xml:space="preserve"> in the UK</w:t>
      </w:r>
      <w:r>
        <w:rPr>
          <w:rFonts w:asciiTheme="minorHAnsi" w:hAnsiTheme="minorHAnsi"/>
          <w:bCs/>
          <w:sz w:val="20"/>
          <w:szCs w:val="20"/>
        </w:rPr>
        <w:t xml:space="preserve">. </w:t>
      </w:r>
    </w:p>
    <w:p w14:paraId="73781B8F" w14:textId="61C63223" w:rsidR="00C61DB5" w:rsidRDefault="00C61DB5" w:rsidP="005A21F8">
      <w:pPr>
        <w:pStyle w:val="Norma"/>
        <w:rPr>
          <w:rFonts w:asciiTheme="minorHAnsi" w:hAnsiTheme="minorHAnsi"/>
          <w:bCs/>
          <w:sz w:val="20"/>
          <w:szCs w:val="20"/>
        </w:rPr>
      </w:pPr>
    </w:p>
    <w:p w14:paraId="0B7E45DB" w14:textId="1E85773A" w:rsidR="00C61DB5" w:rsidRDefault="00C61DB5" w:rsidP="005A21F8">
      <w:pPr>
        <w:pStyle w:val="Norma"/>
        <w:rPr>
          <w:rFonts w:asciiTheme="minorHAnsi" w:hAnsiTheme="minorHAnsi"/>
          <w:bCs/>
          <w:sz w:val="20"/>
          <w:szCs w:val="20"/>
        </w:rPr>
      </w:pPr>
      <w:r>
        <w:rPr>
          <w:rFonts w:asciiTheme="majorHAnsi" w:hAnsiTheme="majorHAnsi" w:cs="Arial"/>
          <w:bCs/>
          <w:sz w:val="20"/>
          <w:szCs w:val="20"/>
        </w:rPr>
        <w:t>To inform the report, t</w:t>
      </w:r>
      <w:r w:rsidRPr="00C61DB5">
        <w:rPr>
          <w:rFonts w:asciiTheme="majorHAnsi" w:hAnsiTheme="majorHAnsi" w:cs="Arial"/>
          <w:bCs/>
          <w:sz w:val="20"/>
          <w:szCs w:val="20"/>
        </w:rPr>
        <w:t xml:space="preserve">hroughout February 2022 the CCC will run an online call for evidence on voluntary carbon offsets.  </w:t>
      </w:r>
    </w:p>
    <w:p w14:paraId="445C8CB6" w14:textId="77777777" w:rsidR="005A21F8" w:rsidRDefault="005A21F8" w:rsidP="005A21F8">
      <w:pPr>
        <w:pStyle w:val="Norma"/>
        <w:rPr>
          <w:rFonts w:asciiTheme="minorHAnsi" w:hAnsiTheme="minorHAnsi"/>
          <w:bCs/>
          <w:sz w:val="20"/>
          <w:szCs w:val="20"/>
        </w:rPr>
      </w:pPr>
    </w:p>
    <w:p w14:paraId="56C11707" w14:textId="356FF87E" w:rsidR="003A05B7" w:rsidRDefault="00C61DB5" w:rsidP="005A21F8">
      <w:pPr>
        <w:pStyle w:val="Norma"/>
        <w:rPr>
          <w:rFonts w:asciiTheme="minorHAnsi" w:hAnsiTheme="minorHAnsi"/>
          <w:bCs/>
          <w:sz w:val="20"/>
          <w:szCs w:val="20"/>
        </w:rPr>
      </w:pPr>
      <w:r>
        <w:rPr>
          <w:rFonts w:asciiTheme="minorHAnsi" w:hAnsiTheme="minorHAnsi"/>
          <w:bCs/>
          <w:sz w:val="20"/>
          <w:szCs w:val="20"/>
        </w:rPr>
        <w:t>T</w:t>
      </w:r>
      <w:r w:rsidR="005A21F8">
        <w:rPr>
          <w:rFonts w:asciiTheme="minorHAnsi" w:hAnsiTheme="minorHAnsi"/>
          <w:bCs/>
          <w:sz w:val="20"/>
          <w:szCs w:val="20"/>
        </w:rPr>
        <w:t xml:space="preserve">he CCC is tendering some work to </w:t>
      </w:r>
      <w:r>
        <w:rPr>
          <w:rFonts w:asciiTheme="minorHAnsi" w:hAnsiTheme="minorHAnsi"/>
          <w:bCs/>
          <w:sz w:val="20"/>
          <w:szCs w:val="20"/>
        </w:rPr>
        <w:t xml:space="preserve">summarise the responses to the Call for Evidence. </w:t>
      </w:r>
    </w:p>
    <w:p w14:paraId="0184CC8B" w14:textId="5EA7AD69" w:rsidR="005A21F8" w:rsidRDefault="005A21F8" w:rsidP="005A21F8">
      <w:pPr>
        <w:pStyle w:val="Norma"/>
        <w:rPr>
          <w:rFonts w:asciiTheme="minorHAnsi" w:hAnsiTheme="minorHAnsi"/>
          <w:bCs/>
          <w:sz w:val="20"/>
          <w:szCs w:val="20"/>
        </w:rPr>
      </w:pPr>
    </w:p>
    <w:p w14:paraId="61B488D5" w14:textId="588F4EFA" w:rsidR="005A21F8" w:rsidRPr="005A21F8" w:rsidRDefault="005A21F8" w:rsidP="005A21F8">
      <w:pPr>
        <w:pStyle w:val="Norma"/>
        <w:rPr>
          <w:rFonts w:asciiTheme="minorHAnsi" w:hAnsiTheme="minorHAnsi"/>
          <w:bCs/>
          <w:sz w:val="20"/>
          <w:szCs w:val="20"/>
        </w:rPr>
      </w:pPr>
      <w:r w:rsidRPr="007F782E">
        <w:rPr>
          <w:rFonts w:asciiTheme="minorHAnsi" w:hAnsiTheme="minorHAnsi"/>
          <w:bCs/>
          <w:sz w:val="20"/>
          <w:szCs w:val="20"/>
        </w:rPr>
        <w:t xml:space="preserve">Given timescales for publication, the tendered work </w:t>
      </w:r>
      <w:r w:rsidR="004564C1" w:rsidRPr="007F782E">
        <w:rPr>
          <w:rFonts w:asciiTheme="minorHAnsi" w:hAnsiTheme="minorHAnsi"/>
          <w:bCs/>
          <w:sz w:val="20"/>
          <w:szCs w:val="20"/>
        </w:rPr>
        <w:t xml:space="preserve">would ideally </w:t>
      </w:r>
      <w:r w:rsidRPr="007F782E">
        <w:rPr>
          <w:rFonts w:asciiTheme="minorHAnsi" w:hAnsiTheme="minorHAnsi"/>
          <w:bCs/>
          <w:sz w:val="20"/>
          <w:szCs w:val="20"/>
        </w:rPr>
        <w:t>be delivered by end of March 2022</w:t>
      </w:r>
      <w:r w:rsidR="004564C1" w:rsidRPr="007F782E">
        <w:rPr>
          <w:rFonts w:asciiTheme="minorHAnsi" w:hAnsiTheme="minorHAnsi"/>
          <w:bCs/>
          <w:sz w:val="20"/>
          <w:szCs w:val="20"/>
        </w:rPr>
        <w:t xml:space="preserve">, </w:t>
      </w:r>
      <w:r w:rsidRPr="007F782E">
        <w:rPr>
          <w:rFonts w:asciiTheme="minorHAnsi" w:hAnsiTheme="minorHAnsi"/>
          <w:bCs/>
          <w:sz w:val="20"/>
          <w:szCs w:val="20"/>
        </w:rPr>
        <w:t>at the cost of £</w:t>
      </w:r>
      <w:r w:rsidR="007F782E" w:rsidRPr="007F782E">
        <w:rPr>
          <w:rFonts w:asciiTheme="minorHAnsi" w:hAnsiTheme="minorHAnsi"/>
          <w:bCs/>
          <w:sz w:val="20"/>
          <w:szCs w:val="20"/>
        </w:rPr>
        <w:t>10</w:t>
      </w:r>
      <w:r w:rsidRPr="007F782E">
        <w:rPr>
          <w:rFonts w:asciiTheme="minorHAnsi" w:hAnsiTheme="minorHAnsi"/>
          <w:bCs/>
          <w:sz w:val="20"/>
          <w:szCs w:val="20"/>
        </w:rPr>
        <w:t>,000 - £</w:t>
      </w:r>
      <w:r w:rsidR="007F782E" w:rsidRPr="007F782E">
        <w:rPr>
          <w:rFonts w:asciiTheme="minorHAnsi" w:hAnsiTheme="minorHAnsi"/>
          <w:bCs/>
          <w:sz w:val="20"/>
          <w:szCs w:val="20"/>
        </w:rPr>
        <w:t>25</w:t>
      </w:r>
      <w:r w:rsidRPr="007F782E">
        <w:rPr>
          <w:rFonts w:asciiTheme="minorHAnsi" w:hAnsiTheme="minorHAnsi"/>
          <w:bCs/>
          <w:sz w:val="20"/>
          <w:szCs w:val="20"/>
        </w:rPr>
        <w:t>,000.</w:t>
      </w:r>
      <w:r>
        <w:rPr>
          <w:rFonts w:asciiTheme="minorHAnsi" w:hAnsiTheme="minorHAnsi"/>
          <w:bCs/>
          <w:sz w:val="20"/>
          <w:szCs w:val="20"/>
        </w:rPr>
        <w:t xml:space="preserve"> </w:t>
      </w:r>
    </w:p>
    <w:p w14:paraId="489D4427" w14:textId="77777777"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4" w:name="_Ref357535668"/>
      <w:bookmarkStart w:id="5" w:name="_Toc381969507"/>
      <w:bookmarkStart w:id="6"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4"/>
      <w:bookmarkEnd w:id="5"/>
      <w:bookmarkEnd w:id="6"/>
    </w:p>
    <w:p w14:paraId="14DD8AC7" w14:textId="27E8D553" w:rsidR="003A05B7" w:rsidRPr="00B51BFD" w:rsidRDefault="003A05B7" w:rsidP="003A05B7">
      <w:pPr>
        <w:pStyle w:val="Norma"/>
        <w:ind w:left="720"/>
        <w:rPr>
          <w:rFonts w:asciiTheme="minorHAnsi" w:hAnsiTheme="minorHAnsi"/>
          <w:b/>
          <w:sz w:val="20"/>
          <w:szCs w:val="20"/>
        </w:rPr>
      </w:pPr>
    </w:p>
    <w:p w14:paraId="68FF18F9" w14:textId="77777777" w:rsidR="003E6927" w:rsidRPr="00B51BFD" w:rsidRDefault="003E6927" w:rsidP="003E6927">
      <w:pPr>
        <w:pStyle w:val="BodyText"/>
        <w:spacing w:line="276" w:lineRule="auto"/>
        <w:rPr>
          <w:rFonts w:asciiTheme="majorHAnsi" w:hAnsiTheme="majorHAnsi" w:cs="Arial"/>
          <w:b/>
          <w:bCs/>
          <w:color w:val="auto"/>
          <w:szCs w:val="20"/>
        </w:rPr>
      </w:pPr>
      <w:r w:rsidRPr="00B51BFD">
        <w:rPr>
          <w:rFonts w:asciiTheme="majorHAnsi" w:hAnsiTheme="majorHAnsi" w:cs="Arial"/>
          <w:b/>
          <w:bCs/>
          <w:color w:val="auto"/>
          <w:szCs w:val="20"/>
        </w:rPr>
        <w:t>The Committee on Climate Change</w:t>
      </w:r>
    </w:p>
    <w:p w14:paraId="1D6DE632" w14:textId="59314977"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on Climate Change (CCC) was set up as part of the Climate Change Act. The CCC is an independent body tasked with providing advice to Government on climate change issues, particularly the setting of carbon budgets, and the monitoring of progress towards meeting those budgets. </w:t>
      </w:r>
    </w:p>
    <w:p w14:paraId="1C24C88F" w14:textId="77777777" w:rsidR="003E6927" w:rsidRPr="00B51BFD" w:rsidRDefault="003E6927" w:rsidP="003E6927">
      <w:pPr>
        <w:pStyle w:val="BodyText"/>
        <w:spacing w:line="276" w:lineRule="auto"/>
        <w:rPr>
          <w:rFonts w:asciiTheme="majorHAnsi" w:hAnsiTheme="majorHAnsi" w:cs="Arial"/>
          <w:bCs/>
          <w:color w:val="auto"/>
          <w:szCs w:val="20"/>
        </w:rPr>
      </w:pPr>
    </w:p>
    <w:p w14:paraId="0C7B0A93" w14:textId="77777777"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sixth carbon budget (setting a limit on UK emissions in the period 2033-2037) in 2020 and assessed UK progress in its annual Progress Report in June 2021. </w:t>
      </w:r>
    </w:p>
    <w:p w14:paraId="375975EE" w14:textId="7E0DEEF8" w:rsidR="003E6927" w:rsidRDefault="003E6927" w:rsidP="003E6927">
      <w:pPr>
        <w:pStyle w:val="BodyText"/>
        <w:spacing w:line="276" w:lineRule="auto"/>
        <w:rPr>
          <w:rFonts w:asciiTheme="majorHAnsi" w:hAnsiTheme="majorHAnsi" w:cs="Arial"/>
          <w:bCs/>
          <w:szCs w:val="20"/>
        </w:rPr>
      </w:pPr>
    </w:p>
    <w:p w14:paraId="7795932E" w14:textId="65A51C2D" w:rsidR="003E6927" w:rsidRPr="00B51BFD" w:rsidRDefault="003E6927" w:rsidP="003E6927">
      <w:pPr>
        <w:pStyle w:val="BodyText"/>
        <w:spacing w:line="276" w:lineRule="auto"/>
        <w:rPr>
          <w:rFonts w:asciiTheme="majorHAnsi" w:hAnsiTheme="majorHAnsi" w:cs="Arial"/>
          <w:b/>
          <w:color w:val="auto"/>
          <w:szCs w:val="20"/>
        </w:rPr>
      </w:pPr>
      <w:r w:rsidRPr="00B51BFD">
        <w:rPr>
          <w:rFonts w:asciiTheme="majorHAnsi" w:hAnsiTheme="majorHAnsi" w:cs="Arial"/>
          <w:b/>
          <w:color w:val="auto"/>
          <w:szCs w:val="20"/>
        </w:rPr>
        <w:t xml:space="preserve">The Committee on Climate Change’s work in relation to offsets </w:t>
      </w:r>
    </w:p>
    <w:p w14:paraId="0B77FC17" w14:textId="77777777" w:rsidR="00F97C32" w:rsidRDefault="00F97C32" w:rsidP="003E6927">
      <w:pPr>
        <w:pStyle w:val="BodyText"/>
        <w:spacing w:line="276" w:lineRule="auto"/>
        <w:rPr>
          <w:rFonts w:asciiTheme="majorHAnsi" w:hAnsiTheme="majorHAnsi" w:cs="Arial"/>
          <w:bCs/>
          <w:szCs w:val="20"/>
        </w:rPr>
      </w:pPr>
    </w:p>
    <w:p w14:paraId="352EB0D9" w14:textId="6BF1F1B5"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In November 2020, the CCC published a brief on ‘</w:t>
      </w:r>
      <w:hyperlink r:id="rId8" w:history="1">
        <w:r w:rsidR="002D3396">
          <w:rPr>
            <w:rStyle w:val="Hyperlink"/>
            <w:rFonts w:asciiTheme="majorHAnsi" w:hAnsiTheme="majorHAnsi" w:cs="Arial"/>
            <w:bCs/>
            <w:szCs w:val="20"/>
          </w:rPr>
          <w:t>T</w:t>
        </w:r>
        <w:r w:rsidRPr="002D3396">
          <w:rPr>
            <w:rStyle w:val="Hyperlink"/>
            <w:rFonts w:asciiTheme="majorHAnsi" w:hAnsiTheme="majorHAnsi" w:cs="Arial"/>
            <w:bCs/>
            <w:szCs w:val="20"/>
          </w:rPr>
          <w:t>he role of business in delivering</w:t>
        </w:r>
        <w:r w:rsidR="002D3396">
          <w:rPr>
            <w:rStyle w:val="Hyperlink"/>
            <w:rFonts w:asciiTheme="majorHAnsi" w:hAnsiTheme="majorHAnsi" w:cs="Arial"/>
            <w:bCs/>
            <w:szCs w:val="20"/>
          </w:rPr>
          <w:t xml:space="preserve"> the UK’s Net Zero ambition</w:t>
        </w:r>
      </w:hyperlink>
      <w:r w:rsidR="002D3396">
        <w:rPr>
          <w:rFonts w:asciiTheme="majorHAnsi" w:hAnsiTheme="majorHAnsi" w:cs="Arial"/>
          <w:bCs/>
          <w:color w:val="auto"/>
          <w:szCs w:val="20"/>
        </w:rPr>
        <w:t>’</w:t>
      </w:r>
      <w:r w:rsidRPr="00B51BFD">
        <w:rPr>
          <w:rFonts w:asciiTheme="majorHAnsi" w:hAnsiTheme="majorHAnsi" w:cs="Arial"/>
          <w:bCs/>
          <w:color w:val="auto"/>
          <w:szCs w:val="20"/>
        </w:rPr>
        <w:t xml:space="preserve">, which set out high level principles for how businesses should approach ‘offsetting’ and outlined </w:t>
      </w:r>
      <w:r w:rsidR="002D3396">
        <w:rPr>
          <w:rFonts w:asciiTheme="majorHAnsi" w:hAnsiTheme="majorHAnsi" w:cs="Arial"/>
          <w:bCs/>
          <w:color w:val="auto"/>
          <w:szCs w:val="20"/>
        </w:rPr>
        <w:t>suggested offset usage by each sector by decade, aligned to the Sixth Carbon Budget pathway</w:t>
      </w:r>
      <w:r w:rsidRPr="00B51BFD">
        <w:rPr>
          <w:rFonts w:asciiTheme="majorHAnsi" w:hAnsiTheme="majorHAnsi" w:cs="Arial"/>
          <w:bCs/>
          <w:color w:val="auto"/>
          <w:szCs w:val="20"/>
        </w:rPr>
        <w:t xml:space="preserve">. </w:t>
      </w:r>
    </w:p>
    <w:p w14:paraId="6DBDE196" w14:textId="28842603" w:rsidR="00F97C32" w:rsidRPr="00B51BFD" w:rsidRDefault="00F97C32" w:rsidP="003E6927">
      <w:pPr>
        <w:pStyle w:val="BodyText"/>
        <w:spacing w:line="276" w:lineRule="auto"/>
        <w:rPr>
          <w:rFonts w:asciiTheme="majorHAnsi" w:hAnsiTheme="majorHAnsi" w:cs="Arial"/>
          <w:bCs/>
          <w:color w:val="auto"/>
          <w:szCs w:val="20"/>
        </w:rPr>
      </w:pPr>
    </w:p>
    <w:p w14:paraId="4A2ED8DC" w14:textId="0AC58E63"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In the 2021 Progress Report, the CCC identified business action as a key driver of progress in reaching net </w:t>
      </w:r>
      <w:proofErr w:type="gramStart"/>
      <w:r w:rsidRPr="00B51BFD">
        <w:rPr>
          <w:rFonts w:asciiTheme="majorHAnsi" w:hAnsiTheme="majorHAnsi" w:cs="Arial"/>
          <w:bCs/>
          <w:color w:val="auto"/>
          <w:szCs w:val="20"/>
        </w:rPr>
        <w:t>zero, and</w:t>
      </w:r>
      <w:proofErr w:type="gramEnd"/>
      <w:r w:rsidRPr="00B51BFD">
        <w:rPr>
          <w:rFonts w:asciiTheme="majorHAnsi" w:hAnsiTheme="majorHAnsi" w:cs="Arial"/>
          <w:bCs/>
          <w:color w:val="auto"/>
          <w:szCs w:val="20"/>
        </w:rPr>
        <w:t xml:space="preserve"> noted plans in future to help businesses make informed decision in line with Net Zero, and to track how corporate commitments are progressing in the UK. </w:t>
      </w:r>
    </w:p>
    <w:p w14:paraId="57F41865" w14:textId="4A58CFE1" w:rsidR="00F97C32" w:rsidRPr="00B51BFD" w:rsidRDefault="00F97C32" w:rsidP="003E6927">
      <w:pPr>
        <w:pStyle w:val="BodyText"/>
        <w:spacing w:line="276" w:lineRule="auto"/>
        <w:rPr>
          <w:rFonts w:asciiTheme="majorHAnsi" w:hAnsiTheme="majorHAnsi" w:cs="Arial"/>
          <w:bCs/>
          <w:color w:val="auto"/>
          <w:szCs w:val="20"/>
        </w:rPr>
      </w:pPr>
    </w:p>
    <w:p w14:paraId="469FADBF" w14:textId="03070BDC" w:rsidR="00F97C32" w:rsidRPr="00B51BFD" w:rsidRDefault="00F97C32" w:rsidP="00F97C32">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Removals are a ‘sector’ considered within CCC analysis, including the </w:t>
      </w:r>
      <w:r w:rsidR="002D3396">
        <w:rPr>
          <w:rFonts w:asciiTheme="majorHAnsi" w:hAnsiTheme="majorHAnsi" w:cs="Arial"/>
          <w:bCs/>
          <w:color w:val="auto"/>
          <w:szCs w:val="20"/>
        </w:rPr>
        <w:t>S</w:t>
      </w:r>
      <w:r w:rsidRPr="00B51BFD">
        <w:rPr>
          <w:rFonts w:asciiTheme="majorHAnsi" w:hAnsiTheme="majorHAnsi" w:cs="Arial"/>
          <w:bCs/>
          <w:color w:val="auto"/>
          <w:szCs w:val="20"/>
        </w:rPr>
        <w:t xml:space="preserve">ixth </w:t>
      </w:r>
      <w:r w:rsidR="002D3396">
        <w:rPr>
          <w:rFonts w:asciiTheme="majorHAnsi" w:hAnsiTheme="majorHAnsi" w:cs="Arial"/>
          <w:bCs/>
          <w:color w:val="auto"/>
          <w:szCs w:val="20"/>
        </w:rPr>
        <w:t>C</w:t>
      </w:r>
      <w:r w:rsidRPr="00B51BFD">
        <w:rPr>
          <w:rFonts w:asciiTheme="majorHAnsi" w:hAnsiTheme="majorHAnsi" w:cs="Arial"/>
          <w:bCs/>
          <w:color w:val="auto"/>
          <w:szCs w:val="20"/>
        </w:rPr>
        <w:t xml:space="preserve">arbon </w:t>
      </w:r>
      <w:r w:rsidR="002D3396">
        <w:rPr>
          <w:rFonts w:asciiTheme="majorHAnsi" w:hAnsiTheme="majorHAnsi" w:cs="Arial"/>
          <w:bCs/>
          <w:color w:val="auto"/>
          <w:szCs w:val="20"/>
        </w:rPr>
        <w:t>B</w:t>
      </w:r>
      <w:r w:rsidRPr="00B51BFD">
        <w:rPr>
          <w:rFonts w:asciiTheme="majorHAnsi" w:hAnsiTheme="majorHAnsi" w:cs="Arial"/>
          <w:bCs/>
          <w:color w:val="auto"/>
          <w:szCs w:val="20"/>
        </w:rPr>
        <w:t xml:space="preserve">udget and Progress Reports. </w:t>
      </w:r>
    </w:p>
    <w:p w14:paraId="024251A2" w14:textId="77777777" w:rsidR="003E6927" w:rsidRPr="00B51BFD" w:rsidRDefault="003E6927" w:rsidP="003E6927">
      <w:pPr>
        <w:pStyle w:val="BodyText"/>
        <w:spacing w:line="276" w:lineRule="auto"/>
        <w:rPr>
          <w:rFonts w:asciiTheme="majorHAnsi" w:hAnsiTheme="majorHAnsi" w:cs="Arial"/>
          <w:bCs/>
          <w:color w:val="auto"/>
          <w:szCs w:val="20"/>
        </w:rPr>
      </w:pPr>
    </w:p>
    <w:p w14:paraId="454261EF" w14:textId="77777777"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CCC’s past reports are available here: </w:t>
      </w:r>
      <w:hyperlink r:id="rId9" w:history="1">
        <w:r w:rsidRPr="00B51BFD">
          <w:rPr>
            <w:rStyle w:val="Hyperlink"/>
            <w:rFonts w:asciiTheme="majorHAnsi" w:hAnsiTheme="majorHAnsi" w:cs="Arial"/>
            <w:bCs/>
            <w:color w:val="auto"/>
            <w:szCs w:val="20"/>
          </w:rPr>
          <w:t>http://www.theccc.org.uk/reports/</w:t>
        </w:r>
      </w:hyperlink>
      <w:r w:rsidRPr="00B51BFD">
        <w:rPr>
          <w:rFonts w:asciiTheme="majorHAnsi" w:hAnsiTheme="majorHAnsi" w:cs="Arial"/>
          <w:bCs/>
          <w:color w:val="auto"/>
          <w:szCs w:val="20"/>
        </w:rPr>
        <w:t>.</w:t>
      </w:r>
    </w:p>
    <w:p w14:paraId="2A4CA66C" w14:textId="77777777" w:rsidR="003E6927" w:rsidRDefault="003E6927" w:rsidP="003A05B7">
      <w:pPr>
        <w:pStyle w:val="Norma"/>
        <w:ind w:left="720"/>
        <w:rPr>
          <w:rFonts w:asciiTheme="minorHAnsi" w:hAnsiTheme="minorHAnsi"/>
          <w:b/>
          <w:color w:val="FF0000"/>
          <w:sz w:val="20"/>
          <w:szCs w:val="20"/>
        </w:rPr>
      </w:pPr>
    </w:p>
    <w:p w14:paraId="1221AA05" w14:textId="77777777"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7" w:name="_Ref357535689"/>
      <w:bookmarkStart w:id="8" w:name="_Toc381969508"/>
      <w:bookmarkStart w:id="9"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7"/>
      <w:bookmarkEnd w:id="8"/>
      <w:bookmarkEnd w:id="9"/>
    </w:p>
    <w:p w14:paraId="206FD73E" w14:textId="03112112" w:rsidR="004B2868" w:rsidRDefault="004B2868" w:rsidP="003A05B7">
      <w:pPr>
        <w:pStyle w:val="Norma"/>
        <w:ind w:left="720"/>
        <w:rPr>
          <w:rFonts w:asciiTheme="minorHAnsi" w:hAnsiTheme="minorHAnsi"/>
          <w:b/>
          <w:color w:val="FF0000"/>
          <w:sz w:val="20"/>
          <w:szCs w:val="20"/>
        </w:rPr>
      </w:pPr>
    </w:p>
    <w:p w14:paraId="6514E504" w14:textId="0DA7552D" w:rsidR="00857C19" w:rsidRPr="00C61DB5" w:rsidRDefault="002409E8" w:rsidP="004B2868">
      <w:pPr>
        <w:pStyle w:val="Norma"/>
        <w:rPr>
          <w:rFonts w:asciiTheme="majorHAnsi" w:hAnsiTheme="majorHAnsi" w:cs="Arial"/>
          <w:bCs/>
          <w:sz w:val="20"/>
          <w:szCs w:val="20"/>
        </w:rPr>
      </w:pPr>
      <w:r>
        <w:rPr>
          <w:rFonts w:asciiTheme="majorHAnsi" w:hAnsiTheme="majorHAnsi" w:cs="Arial"/>
          <w:bCs/>
          <w:sz w:val="20"/>
          <w:szCs w:val="20"/>
        </w:rPr>
        <w:t>The</w:t>
      </w:r>
      <w:r w:rsidR="00857C19">
        <w:rPr>
          <w:rFonts w:asciiTheme="majorHAnsi" w:hAnsiTheme="majorHAnsi" w:cs="Arial"/>
          <w:bCs/>
          <w:sz w:val="20"/>
          <w:szCs w:val="20"/>
        </w:rPr>
        <w:t xml:space="preserve"> CCC </w:t>
      </w:r>
      <w:r>
        <w:rPr>
          <w:rFonts w:asciiTheme="majorHAnsi" w:hAnsiTheme="majorHAnsi" w:cs="Arial"/>
          <w:bCs/>
          <w:sz w:val="20"/>
          <w:szCs w:val="20"/>
        </w:rPr>
        <w:t xml:space="preserve">will </w:t>
      </w:r>
      <w:r w:rsidRPr="00C61DB5">
        <w:rPr>
          <w:rFonts w:asciiTheme="majorHAnsi" w:hAnsiTheme="majorHAnsi" w:cs="Arial"/>
          <w:bCs/>
          <w:sz w:val="20"/>
          <w:szCs w:val="20"/>
        </w:rPr>
        <w:t xml:space="preserve">publish a </w:t>
      </w:r>
      <w:r w:rsidR="00857C19" w:rsidRPr="00C61DB5">
        <w:rPr>
          <w:rFonts w:asciiTheme="majorHAnsi" w:hAnsiTheme="majorHAnsi" w:cs="Arial"/>
          <w:bCs/>
          <w:sz w:val="20"/>
          <w:szCs w:val="20"/>
        </w:rPr>
        <w:t xml:space="preserve">report in 2022 on </w:t>
      </w:r>
      <w:r w:rsidRPr="00C61DB5">
        <w:rPr>
          <w:rFonts w:asciiTheme="majorHAnsi" w:hAnsiTheme="majorHAnsi" w:cs="Arial"/>
          <w:bCs/>
          <w:sz w:val="20"/>
          <w:szCs w:val="20"/>
        </w:rPr>
        <w:t xml:space="preserve">voluntary carbon </w:t>
      </w:r>
      <w:r w:rsidR="00857C19" w:rsidRPr="00C61DB5">
        <w:rPr>
          <w:rFonts w:asciiTheme="majorHAnsi" w:hAnsiTheme="majorHAnsi" w:cs="Arial"/>
          <w:bCs/>
          <w:sz w:val="20"/>
          <w:szCs w:val="20"/>
        </w:rPr>
        <w:t>offsets</w:t>
      </w:r>
      <w:r w:rsidRPr="00C61DB5">
        <w:rPr>
          <w:rFonts w:asciiTheme="majorHAnsi" w:hAnsiTheme="majorHAnsi" w:cs="Arial"/>
          <w:bCs/>
          <w:sz w:val="20"/>
          <w:szCs w:val="20"/>
        </w:rPr>
        <w:t xml:space="preserve"> in the UK</w:t>
      </w:r>
      <w:r w:rsidR="00857C19" w:rsidRPr="00C61DB5">
        <w:rPr>
          <w:rFonts w:asciiTheme="majorHAnsi" w:hAnsiTheme="majorHAnsi" w:cs="Arial"/>
          <w:bCs/>
          <w:sz w:val="20"/>
          <w:szCs w:val="20"/>
        </w:rPr>
        <w:t>.</w:t>
      </w:r>
      <w:r w:rsidRPr="00C61DB5">
        <w:rPr>
          <w:rFonts w:asciiTheme="majorHAnsi" w:hAnsiTheme="majorHAnsi" w:cs="Arial"/>
          <w:bCs/>
          <w:sz w:val="20"/>
          <w:szCs w:val="20"/>
        </w:rPr>
        <w:t xml:space="preserve"> Throughout February 2022 the CCC will run an online </w:t>
      </w:r>
      <w:r w:rsidR="0081609A">
        <w:rPr>
          <w:rFonts w:asciiTheme="majorHAnsi" w:hAnsiTheme="majorHAnsi" w:cs="Arial"/>
          <w:bCs/>
          <w:sz w:val="20"/>
          <w:szCs w:val="20"/>
        </w:rPr>
        <w:t>C</w:t>
      </w:r>
      <w:r w:rsidRPr="00C61DB5">
        <w:rPr>
          <w:rFonts w:asciiTheme="majorHAnsi" w:hAnsiTheme="majorHAnsi" w:cs="Arial"/>
          <w:bCs/>
          <w:sz w:val="20"/>
          <w:szCs w:val="20"/>
        </w:rPr>
        <w:t xml:space="preserve">all for </w:t>
      </w:r>
      <w:r w:rsidR="0081609A">
        <w:rPr>
          <w:rFonts w:asciiTheme="majorHAnsi" w:hAnsiTheme="majorHAnsi" w:cs="Arial"/>
          <w:bCs/>
          <w:sz w:val="20"/>
          <w:szCs w:val="20"/>
        </w:rPr>
        <w:t>E</w:t>
      </w:r>
      <w:r w:rsidRPr="00C61DB5">
        <w:rPr>
          <w:rFonts w:asciiTheme="majorHAnsi" w:hAnsiTheme="majorHAnsi" w:cs="Arial"/>
          <w:bCs/>
          <w:sz w:val="20"/>
          <w:szCs w:val="20"/>
        </w:rPr>
        <w:t xml:space="preserve">vidence on voluntary carbon offsets. </w:t>
      </w:r>
      <w:r w:rsidR="00857C19" w:rsidRPr="00C61DB5">
        <w:rPr>
          <w:rFonts w:asciiTheme="majorHAnsi" w:hAnsiTheme="majorHAnsi" w:cs="Arial"/>
          <w:bCs/>
          <w:sz w:val="20"/>
          <w:szCs w:val="20"/>
        </w:rPr>
        <w:t xml:space="preserve"> </w:t>
      </w:r>
    </w:p>
    <w:p w14:paraId="080D3C1F" w14:textId="77777777" w:rsidR="00857C19" w:rsidRPr="00C61DB5" w:rsidRDefault="00857C19" w:rsidP="004B2868">
      <w:pPr>
        <w:pStyle w:val="Norma"/>
        <w:rPr>
          <w:rFonts w:asciiTheme="majorHAnsi" w:hAnsiTheme="majorHAnsi" w:cs="Arial"/>
          <w:bCs/>
          <w:sz w:val="20"/>
          <w:szCs w:val="20"/>
        </w:rPr>
      </w:pPr>
    </w:p>
    <w:p w14:paraId="432E6A95" w14:textId="51633E64" w:rsidR="004B2868" w:rsidRPr="00C61DB5" w:rsidRDefault="004B2868" w:rsidP="004B2868">
      <w:pPr>
        <w:pStyle w:val="Norma"/>
        <w:rPr>
          <w:rFonts w:asciiTheme="majorHAnsi" w:hAnsiTheme="majorHAnsi" w:cs="Arial"/>
          <w:bCs/>
          <w:sz w:val="20"/>
          <w:szCs w:val="20"/>
        </w:rPr>
      </w:pPr>
      <w:r w:rsidRPr="00C61DB5">
        <w:rPr>
          <w:rFonts w:asciiTheme="majorHAnsi" w:hAnsiTheme="majorHAnsi" w:cs="Arial"/>
          <w:bCs/>
          <w:sz w:val="20"/>
          <w:szCs w:val="20"/>
        </w:rPr>
        <w:t xml:space="preserve">The primary aim of the project will be to </w:t>
      </w:r>
      <w:r w:rsidR="002409E8" w:rsidRPr="00C61DB5">
        <w:rPr>
          <w:rFonts w:asciiTheme="majorHAnsi" w:hAnsiTheme="majorHAnsi" w:cs="Arial"/>
          <w:bCs/>
          <w:sz w:val="20"/>
          <w:szCs w:val="20"/>
        </w:rPr>
        <w:t xml:space="preserve">summarise the Call for Evidence responses, into a written </w:t>
      </w:r>
      <w:r w:rsidR="00F91AFF" w:rsidRPr="00C61DB5">
        <w:rPr>
          <w:rFonts w:asciiTheme="majorHAnsi" w:hAnsiTheme="majorHAnsi" w:cs="Arial"/>
          <w:bCs/>
          <w:sz w:val="20"/>
          <w:szCs w:val="20"/>
        </w:rPr>
        <w:t>report</w:t>
      </w:r>
      <w:r w:rsidR="002409E8" w:rsidRPr="00C61DB5">
        <w:rPr>
          <w:rFonts w:asciiTheme="majorHAnsi" w:hAnsiTheme="majorHAnsi" w:cs="Arial"/>
          <w:bCs/>
          <w:sz w:val="20"/>
          <w:szCs w:val="20"/>
        </w:rPr>
        <w:t xml:space="preserve"> which can be published in 2022. </w:t>
      </w:r>
    </w:p>
    <w:p w14:paraId="7E9A47CC" w14:textId="7FC1566A" w:rsidR="00857C19" w:rsidRPr="00C61DB5" w:rsidRDefault="00857C19" w:rsidP="004B2868">
      <w:pPr>
        <w:pStyle w:val="Norma"/>
        <w:rPr>
          <w:rFonts w:asciiTheme="majorHAnsi" w:hAnsiTheme="majorHAnsi" w:cs="Arial"/>
          <w:bCs/>
          <w:sz w:val="20"/>
          <w:szCs w:val="20"/>
        </w:rPr>
      </w:pPr>
    </w:p>
    <w:p w14:paraId="706C74AA" w14:textId="1290E064" w:rsidR="00857C19" w:rsidRPr="00C61DB5" w:rsidRDefault="002409E8" w:rsidP="004B2868">
      <w:pPr>
        <w:pStyle w:val="Norma"/>
        <w:rPr>
          <w:rFonts w:asciiTheme="majorHAnsi" w:hAnsiTheme="majorHAnsi"/>
          <w:bCs/>
          <w:sz w:val="20"/>
          <w:szCs w:val="20"/>
        </w:rPr>
      </w:pPr>
      <w:r w:rsidRPr="00C61DB5">
        <w:rPr>
          <w:rFonts w:asciiTheme="majorHAnsi" w:hAnsiTheme="majorHAnsi" w:cs="Arial"/>
          <w:bCs/>
          <w:sz w:val="20"/>
          <w:szCs w:val="20"/>
        </w:rPr>
        <w:t xml:space="preserve">The responses </w:t>
      </w:r>
      <w:r w:rsidR="0081609A">
        <w:rPr>
          <w:rFonts w:asciiTheme="majorHAnsi" w:hAnsiTheme="majorHAnsi" w:cs="Arial"/>
          <w:bCs/>
          <w:sz w:val="20"/>
          <w:szCs w:val="20"/>
        </w:rPr>
        <w:t xml:space="preserve">to the Call for Evidence </w:t>
      </w:r>
      <w:r w:rsidR="007926EE">
        <w:rPr>
          <w:rFonts w:asciiTheme="majorHAnsi" w:hAnsiTheme="majorHAnsi" w:cs="Arial"/>
          <w:bCs/>
          <w:sz w:val="20"/>
          <w:szCs w:val="20"/>
        </w:rPr>
        <w:t>will</w:t>
      </w:r>
      <w:r w:rsidRPr="00C61DB5">
        <w:rPr>
          <w:rFonts w:asciiTheme="majorHAnsi" w:hAnsiTheme="majorHAnsi" w:cs="Arial"/>
          <w:bCs/>
          <w:sz w:val="20"/>
          <w:szCs w:val="20"/>
        </w:rPr>
        <w:t xml:space="preserve"> also </w:t>
      </w:r>
      <w:r w:rsidR="007926EE">
        <w:rPr>
          <w:rFonts w:asciiTheme="majorHAnsi" w:hAnsiTheme="majorHAnsi" w:cs="Arial"/>
          <w:bCs/>
          <w:sz w:val="20"/>
          <w:szCs w:val="20"/>
        </w:rPr>
        <w:t xml:space="preserve">be </w:t>
      </w:r>
      <w:r w:rsidRPr="00C61DB5">
        <w:rPr>
          <w:rFonts w:asciiTheme="majorHAnsi" w:hAnsiTheme="majorHAnsi" w:cs="Arial"/>
          <w:bCs/>
          <w:sz w:val="20"/>
          <w:szCs w:val="20"/>
        </w:rPr>
        <w:t xml:space="preserve">reviewed by analysts within the CCC. </w:t>
      </w:r>
    </w:p>
    <w:p w14:paraId="5E8C940A" w14:textId="52182CE8" w:rsidR="005E4E42" w:rsidRDefault="005E4E42" w:rsidP="004B2868">
      <w:pPr>
        <w:pStyle w:val="Norma"/>
        <w:rPr>
          <w:rFonts w:asciiTheme="minorHAnsi" w:hAnsiTheme="minorHAnsi"/>
          <w:bCs/>
          <w:sz w:val="20"/>
          <w:szCs w:val="20"/>
        </w:rPr>
      </w:pPr>
    </w:p>
    <w:p w14:paraId="6237D087"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0" w:name="_Toc381969509"/>
      <w:bookmarkStart w:id="11" w:name="_Toc405888458"/>
      <w:r w:rsidRPr="0038388A">
        <w:rPr>
          <w:rFonts w:asciiTheme="minorHAnsi" w:hAnsiTheme="minorHAnsi" w:cs="Arial"/>
          <w:color w:val="FF0000"/>
          <w:sz w:val="20"/>
          <w:szCs w:val="20"/>
        </w:rPr>
        <w:lastRenderedPageBreak/>
        <w:t>Methodology</w:t>
      </w:r>
      <w:bookmarkEnd w:id="10"/>
      <w:bookmarkEnd w:id="11"/>
    </w:p>
    <w:p w14:paraId="720F0E8A" w14:textId="77777777" w:rsidR="005E4E42" w:rsidRDefault="005E4E42" w:rsidP="005E4E42">
      <w:pPr>
        <w:pStyle w:val="Norma"/>
        <w:jc w:val="both"/>
        <w:rPr>
          <w:rFonts w:asciiTheme="minorHAnsi" w:hAnsiTheme="minorHAnsi" w:cs="Arial"/>
          <w:bCs/>
          <w:sz w:val="20"/>
          <w:szCs w:val="20"/>
        </w:rPr>
      </w:pPr>
    </w:p>
    <w:p w14:paraId="2D2A10CC" w14:textId="6D5F62A4" w:rsidR="0081609A" w:rsidRDefault="002409E8" w:rsidP="00C61DB5">
      <w:pPr>
        <w:pStyle w:val="Norma1"/>
        <w:rPr>
          <w:rFonts w:asciiTheme="majorHAnsi" w:hAnsiTheme="majorHAnsi" w:cs="Arial"/>
          <w:bCs/>
          <w:sz w:val="20"/>
          <w:szCs w:val="20"/>
        </w:rPr>
      </w:pPr>
      <w:r w:rsidRPr="002409E8">
        <w:rPr>
          <w:rFonts w:asciiTheme="majorHAnsi" w:hAnsiTheme="majorHAnsi" w:cs="Arial"/>
          <w:bCs/>
          <w:sz w:val="20"/>
          <w:szCs w:val="20"/>
        </w:rPr>
        <w:t xml:space="preserve">The </w:t>
      </w:r>
      <w:hyperlink r:id="rId10" w:history="1">
        <w:r w:rsidRPr="007926EE">
          <w:rPr>
            <w:rStyle w:val="Hyperlink"/>
            <w:rFonts w:asciiTheme="majorHAnsi" w:hAnsiTheme="majorHAnsi" w:cs="Arial"/>
            <w:bCs/>
            <w:sz w:val="20"/>
            <w:szCs w:val="20"/>
          </w:rPr>
          <w:t>Call for Evidence</w:t>
        </w:r>
      </w:hyperlink>
      <w:r w:rsidRPr="002409E8">
        <w:rPr>
          <w:rFonts w:asciiTheme="majorHAnsi" w:hAnsiTheme="majorHAnsi" w:cs="Arial"/>
          <w:bCs/>
          <w:sz w:val="20"/>
          <w:szCs w:val="20"/>
        </w:rPr>
        <w:t xml:space="preserve"> </w:t>
      </w:r>
      <w:r w:rsidR="007926EE">
        <w:rPr>
          <w:rFonts w:asciiTheme="majorHAnsi" w:hAnsiTheme="majorHAnsi" w:cs="Arial"/>
          <w:bCs/>
          <w:sz w:val="20"/>
          <w:szCs w:val="20"/>
        </w:rPr>
        <w:t>contains 13</w:t>
      </w:r>
      <w:r w:rsidRPr="00C61DB5">
        <w:rPr>
          <w:rFonts w:asciiTheme="majorHAnsi" w:hAnsiTheme="majorHAnsi" w:cs="Arial"/>
          <w:bCs/>
          <w:sz w:val="20"/>
          <w:szCs w:val="20"/>
        </w:rPr>
        <w:t xml:space="preserve"> questions, grouped into categories</w:t>
      </w:r>
      <w:r w:rsidR="007926EE">
        <w:rPr>
          <w:rFonts w:asciiTheme="majorHAnsi" w:hAnsiTheme="majorHAnsi" w:cs="Arial"/>
          <w:bCs/>
          <w:sz w:val="20"/>
          <w:szCs w:val="20"/>
        </w:rPr>
        <w:t>.</w:t>
      </w:r>
      <w:r w:rsidRPr="00C61DB5">
        <w:rPr>
          <w:rFonts w:asciiTheme="majorHAnsi" w:hAnsiTheme="majorHAnsi" w:cs="Arial"/>
          <w:bCs/>
          <w:sz w:val="20"/>
          <w:szCs w:val="20"/>
        </w:rPr>
        <w:t xml:space="preserve"> </w:t>
      </w:r>
    </w:p>
    <w:p w14:paraId="5CC72C71" w14:textId="77777777" w:rsidR="0081609A" w:rsidRDefault="0081609A" w:rsidP="00C61DB5">
      <w:pPr>
        <w:pStyle w:val="Norma1"/>
        <w:rPr>
          <w:rFonts w:asciiTheme="majorHAnsi" w:hAnsiTheme="majorHAnsi" w:cs="Arial"/>
          <w:bCs/>
          <w:sz w:val="20"/>
          <w:szCs w:val="20"/>
        </w:rPr>
      </w:pPr>
    </w:p>
    <w:p w14:paraId="7DAAB425" w14:textId="05C47806" w:rsidR="00C61DB5" w:rsidRPr="00C61DB5" w:rsidRDefault="00C61DB5" w:rsidP="00C61DB5">
      <w:pPr>
        <w:pStyle w:val="Norma1"/>
        <w:rPr>
          <w:rFonts w:asciiTheme="majorHAnsi" w:hAnsiTheme="majorHAnsi" w:cs="Arial"/>
          <w:bCs/>
          <w:sz w:val="20"/>
          <w:szCs w:val="20"/>
          <w:lang w:eastAsia="en-US"/>
        </w:rPr>
      </w:pPr>
      <w:r w:rsidRPr="00C61DB5">
        <w:rPr>
          <w:rFonts w:asciiTheme="majorHAnsi" w:hAnsiTheme="majorHAnsi" w:cs="Arial"/>
          <w:bCs/>
          <w:sz w:val="20"/>
          <w:szCs w:val="20"/>
          <w:lang w:eastAsia="en-US"/>
        </w:rPr>
        <w:t xml:space="preserve">Responders will be asked to answer only those questions where they have </w:t>
      </w:r>
      <w:proofErr w:type="gramStart"/>
      <w:r w:rsidRPr="00C61DB5">
        <w:rPr>
          <w:rFonts w:asciiTheme="majorHAnsi" w:hAnsiTheme="majorHAnsi" w:cs="Arial"/>
          <w:bCs/>
          <w:sz w:val="20"/>
          <w:szCs w:val="20"/>
          <w:lang w:eastAsia="en-US"/>
        </w:rPr>
        <w:t>particular expertise</w:t>
      </w:r>
      <w:proofErr w:type="gramEnd"/>
      <w:r w:rsidR="007926EE">
        <w:rPr>
          <w:rFonts w:asciiTheme="majorHAnsi" w:hAnsiTheme="majorHAnsi" w:cs="Arial"/>
          <w:bCs/>
          <w:sz w:val="20"/>
          <w:szCs w:val="20"/>
          <w:lang w:eastAsia="en-US"/>
        </w:rPr>
        <w:t xml:space="preserve"> </w:t>
      </w:r>
      <w:r w:rsidRPr="00C61DB5">
        <w:rPr>
          <w:rFonts w:asciiTheme="majorHAnsi" w:hAnsiTheme="majorHAnsi" w:cs="Arial"/>
          <w:bCs/>
          <w:sz w:val="20"/>
          <w:szCs w:val="20"/>
          <w:lang w:eastAsia="en-US"/>
        </w:rPr>
        <w:t>and to limit responses to a maximum of 400 words per question, plus links to supporting evidence.</w:t>
      </w:r>
    </w:p>
    <w:p w14:paraId="1051916C" w14:textId="0FAAAFB8" w:rsidR="00C61DB5" w:rsidRDefault="00C61DB5" w:rsidP="002409E8">
      <w:pPr>
        <w:pStyle w:val="Norma"/>
        <w:jc w:val="both"/>
        <w:rPr>
          <w:rFonts w:asciiTheme="majorHAnsi" w:hAnsiTheme="majorHAnsi" w:cs="Arial"/>
          <w:bCs/>
          <w:sz w:val="20"/>
          <w:szCs w:val="20"/>
        </w:rPr>
      </w:pPr>
    </w:p>
    <w:p w14:paraId="625D463E" w14:textId="1A4F5B76" w:rsidR="00EA3754" w:rsidRDefault="00EA3754" w:rsidP="002409E8">
      <w:pPr>
        <w:pStyle w:val="Norma"/>
        <w:jc w:val="both"/>
        <w:rPr>
          <w:rFonts w:asciiTheme="majorHAnsi" w:hAnsiTheme="majorHAnsi" w:cs="Arial"/>
          <w:bCs/>
          <w:sz w:val="20"/>
          <w:szCs w:val="20"/>
        </w:rPr>
      </w:pPr>
      <w:bookmarkStart w:id="12" w:name="_Hlk94080412"/>
      <w:r>
        <w:rPr>
          <w:rFonts w:asciiTheme="majorHAnsi" w:hAnsiTheme="majorHAnsi" w:cs="Arial"/>
          <w:bCs/>
          <w:sz w:val="20"/>
          <w:szCs w:val="20"/>
        </w:rPr>
        <w:t xml:space="preserve">We estimate receiving </w:t>
      </w:r>
      <w:r w:rsidR="00394079">
        <w:rPr>
          <w:rFonts w:asciiTheme="majorHAnsi" w:hAnsiTheme="majorHAnsi" w:cs="Arial"/>
          <w:bCs/>
          <w:sz w:val="20"/>
          <w:szCs w:val="20"/>
        </w:rPr>
        <w:t>between 30 and</w:t>
      </w:r>
      <w:r>
        <w:rPr>
          <w:rFonts w:asciiTheme="majorHAnsi" w:hAnsiTheme="majorHAnsi" w:cs="Arial"/>
          <w:bCs/>
          <w:sz w:val="20"/>
          <w:szCs w:val="20"/>
        </w:rPr>
        <w:t xml:space="preserve"> 100 substantive responses. </w:t>
      </w:r>
    </w:p>
    <w:bookmarkEnd w:id="12"/>
    <w:p w14:paraId="2223D1C1" w14:textId="73A6D599" w:rsidR="00EA3754" w:rsidRPr="00C61DB5" w:rsidRDefault="00EA3754" w:rsidP="002409E8">
      <w:pPr>
        <w:pStyle w:val="Norma"/>
        <w:jc w:val="both"/>
        <w:rPr>
          <w:rFonts w:asciiTheme="majorHAnsi" w:hAnsiTheme="majorHAnsi" w:cs="Arial"/>
          <w:bCs/>
          <w:sz w:val="20"/>
          <w:szCs w:val="20"/>
        </w:rPr>
      </w:pPr>
      <w:r>
        <w:rPr>
          <w:rFonts w:asciiTheme="majorHAnsi" w:hAnsiTheme="majorHAnsi" w:cs="Arial"/>
          <w:bCs/>
          <w:sz w:val="20"/>
          <w:szCs w:val="20"/>
        </w:rPr>
        <w:t xml:space="preserve"> </w:t>
      </w:r>
    </w:p>
    <w:p w14:paraId="0F1EA79A" w14:textId="41DC1D0F" w:rsidR="002409E8" w:rsidRDefault="00F91AFF" w:rsidP="002409E8">
      <w:pPr>
        <w:pStyle w:val="Norma"/>
        <w:jc w:val="both"/>
        <w:rPr>
          <w:rFonts w:asciiTheme="majorHAnsi" w:hAnsiTheme="majorHAnsi" w:cs="Arial"/>
          <w:bCs/>
          <w:sz w:val="20"/>
          <w:szCs w:val="20"/>
        </w:rPr>
      </w:pPr>
      <w:r w:rsidRPr="00C61DB5">
        <w:rPr>
          <w:rFonts w:asciiTheme="majorHAnsi" w:hAnsiTheme="majorHAnsi" w:cs="Arial"/>
          <w:bCs/>
          <w:sz w:val="20"/>
          <w:szCs w:val="20"/>
        </w:rPr>
        <w:t xml:space="preserve">Responses to the Call for Evidence will be submitted to the CCC via an online form. The supplier will be provided with an excel workbook of all responses, broken down by question, respondent type, and whether the response is confidential. </w:t>
      </w:r>
    </w:p>
    <w:p w14:paraId="3453ACB4" w14:textId="09155095" w:rsidR="0081609A" w:rsidRDefault="0081609A" w:rsidP="002409E8">
      <w:pPr>
        <w:pStyle w:val="Norma"/>
        <w:jc w:val="both"/>
        <w:rPr>
          <w:rFonts w:asciiTheme="majorHAnsi" w:hAnsiTheme="majorHAnsi" w:cs="Arial"/>
          <w:bCs/>
          <w:sz w:val="20"/>
          <w:szCs w:val="20"/>
        </w:rPr>
      </w:pPr>
    </w:p>
    <w:p w14:paraId="3806C33B" w14:textId="77777777" w:rsidR="0081609A" w:rsidRDefault="0081609A" w:rsidP="0081609A">
      <w:pPr>
        <w:spacing w:line="276" w:lineRule="auto"/>
        <w:textAlignment w:val="center"/>
        <w:rPr>
          <w:rFonts w:asciiTheme="majorHAnsi" w:hAnsiTheme="majorHAnsi" w:cs="Arial"/>
          <w:color w:val="000000"/>
          <w:sz w:val="20"/>
          <w:szCs w:val="20"/>
        </w:rPr>
      </w:pPr>
      <w:r>
        <w:rPr>
          <w:rFonts w:asciiTheme="majorHAnsi" w:hAnsiTheme="majorHAnsi" w:cs="Arial"/>
          <w:color w:val="000000"/>
          <w:sz w:val="20"/>
          <w:szCs w:val="20"/>
        </w:rPr>
        <w:t xml:space="preserve">The </w:t>
      </w:r>
      <w:r w:rsidRPr="0081609A">
        <w:rPr>
          <w:rFonts w:asciiTheme="majorHAnsi" w:hAnsiTheme="majorHAnsi" w:cs="Arial"/>
          <w:color w:val="000000"/>
          <w:sz w:val="20"/>
          <w:szCs w:val="20"/>
          <w:u w:val="single"/>
        </w:rPr>
        <w:t>summary report</w:t>
      </w:r>
      <w:r>
        <w:rPr>
          <w:rFonts w:asciiTheme="majorHAnsi" w:hAnsiTheme="majorHAnsi" w:cs="Arial"/>
          <w:color w:val="000000"/>
          <w:sz w:val="20"/>
          <w:szCs w:val="20"/>
        </w:rPr>
        <w:t xml:space="preserve"> should include an introduction briefly outlining the purpose of the work, a summary of respondent types, and the method for both summarising the data and assessing the evidence.</w:t>
      </w:r>
    </w:p>
    <w:p w14:paraId="767C8366" w14:textId="77777777" w:rsidR="0081609A" w:rsidRDefault="0081609A" w:rsidP="0081609A">
      <w:pPr>
        <w:spacing w:line="276" w:lineRule="auto"/>
        <w:textAlignment w:val="center"/>
        <w:rPr>
          <w:rFonts w:asciiTheme="majorHAnsi" w:hAnsiTheme="majorHAnsi" w:cs="Arial"/>
          <w:color w:val="000000"/>
          <w:sz w:val="20"/>
          <w:szCs w:val="20"/>
        </w:rPr>
      </w:pPr>
    </w:p>
    <w:p w14:paraId="21C9DF83" w14:textId="2F9ABE29" w:rsidR="0081609A" w:rsidRDefault="0081609A" w:rsidP="0081609A">
      <w:pPr>
        <w:spacing w:line="276" w:lineRule="auto"/>
        <w:textAlignment w:val="center"/>
        <w:rPr>
          <w:rFonts w:asciiTheme="majorHAnsi" w:hAnsiTheme="majorHAnsi" w:cs="Arial"/>
          <w:color w:val="000000"/>
          <w:sz w:val="20"/>
          <w:szCs w:val="20"/>
        </w:rPr>
      </w:pPr>
      <w:r>
        <w:rPr>
          <w:rFonts w:asciiTheme="majorHAnsi" w:hAnsiTheme="majorHAnsi" w:cs="Arial"/>
          <w:color w:val="000000"/>
          <w:sz w:val="20"/>
          <w:szCs w:val="20"/>
        </w:rPr>
        <w:t>The summary report should group the question</w:t>
      </w:r>
      <w:r w:rsidR="00231592">
        <w:rPr>
          <w:rFonts w:asciiTheme="majorHAnsi" w:hAnsiTheme="majorHAnsi" w:cs="Arial"/>
          <w:color w:val="000000"/>
          <w:sz w:val="20"/>
          <w:szCs w:val="20"/>
        </w:rPr>
        <w:t>s</w:t>
      </w:r>
      <w:r>
        <w:rPr>
          <w:rFonts w:asciiTheme="majorHAnsi" w:hAnsiTheme="majorHAnsi" w:cs="Arial"/>
          <w:color w:val="000000"/>
          <w:sz w:val="20"/>
          <w:szCs w:val="20"/>
        </w:rPr>
        <w:t xml:space="preserve"> into their categories. For each of the questions it should summarise:</w:t>
      </w:r>
    </w:p>
    <w:p w14:paraId="58905704" w14:textId="77777777" w:rsidR="0081609A" w:rsidRDefault="0081609A" w:rsidP="0081609A">
      <w:pPr>
        <w:pStyle w:val="ListParagraph"/>
        <w:numPr>
          <w:ilvl w:val="0"/>
          <w:numId w:val="14"/>
        </w:numPr>
        <w:textAlignment w:val="center"/>
        <w:rPr>
          <w:rFonts w:asciiTheme="majorHAnsi" w:hAnsiTheme="majorHAnsi" w:cs="Arial"/>
          <w:color w:val="000000"/>
          <w:sz w:val="20"/>
          <w:szCs w:val="20"/>
        </w:rPr>
      </w:pPr>
      <w:r>
        <w:rPr>
          <w:rFonts w:asciiTheme="majorHAnsi" w:hAnsiTheme="majorHAnsi" w:cs="Arial"/>
          <w:color w:val="000000"/>
          <w:sz w:val="20"/>
          <w:szCs w:val="20"/>
        </w:rPr>
        <w:t>An outline of the range of respondents</w:t>
      </w:r>
    </w:p>
    <w:p w14:paraId="346717A9" w14:textId="3E58AD17" w:rsidR="0081609A" w:rsidRDefault="0081609A" w:rsidP="0081609A">
      <w:pPr>
        <w:pStyle w:val="ListParagraph"/>
        <w:numPr>
          <w:ilvl w:val="0"/>
          <w:numId w:val="14"/>
        </w:numPr>
        <w:textAlignment w:val="center"/>
        <w:rPr>
          <w:rFonts w:asciiTheme="majorHAnsi" w:hAnsiTheme="majorHAnsi" w:cs="Arial"/>
          <w:color w:val="000000"/>
          <w:sz w:val="20"/>
          <w:szCs w:val="20"/>
        </w:rPr>
      </w:pPr>
      <w:r>
        <w:rPr>
          <w:rFonts w:asciiTheme="majorHAnsi" w:hAnsiTheme="majorHAnsi" w:cs="Arial"/>
          <w:color w:val="000000"/>
          <w:sz w:val="20"/>
          <w:szCs w:val="20"/>
        </w:rPr>
        <w:t xml:space="preserve">A </w:t>
      </w:r>
      <w:r w:rsidRPr="00F91AFF">
        <w:rPr>
          <w:rFonts w:asciiTheme="majorHAnsi" w:hAnsiTheme="majorHAnsi" w:cs="Arial"/>
          <w:color w:val="000000"/>
          <w:sz w:val="20"/>
          <w:szCs w:val="20"/>
        </w:rPr>
        <w:t>clear summary of the key findings</w:t>
      </w:r>
      <w:r>
        <w:rPr>
          <w:rFonts w:asciiTheme="majorHAnsi" w:hAnsiTheme="majorHAnsi" w:cs="Arial"/>
          <w:color w:val="000000"/>
          <w:sz w:val="20"/>
          <w:szCs w:val="20"/>
        </w:rPr>
        <w:t xml:space="preserve"> and evidence</w:t>
      </w:r>
      <w:r w:rsidRPr="00F91AFF">
        <w:rPr>
          <w:rFonts w:asciiTheme="majorHAnsi" w:hAnsiTheme="majorHAnsi" w:cs="Arial"/>
          <w:color w:val="000000"/>
          <w:sz w:val="20"/>
          <w:szCs w:val="20"/>
        </w:rPr>
        <w:t xml:space="preserve"> </w:t>
      </w:r>
    </w:p>
    <w:p w14:paraId="720374C0" w14:textId="35075888" w:rsidR="0081609A" w:rsidRDefault="0081609A" w:rsidP="0081609A">
      <w:pPr>
        <w:pStyle w:val="ListParagraph"/>
        <w:numPr>
          <w:ilvl w:val="0"/>
          <w:numId w:val="14"/>
        </w:numPr>
        <w:textAlignment w:val="center"/>
        <w:rPr>
          <w:rFonts w:asciiTheme="majorHAnsi" w:hAnsiTheme="majorHAnsi" w:cs="Arial"/>
          <w:color w:val="000000"/>
          <w:sz w:val="20"/>
          <w:szCs w:val="20"/>
        </w:rPr>
      </w:pPr>
      <w:r>
        <w:rPr>
          <w:rFonts w:asciiTheme="majorHAnsi" w:hAnsiTheme="majorHAnsi" w:cs="Arial"/>
          <w:color w:val="000000"/>
          <w:sz w:val="20"/>
          <w:szCs w:val="20"/>
        </w:rPr>
        <w:t>A</w:t>
      </w:r>
      <w:r w:rsidRPr="00F91AFF">
        <w:rPr>
          <w:rFonts w:asciiTheme="majorHAnsi" w:hAnsiTheme="majorHAnsi" w:cs="Arial"/>
          <w:color w:val="000000"/>
          <w:sz w:val="20"/>
          <w:szCs w:val="20"/>
        </w:rPr>
        <w:t xml:space="preserve">n assessment of the strength of the evidence </w:t>
      </w:r>
      <w:r>
        <w:rPr>
          <w:rFonts w:asciiTheme="majorHAnsi" w:hAnsiTheme="majorHAnsi" w:cs="Arial"/>
          <w:color w:val="000000"/>
          <w:sz w:val="20"/>
          <w:szCs w:val="20"/>
        </w:rPr>
        <w:t>provided</w:t>
      </w:r>
    </w:p>
    <w:p w14:paraId="09A2D919" w14:textId="77777777" w:rsidR="0081609A" w:rsidRDefault="0081609A" w:rsidP="0081609A">
      <w:pPr>
        <w:pStyle w:val="ListParagraph"/>
        <w:numPr>
          <w:ilvl w:val="0"/>
          <w:numId w:val="14"/>
        </w:numPr>
        <w:textAlignment w:val="center"/>
        <w:rPr>
          <w:rFonts w:asciiTheme="majorHAnsi" w:hAnsiTheme="majorHAnsi" w:cs="Arial"/>
          <w:color w:val="000000"/>
          <w:sz w:val="20"/>
          <w:szCs w:val="20"/>
        </w:rPr>
      </w:pPr>
      <w:r>
        <w:rPr>
          <w:rFonts w:asciiTheme="majorHAnsi" w:hAnsiTheme="majorHAnsi" w:cs="Arial"/>
          <w:color w:val="000000"/>
          <w:sz w:val="20"/>
          <w:szCs w:val="20"/>
        </w:rPr>
        <w:t xml:space="preserve">A note on where there are a range of views, and where there are gaps in the evidence </w:t>
      </w:r>
    </w:p>
    <w:p w14:paraId="11C119C8" w14:textId="3555252C" w:rsidR="0081609A" w:rsidRPr="00C61DB5" w:rsidRDefault="0081609A" w:rsidP="0081609A">
      <w:pPr>
        <w:spacing w:line="276" w:lineRule="auto"/>
        <w:textAlignment w:val="center"/>
        <w:rPr>
          <w:rFonts w:asciiTheme="majorHAnsi" w:hAnsiTheme="majorHAnsi" w:cs="Arial"/>
          <w:bCs/>
          <w:sz w:val="20"/>
          <w:szCs w:val="20"/>
        </w:rPr>
      </w:pPr>
      <w:r>
        <w:rPr>
          <w:rFonts w:asciiTheme="majorHAnsi" w:hAnsiTheme="majorHAnsi" w:cs="Arial"/>
          <w:color w:val="000000"/>
          <w:sz w:val="20"/>
          <w:szCs w:val="20"/>
        </w:rPr>
        <w:t xml:space="preserve">The summary report should include an Annex with a list of all respondents, except for those who have asked to be kept anonymous. </w:t>
      </w:r>
    </w:p>
    <w:p w14:paraId="5B33FF1E"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3" w:name="_Ref357541705"/>
      <w:bookmarkStart w:id="14" w:name="_Toc381969510"/>
      <w:bookmarkStart w:id="15" w:name="_Toc405888459"/>
      <w:r w:rsidRPr="0038388A">
        <w:rPr>
          <w:rFonts w:asciiTheme="minorHAnsi" w:hAnsiTheme="minorHAnsi" w:cs="Arial"/>
          <w:color w:val="FF0000"/>
          <w:sz w:val="20"/>
          <w:szCs w:val="20"/>
        </w:rPr>
        <w:t>Outputs Required</w:t>
      </w:r>
      <w:bookmarkEnd w:id="13"/>
      <w:bookmarkEnd w:id="14"/>
      <w:bookmarkEnd w:id="15"/>
    </w:p>
    <w:p w14:paraId="44236D41" w14:textId="5F33D13C" w:rsidR="003A05B7" w:rsidRDefault="003A05B7" w:rsidP="003A05B7">
      <w:pPr>
        <w:pStyle w:val="Norma"/>
        <w:ind w:left="1080"/>
        <w:rPr>
          <w:rFonts w:asciiTheme="minorHAnsi" w:hAnsiTheme="minorHAnsi"/>
          <w:b/>
          <w:color w:val="FF0000"/>
          <w:sz w:val="20"/>
          <w:szCs w:val="20"/>
        </w:rPr>
      </w:pPr>
    </w:p>
    <w:p w14:paraId="01F3888D" w14:textId="28342AA1" w:rsidR="00F91AFF" w:rsidRDefault="00F91AFF" w:rsidP="00F91AFF">
      <w:pPr>
        <w:spacing w:line="276" w:lineRule="auto"/>
        <w:textAlignment w:val="center"/>
        <w:rPr>
          <w:rFonts w:asciiTheme="majorHAnsi" w:hAnsiTheme="majorHAnsi" w:cs="Arial"/>
          <w:color w:val="000000"/>
          <w:sz w:val="20"/>
          <w:szCs w:val="20"/>
        </w:rPr>
      </w:pPr>
      <w:r w:rsidRPr="002409E8">
        <w:rPr>
          <w:rFonts w:asciiTheme="majorHAnsi" w:hAnsiTheme="majorHAnsi" w:cs="Arial"/>
          <w:color w:val="000000"/>
          <w:sz w:val="20"/>
          <w:szCs w:val="20"/>
        </w:rPr>
        <w:t>The</w:t>
      </w:r>
      <w:r>
        <w:rPr>
          <w:rFonts w:asciiTheme="majorHAnsi" w:hAnsiTheme="majorHAnsi" w:cs="Arial"/>
          <w:color w:val="000000"/>
          <w:sz w:val="20"/>
          <w:szCs w:val="20"/>
        </w:rPr>
        <w:t xml:space="preserve"> main</w:t>
      </w:r>
      <w:r w:rsidRPr="002409E8">
        <w:rPr>
          <w:rFonts w:asciiTheme="majorHAnsi" w:hAnsiTheme="majorHAnsi" w:cs="Arial"/>
          <w:color w:val="000000"/>
          <w:sz w:val="20"/>
          <w:szCs w:val="20"/>
        </w:rPr>
        <w:t xml:space="preserve"> output of this work is a </w:t>
      </w:r>
      <w:r w:rsidRPr="0081609A">
        <w:rPr>
          <w:rFonts w:asciiTheme="majorHAnsi" w:hAnsiTheme="majorHAnsi" w:cs="Arial"/>
          <w:color w:val="000000"/>
          <w:sz w:val="20"/>
          <w:szCs w:val="20"/>
          <w:u w:val="single"/>
        </w:rPr>
        <w:t xml:space="preserve">short </w:t>
      </w:r>
      <w:r w:rsidR="0081609A" w:rsidRPr="0081609A">
        <w:rPr>
          <w:rFonts w:asciiTheme="majorHAnsi" w:hAnsiTheme="majorHAnsi" w:cs="Arial"/>
          <w:color w:val="000000"/>
          <w:sz w:val="20"/>
          <w:szCs w:val="20"/>
          <w:u w:val="single"/>
        </w:rPr>
        <w:t>summary</w:t>
      </w:r>
      <w:r w:rsidRPr="0081609A">
        <w:rPr>
          <w:rFonts w:asciiTheme="majorHAnsi" w:hAnsiTheme="majorHAnsi" w:cs="Arial"/>
          <w:color w:val="000000"/>
          <w:sz w:val="20"/>
          <w:szCs w:val="20"/>
          <w:u w:val="single"/>
        </w:rPr>
        <w:t xml:space="preserve"> report</w:t>
      </w:r>
      <w:r w:rsidRPr="002409E8">
        <w:rPr>
          <w:rFonts w:asciiTheme="majorHAnsi" w:hAnsiTheme="majorHAnsi" w:cs="Arial"/>
          <w:color w:val="000000"/>
          <w:sz w:val="20"/>
          <w:szCs w:val="20"/>
        </w:rPr>
        <w:t xml:space="preserve"> (</w:t>
      </w:r>
      <w:proofErr w:type="gramStart"/>
      <w:r w:rsidRPr="002409E8">
        <w:rPr>
          <w:rFonts w:asciiTheme="majorHAnsi" w:hAnsiTheme="majorHAnsi" w:cs="Arial"/>
          <w:color w:val="000000"/>
          <w:sz w:val="20"/>
          <w:szCs w:val="20"/>
        </w:rPr>
        <w:t>e.g.</w:t>
      </w:r>
      <w:proofErr w:type="gramEnd"/>
      <w:r w:rsidRPr="002409E8">
        <w:rPr>
          <w:rFonts w:asciiTheme="majorHAnsi" w:hAnsiTheme="majorHAnsi" w:cs="Arial"/>
          <w:color w:val="000000"/>
          <w:sz w:val="20"/>
          <w:szCs w:val="20"/>
        </w:rPr>
        <w:t xml:space="preserve"> 20 pages), written and presented to a publishable standard. </w:t>
      </w:r>
      <w:r w:rsidR="0081609A">
        <w:rPr>
          <w:rFonts w:asciiTheme="majorHAnsi" w:hAnsiTheme="majorHAnsi" w:cs="Arial"/>
          <w:color w:val="000000"/>
          <w:sz w:val="20"/>
          <w:szCs w:val="20"/>
        </w:rPr>
        <w:t xml:space="preserve">Details of what it should include are set out in Section 4. </w:t>
      </w:r>
    </w:p>
    <w:p w14:paraId="6FFBD49C" w14:textId="77777777" w:rsidR="0081609A" w:rsidRDefault="0081609A" w:rsidP="00F91AFF">
      <w:pPr>
        <w:spacing w:line="276" w:lineRule="auto"/>
        <w:textAlignment w:val="center"/>
        <w:rPr>
          <w:rFonts w:asciiTheme="majorHAnsi" w:hAnsiTheme="majorHAnsi" w:cs="Arial"/>
          <w:color w:val="000000"/>
          <w:sz w:val="20"/>
          <w:szCs w:val="20"/>
        </w:rPr>
      </w:pPr>
    </w:p>
    <w:p w14:paraId="61EED9C4" w14:textId="321DBD5E" w:rsidR="004D4053" w:rsidRDefault="00F91AFF" w:rsidP="00B51BFD">
      <w:pPr>
        <w:widowControl w:val="0"/>
        <w:textAlignment w:val="center"/>
        <w:rPr>
          <w:rFonts w:asciiTheme="majorHAnsi" w:hAnsiTheme="majorHAnsi"/>
          <w:color w:val="000000"/>
          <w:sz w:val="20"/>
          <w:szCs w:val="20"/>
        </w:rPr>
      </w:pPr>
      <w:r>
        <w:rPr>
          <w:rFonts w:asciiTheme="majorHAnsi" w:hAnsiTheme="majorHAnsi"/>
          <w:color w:val="000000"/>
          <w:sz w:val="20"/>
          <w:szCs w:val="20"/>
        </w:rPr>
        <w:t>W</w:t>
      </w:r>
      <w:r w:rsidR="00645A01" w:rsidRPr="00645A01">
        <w:rPr>
          <w:rFonts w:asciiTheme="majorHAnsi" w:hAnsiTheme="majorHAnsi"/>
          <w:color w:val="000000"/>
          <w:sz w:val="20"/>
          <w:szCs w:val="20"/>
        </w:rPr>
        <w:t xml:space="preserve">e expect </w:t>
      </w:r>
      <w:r>
        <w:rPr>
          <w:rFonts w:asciiTheme="majorHAnsi" w:hAnsiTheme="majorHAnsi"/>
          <w:color w:val="000000"/>
          <w:sz w:val="20"/>
          <w:szCs w:val="20"/>
        </w:rPr>
        <w:t>a draft version of the report to be shared with the CCC for comment before it is finalised</w:t>
      </w:r>
      <w:r w:rsidR="006D761F">
        <w:rPr>
          <w:rFonts w:asciiTheme="majorHAnsi" w:hAnsiTheme="majorHAnsi"/>
          <w:color w:val="000000"/>
          <w:sz w:val="20"/>
          <w:szCs w:val="20"/>
        </w:rPr>
        <w:t xml:space="preserve">. See section 8 for specific dates. </w:t>
      </w:r>
    </w:p>
    <w:p w14:paraId="39F69C36" w14:textId="04536F3C" w:rsidR="00F91AFF" w:rsidRDefault="00F91AFF" w:rsidP="00B51BFD">
      <w:pPr>
        <w:widowControl w:val="0"/>
        <w:textAlignment w:val="center"/>
        <w:rPr>
          <w:rFonts w:asciiTheme="majorHAnsi" w:hAnsiTheme="majorHAnsi"/>
          <w:color w:val="000000"/>
          <w:sz w:val="20"/>
          <w:szCs w:val="20"/>
        </w:rPr>
      </w:pPr>
    </w:p>
    <w:p w14:paraId="0FDF0360" w14:textId="22399735" w:rsidR="00F91AFF" w:rsidRPr="004D4053" w:rsidRDefault="00F91AFF" w:rsidP="00B51BFD">
      <w:pPr>
        <w:widowControl w:val="0"/>
        <w:textAlignment w:val="center"/>
        <w:rPr>
          <w:rFonts w:cs="Calibri"/>
          <w:b/>
          <w:bCs/>
          <w:iCs/>
          <w:sz w:val="20"/>
          <w:szCs w:val="20"/>
        </w:rPr>
      </w:pPr>
      <w:r>
        <w:rPr>
          <w:rFonts w:asciiTheme="majorHAnsi" w:hAnsiTheme="majorHAnsi"/>
          <w:color w:val="000000"/>
          <w:sz w:val="20"/>
          <w:szCs w:val="20"/>
        </w:rPr>
        <w:t xml:space="preserve">An </w:t>
      </w:r>
      <w:r w:rsidRPr="00837462">
        <w:rPr>
          <w:rFonts w:asciiTheme="majorHAnsi" w:hAnsiTheme="majorHAnsi"/>
          <w:color w:val="000000"/>
          <w:sz w:val="20"/>
          <w:szCs w:val="20"/>
          <w:u w:val="single"/>
        </w:rPr>
        <w:t>optional</w:t>
      </w:r>
      <w:r>
        <w:rPr>
          <w:rFonts w:asciiTheme="majorHAnsi" w:hAnsiTheme="majorHAnsi"/>
          <w:color w:val="000000"/>
          <w:sz w:val="20"/>
          <w:szCs w:val="20"/>
        </w:rPr>
        <w:t xml:space="preserve"> output of this work (which bids should make clear if they would include) is an excel workbook, which lists the evidence sources cited/referenced in responses to the Call for Evidence. It would include the title, date, publisher, URL/</w:t>
      </w:r>
      <w:proofErr w:type="gramStart"/>
      <w:r>
        <w:rPr>
          <w:rFonts w:asciiTheme="majorHAnsi" w:hAnsiTheme="majorHAnsi"/>
          <w:color w:val="000000"/>
          <w:sz w:val="20"/>
          <w:szCs w:val="20"/>
        </w:rPr>
        <w:t>link</w:t>
      </w:r>
      <w:proofErr w:type="gramEnd"/>
      <w:r>
        <w:rPr>
          <w:rFonts w:asciiTheme="majorHAnsi" w:hAnsiTheme="majorHAnsi"/>
          <w:color w:val="000000"/>
          <w:sz w:val="20"/>
          <w:szCs w:val="20"/>
        </w:rPr>
        <w:t xml:space="preserve"> and brief summary/key words for </w:t>
      </w:r>
      <w:r w:rsidR="0081609A">
        <w:rPr>
          <w:rFonts w:asciiTheme="majorHAnsi" w:hAnsiTheme="majorHAnsi"/>
          <w:color w:val="000000"/>
          <w:sz w:val="20"/>
          <w:szCs w:val="20"/>
        </w:rPr>
        <w:t>each evidence source</w:t>
      </w:r>
      <w:r>
        <w:rPr>
          <w:rFonts w:asciiTheme="majorHAnsi" w:hAnsiTheme="majorHAnsi"/>
          <w:color w:val="000000"/>
          <w:sz w:val="20"/>
          <w:szCs w:val="20"/>
        </w:rPr>
        <w:t xml:space="preserve">. </w:t>
      </w:r>
    </w:p>
    <w:p w14:paraId="1E232E35"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6" w:name="_Toc381969511"/>
      <w:bookmarkStart w:id="17" w:name="_Toc405888460"/>
      <w:bookmarkStart w:id="18" w:name="_Ref373505205"/>
      <w:bookmarkStart w:id="19" w:name="_Ref357541720"/>
      <w:r w:rsidRPr="0038388A">
        <w:rPr>
          <w:rFonts w:asciiTheme="minorHAnsi" w:hAnsiTheme="minorHAnsi" w:cs="Arial"/>
          <w:color w:val="FF0000"/>
          <w:sz w:val="20"/>
          <w:szCs w:val="20"/>
        </w:rPr>
        <w:t>Ownership and Publication</w:t>
      </w:r>
      <w:bookmarkEnd w:id="16"/>
      <w:bookmarkEnd w:id="17"/>
    </w:p>
    <w:p w14:paraId="3918C188" w14:textId="77777777" w:rsidR="00B51BFD" w:rsidRDefault="00B51BFD" w:rsidP="00B51BFD">
      <w:pPr>
        <w:pStyle w:val="Norma"/>
        <w:rPr>
          <w:rFonts w:ascii="Calibri" w:hAnsi="Calibri" w:cs="Arial"/>
        </w:rPr>
      </w:pPr>
    </w:p>
    <w:p w14:paraId="25136A00" w14:textId="0235BFDA" w:rsidR="00CC71DA" w:rsidRDefault="00B51BFD" w:rsidP="00B51BFD">
      <w:pPr>
        <w:pStyle w:val="Norma"/>
        <w:rPr>
          <w:rFonts w:asciiTheme="majorHAnsi" w:hAnsiTheme="majorHAnsi" w:cs="Arial"/>
          <w:sz w:val="20"/>
          <w:szCs w:val="20"/>
        </w:rPr>
      </w:pPr>
      <w:r w:rsidRPr="00B51BFD">
        <w:rPr>
          <w:rFonts w:asciiTheme="majorHAnsi" w:hAnsiTheme="majorHAnsi" w:cs="Arial"/>
          <w:sz w:val="20"/>
          <w:szCs w:val="20"/>
        </w:rPr>
        <w:t>The key deliverables will be handed over to the CCC</w:t>
      </w:r>
      <w:r>
        <w:rPr>
          <w:rFonts w:asciiTheme="majorHAnsi" w:hAnsiTheme="majorHAnsi" w:cs="Arial"/>
          <w:sz w:val="20"/>
          <w:szCs w:val="20"/>
        </w:rPr>
        <w:t>.</w:t>
      </w:r>
      <w:r w:rsidR="00F91AFF">
        <w:rPr>
          <w:rFonts w:asciiTheme="majorHAnsi" w:hAnsiTheme="majorHAnsi" w:cs="Arial"/>
          <w:sz w:val="20"/>
          <w:szCs w:val="20"/>
        </w:rPr>
        <w:t xml:space="preserve"> It will be published on the CCC website.</w:t>
      </w:r>
      <w:r>
        <w:rPr>
          <w:rFonts w:asciiTheme="majorHAnsi" w:hAnsiTheme="majorHAnsi" w:cs="Arial"/>
          <w:sz w:val="20"/>
          <w:szCs w:val="20"/>
        </w:rPr>
        <w:t xml:space="preserve"> We anticipate we will use the findings </w:t>
      </w:r>
      <w:r w:rsidR="00F91AFF">
        <w:rPr>
          <w:rFonts w:asciiTheme="majorHAnsi" w:hAnsiTheme="majorHAnsi" w:cs="Arial"/>
          <w:sz w:val="20"/>
          <w:szCs w:val="20"/>
        </w:rPr>
        <w:t xml:space="preserve">to inform </w:t>
      </w:r>
      <w:r>
        <w:rPr>
          <w:rFonts w:asciiTheme="majorHAnsi" w:hAnsiTheme="majorHAnsi" w:cs="Arial"/>
          <w:sz w:val="20"/>
          <w:szCs w:val="20"/>
        </w:rPr>
        <w:t xml:space="preserve">a future published </w:t>
      </w:r>
      <w:r w:rsidR="00CC71DA">
        <w:rPr>
          <w:rFonts w:asciiTheme="majorHAnsi" w:hAnsiTheme="majorHAnsi" w:cs="Arial"/>
          <w:sz w:val="20"/>
          <w:szCs w:val="20"/>
        </w:rPr>
        <w:t>report on offsets</w:t>
      </w:r>
      <w:r>
        <w:rPr>
          <w:rFonts w:asciiTheme="majorHAnsi" w:hAnsiTheme="majorHAnsi" w:cs="Arial"/>
          <w:sz w:val="20"/>
          <w:szCs w:val="20"/>
        </w:rPr>
        <w:t xml:space="preserve">. </w:t>
      </w: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8"/>
    </w:p>
    <w:p w14:paraId="0266E8F3" w14:textId="528EAA98" w:rsidR="003A05B7" w:rsidRDefault="003A05B7" w:rsidP="003A05B7">
      <w:pPr>
        <w:pStyle w:val="Norma"/>
        <w:ind w:left="720"/>
        <w:jc w:val="both"/>
        <w:rPr>
          <w:rFonts w:asciiTheme="minorHAnsi" w:hAnsiTheme="minorHAnsi" w:cs="Arial"/>
          <w:b/>
          <w:bCs/>
          <w:iCs/>
          <w:color w:val="FF0000"/>
          <w:sz w:val="20"/>
          <w:szCs w:val="20"/>
        </w:rPr>
      </w:pPr>
    </w:p>
    <w:p w14:paraId="1895B80A"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This project must comply with the ‘CCC – Quality Assurance of Evidence and Analysis’ guidance</w:t>
      </w:r>
      <w:r w:rsidRPr="00B51BFD">
        <w:rPr>
          <w:rFonts w:asciiTheme="majorHAnsi" w:hAnsiTheme="majorHAnsi"/>
          <w:sz w:val="20"/>
          <w:szCs w:val="20"/>
          <w:vertAlign w:val="superscript"/>
        </w:rPr>
        <w:footnoteReference w:id="1"/>
      </w:r>
      <w:r w:rsidRPr="00B51BFD">
        <w:rPr>
          <w:rFonts w:asciiTheme="majorHAnsi" w:hAnsiTheme="majorHAnsi" w:cs="Arial"/>
          <w:sz w:val="20"/>
          <w:szCs w:val="20"/>
        </w:rPr>
        <w:t xml:space="preserve"> and bidders must set out their approach to quality assurance in their response to this ITT.  </w:t>
      </w:r>
    </w:p>
    <w:p w14:paraId="42C217D9"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p>
    <w:p w14:paraId="2B19ACDC"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 xml:space="preserve">All research tasks and modelling must be quality assured and documented. Contractors should: </w:t>
      </w:r>
    </w:p>
    <w:p w14:paraId="13094346"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lastRenderedPageBreak/>
        <w:t xml:space="preserve">Include a quality assurance (QA) plan that they will apply to </w:t>
      </w:r>
      <w:proofErr w:type="gramStart"/>
      <w:r w:rsidRPr="00B51BFD">
        <w:rPr>
          <w:rFonts w:asciiTheme="majorHAnsi" w:hAnsiTheme="majorHAnsi" w:cs="Arial"/>
          <w:sz w:val="20"/>
          <w:szCs w:val="20"/>
        </w:rPr>
        <w:t>all of</w:t>
      </w:r>
      <w:proofErr w:type="gramEnd"/>
      <w:r w:rsidRPr="00B51BFD">
        <w:rPr>
          <w:rFonts w:asciiTheme="majorHAnsi" w:hAnsiTheme="majorHAnsi" w:cs="Arial"/>
          <w:sz w:val="20"/>
          <w:szCs w:val="20"/>
        </w:rPr>
        <w:t xml:space="preserve"> the research tasks and modelling, </w:t>
      </w:r>
    </w:p>
    <w:p w14:paraId="6566959E"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Specify who will take lead responsibility for ensuring quality assurance and ensure that this responsibility rests with an individual not directly involved in the research, </w:t>
      </w:r>
      <w:proofErr w:type="gramStart"/>
      <w:r w:rsidRPr="00B51BFD">
        <w:rPr>
          <w:rFonts w:asciiTheme="majorHAnsi" w:hAnsiTheme="majorHAnsi" w:cs="Arial"/>
          <w:sz w:val="20"/>
          <w:szCs w:val="20"/>
        </w:rPr>
        <w:t>analysis</w:t>
      </w:r>
      <w:proofErr w:type="gramEnd"/>
      <w:r w:rsidRPr="00B51BFD">
        <w:rPr>
          <w:rFonts w:asciiTheme="majorHAnsi" w:hAnsiTheme="majorHAnsi" w:cs="Arial"/>
          <w:sz w:val="20"/>
          <w:szCs w:val="20"/>
        </w:rPr>
        <w:t xml:space="preserve"> or model development,</w:t>
      </w:r>
    </w:p>
    <w:p w14:paraId="2B86A94A"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Provide QA log to demonstrate the QA undertaken, including who undertook the QA and the scope, type and level of QA that has been undertaken (</w:t>
      </w:r>
      <w:proofErr w:type="gramStart"/>
      <w:r w:rsidRPr="00B51BFD">
        <w:rPr>
          <w:rFonts w:asciiTheme="majorHAnsi" w:hAnsiTheme="majorHAnsi" w:cs="Arial"/>
          <w:sz w:val="20"/>
          <w:szCs w:val="20"/>
        </w:rPr>
        <w:t>e.g.</w:t>
      </w:r>
      <w:proofErr w:type="gramEnd"/>
      <w:r w:rsidRPr="00B51BFD">
        <w:rPr>
          <w:rFonts w:asciiTheme="majorHAnsi" w:hAnsiTheme="majorHAnsi" w:cs="Arial"/>
          <w:sz w:val="20"/>
          <w:szCs w:val="20"/>
        </w:rPr>
        <w:t xml:space="preserve"> a log entry only stating ‘the data was checked’ will not be sufficient),</w:t>
      </w:r>
    </w:p>
    <w:p w14:paraId="68193C05"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Allow for a meeting with CCC staff to run through QA performed. </w:t>
      </w:r>
    </w:p>
    <w:p w14:paraId="2B20783D"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p>
    <w:p w14:paraId="17B18FA2"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11DFFAAB"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p>
    <w:p w14:paraId="58A02A2B"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6337C9C" w14:textId="77777777" w:rsidR="00B51BFD" w:rsidRPr="0038388A" w:rsidRDefault="00B51BFD"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0" w:name="_Ref373505215"/>
      <w:bookmarkStart w:id="21" w:name="_Toc381969513"/>
      <w:bookmarkStart w:id="22" w:name="_Toc405888462"/>
      <w:r w:rsidRPr="0038388A">
        <w:rPr>
          <w:rFonts w:asciiTheme="minorHAnsi" w:hAnsiTheme="minorHAnsi" w:cs="Arial"/>
          <w:color w:val="FF0000"/>
          <w:sz w:val="20"/>
          <w:szCs w:val="20"/>
        </w:rPr>
        <w:t>Timetable</w:t>
      </w:r>
      <w:bookmarkEnd w:id="19"/>
      <w:bookmarkEnd w:id="20"/>
      <w:bookmarkEnd w:id="21"/>
      <w:bookmarkEnd w:id="22"/>
    </w:p>
    <w:p w14:paraId="7DD380FD" w14:textId="41D96B0B" w:rsidR="00BB0FBF" w:rsidRPr="00D453C3" w:rsidRDefault="00BB0FBF" w:rsidP="00BB0FBF">
      <w:pPr>
        <w:pStyle w:val="BodyText"/>
        <w:spacing w:line="276" w:lineRule="auto"/>
        <w:rPr>
          <w:rFonts w:asciiTheme="majorHAnsi" w:hAnsiTheme="majorHAnsi" w:cs="Arial"/>
          <w:bCs/>
          <w:color w:val="auto"/>
          <w:szCs w:val="20"/>
        </w:rPr>
      </w:pPr>
      <w:r w:rsidRPr="00D453C3">
        <w:rPr>
          <w:rFonts w:asciiTheme="majorHAnsi" w:hAnsiTheme="majorHAnsi" w:cs="Arial"/>
          <w:bCs/>
          <w:color w:val="auto"/>
          <w:szCs w:val="20"/>
        </w:rPr>
        <w:t>The proposed timetable for the project is set out in the following table. There is flexibility on the specific days</w:t>
      </w:r>
      <w:r w:rsidR="005E4E42">
        <w:rPr>
          <w:rFonts w:asciiTheme="majorHAnsi" w:hAnsiTheme="majorHAnsi" w:cs="Arial"/>
          <w:bCs/>
          <w:color w:val="auto"/>
          <w:szCs w:val="20"/>
        </w:rPr>
        <w:t xml:space="preserve">. Ideally work would be delivered by </w:t>
      </w:r>
      <w:r w:rsidRPr="00D453C3">
        <w:rPr>
          <w:rFonts w:asciiTheme="majorHAnsi" w:hAnsiTheme="majorHAnsi" w:cs="Arial"/>
          <w:bCs/>
          <w:color w:val="auto"/>
          <w:szCs w:val="20"/>
        </w:rPr>
        <w:t>31</w:t>
      </w:r>
      <w:r w:rsidRPr="00D453C3">
        <w:rPr>
          <w:rFonts w:asciiTheme="majorHAnsi" w:hAnsiTheme="majorHAnsi" w:cs="Arial"/>
          <w:bCs/>
          <w:color w:val="auto"/>
          <w:szCs w:val="20"/>
          <w:vertAlign w:val="superscript"/>
        </w:rPr>
        <w:t>st</w:t>
      </w:r>
      <w:r w:rsidRPr="00D453C3">
        <w:rPr>
          <w:rFonts w:asciiTheme="majorHAnsi" w:hAnsiTheme="majorHAnsi" w:cs="Arial"/>
          <w:bCs/>
          <w:color w:val="auto"/>
          <w:szCs w:val="20"/>
        </w:rPr>
        <w:t xml:space="preserve"> March</w:t>
      </w:r>
      <w:r w:rsidR="005E4E42">
        <w:rPr>
          <w:rFonts w:asciiTheme="majorHAnsi" w:hAnsiTheme="majorHAnsi" w:cs="Arial"/>
          <w:bCs/>
          <w:color w:val="auto"/>
          <w:szCs w:val="20"/>
        </w:rPr>
        <w:t xml:space="preserve">. Bids should set out their proposed timelines. </w:t>
      </w:r>
      <w:r w:rsidRPr="00D453C3">
        <w:rPr>
          <w:rFonts w:asciiTheme="majorHAnsi" w:hAnsiTheme="majorHAnsi" w:cs="Arial"/>
          <w:bCs/>
          <w:color w:val="auto"/>
          <w:szCs w:val="20"/>
        </w:rPr>
        <w:t xml:space="preserve"> </w:t>
      </w:r>
    </w:p>
    <w:p w14:paraId="29C0F52F" w14:textId="1D0A0605" w:rsidR="003A05B7" w:rsidRDefault="003A05B7" w:rsidP="003A05B7">
      <w:pPr>
        <w:pStyle w:val="Norma"/>
        <w:ind w:left="360"/>
        <w:rPr>
          <w:rFonts w:asciiTheme="minorHAnsi" w:hAnsiTheme="minorHAnsi"/>
          <w:b/>
          <w:color w:val="FF0000"/>
          <w:sz w:val="20"/>
          <w:szCs w:val="20"/>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311"/>
        <w:gridCol w:w="5164"/>
      </w:tblGrid>
      <w:tr w:rsidR="00BB0FBF" w14:paraId="19AF73B1" w14:textId="77777777" w:rsidTr="007F782E">
        <w:tc>
          <w:tcPr>
            <w:tcW w:w="2311" w:type="dxa"/>
            <w:tcBorders>
              <w:top w:val="single" w:sz="12" w:space="0" w:color="000000"/>
              <w:left w:val="single" w:sz="12" w:space="0" w:color="000000"/>
              <w:bottom w:val="single" w:sz="12" w:space="0" w:color="000000"/>
              <w:right w:val="single" w:sz="8" w:space="0" w:color="000000"/>
            </w:tcBorders>
            <w:hideMark/>
          </w:tcPr>
          <w:p w14:paraId="205012C2" w14:textId="7B3CD378" w:rsidR="00BB0FBF" w:rsidRPr="00BB0FBF" w:rsidRDefault="00BB0FBF" w:rsidP="00CC71DA">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Date</w:t>
            </w:r>
          </w:p>
        </w:tc>
        <w:tc>
          <w:tcPr>
            <w:tcW w:w="5164" w:type="dxa"/>
            <w:tcBorders>
              <w:top w:val="single" w:sz="12" w:space="0" w:color="000000"/>
              <w:left w:val="single" w:sz="8" w:space="0" w:color="000000"/>
              <w:bottom w:val="single" w:sz="12" w:space="0" w:color="000000"/>
              <w:right w:val="single" w:sz="12" w:space="0" w:color="000000"/>
            </w:tcBorders>
            <w:hideMark/>
          </w:tcPr>
          <w:p w14:paraId="3AEC636F" w14:textId="77777777" w:rsidR="00BB0FBF" w:rsidRPr="00BB0FBF" w:rsidRDefault="00BB0FBF" w:rsidP="00CC71DA">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Action</w:t>
            </w:r>
          </w:p>
        </w:tc>
      </w:tr>
      <w:tr w:rsidR="005E4E42" w:rsidRPr="00BB0FBF" w14:paraId="5A6BCF37" w14:textId="77777777" w:rsidTr="007F782E">
        <w:trPr>
          <w:trHeight w:val="342"/>
        </w:trPr>
        <w:tc>
          <w:tcPr>
            <w:tcW w:w="2311" w:type="dxa"/>
            <w:tcBorders>
              <w:top w:val="single" w:sz="6" w:space="0" w:color="000000"/>
              <w:left w:val="single" w:sz="12" w:space="0" w:color="000000"/>
              <w:bottom w:val="single" w:sz="6" w:space="0" w:color="000000"/>
              <w:right w:val="single" w:sz="6" w:space="0" w:color="000000"/>
            </w:tcBorders>
          </w:tcPr>
          <w:p w14:paraId="7844B924" w14:textId="512C4712" w:rsidR="005E4E42" w:rsidRDefault="005E4E42"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Mon 28</w:t>
            </w:r>
            <w:r w:rsidRPr="005E4E42">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February</w:t>
            </w:r>
          </w:p>
        </w:tc>
        <w:tc>
          <w:tcPr>
            <w:tcW w:w="5164" w:type="dxa"/>
            <w:tcBorders>
              <w:top w:val="single" w:sz="6" w:space="0" w:color="000000"/>
              <w:left w:val="single" w:sz="6" w:space="0" w:color="000000"/>
              <w:bottom w:val="single" w:sz="6" w:space="0" w:color="000000"/>
              <w:right w:val="single" w:sz="12" w:space="0" w:color="000000"/>
            </w:tcBorders>
          </w:tcPr>
          <w:p w14:paraId="7F7F8705" w14:textId="10366B06" w:rsidR="005E4E42" w:rsidRPr="00BB0FBF" w:rsidRDefault="00837462"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Call for Evidence closes</w:t>
            </w:r>
            <w:r w:rsidR="005E4E42">
              <w:rPr>
                <w:rFonts w:asciiTheme="majorHAnsi" w:hAnsiTheme="majorHAnsi" w:cs="Arial"/>
                <w:color w:val="000000"/>
                <w:sz w:val="20"/>
                <w:szCs w:val="20"/>
              </w:rPr>
              <w:t xml:space="preserve"> </w:t>
            </w:r>
          </w:p>
        </w:tc>
      </w:tr>
      <w:tr w:rsidR="007F782E" w:rsidRPr="00BB0FBF" w14:paraId="314A80E0" w14:textId="77777777" w:rsidTr="007F782E">
        <w:trPr>
          <w:trHeight w:val="701"/>
        </w:trPr>
        <w:tc>
          <w:tcPr>
            <w:tcW w:w="2311" w:type="dxa"/>
            <w:tcBorders>
              <w:top w:val="single" w:sz="6" w:space="0" w:color="000000"/>
              <w:left w:val="single" w:sz="12" w:space="0" w:color="000000"/>
              <w:bottom w:val="single" w:sz="6" w:space="0" w:color="000000"/>
              <w:right w:val="single" w:sz="6" w:space="0" w:color="000000"/>
            </w:tcBorders>
          </w:tcPr>
          <w:p w14:paraId="734CF51F" w14:textId="33AC2E90" w:rsidR="007F782E" w:rsidRDefault="007F782E" w:rsidP="007F782E">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Tues 1</w:t>
            </w:r>
            <w:r w:rsidRPr="007F782E">
              <w:rPr>
                <w:rFonts w:asciiTheme="majorHAnsi" w:hAnsiTheme="majorHAnsi" w:cs="Arial"/>
                <w:color w:val="000000"/>
                <w:sz w:val="20"/>
                <w:szCs w:val="20"/>
                <w:vertAlign w:val="superscript"/>
              </w:rPr>
              <w:t>st</w:t>
            </w:r>
            <w:r>
              <w:rPr>
                <w:rFonts w:asciiTheme="majorHAnsi" w:hAnsiTheme="majorHAnsi" w:cs="Arial"/>
                <w:color w:val="000000"/>
                <w:sz w:val="20"/>
                <w:szCs w:val="20"/>
              </w:rPr>
              <w:t xml:space="preserve"> March</w:t>
            </w:r>
          </w:p>
        </w:tc>
        <w:tc>
          <w:tcPr>
            <w:tcW w:w="5164" w:type="dxa"/>
            <w:tcBorders>
              <w:top w:val="single" w:sz="6" w:space="0" w:color="000000"/>
              <w:left w:val="single" w:sz="6" w:space="0" w:color="000000"/>
              <w:bottom w:val="single" w:sz="6" w:space="0" w:color="000000"/>
              <w:right w:val="single" w:sz="12" w:space="0" w:color="000000"/>
            </w:tcBorders>
          </w:tcPr>
          <w:p w14:paraId="6A649F92" w14:textId="6F832965" w:rsidR="007F782E" w:rsidRPr="00BB0FBF" w:rsidRDefault="007F782E" w:rsidP="007F782E">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Kick-off meeting</w:t>
            </w:r>
          </w:p>
        </w:tc>
      </w:tr>
      <w:tr w:rsidR="007F782E" w:rsidRPr="00BB0FBF" w14:paraId="65EAA86D" w14:textId="77777777" w:rsidTr="007F782E">
        <w:trPr>
          <w:trHeight w:val="701"/>
        </w:trPr>
        <w:tc>
          <w:tcPr>
            <w:tcW w:w="2311" w:type="dxa"/>
            <w:tcBorders>
              <w:top w:val="single" w:sz="6" w:space="0" w:color="000000"/>
              <w:left w:val="single" w:sz="12" w:space="0" w:color="000000"/>
              <w:bottom w:val="single" w:sz="6" w:space="0" w:color="000000"/>
              <w:right w:val="single" w:sz="6" w:space="0" w:color="000000"/>
            </w:tcBorders>
          </w:tcPr>
          <w:p w14:paraId="488D1D92" w14:textId="08A73983" w:rsidR="007F782E" w:rsidRPr="00BB0FBF" w:rsidRDefault="007F782E" w:rsidP="007F782E">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Mon 14</w:t>
            </w:r>
            <w:r w:rsidRPr="005E4E42">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March</w:t>
            </w:r>
          </w:p>
        </w:tc>
        <w:tc>
          <w:tcPr>
            <w:tcW w:w="5164" w:type="dxa"/>
            <w:tcBorders>
              <w:top w:val="single" w:sz="6" w:space="0" w:color="000000"/>
              <w:left w:val="single" w:sz="6" w:space="0" w:color="000000"/>
              <w:bottom w:val="single" w:sz="6" w:space="0" w:color="000000"/>
              <w:right w:val="single" w:sz="12" w:space="0" w:color="000000"/>
            </w:tcBorders>
          </w:tcPr>
          <w:p w14:paraId="68B43F3B" w14:textId="353A293E" w:rsidR="007F782E" w:rsidRPr="00BB0FBF" w:rsidRDefault="007F782E" w:rsidP="007F782E">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 xml:space="preserve">First interim presentation/report on initial data findings </w:t>
            </w:r>
          </w:p>
        </w:tc>
      </w:tr>
      <w:tr w:rsidR="007F782E" w:rsidRPr="00BB0FBF" w14:paraId="0C7B17AA" w14:textId="77777777" w:rsidTr="007F782E">
        <w:tc>
          <w:tcPr>
            <w:tcW w:w="2311" w:type="dxa"/>
            <w:tcBorders>
              <w:top w:val="single" w:sz="6" w:space="0" w:color="000000"/>
              <w:left w:val="single" w:sz="12" w:space="0" w:color="000000"/>
              <w:bottom w:val="single" w:sz="6" w:space="0" w:color="000000"/>
              <w:right w:val="single" w:sz="6" w:space="0" w:color="000000"/>
            </w:tcBorders>
          </w:tcPr>
          <w:p w14:paraId="764C504F" w14:textId="7D715CF6" w:rsidR="007F782E" w:rsidRPr="00BB0FBF" w:rsidRDefault="007F782E" w:rsidP="007F782E">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Mon 21</w:t>
            </w:r>
            <w:r w:rsidRPr="005E4E42">
              <w:rPr>
                <w:rFonts w:asciiTheme="majorHAnsi" w:hAnsiTheme="majorHAnsi" w:cs="Arial"/>
                <w:color w:val="000000"/>
                <w:sz w:val="20"/>
                <w:szCs w:val="20"/>
                <w:vertAlign w:val="superscript"/>
              </w:rPr>
              <w:t>st</w:t>
            </w:r>
            <w:r>
              <w:rPr>
                <w:rFonts w:asciiTheme="majorHAnsi" w:hAnsiTheme="majorHAnsi" w:cs="Arial"/>
                <w:color w:val="000000"/>
                <w:sz w:val="20"/>
                <w:szCs w:val="20"/>
              </w:rPr>
              <w:t xml:space="preserve"> March</w:t>
            </w:r>
          </w:p>
        </w:tc>
        <w:tc>
          <w:tcPr>
            <w:tcW w:w="5164" w:type="dxa"/>
            <w:tcBorders>
              <w:top w:val="single" w:sz="6" w:space="0" w:color="000000"/>
              <w:left w:val="single" w:sz="6" w:space="0" w:color="000000"/>
              <w:bottom w:val="single" w:sz="6" w:space="0" w:color="000000"/>
              <w:right w:val="single" w:sz="12" w:space="0" w:color="000000"/>
            </w:tcBorders>
          </w:tcPr>
          <w:p w14:paraId="68B1EA6C" w14:textId="60668EC4" w:rsidR="007F782E" w:rsidRPr="00BB0FBF" w:rsidRDefault="007F782E" w:rsidP="007F782E">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Pr="00BB0FBF">
              <w:rPr>
                <w:rFonts w:asciiTheme="majorHAnsi" w:hAnsiTheme="majorHAnsi" w:cs="Arial"/>
                <w:color w:val="000000"/>
                <w:sz w:val="20"/>
                <w:szCs w:val="20"/>
              </w:rPr>
              <w:t xml:space="preserve">elivery of </w:t>
            </w:r>
            <w:r>
              <w:rPr>
                <w:rFonts w:asciiTheme="majorHAnsi" w:hAnsiTheme="majorHAnsi" w:cs="Arial"/>
                <w:color w:val="000000"/>
                <w:sz w:val="20"/>
                <w:szCs w:val="20"/>
              </w:rPr>
              <w:t xml:space="preserve">draft report  </w:t>
            </w:r>
          </w:p>
        </w:tc>
      </w:tr>
      <w:tr w:rsidR="007F782E" w:rsidRPr="00BB0FBF" w14:paraId="63F8ED09" w14:textId="77777777" w:rsidTr="007F782E">
        <w:tc>
          <w:tcPr>
            <w:tcW w:w="2311" w:type="dxa"/>
            <w:tcBorders>
              <w:top w:val="single" w:sz="6" w:space="0" w:color="000000"/>
              <w:left w:val="single" w:sz="12" w:space="0" w:color="000000"/>
              <w:bottom w:val="single" w:sz="6" w:space="0" w:color="000000"/>
              <w:right w:val="single" w:sz="6" w:space="0" w:color="000000"/>
            </w:tcBorders>
          </w:tcPr>
          <w:p w14:paraId="694793D8" w14:textId="0B381CE9" w:rsidR="007F782E" w:rsidRPr="00BB0FBF" w:rsidRDefault="007F782E" w:rsidP="007F782E">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Thurs </w:t>
            </w:r>
            <w:r w:rsidRPr="00BB0FBF">
              <w:rPr>
                <w:rFonts w:asciiTheme="majorHAnsi" w:hAnsiTheme="majorHAnsi" w:cs="Arial"/>
                <w:color w:val="000000"/>
                <w:sz w:val="20"/>
                <w:szCs w:val="20"/>
              </w:rPr>
              <w:t>31</w:t>
            </w:r>
            <w:r w:rsidRPr="00BB0FBF">
              <w:rPr>
                <w:rFonts w:asciiTheme="majorHAnsi" w:hAnsiTheme="majorHAnsi" w:cs="Arial"/>
                <w:color w:val="000000"/>
                <w:sz w:val="20"/>
                <w:szCs w:val="20"/>
                <w:vertAlign w:val="superscript"/>
              </w:rPr>
              <w:t>st</w:t>
            </w:r>
            <w:r w:rsidRPr="00BB0FBF">
              <w:rPr>
                <w:rFonts w:asciiTheme="majorHAnsi" w:hAnsiTheme="majorHAnsi" w:cs="Arial"/>
                <w:color w:val="000000"/>
                <w:sz w:val="20"/>
                <w:szCs w:val="20"/>
              </w:rPr>
              <w:t xml:space="preserve"> March</w:t>
            </w:r>
          </w:p>
        </w:tc>
        <w:tc>
          <w:tcPr>
            <w:tcW w:w="5164" w:type="dxa"/>
            <w:tcBorders>
              <w:top w:val="single" w:sz="6" w:space="0" w:color="000000"/>
              <w:left w:val="single" w:sz="6" w:space="0" w:color="000000"/>
              <w:bottom w:val="single" w:sz="6" w:space="0" w:color="000000"/>
              <w:right w:val="single" w:sz="12" w:space="0" w:color="000000"/>
            </w:tcBorders>
          </w:tcPr>
          <w:p w14:paraId="79FFC36C" w14:textId="4457A0A1" w:rsidR="007F782E" w:rsidRPr="00BB0FBF" w:rsidRDefault="007F782E" w:rsidP="007F782E">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Pr="00BB0FBF">
              <w:rPr>
                <w:rFonts w:asciiTheme="majorHAnsi" w:hAnsiTheme="majorHAnsi" w:cs="Arial"/>
                <w:color w:val="000000"/>
                <w:sz w:val="20"/>
                <w:szCs w:val="20"/>
              </w:rPr>
              <w:t xml:space="preserve">elivery of final </w:t>
            </w:r>
            <w:r>
              <w:rPr>
                <w:rFonts w:asciiTheme="majorHAnsi" w:hAnsiTheme="majorHAnsi" w:cs="Arial"/>
                <w:color w:val="000000"/>
                <w:sz w:val="20"/>
                <w:szCs w:val="20"/>
              </w:rPr>
              <w:t>outputs</w:t>
            </w:r>
          </w:p>
        </w:tc>
      </w:tr>
    </w:tbl>
    <w:p w14:paraId="2495C26A" w14:textId="20A7ADE1" w:rsidR="00BB0FBF" w:rsidRPr="00BB0FBF" w:rsidRDefault="00BB0FBF" w:rsidP="00BB0FBF">
      <w:pPr>
        <w:pStyle w:val="Norma"/>
        <w:rPr>
          <w:rFonts w:asciiTheme="majorHAnsi" w:hAnsiTheme="majorHAnsi"/>
          <w:b/>
          <w:color w:val="FF0000"/>
          <w:sz w:val="20"/>
          <w:szCs w:val="20"/>
        </w:rPr>
      </w:pP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3" w:name="_Ref357541731"/>
      <w:bookmarkStart w:id="24" w:name="_Toc381969514"/>
      <w:bookmarkStart w:id="25" w:name="_Toc405888463"/>
      <w:r w:rsidRPr="0038388A">
        <w:rPr>
          <w:rFonts w:asciiTheme="minorHAnsi" w:hAnsiTheme="minorHAnsi" w:cs="Arial"/>
          <w:color w:val="FF0000"/>
          <w:sz w:val="20"/>
          <w:szCs w:val="20"/>
        </w:rPr>
        <w:t>Challenges</w:t>
      </w:r>
      <w:bookmarkEnd w:id="23"/>
      <w:bookmarkEnd w:id="24"/>
      <w:bookmarkEnd w:id="25"/>
    </w:p>
    <w:p w14:paraId="6D8654F8" w14:textId="5CF356E5" w:rsidR="003A05B7" w:rsidRPr="0038388A" w:rsidRDefault="003A05B7" w:rsidP="0038388A">
      <w:pPr>
        <w:pStyle w:val="Norma"/>
        <w:ind w:left="360" w:firstLine="360"/>
        <w:rPr>
          <w:rFonts w:asciiTheme="minorHAnsi" w:hAnsiTheme="minorHAnsi"/>
          <w:b/>
          <w:color w:val="FF0000"/>
          <w:sz w:val="20"/>
          <w:szCs w:val="20"/>
        </w:rPr>
      </w:pPr>
    </w:p>
    <w:p w14:paraId="1980E4B6" w14:textId="7315644E" w:rsidR="00D453C3" w:rsidRDefault="00D453C3" w:rsidP="00D453C3">
      <w:pPr>
        <w:pStyle w:val="ListParagraph"/>
        <w:spacing w:after="0" w:line="240" w:lineRule="auto"/>
        <w:ind w:left="0"/>
        <w:jc w:val="both"/>
        <w:rPr>
          <w:rFonts w:asciiTheme="majorHAnsi" w:hAnsiTheme="majorHAnsi"/>
          <w:sz w:val="20"/>
          <w:szCs w:val="20"/>
        </w:rPr>
      </w:pPr>
      <w:r w:rsidRPr="00D453C3">
        <w:rPr>
          <w:rFonts w:asciiTheme="majorHAnsi" w:hAnsiTheme="majorHAnsi"/>
          <w:sz w:val="20"/>
          <w:szCs w:val="20"/>
        </w:rPr>
        <w:t>The specific challenges that the CCC envisage with this project include:</w:t>
      </w:r>
    </w:p>
    <w:p w14:paraId="16B5EF7C" w14:textId="5CB1384B" w:rsidR="00D453C3" w:rsidRDefault="00D453C3" w:rsidP="00D453C3">
      <w:pPr>
        <w:pStyle w:val="ListParagraph"/>
        <w:spacing w:after="0" w:line="240" w:lineRule="auto"/>
        <w:ind w:left="0"/>
        <w:jc w:val="both"/>
        <w:rPr>
          <w:rFonts w:asciiTheme="majorHAnsi" w:hAnsiTheme="majorHAnsi"/>
          <w:sz w:val="20"/>
          <w:szCs w:val="20"/>
        </w:rPr>
      </w:pPr>
    </w:p>
    <w:p w14:paraId="0155CBF5" w14:textId="5902B14E" w:rsidR="00D453C3" w:rsidRPr="005419F2" w:rsidRDefault="005419F2" w:rsidP="00D453C3">
      <w:pPr>
        <w:pStyle w:val="ListParagraph"/>
        <w:numPr>
          <w:ilvl w:val="0"/>
          <w:numId w:val="11"/>
        </w:numPr>
        <w:spacing w:after="0" w:line="240" w:lineRule="auto"/>
        <w:jc w:val="both"/>
        <w:rPr>
          <w:rFonts w:asciiTheme="majorHAnsi" w:hAnsiTheme="majorHAnsi"/>
          <w:sz w:val="20"/>
          <w:szCs w:val="20"/>
        </w:rPr>
      </w:pPr>
      <w:bookmarkStart w:id="26" w:name="_Hlk90627383"/>
      <w:r w:rsidRPr="005419F2">
        <w:rPr>
          <w:rFonts w:asciiTheme="majorHAnsi" w:hAnsiTheme="majorHAnsi"/>
          <w:sz w:val="20"/>
          <w:szCs w:val="20"/>
        </w:rPr>
        <w:t xml:space="preserve">Providing a high-quality summary of the evidence despite the potential for a high number of responses to the Call for Evidence </w:t>
      </w:r>
    </w:p>
    <w:p w14:paraId="4E991693" w14:textId="3CD6E614" w:rsidR="005419F2" w:rsidRDefault="005419F2" w:rsidP="005419F2">
      <w:pPr>
        <w:pStyle w:val="ListParagraph"/>
        <w:numPr>
          <w:ilvl w:val="0"/>
          <w:numId w:val="11"/>
        </w:numPr>
        <w:spacing w:after="0" w:line="240" w:lineRule="auto"/>
        <w:jc w:val="both"/>
        <w:rPr>
          <w:rFonts w:asciiTheme="majorHAnsi" w:hAnsiTheme="majorHAnsi"/>
          <w:sz w:val="20"/>
          <w:szCs w:val="20"/>
        </w:rPr>
      </w:pPr>
      <w:r w:rsidRPr="005419F2">
        <w:rPr>
          <w:rFonts w:asciiTheme="majorHAnsi" w:hAnsiTheme="majorHAnsi"/>
          <w:sz w:val="20"/>
          <w:szCs w:val="20"/>
        </w:rPr>
        <w:t xml:space="preserve">Ensuring differing views/responses to the questions are treated objectively and are assessed on the quality of the evidence provided </w:t>
      </w:r>
    </w:p>
    <w:p w14:paraId="5C0C4674" w14:textId="5D370C3B" w:rsidR="0081609A" w:rsidRPr="0081609A" w:rsidRDefault="0081609A" w:rsidP="0081609A">
      <w:pPr>
        <w:pStyle w:val="ListParagraph"/>
        <w:numPr>
          <w:ilvl w:val="0"/>
          <w:numId w:val="11"/>
        </w:numPr>
        <w:textAlignment w:val="center"/>
        <w:rPr>
          <w:rFonts w:asciiTheme="minorHAnsi" w:hAnsiTheme="minorHAnsi" w:cs="Arial"/>
          <w:b/>
          <w:bCs/>
          <w:iCs/>
          <w:color w:val="FF0000"/>
          <w:sz w:val="20"/>
          <w:szCs w:val="20"/>
        </w:rPr>
      </w:pPr>
      <w:r w:rsidRPr="0081609A">
        <w:rPr>
          <w:rFonts w:asciiTheme="majorHAnsi" w:hAnsiTheme="majorHAnsi" w:cs="Arial"/>
          <w:color w:val="000000"/>
          <w:sz w:val="20"/>
          <w:szCs w:val="20"/>
        </w:rPr>
        <w:t>Navigating a mixed evidence base.</w:t>
      </w:r>
      <w:bookmarkEnd w:id="26"/>
    </w:p>
    <w:p w14:paraId="23DD1A50" w14:textId="77777777" w:rsidR="0081609A" w:rsidRPr="0081609A" w:rsidRDefault="0081609A" w:rsidP="0081609A">
      <w:pPr>
        <w:pStyle w:val="ListParagraph"/>
        <w:textAlignment w:val="center"/>
        <w:rPr>
          <w:rFonts w:asciiTheme="minorHAnsi" w:hAnsiTheme="minorHAnsi" w:cs="Arial"/>
          <w:b/>
          <w:bCs/>
          <w:iCs/>
          <w:color w:val="FF0000"/>
          <w:sz w:val="20"/>
          <w:szCs w:val="20"/>
        </w:rPr>
      </w:pPr>
    </w:p>
    <w:p w14:paraId="106214DD" w14:textId="77777777" w:rsidR="00DD4A1D" w:rsidRDefault="00D453C3" w:rsidP="00D453C3">
      <w:pPr>
        <w:pStyle w:val="ListParagraph"/>
        <w:spacing w:after="0" w:line="240" w:lineRule="auto"/>
        <w:ind w:left="0"/>
        <w:jc w:val="both"/>
        <w:rPr>
          <w:rFonts w:asciiTheme="majorHAnsi" w:hAnsiTheme="majorHAnsi"/>
          <w:sz w:val="20"/>
          <w:szCs w:val="20"/>
        </w:rPr>
      </w:pPr>
      <w:r w:rsidRPr="00D453C3">
        <w:rPr>
          <w:rFonts w:asciiTheme="majorHAnsi" w:hAnsiTheme="majorHAnsi"/>
          <w:sz w:val="20"/>
          <w:szCs w:val="20"/>
        </w:rPr>
        <w:t>Bids should set out how these risks will be managed alongside any other risks and challenges to successfully undertaking this work.</w:t>
      </w:r>
      <w:r w:rsidR="00DD4A1D">
        <w:rPr>
          <w:rFonts w:asciiTheme="majorHAnsi" w:hAnsiTheme="majorHAnsi"/>
          <w:sz w:val="20"/>
          <w:szCs w:val="20"/>
        </w:rPr>
        <w:t xml:space="preserve"> </w:t>
      </w:r>
    </w:p>
    <w:p w14:paraId="79F3C780" w14:textId="77777777" w:rsidR="00DD4A1D" w:rsidRDefault="00DD4A1D" w:rsidP="00D453C3">
      <w:pPr>
        <w:pStyle w:val="ListParagraph"/>
        <w:spacing w:after="0" w:line="240" w:lineRule="auto"/>
        <w:ind w:left="0"/>
        <w:jc w:val="both"/>
        <w:rPr>
          <w:rFonts w:asciiTheme="majorHAnsi" w:hAnsiTheme="majorHAnsi"/>
          <w:sz w:val="20"/>
          <w:szCs w:val="20"/>
        </w:rPr>
      </w:pPr>
    </w:p>
    <w:p w14:paraId="01C079ED" w14:textId="27C089EC"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7" w:name="_Ref338852517"/>
      <w:bookmarkStart w:id="28" w:name="_Toc381969516"/>
      <w:bookmarkStart w:id="29" w:name="_Toc405888465"/>
      <w:r w:rsidRPr="0038388A">
        <w:rPr>
          <w:rFonts w:asciiTheme="minorHAnsi" w:hAnsiTheme="minorHAnsi" w:cs="Arial"/>
          <w:color w:val="FF0000"/>
          <w:sz w:val="20"/>
          <w:szCs w:val="20"/>
        </w:rPr>
        <w:t>Working Arrangements</w:t>
      </w:r>
      <w:bookmarkEnd w:id="27"/>
      <w:bookmarkEnd w:id="28"/>
      <w:bookmarkEnd w:id="29"/>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lastRenderedPageBreak/>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51E08D8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w:t>
      </w:r>
      <w:r w:rsidR="00DD4A1D">
        <w:rPr>
          <w:rFonts w:asciiTheme="minorHAnsi" w:hAnsiTheme="minorHAnsi" w:cs="Arial"/>
          <w:sz w:val="20"/>
          <w:szCs w:val="20"/>
        </w:rPr>
        <w:t>’</w:t>
      </w:r>
      <w:r w:rsidRPr="0038388A">
        <w:rPr>
          <w:rFonts w:asciiTheme="minorHAnsi" w:hAnsiTheme="minorHAnsi" w:cs="Arial"/>
          <w:sz w:val="20"/>
          <w:szCs w:val="20"/>
        </w:rPr>
        <w:t>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11FB7C01"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w:t>
      </w:r>
      <w:r w:rsidR="00231592" w:rsidRPr="0038388A">
        <w:rPr>
          <w:rFonts w:asciiTheme="minorHAnsi" w:hAnsiTheme="minorHAnsi" w:cs="Arial"/>
          <w:sz w:val="20"/>
          <w:szCs w:val="20"/>
        </w:rPr>
        <w:t>team and</w:t>
      </w:r>
      <w:r w:rsidRPr="0038388A">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0"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1" w:name="_Ref373505239"/>
      <w:bookmarkStart w:id="32" w:name="_Toc381969518"/>
      <w:bookmarkStart w:id="33" w:name="_Toc405888467"/>
      <w:r w:rsidRPr="0038388A">
        <w:rPr>
          <w:rFonts w:asciiTheme="minorHAnsi" w:hAnsiTheme="minorHAnsi" w:cs="Arial"/>
          <w:color w:val="FF0000"/>
          <w:sz w:val="20"/>
          <w:szCs w:val="20"/>
        </w:rPr>
        <w:t>Consortium Bids</w:t>
      </w:r>
      <w:bookmarkEnd w:id="31"/>
      <w:bookmarkEnd w:id="32"/>
      <w:bookmarkEnd w:id="33"/>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38388A">
        <w:rPr>
          <w:rFonts w:asciiTheme="minorHAnsi" w:hAnsiTheme="minorHAnsi" w:cs="Arial"/>
          <w:color w:val="FF0000"/>
          <w:sz w:val="20"/>
          <w:szCs w:val="20"/>
        </w:rPr>
        <w:t>Budget</w:t>
      </w:r>
      <w:bookmarkEnd w:id="34"/>
      <w:bookmarkEnd w:id="35"/>
      <w:bookmarkEnd w:id="36"/>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02BA68B2" w:rsidR="0038388A" w:rsidRPr="007F782E" w:rsidRDefault="0038388A" w:rsidP="00440839">
      <w:pPr>
        <w:pStyle w:val="Paragraph"/>
      </w:pPr>
      <w:r w:rsidRPr="007F782E">
        <w:t>The budget for this project is £</w:t>
      </w:r>
      <w:r w:rsidR="007F782E" w:rsidRPr="007F782E">
        <w:t>10</w:t>
      </w:r>
      <w:r w:rsidR="00B51BFD" w:rsidRPr="007F782E">
        <w:t>,000</w:t>
      </w:r>
      <w:r w:rsidRPr="007F782E">
        <w:t xml:space="preserve"> to £</w:t>
      </w:r>
      <w:r w:rsidR="007F782E" w:rsidRPr="007F782E">
        <w:t>25</w:t>
      </w:r>
      <w:r w:rsidR="00B51BFD" w:rsidRPr="007F782E">
        <w:t>,000</w:t>
      </w:r>
      <w:r w:rsidRPr="007F782E">
        <w:t xml:space="preserve"> excluding VAT. </w:t>
      </w:r>
    </w:p>
    <w:p w14:paraId="13CC9C19" w14:textId="2B8D2321" w:rsidR="00440839" w:rsidRPr="007F782E" w:rsidRDefault="00440839" w:rsidP="00440839">
      <w:pPr>
        <w:pStyle w:val="Paragraph"/>
      </w:pPr>
    </w:p>
    <w:p w14:paraId="2E5BF3D2" w14:textId="1D087C03" w:rsidR="0038388A" w:rsidRDefault="0038388A" w:rsidP="0038388A">
      <w:pPr>
        <w:pStyle w:val="ListParagraph"/>
        <w:spacing w:line="240" w:lineRule="auto"/>
        <w:jc w:val="both"/>
        <w:rPr>
          <w:rFonts w:asciiTheme="minorHAnsi" w:hAnsiTheme="minorHAnsi" w:cs="Arial"/>
          <w:sz w:val="20"/>
          <w:szCs w:val="20"/>
        </w:rPr>
      </w:pPr>
      <w:r w:rsidRPr="007F782E">
        <w:rPr>
          <w:rFonts w:asciiTheme="minorHAnsi" w:hAnsiTheme="minorHAnsi" w:cs="Arial"/>
          <w:sz w:val="20"/>
          <w:szCs w:val="20"/>
        </w:rPr>
        <w:t xml:space="preserve">Contractors should provide </w:t>
      </w:r>
      <w:r w:rsidR="00EA3754" w:rsidRPr="007F782E">
        <w:rPr>
          <w:rFonts w:asciiTheme="minorHAnsi" w:hAnsiTheme="minorHAnsi" w:cs="Arial"/>
          <w:sz w:val="20"/>
          <w:szCs w:val="20"/>
        </w:rPr>
        <w:t xml:space="preserve">full </w:t>
      </w:r>
      <w:r w:rsidRPr="007F782E">
        <w:rPr>
          <w:rFonts w:asciiTheme="minorHAnsi" w:hAnsiTheme="minorHAnsi" w:cs="Arial"/>
          <w:sz w:val="20"/>
          <w:szCs w:val="20"/>
        </w:rPr>
        <w:t>breakdown of</w:t>
      </w:r>
      <w:r w:rsidRPr="0038388A">
        <w:rPr>
          <w:rFonts w:asciiTheme="minorHAnsi" w:hAnsiTheme="minorHAnsi" w:cs="Arial"/>
          <w:sz w:val="20"/>
          <w:szCs w:val="20"/>
        </w:rPr>
        <w:t xml:space="preserve"> costs (including options where appropriate). This should include staff (and day rate) allocated to specific tasks. </w:t>
      </w:r>
      <w:bookmarkEnd w:id="37"/>
      <w:bookmarkEnd w:id="38"/>
      <w:bookmarkEnd w:id="39"/>
    </w:p>
    <w:p w14:paraId="698A326A" w14:textId="75BCF69A" w:rsidR="00394079" w:rsidRDefault="00394079" w:rsidP="0038388A">
      <w:pPr>
        <w:pStyle w:val="ListParagraph"/>
        <w:spacing w:line="240" w:lineRule="auto"/>
        <w:jc w:val="both"/>
        <w:rPr>
          <w:rFonts w:asciiTheme="minorHAnsi" w:hAnsiTheme="minorHAnsi" w:cs="Arial"/>
          <w:sz w:val="20"/>
          <w:szCs w:val="20"/>
        </w:rPr>
      </w:pPr>
    </w:p>
    <w:p w14:paraId="504BE01A" w14:textId="77777777" w:rsidR="00394079" w:rsidRPr="00250922" w:rsidRDefault="00394079" w:rsidP="00394079">
      <w:pPr>
        <w:pStyle w:val="Paragraph"/>
      </w:pPr>
      <w:r w:rsidRPr="00250922">
        <w:t xml:space="preserve">We estimate receiving between 30 and 100 substantive responses. In the bid, suppliers should provide a breakdown of the costs in such a way that the cost for any number of responses from 30 to 100 can be calculated.  </w:t>
      </w:r>
    </w:p>
    <w:p w14:paraId="09E11F4A" w14:textId="77777777" w:rsidR="00394079" w:rsidRPr="00250922" w:rsidRDefault="00394079" w:rsidP="00394079">
      <w:pPr>
        <w:pStyle w:val="Paragraph"/>
      </w:pPr>
    </w:p>
    <w:p w14:paraId="1C7A0532" w14:textId="77777777" w:rsidR="00394079" w:rsidRPr="00250922" w:rsidRDefault="00394079" w:rsidP="00394079">
      <w:pPr>
        <w:pStyle w:val="Paragraph"/>
      </w:pPr>
      <w:r w:rsidRPr="00250922">
        <w:t xml:space="preserve">Once all the responses are received, we will agree the exact cost and time allocated to the project with the supplier based on this.  </w:t>
      </w:r>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5A7A6770"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0" w:name="_Ref357541836"/>
      <w:bookmarkStart w:id="41" w:name="_Toc381969520"/>
      <w:bookmarkStart w:id="42" w:name="_Toc405888469"/>
      <w:r w:rsidRPr="0038388A">
        <w:rPr>
          <w:rFonts w:asciiTheme="minorHAnsi" w:hAnsiTheme="minorHAnsi" w:cs="Arial"/>
          <w:color w:val="FF0000"/>
          <w:sz w:val="20"/>
          <w:szCs w:val="20"/>
        </w:rPr>
        <w:t>Evaluation of Tenders</w:t>
      </w:r>
      <w:bookmarkEnd w:id="40"/>
      <w:bookmarkEnd w:id="41"/>
      <w:bookmarkEnd w:id="42"/>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1D220740"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w:t>
      </w:r>
      <w:r w:rsidRPr="00DD4A1D">
        <w:rPr>
          <w:rFonts w:asciiTheme="minorHAnsi" w:hAnsiTheme="minorHAnsi" w:cs="Arial"/>
          <w:sz w:val="20"/>
          <w:szCs w:val="20"/>
        </w:rPr>
        <w:t>d to submit full tenders of no more than (</w:t>
      </w:r>
      <w:r w:rsidR="00B51BFD" w:rsidRPr="00DD4A1D">
        <w:rPr>
          <w:rFonts w:asciiTheme="minorHAnsi" w:hAnsiTheme="minorHAnsi" w:cs="Arial"/>
          <w:sz w:val="20"/>
          <w:szCs w:val="20"/>
        </w:rPr>
        <w:t>1</w:t>
      </w:r>
      <w:r w:rsidR="00F24772">
        <w:rPr>
          <w:rFonts w:asciiTheme="minorHAnsi" w:hAnsiTheme="minorHAnsi" w:cs="Arial"/>
          <w:sz w:val="20"/>
          <w:szCs w:val="20"/>
        </w:rPr>
        <w:t>5</w:t>
      </w:r>
      <w:r w:rsidRPr="00DD4A1D">
        <w:rPr>
          <w:rFonts w:asciiTheme="minorHAnsi" w:hAnsiTheme="minorHAnsi" w:cs="Arial"/>
          <w:sz w:val="20"/>
          <w:szCs w:val="20"/>
        </w:rPr>
        <w:t xml:space="preserve"> – suggested </w:t>
      </w:r>
      <w:r w:rsidR="00F24772">
        <w:rPr>
          <w:rFonts w:asciiTheme="minorHAnsi" w:hAnsiTheme="minorHAnsi" w:cs="Arial"/>
          <w:sz w:val="20"/>
          <w:szCs w:val="20"/>
        </w:rPr>
        <w:t>35</w:t>
      </w:r>
      <w:r w:rsidRPr="00DD4A1D">
        <w:rPr>
          <w:rFonts w:asciiTheme="minorHAnsi" w:hAnsiTheme="minorHAnsi" w:cs="Arial"/>
          <w:sz w:val="20"/>
          <w:szCs w:val="20"/>
        </w:rPr>
        <w:t xml:space="preserve"> pages) pages, excluding declarations and CV’s. Tenders will be evaluated by at least three </w:t>
      </w:r>
      <w:r w:rsidRPr="0038388A">
        <w:rPr>
          <w:rFonts w:asciiTheme="minorHAnsi" w:hAnsiTheme="minorHAnsi" w:cs="Arial"/>
          <w:sz w:val="20"/>
          <w:szCs w:val="20"/>
        </w:rPr>
        <w:t>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B51BFD">
        <w:tc>
          <w:tcPr>
            <w:tcW w:w="1914" w:type="dxa"/>
          </w:tcPr>
          <w:p w14:paraId="5F103605" w14:textId="77777777" w:rsidR="0038388A" w:rsidRPr="0038388A" w:rsidRDefault="0038388A" w:rsidP="0038388A">
            <w:pPr>
              <w:pStyle w:val="BodyText"/>
              <w:rPr>
                <w:szCs w:val="20"/>
              </w:rPr>
            </w:pPr>
            <w:bookmarkStart w:id="43" w:name="p2"/>
            <w:r w:rsidRPr="0038388A">
              <w:rPr>
                <w:rFonts w:cs="Arial"/>
                <w:szCs w:val="20"/>
              </w:rPr>
              <w:t>Criterion</w:t>
            </w:r>
            <w:bookmarkEnd w:id="43"/>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79FCE444"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B51BFD">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5F3A7BC7" w:rsidR="0038388A" w:rsidRPr="0038388A" w:rsidRDefault="0038388A" w:rsidP="0038388A">
            <w:pPr>
              <w:pStyle w:val="BodyText"/>
              <w:rPr>
                <w:szCs w:val="20"/>
              </w:rPr>
            </w:pPr>
            <w:r w:rsidRPr="0038388A">
              <w:rPr>
                <w:szCs w:val="20"/>
              </w:rPr>
              <w:t>RELEVANT EXPERIENCE / DEMONSTRATION OF CABABILITY</w:t>
            </w:r>
            <w:r w:rsidR="007F782E">
              <w:rPr>
                <w:szCs w:val="20"/>
              </w:rPr>
              <w:t xml:space="preserve"> </w:t>
            </w:r>
          </w:p>
        </w:tc>
        <w:tc>
          <w:tcPr>
            <w:tcW w:w="2618" w:type="dxa"/>
            <w:shd w:val="clear" w:color="auto" w:fill="auto"/>
          </w:tcPr>
          <w:p w14:paraId="3B99A12D" w14:textId="05443F7E" w:rsidR="0038388A" w:rsidRPr="0038388A" w:rsidRDefault="00924A04" w:rsidP="0038388A">
            <w:pPr>
              <w:pStyle w:val="BodyText"/>
              <w:rPr>
                <w:szCs w:val="20"/>
              </w:rPr>
            </w:pPr>
            <w:r>
              <w:rPr>
                <w:szCs w:val="20"/>
              </w:rPr>
              <w:t>2</w:t>
            </w:r>
            <w:r w:rsidR="00EA3754">
              <w:rPr>
                <w:szCs w:val="20"/>
              </w:rPr>
              <w:t>0%</w:t>
            </w:r>
          </w:p>
        </w:tc>
      </w:tr>
      <w:tr w:rsidR="00924A04" w:rsidRPr="0038388A" w14:paraId="7A60E2EA" w14:textId="77777777" w:rsidTr="00B51BFD">
        <w:tc>
          <w:tcPr>
            <w:tcW w:w="1914" w:type="dxa"/>
            <w:shd w:val="clear" w:color="auto" w:fill="auto"/>
          </w:tcPr>
          <w:p w14:paraId="0F0F3A2A" w14:textId="71EE1481" w:rsidR="00924A04" w:rsidRDefault="00924A04" w:rsidP="0038388A">
            <w:pPr>
              <w:pStyle w:val="BodyText"/>
              <w:rPr>
                <w:szCs w:val="20"/>
              </w:rPr>
            </w:pPr>
            <w:r>
              <w:rPr>
                <w:szCs w:val="20"/>
              </w:rPr>
              <w:t>2</w:t>
            </w:r>
          </w:p>
        </w:tc>
        <w:tc>
          <w:tcPr>
            <w:tcW w:w="2618" w:type="dxa"/>
            <w:shd w:val="clear" w:color="auto" w:fill="auto"/>
          </w:tcPr>
          <w:p w14:paraId="563706D8" w14:textId="10035140" w:rsidR="00924A04" w:rsidRPr="0038388A" w:rsidRDefault="00924A04" w:rsidP="0038388A">
            <w:pPr>
              <w:pStyle w:val="BodyText"/>
              <w:rPr>
                <w:szCs w:val="20"/>
              </w:rPr>
            </w:pPr>
            <w:r>
              <w:rPr>
                <w:szCs w:val="20"/>
              </w:rPr>
              <w:t>PROJECT TEAM AND MANAGEMENT STRUCTURE</w:t>
            </w:r>
          </w:p>
        </w:tc>
        <w:tc>
          <w:tcPr>
            <w:tcW w:w="2618" w:type="dxa"/>
            <w:shd w:val="clear" w:color="auto" w:fill="auto"/>
          </w:tcPr>
          <w:p w14:paraId="180E5F0B" w14:textId="09806558" w:rsidR="00924A04" w:rsidRDefault="00924A04" w:rsidP="0038388A">
            <w:pPr>
              <w:pStyle w:val="BodyText"/>
              <w:rPr>
                <w:rFonts w:cs="Arial"/>
                <w:szCs w:val="20"/>
              </w:rPr>
            </w:pPr>
            <w:r>
              <w:rPr>
                <w:rFonts w:cs="Arial"/>
                <w:szCs w:val="20"/>
              </w:rPr>
              <w:t>20%</w:t>
            </w:r>
          </w:p>
        </w:tc>
      </w:tr>
      <w:tr w:rsidR="0038388A" w:rsidRPr="0038388A" w14:paraId="0A9581F0" w14:textId="77777777" w:rsidTr="00B51BFD">
        <w:tc>
          <w:tcPr>
            <w:tcW w:w="1914" w:type="dxa"/>
            <w:shd w:val="clear" w:color="auto" w:fill="auto"/>
          </w:tcPr>
          <w:p w14:paraId="5419578E" w14:textId="28454314" w:rsidR="0038388A" w:rsidRPr="0038388A" w:rsidRDefault="00924A04" w:rsidP="0038388A">
            <w:pPr>
              <w:pStyle w:val="BodyText"/>
              <w:rPr>
                <w:szCs w:val="20"/>
              </w:rPr>
            </w:pPr>
            <w:r>
              <w:rPr>
                <w:szCs w:val="20"/>
              </w:rPr>
              <w:t>3</w:t>
            </w:r>
          </w:p>
        </w:tc>
        <w:tc>
          <w:tcPr>
            <w:tcW w:w="2618" w:type="dxa"/>
            <w:shd w:val="clear" w:color="auto" w:fill="auto"/>
          </w:tcPr>
          <w:p w14:paraId="6B40D214" w14:textId="5F1DEA37" w:rsidR="0038388A" w:rsidRPr="0038388A" w:rsidRDefault="0038388A" w:rsidP="0038388A">
            <w:pPr>
              <w:pStyle w:val="BodyText"/>
              <w:rPr>
                <w:szCs w:val="20"/>
              </w:rPr>
            </w:pPr>
            <w:r w:rsidRPr="0038388A">
              <w:rPr>
                <w:szCs w:val="20"/>
              </w:rPr>
              <w:t xml:space="preserve">METHOD, ABILITY AND TECHNICAL CAPACITY </w:t>
            </w:r>
          </w:p>
        </w:tc>
        <w:tc>
          <w:tcPr>
            <w:tcW w:w="2618" w:type="dxa"/>
            <w:shd w:val="clear" w:color="auto" w:fill="auto"/>
          </w:tcPr>
          <w:p w14:paraId="30C82DE5" w14:textId="4ED76A57" w:rsidR="0038388A" w:rsidRPr="0038388A" w:rsidRDefault="00EA3754" w:rsidP="0038388A">
            <w:pPr>
              <w:pStyle w:val="BodyText"/>
              <w:rPr>
                <w:szCs w:val="20"/>
              </w:rPr>
            </w:pPr>
            <w:r>
              <w:rPr>
                <w:rFonts w:cs="Arial"/>
                <w:szCs w:val="20"/>
              </w:rPr>
              <w:t>4</w:t>
            </w:r>
            <w:r w:rsidR="005419F2">
              <w:rPr>
                <w:rFonts w:cs="Arial"/>
                <w:szCs w:val="20"/>
              </w:rPr>
              <w:t>0</w:t>
            </w:r>
            <w:r w:rsidR="0038388A" w:rsidRPr="0038388A">
              <w:rPr>
                <w:rFonts w:cs="Arial"/>
                <w:szCs w:val="20"/>
              </w:rPr>
              <w:t>%</w:t>
            </w:r>
          </w:p>
        </w:tc>
      </w:tr>
      <w:tr w:rsidR="00924A04" w:rsidRPr="0038388A" w14:paraId="57C42862" w14:textId="77777777" w:rsidTr="00B51BFD">
        <w:tc>
          <w:tcPr>
            <w:tcW w:w="1914" w:type="dxa"/>
            <w:shd w:val="clear" w:color="auto" w:fill="auto"/>
          </w:tcPr>
          <w:p w14:paraId="4D3A93B1" w14:textId="705F7C01" w:rsidR="00924A04" w:rsidRDefault="00924A04" w:rsidP="00924A04">
            <w:pPr>
              <w:pStyle w:val="BodyText"/>
              <w:rPr>
                <w:szCs w:val="20"/>
              </w:rPr>
            </w:pPr>
            <w:r>
              <w:rPr>
                <w:szCs w:val="20"/>
              </w:rPr>
              <w:t>3</w:t>
            </w:r>
          </w:p>
        </w:tc>
        <w:tc>
          <w:tcPr>
            <w:tcW w:w="2618" w:type="dxa"/>
            <w:shd w:val="clear" w:color="auto" w:fill="auto"/>
          </w:tcPr>
          <w:p w14:paraId="5B40BEBF" w14:textId="52D8F7F8" w:rsidR="00924A04" w:rsidRDefault="00924A04" w:rsidP="00924A04">
            <w:pPr>
              <w:pStyle w:val="BodyText"/>
              <w:rPr>
                <w:szCs w:val="20"/>
              </w:rPr>
            </w:pPr>
            <w:r>
              <w:t>QUALITY ASSURING THE SERVICES YOU PROVIDE</w:t>
            </w:r>
          </w:p>
        </w:tc>
        <w:tc>
          <w:tcPr>
            <w:tcW w:w="2618" w:type="dxa"/>
            <w:shd w:val="clear" w:color="auto" w:fill="auto"/>
          </w:tcPr>
          <w:p w14:paraId="5DE2903C" w14:textId="68ADD8B5" w:rsidR="00924A04" w:rsidRDefault="00924A04" w:rsidP="00924A04">
            <w:pPr>
              <w:pStyle w:val="BodyText"/>
              <w:rPr>
                <w:rFonts w:cs="Arial"/>
                <w:szCs w:val="20"/>
              </w:rPr>
            </w:pPr>
            <w:r>
              <w:rPr>
                <w:rFonts w:cs="Arial"/>
                <w:szCs w:val="20"/>
              </w:rPr>
              <w:t>10%</w:t>
            </w:r>
          </w:p>
        </w:tc>
      </w:tr>
      <w:tr w:rsidR="00924A04" w:rsidRPr="0038388A" w14:paraId="77ECC2E5" w14:textId="77777777" w:rsidTr="00B51BFD">
        <w:tc>
          <w:tcPr>
            <w:tcW w:w="1914" w:type="dxa"/>
            <w:shd w:val="clear" w:color="auto" w:fill="auto"/>
          </w:tcPr>
          <w:p w14:paraId="24A67C34" w14:textId="20457419" w:rsidR="00924A04" w:rsidRPr="0038388A" w:rsidRDefault="00924A04" w:rsidP="00924A04">
            <w:pPr>
              <w:pStyle w:val="BodyText"/>
              <w:rPr>
                <w:szCs w:val="20"/>
              </w:rPr>
            </w:pPr>
            <w:r>
              <w:rPr>
                <w:szCs w:val="20"/>
              </w:rPr>
              <w:t>4</w:t>
            </w:r>
          </w:p>
        </w:tc>
        <w:tc>
          <w:tcPr>
            <w:tcW w:w="2618" w:type="dxa"/>
            <w:shd w:val="clear" w:color="auto" w:fill="auto"/>
          </w:tcPr>
          <w:p w14:paraId="21F78A38" w14:textId="0203D915" w:rsidR="00924A04" w:rsidRPr="0038388A" w:rsidRDefault="00924A04" w:rsidP="00924A04">
            <w:pPr>
              <w:pStyle w:val="BodyText"/>
              <w:rPr>
                <w:szCs w:val="20"/>
              </w:rPr>
            </w:pPr>
            <w:r>
              <w:rPr>
                <w:szCs w:val="20"/>
              </w:rPr>
              <w:t>MANAGING RELATIONSHIP WITH CCC</w:t>
            </w:r>
          </w:p>
        </w:tc>
        <w:tc>
          <w:tcPr>
            <w:tcW w:w="2618" w:type="dxa"/>
            <w:shd w:val="clear" w:color="auto" w:fill="auto"/>
          </w:tcPr>
          <w:p w14:paraId="307E4A15" w14:textId="0E4004C3" w:rsidR="00924A04" w:rsidRPr="0038388A" w:rsidRDefault="00924A04" w:rsidP="00924A04">
            <w:pPr>
              <w:pStyle w:val="BodyText"/>
              <w:rPr>
                <w:szCs w:val="20"/>
              </w:rPr>
            </w:pPr>
            <w:r>
              <w:rPr>
                <w:rFonts w:cs="Arial"/>
                <w:szCs w:val="20"/>
              </w:rPr>
              <w:t>5</w:t>
            </w:r>
            <w:r w:rsidRPr="0038388A">
              <w:rPr>
                <w:rFonts w:cs="Arial"/>
                <w:szCs w:val="20"/>
              </w:rPr>
              <w:t>%</w:t>
            </w:r>
          </w:p>
        </w:tc>
      </w:tr>
      <w:tr w:rsidR="00924A04" w:rsidRPr="0038388A" w14:paraId="4EA53EE6" w14:textId="77777777" w:rsidTr="00B51BFD">
        <w:tc>
          <w:tcPr>
            <w:tcW w:w="1914" w:type="dxa"/>
          </w:tcPr>
          <w:p w14:paraId="50FDBF08" w14:textId="0B8F8DFA" w:rsidR="00924A04" w:rsidRPr="0038388A" w:rsidRDefault="00924A04" w:rsidP="00924A04">
            <w:pPr>
              <w:pStyle w:val="BodyText"/>
              <w:rPr>
                <w:szCs w:val="20"/>
              </w:rPr>
            </w:pPr>
            <w:r>
              <w:rPr>
                <w:szCs w:val="20"/>
              </w:rPr>
              <w:t>5</w:t>
            </w:r>
          </w:p>
        </w:tc>
        <w:tc>
          <w:tcPr>
            <w:tcW w:w="2618" w:type="dxa"/>
          </w:tcPr>
          <w:p w14:paraId="319668DA" w14:textId="53C4B2B4" w:rsidR="00924A04" w:rsidRPr="0038388A" w:rsidRDefault="00924A04" w:rsidP="00924A04">
            <w:pPr>
              <w:pStyle w:val="BodyText"/>
              <w:rPr>
                <w:szCs w:val="20"/>
              </w:rPr>
            </w:pPr>
            <w:r w:rsidRPr="0038388A">
              <w:t>RISK AND CHALLENGES</w:t>
            </w:r>
            <w:r>
              <w:t xml:space="preserve"> </w:t>
            </w:r>
          </w:p>
        </w:tc>
        <w:tc>
          <w:tcPr>
            <w:tcW w:w="2618" w:type="dxa"/>
            <w:shd w:val="clear" w:color="auto" w:fill="auto"/>
          </w:tcPr>
          <w:p w14:paraId="72414FF4" w14:textId="173D34EF" w:rsidR="00924A04" w:rsidRPr="0038388A" w:rsidRDefault="00924A04" w:rsidP="00924A04">
            <w:pPr>
              <w:pStyle w:val="BodyText"/>
              <w:rPr>
                <w:szCs w:val="20"/>
              </w:rPr>
            </w:pPr>
            <w:r>
              <w:rPr>
                <w:rFonts w:cs="Arial"/>
                <w:szCs w:val="20"/>
              </w:rPr>
              <w:t>5</w:t>
            </w:r>
            <w:r w:rsidRPr="0038388A">
              <w:rPr>
                <w:rFonts w:cs="Arial"/>
                <w:szCs w:val="20"/>
              </w:rPr>
              <w:t>%</w:t>
            </w:r>
          </w:p>
        </w:tc>
      </w:tr>
      <w:tr w:rsidR="00924A04" w:rsidRPr="0038388A" w14:paraId="486163E4" w14:textId="77777777" w:rsidTr="00B51BFD">
        <w:tc>
          <w:tcPr>
            <w:tcW w:w="1914" w:type="dxa"/>
          </w:tcPr>
          <w:p w14:paraId="346ACFC1" w14:textId="77777777" w:rsidR="00924A04" w:rsidRPr="0038388A" w:rsidRDefault="00924A04" w:rsidP="00924A04">
            <w:pPr>
              <w:pStyle w:val="BodyText"/>
              <w:rPr>
                <w:szCs w:val="20"/>
              </w:rPr>
            </w:pPr>
          </w:p>
        </w:tc>
        <w:tc>
          <w:tcPr>
            <w:tcW w:w="2618" w:type="dxa"/>
          </w:tcPr>
          <w:p w14:paraId="00B0DC8F" w14:textId="77777777" w:rsidR="00924A04" w:rsidRPr="0038388A" w:rsidRDefault="00924A04" w:rsidP="00924A04">
            <w:pPr>
              <w:pStyle w:val="BodyText"/>
              <w:rPr>
                <w:szCs w:val="20"/>
              </w:rPr>
            </w:pPr>
          </w:p>
        </w:tc>
        <w:tc>
          <w:tcPr>
            <w:tcW w:w="2618" w:type="dxa"/>
            <w:shd w:val="clear" w:color="auto" w:fill="auto"/>
          </w:tcPr>
          <w:p w14:paraId="1C0A0B54" w14:textId="77777777" w:rsidR="00924A04" w:rsidRPr="0038388A" w:rsidRDefault="00924A04" w:rsidP="00924A04">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942152B"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r w:rsidR="00394079">
        <w:rPr>
          <w:rFonts w:asciiTheme="minorHAnsi" w:hAnsiTheme="minorHAnsi" w:cs="Arial"/>
          <w:sz w:val="20"/>
          <w:szCs w:val="20"/>
        </w:rPr>
        <w:t xml:space="preserve"> </w:t>
      </w:r>
    </w:p>
    <w:p w14:paraId="046D5DC9" w14:textId="77777777" w:rsidR="004711FD" w:rsidRPr="004711FD" w:rsidRDefault="004711FD" w:rsidP="004711FD">
      <w:pPr>
        <w:ind w:left="720"/>
        <w:jc w:val="both"/>
        <w:rPr>
          <w:rFonts w:eastAsia="Calibri" w:cs="Arial"/>
          <w:b/>
          <w:color w:val="FF0000"/>
          <w:sz w:val="20"/>
          <w:szCs w:val="20"/>
        </w:rPr>
      </w:pPr>
      <w:bookmarkStart w:id="44"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4"/>
    <w:p w14:paraId="72B3902E" w14:textId="77777777" w:rsidR="004711FD" w:rsidRPr="004711FD" w:rsidRDefault="004711FD" w:rsidP="00440839">
      <w:pPr>
        <w:pStyle w:val="Paragraph"/>
      </w:pPr>
      <w:r w:rsidRPr="004711FD">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0738FC75" w:rsid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39B7DF" w14:textId="314FB5A9" w:rsidR="00EA3754" w:rsidRDefault="00EA3754" w:rsidP="004711FD">
      <w:pPr>
        <w:ind w:left="720"/>
        <w:rPr>
          <w:rFonts w:cs="Arial"/>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27665FA2" w14:textId="70B2FC5F" w:rsidR="00394079" w:rsidRPr="004711FD" w:rsidRDefault="00394079" w:rsidP="00394079">
      <w:pPr>
        <w:pStyle w:val="NoSpacing"/>
        <w:spacing w:line="276" w:lineRule="auto"/>
        <w:ind w:left="720"/>
        <w:jc w:val="both"/>
        <w:rPr>
          <w:rFonts w:asciiTheme="minorHAnsi" w:hAnsiTheme="minorHAnsi" w:cs="Arial"/>
          <w:sz w:val="20"/>
          <w:szCs w:val="20"/>
        </w:rPr>
      </w:pPr>
      <w:bookmarkStart w:id="45" w:name="_Hlk94081456"/>
      <w:r w:rsidRPr="00250922">
        <w:rPr>
          <w:rFonts w:asciiTheme="minorHAnsi" w:hAnsiTheme="minorHAnsi" w:cs="Arial"/>
          <w:b/>
          <w:bCs/>
          <w:sz w:val="20"/>
          <w:szCs w:val="20"/>
        </w:rPr>
        <w:t>We will apply this method to both the price for 30 responses and the price for 100 responses.</w:t>
      </w:r>
      <w:r>
        <w:rPr>
          <w:rFonts w:asciiTheme="minorHAnsi" w:hAnsiTheme="minorHAnsi" w:cs="Arial"/>
          <w:b/>
          <w:bCs/>
          <w:sz w:val="20"/>
          <w:szCs w:val="20"/>
        </w:rPr>
        <w:t xml:space="preserve"> Each will be given a weight of 10, so the maximum total score possible for pricing will be 20.</w:t>
      </w:r>
    </w:p>
    <w:bookmarkEnd w:id="45"/>
    <w:p w14:paraId="7CDDBF0E" w14:textId="7732FCCB"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660F4251"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w:t>
      </w:r>
      <w:bookmarkStart w:id="46" w:name="_Hlk94081501"/>
      <w:r w:rsidRPr="002D3396">
        <w:rPr>
          <w:rFonts w:asciiTheme="minorHAnsi" w:hAnsiTheme="minorHAnsi" w:cs="Arial"/>
          <w:sz w:val="20"/>
          <w:szCs w:val="20"/>
        </w:rPr>
        <w:t xml:space="preserve">on </w:t>
      </w:r>
      <w:r w:rsidR="007926EE">
        <w:rPr>
          <w:rFonts w:asciiTheme="minorHAnsi" w:hAnsiTheme="minorHAnsi" w:cs="Arial"/>
          <w:sz w:val="20"/>
          <w:szCs w:val="20"/>
        </w:rPr>
        <w:t>25</w:t>
      </w:r>
      <w:r w:rsidR="00394079">
        <w:rPr>
          <w:rFonts w:asciiTheme="minorHAnsi" w:hAnsiTheme="minorHAnsi" w:cs="Arial"/>
          <w:sz w:val="20"/>
          <w:szCs w:val="20"/>
        </w:rPr>
        <w:t xml:space="preserve"> February</w:t>
      </w:r>
      <w:bookmarkEnd w:id="46"/>
      <w:r w:rsidRPr="002D3396">
        <w:rPr>
          <w:rFonts w:asciiTheme="minorHAnsi" w:hAnsiTheme="minorHAnsi" w:cs="Arial"/>
          <w:sz w:val="20"/>
          <w:szCs w:val="20"/>
        </w:rPr>
        <w:t>. If this da</w:t>
      </w:r>
      <w:r w:rsidRPr="004711FD">
        <w:rPr>
          <w:rFonts w:asciiTheme="minorHAnsi" w:hAnsiTheme="minorHAnsi" w:cs="Arial"/>
          <w:sz w:val="20"/>
          <w:szCs w:val="20"/>
        </w:rPr>
        <w:t xml:space="preserve">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1"/>
      <w:headerReference w:type="first" r:id="rId12"/>
      <w:footerReference w:type="first" r:id="rId13"/>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CC71DA" w:rsidRDefault="00CC71DA" w:rsidP="004E6806">
      <w:r>
        <w:separator/>
      </w:r>
    </w:p>
  </w:endnote>
  <w:endnote w:type="continuationSeparator" w:id="0">
    <w:p w14:paraId="4E13A242" w14:textId="77777777" w:rsidR="00CC71DA" w:rsidRDefault="00CC71D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CC71DA" w:rsidRDefault="00CC71DA"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CC71DA" w:rsidRDefault="00CC71DA" w:rsidP="004E6806">
      <w:r>
        <w:separator/>
      </w:r>
    </w:p>
  </w:footnote>
  <w:footnote w:type="continuationSeparator" w:id="0">
    <w:p w14:paraId="29E6EC50" w14:textId="77777777" w:rsidR="00CC71DA" w:rsidRDefault="00CC71DA" w:rsidP="004E6806">
      <w:r>
        <w:continuationSeparator/>
      </w:r>
    </w:p>
  </w:footnote>
  <w:footnote w:id="1">
    <w:p w14:paraId="137E885E" w14:textId="109260F2" w:rsidR="00CC71DA" w:rsidRDefault="00CC71DA" w:rsidP="00B51BFD">
      <w:pPr>
        <w:pStyle w:val="FootnoteText"/>
      </w:pPr>
      <w:r>
        <w:rPr>
          <w:rStyle w:val="FootnoteReference"/>
        </w:rPr>
        <w:footnoteRef/>
      </w:r>
      <w:r>
        <w:t xml:space="preserve"> </w:t>
      </w:r>
      <w:hyperlink r:id="rId1" w:history="1">
        <w:r>
          <w:rPr>
            <w:rStyle w:val="Hyperlink"/>
          </w:rPr>
          <w:t>Quality Assurance (QA) of Evidence and Analysis (theccc.org.uk)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CC71DA" w:rsidRPr="00DA2FBB" w:rsidRDefault="00CC71DA"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CC71DA" w:rsidRPr="00DA2FBB" w:rsidRDefault="00CC71DA"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77313E"/>
    <w:multiLevelType w:val="hybridMultilevel"/>
    <w:tmpl w:val="19BCA72A"/>
    <w:lvl w:ilvl="0" w:tplc="92F4062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3FF13356"/>
    <w:multiLevelType w:val="hybridMultilevel"/>
    <w:tmpl w:val="15F22B80"/>
    <w:lvl w:ilvl="0" w:tplc="19F662C0">
      <w:start w:val="1"/>
      <w:numFmt w:val="lowerLetter"/>
      <w:lvlText w:val="%1."/>
      <w:lvlJc w:val="left"/>
      <w:pPr>
        <w:ind w:left="1080" w:hanging="360"/>
      </w:pPr>
      <w:rPr>
        <w:rFonts w:ascii="Century Gothic" w:eastAsiaTheme="minorHAnsi" w:hAnsi="Century Gothic"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E67E11"/>
    <w:multiLevelType w:val="hybridMultilevel"/>
    <w:tmpl w:val="794A8B80"/>
    <w:lvl w:ilvl="0" w:tplc="431ACDD8">
      <w:start w:val="1"/>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295205"/>
    <w:multiLevelType w:val="hybridMultilevel"/>
    <w:tmpl w:val="C108EF1A"/>
    <w:lvl w:ilvl="0" w:tplc="FE4C42D6">
      <w:numFmt w:val="bullet"/>
      <w:lvlText w:val="-"/>
      <w:lvlJc w:val="left"/>
      <w:pPr>
        <w:ind w:left="36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F2FF7"/>
    <w:multiLevelType w:val="hybridMultilevel"/>
    <w:tmpl w:val="7D42E7B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AC50F298">
      <w:start w:val="1"/>
      <w:numFmt w:val="lowerLetter"/>
      <w:lvlText w:val="%3."/>
      <w:lvlJc w:val="left"/>
      <w:pPr>
        <w:ind w:left="2160" w:hanging="180"/>
      </w:pPr>
      <w:rPr>
        <w:rFonts w:ascii="Century Gothic" w:eastAsiaTheme="minorHAnsi" w:hAnsi="Century Gothic" w:cstheme="minorBidi"/>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62F69"/>
    <w:multiLevelType w:val="hybridMultilevel"/>
    <w:tmpl w:val="5F800DF0"/>
    <w:lvl w:ilvl="0" w:tplc="9A8C92FC">
      <w:start w:val="1"/>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BD0770"/>
    <w:multiLevelType w:val="hybridMultilevel"/>
    <w:tmpl w:val="8E525E2E"/>
    <w:lvl w:ilvl="0" w:tplc="D728BDFC">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544B1"/>
    <w:multiLevelType w:val="hybridMultilevel"/>
    <w:tmpl w:val="C32CE28A"/>
    <w:lvl w:ilvl="0" w:tplc="D7D6C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5A46095"/>
    <w:multiLevelType w:val="hybridMultilevel"/>
    <w:tmpl w:val="5D48E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9"/>
  </w:num>
  <w:num w:numId="5">
    <w:abstractNumId w:val="7"/>
  </w:num>
  <w:num w:numId="6">
    <w:abstractNumId w:val="10"/>
  </w:num>
  <w:num w:numId="7">
    <w:abstractNumId w:val="5"/>
  </w:num>
  <w:num w:numId="8">
    <w:abstractNumId w:val="4"/>
  </w:num>
  <w:num w:numId="9">
    <w:abstractNumId w:val="11"/>
  </w:num>
  <w:num w:numId="10">
    <w:abstractNumId w:val="1"/>
  </w:num>
  <w:num w:numId="11">
    <w:abstractNumId w:val="12"/>
  </w:num>
  <w:num w:numId="12">
    <w:abstractNumId w:val="2"/>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C2F8E"/>
    <w:rsid w:val="002211BD"/>
    <w:rsid w:val="00231592"/>
    <w:rsid w:val="002409E8"/>
    <w:rsid w:val="002C7CA7"/>
    <w:rsid w:val="002D3396"/>
    <w:rsid w:val="002F41A0"/>
    <w:rsid w:val="003658F6"/>
    <w:rsid w:val="003811B5"/>
    <w:rsid w:val="0038388A"/>
    <w:rsid w:val="00394079"/>
    <w:rsid w:val="003A05B7"/>
    <w:rsid w:val="003A0FF8"/>
    <w:rsid w:val="003C0907"/>
    <w:rsid w:val="003E50ED"/>
    <w:rsid w:val="003E6927"/>
    <w:rsid w:val="003F38EA"/>
    <w:rsid w:val="00407658"/>
    <w:rsid w:val="00440839"/>
    <w:rsid w:val="004564C1"/>
    <w:rsid w:val="004711FD"/>
    <w:rsid w:val="004779CB"/>
    <w:rsid w:val="00487898"/>
    <w:rsid w:val="004B2763"/>
    <w:rsid w:val="004B2868"/>
    <w:rsid w:val="004C7CD3"/>
    <w:rsid w:val="004D4053"/>
    <w:rsid w:val="004D5310"/>
    <w:rsid w:val="004E6806"/>
    <w:rsid w:val="00520FAC"/>
    <w:rsid w:val="00521506"/>
    <w:rsid w:val="005319E0"/>
    <w:rsid w:val="005419F2"/>
    <w:rsid w:val="00545283"/>
    <w:rsid w:val="005904D3"/>
    <w:rsid w:val="005A21F8"/>
    <w:rsid w:val="005C519D"/>
    <w:rsid w:val="005E4E42"/>
    <w:rsid w:val="00645A01"/>
    <w:rsid w:val="006A1EA9"/>
    <w:rsid w:val="006D0BB4"/>
    <w:rsid w:val="006D761F"/>
    <w:rsid w:val="006D763E"/>
    <w:rsid w:val="006F0AEC"/>
    <w:rsid w:val="007210EA"/>
    <w:rsid w:val="007926EE"/>
    <w:rsid w:val="007A1A80"/>
    <w:rsid w:val="007A718E"/>
    <w:rsid w:val="007F782E"/>
    <w:rsid w:val="0081609A"/>
    <w:rsid w:val="00817334"/>
    <w:rsid w:val="00822490"/>
    <w:rsid w:val="00823518"/>
    <w:rsid w:val="0083151A"/>
    <w:rsid w:val="00837462"/>
    <w:rsid w:val="00841B40"/>
    <w:rsid w:val="00857C19"/>
    <w:rsid w:val="008960A9"/>
    <w:rsid w:val="008A2514"/>
    <w:rsid w:val="008C19C5"/>
    <w:rsid w:val="00922E2E"/>
    <w:rsid w:val="00924A04"/>
    <w:rsid w:val="00987C55"/>
    <w:rsid w:val="00993473"/>
    <w:rsid w:val="00994C96"/>
    <w:rsid w:val="0099611F"/>
    <w:rsid w:val="009C4850"/>
    <w:rsid w:val="00A539D8"/>
    <w:rsid w:val="00A609F3"/>
    <w:rsid w:val="00A67B13"/>
    <w:rsid w:val="00A9730B"/>
    <w:rsid w:val="00B0546D"/>
    <w:rsid w:val="00B51BFD"/>
    <w:rsid w:val="00B64A84"/>
    <w:rsid w:val="00BB0FBF"/>
    <w:rsid w:val="00BE5524"/>
    <w:rsid w:val="00C61DB5"/>
    <w:rsid w:val="00C73D42"/>
    <w:rsid w:val="00CC71DA"/>
    <w:rsid w:val="00D2323E"/>
    <w:rsid w:val="00D259BB"/>
    <w:rsid w:val="00D453C3"/>
    <w:rsid w:val="00D47285"/>
    <w:rsid w:val="00D9491C"/>
    <w:rsid w:val="00DA1A9C"/>
    <w:rsid w:val="00DA2FBB"/>
    <w:rsid w:val="00DB5892"/>
    <w:rsid w:val="00DD4A1D"/>
    <w:rsid w:val="00EA3754"/>
    <w:rsid w:val="00F24772"/>
    <w:rsid w:val="00F70157"/>
    <w:rsid w:val="00F91AFF"/>
    <w:rsid w:val="00F9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440839"/>
    <w:pPr>
      <w:ind w:left="720"/>
      <w:jc w:val="both"/>
    </w:pPr>
    <w:rPr>
      <w:rFonts w:asciiTheme="minorHAnsi" w:eastAsia="MS Mincho" w:hAnsiTheme="minorHAnsi" w:cs="Arial"/>
      <w:b/>
      <w:bCs/>
      <w:sz w:val="20"/>
      <w:szCs w:val="20"/>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Footnote">
    <w:name w:val="Footnote"/>
    <w:basedOn w:val="Normal"/>
    <w:link w:val="FootnoteChar"/>
    <w:qFormat/>
    <w:rsid w:val="003E6927"/>
    <w:pPr>
      <w:spacing w:after="120"/>
      <w:ind w:left="284" w:hanging="284"/>
    </w:pPr>
    <w:rPr>
      <w:rFonts w:ascii="Myriad Pro" w:eastAsia="Times New Roman" w:hAnsi="Myriad Pro" w:cs="Times New Roman"/>
      <w:sz w:val="20"/>
      <w:szCs w:val="24"/>
    </w:rPr>
  </w:style>
  <w:style w:type="character" w:customStyle="1" w:styleId="FootnoteChar">
    <w:name w:val="Footnote Char"/>
    <w:link w:val="Footnote"/>
    <w:rsid w:val="003E6927"/>
    <w:rPr>
      <w:rFonts w:ascii="Myriad Pro" w:eastAsia="Times New Roman" w:hAnsi="Myriad Pro" w:cs="Times New Roman"/>
      <w:sz w:val="20"/>
      <w:szCs w:val="24"/>
    </w:rPr>
  </w:style>
  <w:style w:type="character" w:styleId="Hyperlink">
    <w:name w:val="Hyperlink"/>
    <w:uiPriority w:val="99"/>
    <w:unhideWhenUsed/>
    <w:rsid w:val="003E6927"/>
    <w:rPr>
      <w:color w:val="0563C1"/>
      <w:u w:val="single"/>
    </w:rPr>
  </w:style>
  <w:style w:type="character" w:styleId="FootnoteReference">
    <w:name w:val="footnote reference"/>
    <w:uiPriority w:val="99"/>
    <w:semiHidden/>
    <w:unhideWhenUsed/>
    <w:rsid w:val="003E6927"/>
    <w:rPr>
      <w:vertAlign w:val="superscript"/>
    </w:rPr>
  </w:style>
  <w:style w:type="character" w:styleId="CommentReference">
    <w:name w:val="annotation reference"/>
    <w:basedOn w:val="DefaultParagraphFont"/>
    <w:uiPriority w:val="99"/>
    <w:semiHidden/>
    <w:unhideWhenUsed/>
    <w:rsid w:val="004B2868"/>
    <w:rPr>
      <w:sz w:val="16"/>
      <w:szCs w:val="16"/>
    </w:rPr>
  </w:style>
  <w:style w:type="paragraph" w:styleId="CommentText">
    <w:name w:val="annotation text"/>
    <w:basedOn w:val="Normal"/>
    <w:link w:val="CommentTextChar"/>
    <w:uiPriority w:val="99"/>
    <w:semiHidden/>
    <w:unhideWhenUsed/>
    <w:rsid w:val="004B2868"/>
    <w:rPr>
      <w:sz w:val="20"/>
      <w:szCs w:val="20"/>
    </w:rPr>
  </w:style>
  <w:style w:type="character" w:customStyle="1" w:styleId="CommentTextChar">
    <w:name w:val="Comment Text Char"/>
    <w:basedOn w:val="DefaultParagraphFont"/>
    <w:link w:val="CommentText"/>
    <w:uiPriority w:val="99"/>
    <w:semiHidden/>
    <w:rsid w:val="004B2868"/>
    <w:rPr>
      <w:sz w:val="20"/>
      <w:szCs w:val="20"/>
    </w:rPr>
  </w:style>
  <w:style w:type="paragraph" w:styleId="CommentSubject">
    <w:name w:val="annotation subject"/>
    <w:basedOn w:val="CommentText"/>
    <w:next w:val="CommentText"/>
    <w:link w:val="CommentSubjectChar"/>
    <w:uiPriority w:val="99"/>
    <w:semiHidden/>
    <w:unhideWhenUsed/>
    <w:rsid w:val="004B2868"/>
    <w:rPr>
      <w:b/>
      <w:bCs/>
    </w:rPr>
  </w:style>
  <w:style w:type="character" w:customStyle="1" w:styleId="CommentSubjectChar">
    <w:name w:val="Comment Subject Char"/>
    <w:basedOn w:val="CommentTextChar"/>
    <w:link w:val="CommentSubject"/>
    <w:uiPriority w:val="99"/>
    <w:semiHidden/>
    <w:rsid w:val="004B2868"/>
    <w:rPr>
      <w:b/>
      <w:bCs/>
      <w:sz w:val="20"/>
      <w:szCs w:val="20"/>
    </w:rPr>
  </w:style>
  <w:style w:type="character" w:styleId="FollowedHyperlink">
    <w:name w:val="FollowedHyperlink"/>
    <w:basedOn w:val="DefaultParagraphFont"/>
    <w:uiPriority w:val="99"/>
    <w:semiHidden/>
    <w:unhideWhenUsed/>
    <w:rsid w:val="005A21F8"/>
    <w:rPr>
      <w:color w:val="000000" w:themeColor="followedHyperlink"/>
      <w:u w:val="single"/>
    </w:rPr>
  </w:style>
  <w:style w:type="character" w:styleId="UnresolvedMention">
    <w:name w:val="Unresolved Mention"/>
    <w:basedOn w:val="DefaultParagraphFont"/>
    <w:uiPriority w:val="99"/>
    <w:semiHidden/>
    <w:unhideWhenUsed/>
    <w:rsid w:val="002D3396"/>
    <w:rPr>
      <w:color w:val="605E5C"/>
      <w:shd w:val="clear" w:color="auto" w:fill="E1DFDD"/>
    </w:rPr>
  </w:style>
  <w:style w:type="paragraph" w:customStyle="1" w:styleId="Norma1">
    <w:name w:val="Norma1"/>
    <w:qFormat/>
    <w:rsid w:val="00C61DB5"/>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the-role-of-business-in-delivering-the-uks-net-zero-ambi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ccc.org.uk/carbon-offsets-call-for-evidence/" TargetMode="External"/><Relationship Id="rId4" Type="http://schemas.openxmlformats.org/officeDocument/2006/relationships/settings" Target="settings.xml"/><Relationship Id="rId9" Type="http://schemas.openxmlformats.org/officeDocument/2006/relationships/hyperlink" Target="http://www.theccc.org.uk/repor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4782-6DB8-48E3-BD6F-C4109AC8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2022-02-07T12:32:00Z</dcterms:created>
  <dcterms:modified xsi:type="dcterms:W3CDTF">2022-02-07T12:32:00Z</dcterms:modified>
</cp:coreProperties>
</file>