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left="143" w:right="1636" w:firstLine="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Framework Schedule 6 (Order Form, Statement of Work and Call-Off Schedules)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1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Order Form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41"/>
        <w:rPr>
          <w:color w:val="000000"/>
        </w:rPr>
      </w:pPr>
      <w:r>
        <w:rPr>
          <w:color w:val="000000"/>
        </w:rPr>
        <w:t xml:space="preserve">Call-Off Reference: CCIT23A47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1"/>
        <w:rPr>
          <w:color w:val="000000"/>
        </w:rPr>
      </w:pPr>
      <w:r>
        <w:rPr>
          <w:color w:val="000000"/>
        </w:rPr>
        <w:t xml:space="preserve">Call-Off Title: Provision of Content Improvement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2" w:lineRule="auto"/>
        <w:ind w:left="135" w:right="965" w:firstLine="5"/>
        <w:rPr>
          <w:color w:val="000000"/>
        </w:rPr>
      </w:pPr>
      <w:r>
        <w:rPr>
          <w:color w:val="000000"/>
        </w:rPr>
        <w:t xml:space="preserve">Call-Off Contract Description: The Buyer has a requirement for a supplier to provide the design of a robust user research programme, to be completed in under 3 weeks, that will give a clear understanding of how stakeholders are engaging with the CCS buyer </w:t>
      </w:r>
      <w:r>
        <w:rPr>
          <w:color w:val="000000"/>
        </w:rPr>
        <w:t xml:space="preserve">guides. The supplier will also provide: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29" w:lineRule="auto"/>
        <w:ind w:left="856" w:right="1272" w:hanging="347"/>
        <w:rPr>
          <w:color w:val="000000"/>
        </w:rPr>
      </w:pPr>
      <w:r>
        <w:rPr>
          <w:color w:val="000000"/>
        </w:rPr>
        <w:t xml:space="preserve">● Development of materials to enable the research, such as interview structures, surveys and card sorting exercises.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29" w:lineRule="auto"/>
        <w:ind w:left="864" w:right="1076" w:hanging="355"/>
        <w:rPr>
          <w:color w:val="000000"/>
        </w:rPr>
      </w:pPr>
      <w:r>
        <w:rPr>
          <w:color w:val="000000"/>
        </w:rPr>
        <w:t>● A robust documentation of the raw findings from the research and the creation of materials to s</w:t>
      </w:r>
      <w:r>
        <w:rPr>
          <w:color w:val="000000"/>
        </w:rPr>
        <w:t xml:space="preserve">ynthesise these findings for CCS stakeholders.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29" w:lineRule="auto"/>
        <w:ind w:left="857" w:right="644" w:hanging="348"/>
        <w:rPr>
          <w:color w:val="000000"/>
        </w:rPr>
      </w:pPr>
      <w:r>
        <w:rPr>
          <w:color w:val="000000"/>
        </w:rPr>
        <w:t xml:space="preserve">● The ability to apply user-centred design principles to, where necessary, make agreed and evidence-based iterations to the buyer guide templates and associated training materials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135"/>
        <w:rPr>
          <w:color w:val="000000"/>
        </w:rPr>
      </w:pPr>
      <w:r>
        <w:rPr>
          <w:color w:val="000000"/>
        </w:rPr>
        <w:t xml:space="preserve">The Buyer: Crown Commercial Service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Buyer Address: The Capital, Old Hall Street Liverpool, L3 9PP </w:t>
      </w:r>
    </w:p>
    <w:p w:rsidR="00CF27F6" w:rsidRPr="00BA7807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>
        <w:rPr>
          <w:color w:val="000000"/>
        </w:rPr>
        <w:t xml:space="preserve">The Supplier: </w:t>
      </w:r>
      <w:r w:rsidR="00BA7807" w:rsidRPr="00BA7807">
        <w:rPr>
          <w:color w:val="FF0000"/>
        </w:rPr>
        <w:t>Redacted under FOIA section 40, Personal Information</w:t>
      </w:r>
    </w:p>
    <w:p w:rsidR="00BA7807" w:rsidRPr="00BA7807" w:rsidRDefault="002E465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>
        <w:rPr>
          <w:color w:val="000000"/>
        </w:rPr>
        <w:t xml:space="preserve">Supplier Address: </w:t>
      </w:r>
      <w:r w:rsidR="00BA7807"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338" w:lineRule="auto"/>
        <w:ind w:left="147" w:right="2122" w:hanging="7"/>
        <w:rPr>
          <w:color w:val="000000"/>
        </w:rPr>
      </w:pPr>
      <w:r>
        <w:rPr>
          <w:color w:val="000000"/>
        </w:rPr>
        <w:t xml:space="preserve">Registration Number: TBC at award stage </w:t>
      </w:r>
    </w:p>
    <w:p w:rsidR="00CF27F6" w:rsidRPr="00BA7807" w:rsidRDefault="002E465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>
        <w:rPr>
          <w:color w:val="000000"/>
        </w:rPr>
        <w:t xml:space="preserve">DUNS Number: </w:t>
      </w:r>
      <w:r w:rsidR="00BA7807"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9"/>
        <w:rPr>
          <w:color w:val="000000"/>
        </w:rPr>
      </w:pPr>
      <w:r>
        <w:rPr>
          <w:color w:val="000000"/>
        </w:rPr>
        <w:t xml:space="preserve">SID4GOV ID: TBC at award stage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03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Model Version: </w:t>
      </w:r>
      <w:r>
        <w:rPr>
          <w:color w:val="000000"/>
        </w:rPr>
        <w:t>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lastRenderedPageBreak/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30"/>
        <w:rPr>
          <w:b/>
          <w:color w:val="000000"/>
        </w:rPr>
      </w:pPr>
      <w:r>
        <w:rPr>
          <w:b/>
          <w:color w:val="000000"/>
        </w:rPr>
        <w:t xml:space="preserve">Applicable Framework Contract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5" w:right="958"/>
        <w:rPr>
          <w:b/>
          <w:color w:val="000000"/>
        </w:rPr>
      </w:pPr>
      <w:r>
        <w:rPr>
          <w:color w:val="000000"/>
        </w:rPr>
        <w:t xml:space="preserve">This Order Form is for the provision of the Call-Off Deliverables and dated </w:t>
      </w:r>
      <w:r>
        <w:rPr>
          <w:b/>
          <w:color w:val="000000"/>
        </w:rPr>
        <w:t xml:space="preserve">TBC at award stage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" w:right="1218" w:firstLine="5"/>
        <w:rPr>
          <w:color w:val="000000"/>
        </w:rPr>
      </w:pPr>
      <w:r>
        <w:rPr>
          <w:color w:val="000000"/>
        </w:rPr>
        <w:t xml:space="preserve">It’s issued under the Framework Contract with the reference number RM1043.8 for the provision of Digital Outcomes Deliverables.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30" w:right="823" w:firstLine="4"/>
        <w:jc w:val="both"/>
        <w:rPr>
          <w:color w:val="000000"/>
        </w:rPr>
      </w:pPr>
      <w:r>
        <w:rPr>
          <w:color w:val="000000"/>
        </w:rPr>
        <w:t xml:space="preserve">The Parties intend that this Call-Off Contract will not, except for the first Statement of Work which shall be executed at the same time that the Call-Off Contract is executed, oblige the Buyer to buy or the Supplier to supply Deliverables.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39" w:right="615" w:hanging="4"/>
        <w:rPr>
          <w:color w:val="000000"/>
        </w:rPr>
      </w:pPr>
      <w:r>
        <w:rPr>
          <w:color w:val="000000"/>
        </w:rPr>
        <w:t>The Parties ag</w:t>
      </w:r>
      <w:r>
        <w:rPr>
          <w:color w:val="000000"/>
        </w:rPr>
        <w:t>ree that when a Buyer seeks further Deliverables from the Supplier under the Call-Off Contract, the Buyer and Supplier will agree and execute a further Statement of Work (in the form of the template set out in Annex 1 to this Framework Schedule 6 (Order Fo</w:t>
      </w:r>
      <w:r>
        <w:rPr>
          <w:color w:val="000000"/>
        </w:rPr>
        <w:t xml:space="preserve">rm, Statement of Work and Call-Off Schedules).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37" w:right="843" w:firstLine="9"/>
        <w:rPr>
          <w:color w:val="000000"/>
        </w:rPr>
      </w:pPr>
      <w:r>
        <w:rPr>
          <w:color w:val="000000"/>
        </w:rPr>
        <w:t xml:space="preserve">Upon the execution of each Statement of Work it shall become incorporated into the Buyer and Supplier’s Call-Off Contract.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Call-Off Lot RM1043.8 Digital Outcomes 6, Lot 1 Digital Outcomes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Call-Off Incorporated Terms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44" w:right="904" w:hanging="9"/>
        <w:jc w:val="both"/>
        <w:rPr>
          <w:color w:val="000000"/>
        </w:rPr>
      </w:pPr>
      <w:r>
        <w:rPr>
          <w:color w:val="000000"/>
        </w:rPr>
        <w:t xml:space="preserve">The following documents are incorporated into this Call-Off Contract. Where numbers are missing we are not using those schedules. If the documents conflict, the following order of precedence applies: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338" w:lineRule="auto"/>
        <w:ind w:left="136" w:right="882" w:firstLine="17"/>
        <w:rPr>
          <w:color w:val="000000"/>
        </w:rPr>
      </w:pPr>
      <w:r>
        <w:rPr>
          <w:color w:val="000000"/>
        </w:rPr>
        <w:t xml:space="preserve">1 This Order Form including the Call-Off Special Terms and Call-Off Special Schedules. 2 Joint Schedule 1 (Definitions)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39"/>
        <w:rPr>
          <w:color w:val="000000"/>
        </w:rPr>
      </w:pPr>
      <w:r>
        <w:rPr>
          <w:color w:val="000000"/>
        </w:rPr>
        <w:t xml:space="preserve">3 Framework Special Terms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2"/>
        <w:rPr>
          <w:color w:val="000000"/>
        </w:rPr>
      </w:pPr>
      <w:r>
        <w:rPr>
          <w:color w:val="000000"/>
        </w:rPr>
        <w:t xml:space="preserve">4 The following Schedules in equal order of precedence: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509"/>
        <w:rPr>
          <w:color w:val="000000"/>
        </w:rPr>
      </w:pPr>
      <w:r>
        <w:rPr>
          <w:color w:val="000000"/>
        </w:rPr>
        <w:t xml:space="preserve">● Joint Schedules for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Joint Schedule 2 (Variation Form)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Joint Schedule 3 (Insurance Requirements)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Joint Schedule 4 (Commercially Sensitive Information)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b/>
          <w:color w:val="000000"/>
        </w:rPr>
      </w:pPr>
      <w:r>
        <w:rPr>
          <w:color w:val="000000"/>
        </w:rPr>
        <w:t xml:space="preserve">o Joint Schedule 6 (Key Subcontractors) </w:t>
      </w:r>
      <w:r>
        <w:rPr>
          <w:b/>
          <w:color w:val="000000"/>
        </w:rPr>
        <w:t xml:space="preserve">[Optional]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Joint Schedule 10 (Rectification Plan)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>o Joint Schedule 11 (Pr</w:t>
      </w:r>
      <w:r>
        <w:rPr>
          <w:color w:val="000000"/>
        </w:rPr>
        <w:t xml:space="preserve">ocessing Data)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6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lastRenderedPageBreak/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509"/>
        <w:rPr>
          <w:color w:val="000000"/>
        </w:rPr>
      </w:pPr>
      <w:r>
        <w:rPr>
          <w:color w:val="000000"/>
        </w:rPr>
        <w:t xml:space="preserve">● Call-Off Schedules for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Call-Off Schedule 1 (Transparency Reports)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Call-Off Schedule 3 (Continuous Improvement)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Call-Off Schedule 5 (Pricing Details and Expenses Policy)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586" w:right="1085" w:hanging="369"/>
        <w:rPr>
          <w:color w:val="000000"/>
        </w:rPr>
      </w:pPr>
      <w:r>
        <w:rPr>
          <w:color w:val="000000"/>
        </w:rPr>
        <w:t xml:space="preserve">o Call-Off Schedule 6 (Intellectual Property Rights and Additional Terms on Digital Deliverables)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217"/>
        <w:rPr>
          <w:color w:val="000000"/>
        </w:rPr>
      </w:pPr>
      <w:r>
        <w:rPr>
          <w:color w:val="000000"/>
        </w:rPr>
        <w:t xml:space="preserve">o Call-Off Schedule 7 (Key Supplier Staff)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338" w:lineRule="auto"/>
        <w:ind w:left="1217" w:right="789"/>
        <w:rPr>
          <w:color w:val="000000"/>
        </w:rPr>
      </w:pPr>
      <w:r>
        <w:rPr>
          <w:color w:val="000000"/>
        </w:rPr>
        <w:t>o Call-Off Schedule 8 (Business Continuity and Disaster Recovery) [</w:t>
      </w:r>
      <w:r>
        <w:rPr>
          <w:b/>
          <w:color w:val="000000"/>
        </w:rPr>
        <w:t>Optional</w:t>
      </w:r>
      <w:r>
        <w:rPr>
          <w:color w:val="000000"/>
        </w:rPr>
        <w:t xml:space="preserve">] o Call-Off Schedule 9 (Security)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17"/>
        <w:rPr>
          <w:color w:val="000000"/>
        </w:rPr>
      </w:pPr>
      <w:r>
        <w:rPr>
          <w:color w:val="000000"/>
        </w:rPr>
        <w:t xml:space="preserve">o Call-Off Schedule 10 (Exit Management)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Call-Off Schedule 13 (Implementation Plan and Testing)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217"/>
        <w:rPr>
          <w:color w:val="000000"/>
        </w:rPr>
      </w:pPr>
      <w:r>
        <w:rPr>
          <w:color w:val="000000"/>
        </w:rPr>
        <w:t xml:space="preserve">o Call-Off Schedule 20 (Call-Off Specification)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9"/>
        <w:rPr>
          <w:color w:val="000000"/>
        </w:rPr>
      </w:pPr>
      <w:r>
        <w:rPr>
          <w:color w:val="000000"/>
        </w:rPr>
        <w:t xml:space="preserve">5 CCS Core Terms (version 3.0.11)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8"/>
        <w:rPr>
          <w:color w:val="000000"/>
        </w:rPr>
      </w:pPr>
      <w:r>
        <w:rPr>
          <w:color w:val="000000"/>
        </w:rPr>
        <w:t xml:space="preserve">6 Joint Schedule 5 (Corporate Social Responsibility)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572" w:right="1007" w:hanging="431"/>
        <w:rPr>
          <w:color w:val="000000"/>
        </w:rPr>
      </w:pPr>
      <w:r>
        <w:rPr>
          <w:color w:val="000000"/>
        </w:rPr>
        <w:t xml:space="preserve">7 Call-Off Schedule 4 (Call-Off Tender) as long as any parts of the Call-Off Tender that offer a better commercial position for the Buyer (as decided by the Buyer) take precedence over the documents above.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33" w:right="693" w:firstLine="12"/>
        <w:rPr>
          <w:color w:val="000000"/>
        </w:rPr>
      </w:pPr>
      <w:r>
        <w:rPr>
          <w:color w:val="000000"/>
        </w:rPr>
        <w:t xml:space="preserve">No other Supplier terms are part of the Call-Off </w:t>
      </w:r>
      <w:r>
        <w:rPr>
          <w:color w:val="000000"/>
        </w:rPr>
        <w:t xml:space="preserve">Contract. That includes any terms written on the back of, added to this Order Form, or presented at the time of delivery.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Call-Off Special Terms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338" w:lineRule="auto"/>
        <w:ind w:left="146" w:right="2656" w:hanging="11"/>
        <w:rPr>
          <w:color w:val="000000"/>
        </w:rPr>
      </w:pPr>
      <w:r>
        <w:rPr>
          <w:color w:val="000000"/>
        </w:rPr>
        <w:t xml:space="preserve">The following Special Terms are incorporated into this Call-Off Contract: None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 w:line="240" w:lineRule="auto"/>
        <w:ind w:left="141"/>
        <w:rPr>
          <w:color w:val="000000"/>
        </w:rPr>
      </w:pPr>
      <w:r>
        <w:rPr>
          <w:color w:val="000000"/>
        </w:rPr>
        <w:t xml:space="preserve">Call-Off Start Date: 12/01/2024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1"/>
        <w:rPr>
          <w:color w:val="000000"/>
        </w:rPr>
      </w:pPr>
      <w:r>
        <w:rPr>
          <w:color w:val="000000"/>
        </w:rPr>
        <w:t xml:space="preserve">Call-Off Expiry Date: 11/01/2025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1"/>
        <w:rPr>
          <w:color w:val="000000"/>
        </w:rPr>
      </w:pPr>
      <w:r>
        <w:rPr>
          <w:color w:val="000000"/>
        </w:rPr>
        <w:t xml:space="preserve">Call-Off Initial Period: 1 Year (12 Months)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1"/>
        <w:rPr>
          <w:color w:val="000000"/>
        </w:rPr>
      </w:pPr>
      <w:r>
        <w:rPr>
          <w:color w:val="000000"/>
        </w:rPr>
        <w:t xml:space="preserve">Call-Off Optional Extension Period: N/A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Minimum Notice Period for Extensions: N/A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1"/>
        <w:rPr>
          <w:color w:val="000000"/>
        </w:rPr>
      </w:pPr>
      <w:r>
        <w:rPr>
          <w:color w:val="000000"/>
        </w:rPr>
        <w:t>Call-Off Contract Value: £55,000.00 (</w:t>
      </w:r>
      <w:proofErr w:type="spellStart"/>
      <w:r>
        <w:rPr>
          <w:color w:val="000000"/>
        </w:rPr>
        <w:t>exc</w:t>
      </w:r>
      <w:proofErr w:type="spellEnd"/>
      <w:r>
        <w:rPr>
          <w:color w:val="000000"/>
        </w:rPr>
        <w:t xml:space="preserve"> VAT)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Call-Off Deliverables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9"/>
        <w:rPr>
          <w:color w:val="000000"/>
        </w:rPr>
      </w:pPr>
      <w:r>
        <w:rPr>
          <w:color w:val="000000"/>
        </w:rPr>
        <w:t xml:space="preserve">See details in Call-Off Schedule 20 (Call-Off Specification)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7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lastRenderedPageBreak/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Buyer’s Standards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8" w:right="607" w:firstLine="9"/>
        <w:rPr>
          <w:color w:val="000000"/>
        </w:rPr>
      </w:pPr>
      <w:r>
        <w:rPr>
          <w:color w:val="000000"/>
        </w:rPr>
        <w:t>From the Start Date of this Call-Off Contract, the Supplier shall comply with the relevant (and current as of the Call-Off Start Date) Standards referred to in Framework Schedule 1 (Specification). The Buyer requires the Supplier to comply with the followi</w:t>
      </w:r>
      <w:r>
        <w:rPr>
          <w:color w:val="000000"/>
        </w:rPr>
        <w:t xml:space="preserve">ng additional Standards for this Call-Off Contract: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Cyber Essentials Scheme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9" w:right="709" w:hanging="4"/>
        <w:rPr>
          <w:color w:val="000000"/>
        </w:rPr>
      </w:pPr>
      <w:r>
        <w:rPr>
          <w:color w:val="000000"/>
        </w:rPr>
        <w:t xml:space="preserve">The Buyer requires the Supplier, in accordance with Call-Off Schedule 26 (Cyber Essentials Scheme) to provide a [Cyber Essentials Certificate] [OR Cyber Essentials Plus Certificate] prior to commencing the provision of any Deliverables under this Call-Off </w:t>
      </w:r>
      <w:r>
        <w:rPr>
          <w:color w:val="000000"/>
        </w:rPr>
        <w:t xml:space="preserve">Contract.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145"/>
        <w:rPr>
          <w:b/>
          <w:color w:val="000000"/>
        </w:rPr>
      </w:pPr>
      <w:r>
        <w:rPr>
          <w:b/>
          <w:color w:val="000000"/>
        </w:rPr>
        <w:t xml:space="preserve">Maximum Liability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7" w:right="787" w:hanging="2"/>
        <w:rPr>
          <w:color w:val="000000"/>
        </w:rPr>
      </w:pPr>
      <w:r>
        <w:rPr>
          <w:color w:val="000000"/>
        </w:rPr>
        <w:t xml:space="preserve">The limitation of liability for this Call-Off Contract is stated in Clause 11.2 of the Core Terms as amended by the Framework Award Form Special Terms.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31" w:right="1552" w:firstLine="3"/>
        <w:rPr>
          <w:b/>
          <w:color w:val="000000"/>
        </w:rPr>
      </w:pPr>
      <w:r>
        <w:rPr>
          <w:color w:val="000000"/>
        </w:rPr>
        <w:t xml:space="preserve">The Estimated Year 1 Charges used to calculate liability in the first Contract Year is </w:t>
      </w:r>
      <w:r>
        <w:rPr>
          <w:b/>
          <w:color w:val="000000"/>
        </w:rPr>
        <w:t>£55,000.00 (</w:t>
      </w:r>
      <w:proofErr w:type="spellStart"/>
      <w:r>
        <w:rPr>
          <w:b/>
          <w:color w:val="000000"/>
        </w:rPr>
        <w:t>exc</w:t>
      </w:r>
      <w:proofErr w:type="spellEnd"/>
      <w:r>
        <w:rPr>
          <w:b/>
          <w:color w:val="000000"/>
        </w:rPr>
        <w:t xml:space="preserve"> VAT)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8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Call-Off Charges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2" w:right="647" w:hanging="1"/>
        <w:rPr>
          <w:color w:val="000000"/>
        </w:rPr>
      </w:pPr>
      <w:r>
        <w:rPr>
          <w:color w:val="000000"/>
        </w:rPr>
        <w:t>Where non-UK Supplier Staff (including Subcontractors) are used to provide any element of the Deliverables under this Call-Off Co</w:t>
      </w:r>
      <w:r>
        <w:rPr>
          <w:color w:val="000000"/>
        </w:rPr>
        <w:t>ntract, the applicable rate card(s) shall be incorporated into Call-Off Schedule 5 (Pricing Details and Expenses Policy) and the Supplier shall, under each SOW, charge the Buyer a rate no greater than those set out in the applicable rate card for the Suppl</w:t>
      </w:r>
      <w:r>
        <w:rPr>
          <w:color w:val="000000"/>
        </w:rPr>
        <w:t xml:space="preserve">ier Staff undertaking that element of work on the Deliverables.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" w:right="638" w:hanging="14"/>
        <w:rPr>
          <w:color w:val="000000"/>
        </w:rPr>
      </w:pPr>
      <w:r>
        <w:rPr>
          <w:color w:val="000000"/>
        </w:rPr>
        <w:t xml:space="preserve">All changes to the Charges must use procedures that are equivalent to those in Paragraph 4 in Framework Schedule 3 (Framework Prices).]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Reimbursable Expenses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Please refer to Statement of Requirements.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Payment Method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BACS on satisfactory completion of the stated deliverables.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Buyer’s Invoice Address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59"/>
        <w:rPr>
          <w:color w:val="000000"/>
        </w:rPr>
      </w:pPr>
      <w:r>
        <w:rPr>
          <w:color w:val="000000"/>
        </w:rPr>
        <w:t xml:space="preserve">info@crowncommercial.gov.uk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left="156"/>
        <w:rPr>
          <w:color w:val="000000"/>
        </w:rPr>
      </w:pPr>
      <w:r>
        <w:rPr>
          <w:color w:val="000000"/>
        </w:rPr>
        <w:t xml:space="preserve">Crown Commercial Service, The Capital, Old Hall Street, Liverpool L3 9PP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0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Buyer’s Authorised Representative: </w:t>
      </w:r>
    </w:p>
    <w:p w:rsidR="00CF27F6" w:rsidRPr="00BA7807" w:rsidRDefault="002E465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>
        <w:rPr>
          <w:color w:val="000000"/>
        </w:rPr>
        <w:t xml:space="preserve">Name: </w:t>
      </w:r>
      <w:r w:rsidR="00BA7807" w:rsidRPr="00BA7807">
        <w:rPr>
          <w:color w:val="FF0000"/>
        </w:rPr>
        <w:t>Redacted under FOIA section 40, Personal Information</w:t>
      </w:r>
    </w:p>
    <w:p w:rsidR="00BA7807" w:rsidRPr="00BA7807" w:rsidRDefault="002E465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>
        <w:rPr>
          <w:color w:val="000000"/>
        </w:rPr>
        <w:t xml:space="preserve">Email address: </w:t>
      </w:r>
      <w:r w:rsidR="00BA7807" w:rsidRPr="00BA7807">
        <w:rPr>
          <w:color w:val="FF0000"/>
        </w:rPr>
        <w:t>Redacted under FOIA section 40, Personal Information</w:t>
      </w: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7"/>
        <w:rPr>
          <w:color w:val="000000"/>
        </w:r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lastRenderedPageBreak/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6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Buyer’s Environmental Policy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Not applicable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Buyer’s Security Policy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Not applicable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Supplier’s Authorised Representative </w:t>
      </w:r>
    </w:p>
    <w:p w:rsidR="00BA7807" w:rsidRPr="00BA7807" w:rsidRDefault="00BA780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Supplier’s Contract Manager </w:t>
      </w:r>
    </w:p>
    <w:p w:rsidR="00BA7807" w:rsidRPr="00BA7807" w:rsidRDefault="00BA780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Progress Report Frequency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Progress reports are to be given twice weekly from the commencement of the contract.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Progress Meeting Frequency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17" w:lineRule="auto"/>
        <w:ind w:left="133" w:right="1348" w:firstLine="1"/>
        <w:rPr>
          <w:color w:val="000000"/>
        </w:rPr>
      </w:pPr>
      <w:r>
        <w:rPr>
          <w:color w:val="000000"/>
        </w:rPr>
        <w:t xml:space="preserve">The Supplier will liaise with the Contracting Authority’s project manager to report progress in a weekly Google Hangout review meeting on the delivery of the work and the requirement.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0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Key Staff </w:t>
      </w:r>
    </w:p>
    <w:p w:rsidR="00BA7807" w:rsidRPr="00BA7807" w:rsidRDefault="00BA780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Key Subcontractor(s) </w:t>
      </w:r>
    </w:p>
    <w:p w:rsidR="00BA7807" w:rsidRPr="00BA7807" w:rsidRDefault="00BA780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Commercially Sensitive Information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Not applicable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5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Balanced Scorecard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54"/>
        <w:rPr>
          <w:color w:val="000000"/>
        </w:rPr>
      </w:pPr>
      <w:r>
        <w:rPr>
          <w:color w:val="000000"/>
        </w:rPr>
        <w:lastRenderedPageBreak/>
        <w:t xml:space="preserve">See Call-Off Schedule 14 (Service Levels and Balanced Scorecard)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145"/>
        <w:rPr>
          <w:b/>
          <w:color w:val="000000"/>
        </w:rPr>
      </w:pPr>
      <w:r>
        <w:rPr>
          <w:b/>
          <w:color w:val="000000"/>
        </w:rPr>
        <w:t xml:space="preserve">Material KPIs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9" w:right="840" w:hanging="4"/>
        <w:rPr>
          <w:color w:val="000000"/>
        </w:rPr>
      </w:pPr>
      <w:r>
        <w:rPr>
          <w:color w:val="000000"/>
        </w:rPr>
        <w:t xml:space="preserve">The following Material KPIs shall apply to this Call-Off Contract in accordance with Call-Off Schedule 14 (Service Levels and Balanced Scorecard): 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000"/>
      </w:tblGrid>
      <w:tr w:rsidR="00CF27F6">
        <w:trPr>
          <w:trHeight w:val="72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Material KPIs 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Target Measured by</w:t>
            </w:r>
          </w:p>
        </w:tc>
      </w:tr>
      <w:tr w:rsidR="00CF27F6">
        <w:trPr>
          <w:trHeight w:val="118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1"/>
              <w:rPr>
                <w:color w:val="000000"/>
              </w:rPr>
            </w:pPr>
            <w:r>
              <w:rPr>
                <w:color w:val="000000"/>
              </w:rPr>
              <w:t xml:space="preserve">Progress reports 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279" w:right="421" w:hanging="2960"/>
              <w:rPr>
                <w:color w:val="000000"/>
              </w:rPr>
            </w:pPr>
            <w:r>
              <w:rPr>
                <w:color w:val="000000"/>
              </w:rPr>
              <w:t xml:space="preserve">100% Bi-weekly receipt of the report and weekly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63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attendance at weekly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7"/>
              <w:jc w:val="right"/>
              <w:rPr>
                <w:color w:val="000000"/>
              </w:rPr>
            </w:pPr>
            <w:r>
              <w:rPr>
                <w:color w:val="000000"/>
              </w:rPr>
              <w:t>update meetings</w:t>
            </w:r>
          </w:p>
        </w:tc>
      </w:tr>
      <w:tr w:rsidR="00CF27F6">
        <w:trPr>
          <w:trHeight w:val="21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2"/>
              <w:rPr>
                <w:color w:val="000000"/>
              </w:rPr>
            </w:pPr>
            <w:r>
              <w:rPr>
                <w:color w:val="000000"/>
              </w:rPr>
              <w:t xml:space="preserve">User research 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279" w:right="665" w:hanging="2960"/>
              <w:rPr>
                <w:color w:val="000000"/>
              </w:rPr>
            </w:pPr>
            <w:r>
              <w:rPr>
                <w:color w:val="000000"/>
              </w:rPr>
              <w:t xml:space="preserve">100% Updates on user research with can be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706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addressed in weekly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8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update meetings or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46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during standalone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meetings and receipt of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6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full feedback report and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5"/>
              <w:jc w:val="right"/>
              <w:rPr>
                <w:color w:val="000000"/>
              </w:rPr>
            </w:pPr>
            <w:r>
              <w:rPr>
                <w:color w:val="000000"/>
              </w:rPr>
              <w:t>analysis/outcomes</w:t>
            </w:r>
          </w:p>
        </w:tc>
      </w:tr>
      <w:tr w:rsidR="00CF27F6">
        <w:trPr>
          <w:trHeight w:val="110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66" w:right="91" w:firstLine="7"/>
              <w:rPr>
                <w:color w:val="000000"/>
              </w:rPr>
            </w:pPr>
            <w:r>
              <w:rPr>
                <w:color w:val="000000"/>
              </w:rPr>
              <w:t xml:space="preserve">Synthesis of user research </w:t>
            </w:r>
            <w:r>
              <w:rPr>
                <w:color w:val="000000"/>
              </w:rPr>
              <w:t>findings and presentation to CCS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color w:val="000000"/>
              </w:rPr>
            </w:pPr>
            <w:r>
              <w:rPr>
                <w:color w:val="000000"/>
              </w:rPr>
              <w:t xml:space="preserve">100% Production of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07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presentational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1"/>
              <w:jc w:val="right"/>
              <w:rPr>
                <w:color w:val="000000"/>
              </w:rPr>
            </w:pPr>
            <w:r>
              <w:rPr>
                <w:color w:val="000000"/>
              </w:rPr>
              <w:t>materials</w:t>
            </w:r>
          </w:p>
        </w:tc>
      </w:tr>
      <w:tr w:rsidR="00CF27F6">
        <w:trPr>
          <w:trHeight w:val="118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5"/>
              <w:rPr>
                <w:color w:val="000000"/>
              </w:rPr>
            </w:pPr>
            <w:r>
              <w:rPr>
                <w:color w:val="000000"/>
              </w:rPr>
              <w:t xml:space="preserve">As appropriate, iterate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3"/>
              <w:rPr>
                <w:color w:val="000000"/>
              </w:rPr>
            </w:pPr>
            <w:r>
              <w:rPr>
                <w:color w:val="000000"/>
              </w:rPr>
              <w:t xml:space="preserve">content framework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2"/>
              <w:rPr>
                <w:color w:val="000000"/>
              </w:rPr>
            </w:pPr>
            <w:r>
              <w:rPr>
                <w:color w:val="000000"/>
              </w:rPr>
              <w:t>guidance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color w:val="000000"/>
              </w:rPr>
            </w:pPr>
            <w:r>
              <w:rPr>
                <w:color w:val="000000"/>
              </w:rPr>
              <w:t xml:space="preserve">100% Provision of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07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content in line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with user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9"/>
              <w:jc w:val="right"/>
              <w:rPr>
                <w:color w:val="000000"/>
              </w:rPr>
            </w:pPr>
            <w:r>
              <w:rPr>
                <w:color w:val="000000"/>
              </w:rPr>
              <w:t>research findings</w:t>
            </w:r>
          </w:p>
        </w:tc>
      </w:tr>
    </w:tbl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Service Credits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Not applicable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5" w:line="240" w:lineRule="auto"/>
        <w:ind w:left="130"/>
        <w:rPr>
          <w:b/>
          <w:color w:val="000000"/>
        </w:rPr>
      </w:pPr>
      <w:r>
        <w:rPr>
          <w:b/>
          <w:color w:val="000000"/>
        </w:rPr>
        <w:t xml:space="preserve">Additional Insurances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Not applicable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Guarantee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Not applicable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6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</w:t>
      </w:r>
      <w:r>
        <w:rPr>
          <w:b/>
          <w:color w:val="000000"/>
        </w:rPr>
        <w:lastRenderedPageBreak/>
        <w:t xml:space="preserve">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Social Value Commitment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Not applicable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Statement of Works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7" w:right="1039" w:firstLine="9"/>
        <w:rPr>
          <w:color w:val="000000"/>
        </w:rPr>
      </w:pPr>
      <w:r>
        <w:rPr>
          <w:color w:val="000000"/>
        </w:rPr>
        <w:t xml:space="preserve">During the Call-Off Contract Period, the Buyer and Supplier may agree and execute completed Statement of Works. Upon execution of a Statement of Work the provisions detailed therein shall be incorporated into the Call-Off Contract to which this Order Form </w:t>
      </w:r>
      <w:r>
        <w:rPr>
          <w:color w:val="000000"/>
        </w:rPr>
        <w:t xml:space="preserve">relates.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For and on behalf of the Supplier: </w:t>
      </w:r>
    </w:p>
    <w:p w:rsidR="00BA7807" w:rsidRPr="00BA7807" w:rsidRDefault="00BA780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For and on behalf of the Buyer: </w:t>
      </w:r>
    </w:p>
    <w:p w:rsidR="00353477" w:rsidRDefault="003534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9"/>
        <w:rPr>
          <w:color w:val="000000"/>
        </w:rPr>
      </w:pPr>
    </w:p>
    <w:p w:rsidR="00BA7807" w:rsidRPr="00BA7807" w:rsidRDefault="00BA7807" w:rsidP="00BA7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FF0000"/>
        </w:rPr>
      </w:pPr>
      <w:r w:rsidRPr="00BA7807">
        <w:rPr>
          <w:color w:val="FF0000"/>
        </w:rPr>
        <w:t>Redacted under FOIA section 40, Personal Information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2" w:line="240" w:lineRule="auto"/>
        <w:ind w:right="635"/>
        <w:jc w:val="right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399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Appendix 1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0" w:line="229" w:lineRule="auto"/>
        <w:ind w:left="133" w:right="857" w:firstLine="11"/>
        <w:rPr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Insert </w:t>
      </w:r>
      <w:r>
        <w:rPr>
          <w:color w:val="000000"/>
        </w:rPr>
        <w:t>The first Statement(s) of Works shall be inserted into this Appendix 1 as part of the executed Order Form. Thereafter, the Buyer and Supplier shall complete and execute Statement of Works (in the form of the template Statement of Work in Annex 1 to the tem</w:t>
      </w:r>
      <w:r>
        <w:rPr>
          <w:color w:val="000000"/>
        </w:rPr>
        <w:t xml:space="preserve">plate Order Form in Framework Schedule 6 (Order Form Template, Statement of Work Template and Call-Off Schedules)].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38" w:right="1682" w:firstLine="6"/>
        <w:rPr>
          <w:color w:val="000000"/>
        </w:rPr>
      </w:pPr>
      <w:r>
        <w:rPr>
          <w:color w:val="000000"/>
        </w:rPr>
        <w:lastRenderedPageBreak/>
        <w:t>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Each executed Statement of Work shall be inserted into this Appendix 1 in chronology.]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38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245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Annex 1 (Template Statement of Work)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53"/>
        <w:rPr>
          <w:b/>
          <w:color w:val="000000"/>
        </w:rPr>
      </w:pPr>
      <w:r>
        <w:rPr>
          <w:color w:val="000000"/>
        </w:rPr>
        <w:t xml:space="preserve">1 </w:t>
      </w:r>
      <w:r>
        <w:rPr>
          <w:b/>
          <w:color w:val="000000"/>
        </w:rPr>
        <w:t xml:space="preserve">Statement of Works (SOW) Details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7"/>
        <w:rPr>
          <w:color w:val="000000"/>
        </w:rPr>
      </w:pPr>
      <w:r>
        <w:rPr>
          <w:color w:val="000000"/>
        </w:rPr>
        <w:t xml:space="preserve">Upon execution, this SOW forms part of the Call-Off Contract (reference below).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0" w:right="664" w:firstLine="4"/>
        <w:rPr>
          <w:color w:val="000000"/>
        </w:rPr>
      </w:pPr>
      <w:r>
        <w:rPr>
          <w:color w:val="000000"/>
        </w:rPr>
        <w:t>The Parties will execute a SOW for each set of Buyer Deliverables required. Any ad-hoc Deliverables requirements are to be treated as individual requirements in their own right and the Parties should execute a separate SOW in respect of each, or alternativ</w:t>
      </w:r>
      <w:r>
        <w:rPr>
          <w:color w:val="000000"/>
        </w:rPr>
        <w:t xml:space="preserve">ely agree a Variation to an existing SOW.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30"/>
        <w:rPr>
          <w:color w:val="000000"/>
        </w:rPr>
      </w:pPr>
      <w:r>
        <w:rPr>
          <w:color w:val="000000"/>
        </w:rPr>
        <w:lastRenderedPageBreak/>
        <w:t xml:space="preserve">All SOWs must fall within the Specification and provisions of the Call-Off Contact.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7" w:right="749" w:hanging="2"/>
        <w:rPr>
          <w:color w:val="000000"/>
        </w:rPr>
      </w:pPr>
      <w:r>
        <w:rPr>
          <w:color w:val="000000"/>
        </w:rPr>
        <w:t>The details set out within this SOW apply only in relation to the Deliverables detailed herein and will not apply to any other S</w:t>
      </w:r>
      <w:r>
        <w:rPr>
          <w:color w:val="000000"/>
        </w:rPr>
        <w:t xml:space="preserve">OWs executed or to be executed under this Call-Off Contract, unless otherwise agreed by the Parties in writing.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5"/>
        <w:rPr>
          <w:b/>
          <w:color w:val="000000"/>
        </w:rPr>
      </w:pPr>
      <w:r>
        <w:rPr>
          <w:b/>
          <w:color w:val="000000"/>
        </w:rPr>
        <w:t xml:space="preserve">Date of SOW: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SOW Title: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SOW Reference: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Call-Off Contract Reference: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Buyer: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Supplier: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SOW Start Date: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SOW End Date: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5"/>
        <w:rPr>
          <w:b/>
          <w:color w:val="000000"/>
        </w:rPr>
      </w:pPr>
      <w:r>
        <w:rPr>
          <w:b/>
          <w:color w:val="000000"/>
        </w:rPr>
        <w:t xml:space="preserve">Duration of SOW: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Key Personnel (Buyer):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Key Personnel (Supplier):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Subcontractors: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4" w:line="240" w:lineRule="auto"/>
        <w:ind w:right="635"/>
        <w:jc w:val="right"/>
        <w:rPr>
          <w:b/>
          <w:color w:val="000000"/>
        </w:rPr>
      </w:pPr>
      <w:r>
        <w:rPr>
          <w:b/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3" w:line="240" w:lineRule="auto"/>
        <w:ind w:left="136"/>
        <w:rPr>
          <w:b/>
          <w:color w:val="000000"/>
        </w:rPr>
      </w:pPr>
      <w:r>
        <w:rPr>
          <w:color w:val="000000"/>
        </w:rPr>
        <w:t xml:space="preserve">2 </w:t>
      </w:r>
      <w:r>
        <w:rPr>
          <w:b/>
          <w:color w:val="000000"/>
        </w:rPr>
        <w:t xml:space="preserve">Call-Off Contract Specification – Deliverables Context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9" w:right="803" w:hanging="1"/>
        <w:rPr>
          <w:color w:val="000000"/>
        </w:rPr>
      </w:pPr>
      <w:r>
        <w:rPr>
          <w:b/>
          <w:color w:val="000000"/>
        </w:rPr>
        <w:t>SOW Deliverables Background</w:t>
      </w:r>
      <w:r>
        <w:rPr>
          <w:color w:val="000000"/>
        </w:rPr>
        <w:t>: 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details of which elements of the Deliverables this SOW will address]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30" w:right="1019" w:firstLine="15"/>
        <w:rPr>
          <w:color w:val="000000"/>
        </w:rPr>
      </w:pPr>
      <w:r>
        <w:rPr>
          <w:b/>
          <w:color w:val="000000"/>
        </w:rPr>
        <w:t>Delivery phase(s)</w:t>
      </w:r>
      <w:r>
        <w:rPr>
          <w:color w:val="000000"/>
        </w:rPr>
        <w:t>: 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item and nature of Delivery phase(s), for example, Discovery, Alpha, Beta or Live]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50" w:right="832" w:hanging="11"/>
        <w:rPr>
          <w:color w:val="000000"/>
        </w:rPr>
      </w:pPr>
      <w:r>
        <w:rPr>
          <w:b/>
          <w:color w:val="000000"/>
        </w:rPr>
        <w:t>Overview of Requirement</w:t>
      </w:r>
      <w:r>
        <w:rPr>
          <w:color w:val="000000"/>
        </w:rPr>
        <w:t>: 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details including Release Type(s), for example Ad </w:t>
      </w:r>
      <w:r>
        <w:rPr>
          <w:color w:val="000000"/>
        </w:rPr>
        <w:lastRenderedPageBreak/>
        <w:t xml:space="preserve">hoc, Inception, Calibration or Delivery]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139"/>
        <w:rPr>
          <w:b/>
          <w:color w:val="000000"/>
        </w:rPr>
      </w:pPr>
      <w:r>
        <w:rPr>
          <w:color w:val="000000"/>
        </w:rPr>
        <w:t xml:space="preserve">3 </w:t>
      </w:r>
      <w:r>
        <w:rPr>
          <w:b/>
          <w:color w:val="000000"/>
        </w:rPr>
        <w:t xml:space="preserve">Buyer Requirements – SOW Deliverables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9"/>
        <w:rPr>
          <w:b/>
          <w:color w:val="000000"/>
        </w:rPr>
      </w:pPr>
      <w:r>
        <w:rPr>
          <w:b/>
          <w:color w:val="000000"/>
        </w:rPr>
        <w:t xml:space="preserve">Outcome Description: </w:t>
      </w:r>
    </w:p>
    <w:tbl>
      <w:tblPr>
        <w:tblStyle w:val="a0"/>
        <w:tblW w:w="9080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0"/>
        <w:gridCol w:w="6800"/>
        <w:gridCol w:w="1000"/>
      </w:tblGrid>
      <w:tr w:rsidR="00CF27F6">
        <w:trPr>
          <w:trHeight w:val="980"/>
        </w:trPr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1" w:righ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Milestone Ref</w:t>
            </w:r>
          </w:p>
        </w:tc>
        <w:tc>
          <w:tcPr>
            <w:tcW w:w="6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Milestone Description Acceptance Criteria </w:t>
            </w: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Due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</w:tr>
      <w:tr w:rsidR="00CF27F6">
        <w:trPr>
          <w:trHeight w:val="720"/>
        </w:trPr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MS01</w:t>
            </w:r>
          </w:p>
        </w:tc>
        <w:tc>
          <w:tcPr>
            <w:tcW w:w="6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F27F6">
        <w:trPr>
          <w:trHeight w:val="720"/>
        </w:trPr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MS02</w:t>
            </w:r>
          </w:p>
        </w:tc>
        <w:tc>
          <w:tcPr>
            <w:tcW w:w="6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"/>
        <w:rPr>
          <w:b/>
          <w:color w:val="000000"/>
        </w:rPr>
      </w:pPr>
      <w:r>
        <w:rPr>
          <w:b/>
          <w:color w:val="000000"/>
        </w:rPr>
        <w:t xml:space="preserve">Delivery Plan: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5"/>
        <w:rPr>
          <w:b/>
          <w:color w:val="000000"/>
        </w:rPr>
      </w:pPr>
      <w:r>
        <w:rPr>
          <w:b/>
          <w:color w:val="000000"/>
        </w:rPr>
        <w:t xml:space="preserve">Dependencies: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Supplier Resource Plan: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Security Applicable to SOW: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424" w:right="1116" w:hanging="4"/>
        <w:rPr>
          <w:color w:val="000000"/>
        </w:rPr>
      </w:pPr>
      <w:r>
        <w:rPr>
          <w:color w:val="000000"/>
        </w:rPr>
        <w:t>The Supplier confirms that all Supplier Staff working on Buyer Sites and on Buyer Systems and Deliverables, have completed Supplier Staff Vetting in accordance with Paragraph 6 (Security of Supplier Staff) of Part B – Annex 1 (Baseline Security Requirement</w:t>
      </w:r>
      <w:r>
        <w:rPr>
          <w:color w:val="000000"/>
        </w:rPr>
        <w:t xml:space="preserve">s) of Call-Off Schedule 9 (Security).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422" w:right="1137" w:firstLine="7"/>
        <w:rPr>
          <w:color w:val="000000"/>
        </w:rPr>
      </w:pPr>
      <w:r>
        <w:rPr>
          <w:color w:val="000000"/>
        </w:rPr>
        <w:t xml:space="preserve">[If different security requirements than those set out in Call-Off Schedule 9 (Security) apply under this SOW, these shall be detailed below and apply only to this SOW: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429"/>
        <w:rPr>
          <w:b/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Insert if necessary]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Cyber Essentials Scheme: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424" w:right="811" w:hanging="4"/>
        <w:rPr>
          <w:color w:val="000000"/>
        </w:rPr>
      </w:pPr>
      <w:r>
        <w:rPr>
          <w:color w:val="000000"/>
        </w:rPr>
        <w:t xml:space="preserve">The Buyer requires the Supplier to have and maintain a </w:t>
      </w:r>
      <w:r>
        <w:rPr>
          <w:b/>
          <w:color w:val="000000"/>
        </w:rPr>
        <w:t xml:space="preserve">[Cyber Essentials </w:t>
      </w:r>
      <w:proofErr w:type="gramStart"/>
      <w:r>
        <w:rPr>
          <w:b/>
          <w:color w:val="000000"/>
        </w:rPr>
        <w:t>Certificate][</w:t>
      </w:r>
      <w:proofErr w:type="gramEnd"/>
      <w:r>
        <w:rPr>
          <w:b/>
          <w:color w:val="000000"/>
        </w:rPr>
        <w:t xml:space="preserve">OR Cyber Essentials Plus Certificate] </w:t>
      </w:r>
      <w:r>
        <w:rPr>
          <w:color w:val="000000"/>
        </w:rPr>
        <w:t>for the work undertaken under this SOW, in accordance with Call-Off Schedule 26 (Cyber Essentials Scheme).</w:t>
      </w:r>
      <w:r>
        <w:rPr>
          <w:color w:val="000000"/>
        </w:rPr>
        <w:t xml:space="preserve">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37"/>
        <w:rPr>
          <w:b/>
          <w:color w:val="000000"/>
        </w:rPr>
      </w:pPr>
      <w:r>
        <w:rPr>
          <w:b/>
          <w:color w:val="000000"/>
        </w:rPr>
        <w:t xml:space="preserve">SOW Standards: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429"/>
        <w:rPr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any specific Standards applicable to this SOW]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Performance Management: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429"/>
        <w:rPr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details of Material KPIs that have a material impact on Contract performance]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4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tbl>
      <w:tblPr>
        <w:tblStyle w:val="a1"/>
        <w:tblW w:w="934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840"/>
        <w:gridCol w:w="3260"/>
      </w:tblGrid>
      <w:tr w:rsidR="00CF27F6">
        <w:trPr>
          <w:trHeight w:val="7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Material KPIs 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Target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Measured by</w:t>
            </w:r>
          </w:p>
        </w:tc>
      </w:tr>
      <w:tr w:rsidR="00CF27F6">
        <w:trPr>
          <w:trHeight w:val="72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F27F6">
        <w:trPr>
          <w:trHeight w:val="72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31" w:right="1250" w:hanging="1"/>
        <w:rPr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Service Levels and/or KPIs – See Call-Off Schedule 14 (Service Levels and Balanced Scorecard)]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30"/>
        <w:rPr>
          <w:b/>
          <w:color w:val="000000"/>
        </w:rPr>
      </w:pPr>
      <w:r>
        <w:rPr>
          <w:b/>
          <w:color w:val="000000"/>
        </w:rPr>
        <w:t xml:space="preserve">Additional Requirements: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422" w:right="908" w:hanging="7"/>
        <w:rPr>
          <w:color w:val="000000"/>
        </w:rPr>
      </w:pPr>
      <w:r>
        <w:rPr>
          <w:b/>
          <w:color w:val="000000"/>
        </w:rPr>
        <w:t xml:space="preserve">Annex 1 </w:t>
      </w:r>
      <w:r>
        <w:rPr>
          <w:color w:val="000000"/>
        </w:rPr>
        <w:t>– Where Annex 1 of Joint Schedule 11 (Processing Data) in the Call-Off Contract does not accurately reflect the data Processor / Controller arrangements applicable to this Statement of Work, the Parties shall comply with the revised Annex 1 attached to thi</w:t>
      </w:r>
      <w:r>
        <w:rPr>
          <w:color w:val="000000"/>
        </w:rPr>
        <w:t xml:space="preserve">s Statement of Work.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Key Supplier Staff: </w:t>
      </w:r>
    </w:p>
    <w:tbl>
      <w:tblPr>
        <w:tblStyle w:val="a2"/>
        <w:tblW w:w="948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860"/>
        <w:gridCol w:w="2120"/>
        <w:gridCol w:w="3820"/>
      </w:tblGrid>
      <w:tr w:rsidR="00CF27F6">
        <w:trPr>
          <w:trHeight w:val="98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Key Role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Key Staff </w:t>
            </w: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Contract Details </w:t>
            </w:r>
          </w:p>
        </w:tc>
        <w:tc>
          <w:tcPr>
            <w:tcW w:w="3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0" w:right="283" w:hanging="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Worker Engagement Route (incl. inside/outside IR35)</w:t>
            </w:r>
          </w:p>
        </w:tc>
      </w:tr>
      <w:tr w:rsidR="00CF27F6">
        <w:trPr>
          <w:trHeight w:val="72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F27F6">
        <w:trPr>
          <w:trHeight w:val="70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CF27F6">
        <w:trPr>
          <w:trHeight w:val="720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8" w:lineRule="auto"/>
        <w:ind w:left="137" w:right="876" w:firstLine="292"/>
        <w:rPr>
          <w:b/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>Indicate</w:t>
      </w:r>
      <w:r>
        <w:rPr>
          <w:color w:val="000000"/>
        </w:rPr>
        <w:t xml:space="preserve">: whether there is any requirement to issue a Status Determination Statement] </w:t>
      </w:r>
      <w:r>
        <w:rPr>
          <w:b/>
          <w:color w:val="000000"/>
        </w:rPr>
        <w:t xml:space="preserve">SOW Reporting Requirements: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29" w:lineRule="auto"/>
        <w:ind w:left="422" w:right="590" w:firstLine="7"/>
        <w:rPr>
          <w:color w:val="000000"/>
        </w:rPr>
      </w:pPr>
      <w:r>
        <w:rPr>
          <w:b/>
          <w:color w:val="000000"/>
        </w:rPr>
        <w:t>[</w:t>
      </w:r>
      <w:r>
        <w:rPr>
          <w:color w:val="000000"/>
        </w:rPr>
        <w:t xml:space="preserve">Further to the Supplier providing the management information detailed in Call-Off Schedule 15 (Call Off Contract Management), the Supplier shall also provide the following additional management information under and applicable to this SOW only: </w:t>
      </w:r>
    </w:p>
    <w:tbl>
      <w:tblPr>
        <w:tblStyle w:val="a3"/>
        <w:tblW w:w="934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2300"/>
        <w:gridCol w:w="3080"/>
        <w:gridCol w:w="3260"/>
      </w:tblGrid>
      <w:tr w:rsidR="00CF27F6">
        <w:trPr>
          <w:trHeight w:val="980"/>
        </w:trPr>
        <w:tc>
          <w:tcPr>
            <w:tcW w:w="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Ref. </w:t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Type</w:t>
            </w:r>
            <w:r>
              <w:rPr>
                <w:b/>
                <w:color w:val="000000"/>
              </w:rPr>
              <w:t xml:space="preserve"> of Information </w:t>
            </w: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4" w:right="257" w:hanging="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Which Services does this requirement apply to?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Required regularity of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Submission</w:t>
            </w:r>
          </w:p>
        </w:tc>
      </w:tr>
      <w:tr w:rsidR="00CF27F6">
        <w:trPr>
          <w:trHeight w:val="720"/>
        </w:trPr>
        <w:tc>
          <w:tcPr>
            <w:tcW w:w="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</w:rPr>
            </w:pPr>
            <w:r>
              <w:rPr>
                <w:color w:val="000000"/>
              </w:rPr>
              <w:t>[</w:t>
            </w:r>
            <w:r>
              <w:rPr>
                <w:b/>
                <w:color w:val="000000"/>
              </w:rPr>
              <w:t>insert</w:t>
            </w:r>
            <w:r>
              <w:rPr>
                <w:color w:val="000000"/>
              </w:rPr>
              <w:t>]</w:t>
            </w:r>
          </w:p>
        </w:tc>
      </w:tr>
      <w:tr w:rsidR="00CF27F6">
        <w:trPr>
          <w:trHeight w:val="720"/>
        </w:trPr>
        <w:tc>
          <w:tcPr>
            <w:tcW w:w="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rPr>
                <w:color w:val="000000"/>
              </w:rPr>
              <w:t xml:space="preserve">1.1 </w:t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</w:rPr>
            </w:pPr>
            <w:r>
              <w:rPr>
                <w:color w:val="000000"/>
              </w:rPr>
              <w:t xml:space="preserve">[insert] </w:t>
            </w:r>
          </w:p>
        </w:tc>
        <w:tc>
          <w:tcPr>
            <w:tcW w:w="3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</w:rPr>
            </w:pPr>
            <w:r>
              <w:rPr>
                <w:color w:val="000000"/>
              </w:rPr>
              <w:t xml:space="preserve">[insert]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</w:rPr>
            </w:pPr>
            <w:r>
              <w:rPr>
                <w:color w:val="000000"/>
              </w:rPr>
              <w:t>[insert]</w:t>
            </w:r>
          </w:p>
        </w:tc>
      </w:tr>
    </w:tbl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/>
        <w:rPr>
          <w:b/>
          <w:color w:val="000000"/>
        </w:rPr>
      </w:pPr>
      <w:r>
        <w:rPr>
          <w:b/>
          <w:color w:val="000000"/>
        </w:rPr>
        <w:t xml:space="preserve">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2"/>
        <w:rPr>
          <w:b/>
          <w:color w:val="000000"/>
        </w:rPr>
      </w:pPr>
      <w:r>
        <w:rPr>
          <w:color w:val="000000"/>
        </w:rPr>
        <w:t xml:space="preserve">4 </w:t>
      </w:r>
      <w:r>
        <w:rPr>
          <w:b/>
          <w:color w:val="000000"/>
        </w:rPr>
        <w:t xml:space="preserve">Charges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0"/>
        <w:rPr>
          <w:b/>
          <w:color w:val="000000"/>
        </w:rPr>
      </w:pPr>
      <w:r>
        <w:rPr>
          <w:b/>
          <w:color w:val="000000"/>
        </w:rPr>
        <w:t xml:space="preserve">Call Off Contract Charges: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000000"/>
        </w:rPr>
      </w:pPr>
      <w:r>
        <w:rPr>
          <w:color w:val="000000"/>
        </w:rPr>
        <w:t xml:space="preserve">The applicable charging method(s) for this SOW is: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lastRenderedPageBreak/>
        <w:drawing>
          <wp:inline distT="19050" distB="19050" distL="19050" distR="19050">
            <wp:extent cx="47625" cy="352425"/>
            <wp:effectExtent l="0" t="0" r="0" b="0"/>
            <wp:docPr id="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869"/>
        <w:rPr>
          <w:color w:val="000000"/>
        </w:rPr>
      </w:pPr>
      <w:r>
        <w:rPr>
          <w:color w:val="000000"/>
        </w:rPr>
        <w:t xml:space="preserve">● [Capped Time and Materials]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869"/>
        <w:rPr>
          <w:color w:val="000000"/>
        </w:rPr>
      </w:pPr>
      <w:r>
        <w:rPr>
          <w:color w:val="000000"/>
        </w:rPr>
        <w:t xml:space="preserve">● [Incremental Fixed Price]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869"/>
        <w:rPr>
          <w:color w:val="000000"/>
        </w:rPr>
      </w:pPr>
      <w:r>
        <w:rPr>
          <w:color w:val="000000"/>
        </w:rPr>
        <w:t xml:space="preserve">● [Time and Materials]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869"/>
        <w:rPr>
          <w:color w:val="000000"/>
        </w:rPr>
      </w:pPr>
      <w:r>
        <w:rPr>
          <w:color w:val="000000"/>
        </w:rPr>
        <w:t xml:space="preserve">● [Fixed Price]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869"/>
        <w:rPr>
          <w:color w:val="000000"/>
        </w:rPr>
      </w:pPr>
      <w:r>
        <w:rPr>
          <w:color w:val="000000"/>
        </w:rPr>
        <w:t xml:space="preserve">● [2 or more of the above charging methods]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564"/>
        <w:rPr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Buyer </w:t>
      </w:r>
      <w:r>
        <w:rPr>
          <w:color w:val="000000"/>
        </w:rPr>
        <w:t xml:space="preserve">to select as appropriate for this SOW]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564" w:right="1308" w:hanging="9"/>
        <w:rPr>
          <w:color w:val="000000"/>
        </w:rPr>
      </w:pPr>
      <w:r>
        <w:rPr>
          <w:color w:val="000000"/>
        </w:rPr>
        <w:t xml:space="preserve">The estimated maximum value of this SOW (irrespective of the selected charging method) is </w:t>
      </w:r>
      <w:proofErr w:type="gramStart"/>
      <w:r>
        <w:rPr>
          <w:color w:val="000000"/>
        </w:rPr>
        <w:t>£[</w:t>
      </w:r>
      <w:proofErr w:type="gramEnd"/>
      <w:r>
        <w:rPr>
          <w:b/>
          <w:color w:val="000000"/>
        </w:rPr>
        <w:t>In</w:t>
      </w:r>
      <w:r>
        <w:rPr>
          <w:b/>
          <w:color w:val="000000"/>
        </w:rPr>
        <w:t>sert detail</w:t>
      </w:r>
      <w:r>
        <w:rPr>
          <w:color w:val="000000"/>
        </w:rPr>
        <w:t xml:space="preserve">].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Rate Cards Applicable: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72" w:line="240" w:lineRule="auto"/>
        <w:ind w:right="635"/>
        <w:jc w:val="right"/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inline distT="19050" distB="19050" distL="19050" distR="19050">
            <wp:extent cx="47625" cy="352425"/>
            <wp:effectExtent l="0" t="0" r="0" b="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29" w:lineRule="auto"/>
        <w:ind w:left="557" w:right="664" w:firstLine="7"/>
        <w:rPr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Insert </w:t>
      </w:r>
      <w:r>
        <w:rPr>
          <w:color w:val="000000"/>
        </w:rPr>
        <w:t xml:space="preserve">SOW applicable Supplier and Subcontractor rate cards from Call-Off Schedule 5 (Pricing Details and Expenses Policy), including details of any discounts that will be applied to the work undertaken under this SOW.]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Reimbursable Expenses: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566" w:right="765" w:hanging="1"/>
        <w:rPr>
          <w:color w:val="000000"/>
        </w:rPr>
      </w:pPr>
      <w:r>
        <w:rPr>
          <w:color w:val="000000"/>
        </w:rPr>
        <w:t>[See Expens</w:t>
      </w:r>
      <w:r>
        <w:rPr>
          <w:color w:val="000000"/>
        </w:rPr>
        <w:t>es Policy in Annex 1 to Call-Off Schedule 5 (Pricing Details and Expenses Policy</w:t>
      </w:r>
      <w:proofErr w:type="gramStart"/>
      <w:r>
        <w:rPr>
          <w:color w:val="000000"/>
        </w:rPr>
        <w:t>) ]</w:t>
      </w:r>
      <w:proofErr w:type="gramEnd"/>
      <w:r>
        <w:rPr>
          <w:color w:val="000000"/>
        </w:rPr>
        <w:t xml:space="preserve">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561" w:right="929" w:firstLine="3"/>
        <w:rPr>
          <w:color w:val="000000"/>
        </w:rPr>
      </w:pPr>
      <w:r>
        <w:rPr>
          <w:color w:val="000000"/>
        </w:rPr>
        <w:t>[Reimbursable Expenses are capped at [£[</w:t>
      </w:r>
      <w:r>
        <w:rPr>
          <w:b/>
          <w:color w:val="000000"/>
        </w:rPr>
        <w:t>Insert</w:t>
      </w:r>
      <w:r>
        <w:rPr>
          <w:color w:val="000000"/>
        </w:rPr>
        <w:t>] [</w:t>
      </w:r>
      <w:r>
        <w:rPr>
          <w:b/>
          <w:color w:val="000000"/>
        </w:rPr>
        <w:t xml:space="preserve">OR] </w:t>
      </w:r>
      <w:r>
        <w:rPr>
          <w:color w:val="000000"/>
        </w:rPr>
        <w:t>[</w:t>
      </w:r>
      <w:r>
        <w:rPr>
          <w:b/>
          <w:color w:val="000000"/>
        </w:rPr>
        <w:t>Insert</w:t>
      </w:r>
      <w:r>
        <w:rPr>
          <w:color w:val="000000"/>
        </w:rPr>
        <w:t>] percent ([</w:t>
      </w:r>
      <w:r>
        <w:rPr>
          <w:b/>
          <w:color w:val="000000"/>
        </w:rPr>
        <w:t>X</w:t>
      </w:r>
      <w:r>
        <w:rPr>
          <w:color w:val="000000"/>
        </w:rPr>
        <w:t xml:space="preserve">]%)] of the Charges payable under this Statement of Work.]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564"/>
        <w:rPr>
          <w:color w:val="000000"/>
        </w:rPr>
      </w:pPr>
      <w:r>
        <w:rPr>
          <w:color w:val="000000"/>
        </w:rPr>
        <w:t xml:space="preserve">[None]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564"/>
        <w:rPr>
          <w:color w:val="000000"/>
        </w:rPr>
      </w:pPr>
      <w:r>
        <w:rPr>
          <w:color w:val="000000"/>
        </w:rPr>
        <w:t>[</w:t>
      </w:r>
      <w:r>
        <w:rPr>
          <w:b/>
          <w:color w:val="000000"/>
        </w:rPr>
        <w:t xml:space="preserve">Buyer </w:t>
      </w:r>
      <w:r>
        <w:rPr>
          <w:color w:val="000000"/>
        </w:rPr>
        <w:t xml:space="preserve">to delete as appropriate for this SOW]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9"/>
        <w:rPr>
          <w:b/>
          <w:color w:val="000000"/>
        </w:rPr>
      </w:pPr>
      <w:r>
        <w:rPr>
          <w:color w:val="000000"/>
        </w:rPr>
        <w:t xml:space="preserve">5 </w:t>
      </w:r>
      <w:r>
        <w:rPr>
          <w:b/>
          <w:color w:val="000000"/>
        </w:rPr>
        <w:t xml:space="preserve">Signatures and Approvals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0"/>
        <w:rPr>
          <w:b/>
          <w:color w:val="000000"/>
        </w:rPr>
      </w:pPr>
      <w:r>
        <w:rPr>
          <w:b/>
          <w:color w:val="000000"/>
        </w:rPr>
        <w:t xml:space="preserve">Agreement of this SOW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130" w:right="1099" w:firstLine="16"/>
        <w:jc w:val="both"/>
        <w:rPr>
          <w:color w:val="000000"/>
        </w:rPr>
      </w:pPr>
      <w:r>
        <w:rPr>
          <w:color w:val="000000"/>
        </w:rPr>
        <w:t xml:space="preserve">BY SIGNING this Statement of Work, the Parties agree that it shall be incorporated into Appendix 1 of the Order Form and incorporated into the Call-Off Contract and be legally binding on the Parties: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For and on behalf of the Supplier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Name: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000000"/>
        </w:rPr>
      </w:pPr>
      <w:r>
        <w:rPr>
          <w:color w:val="000000"/>
        </w:rPr>
        <w:t xml:space="preserve">Title: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Date: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9"/>
        <w:rPr>
          <w:color w:val="000000"/>
        </w:rPr>
      </w:pPr>
      <w:r>
        <w:rPr>
          <w:color w:val="000000"/>
        </w:rPr>
        <w:t xml:space="preserve">Signature: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b/>
          <w:color w:val="000000"/>
        </w:rPr>
      </w:pPr>
      <w:r>
        <w:rPr>
          <w:b/>
          <w:color w:val="000000"/>
        </w:rPr>
        <w:t xml:space="preserve">For and on behalf of the Buyer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Name: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5"/>
        <w:rPr>
          <w:color w:val="000000"/>
        </w:rPr>
      </w:pPr>
      <w:r>
        <w:rPr>
          <w:color w:val="000000"/>
        </w:rPr>
        <w:t xml:space="preserve">Title: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6"/>
        <w:rPr>
          <w:color w:val="000000"/>
        </w:rPr>
      </w:pPr>
      <w:r>
        <w:rPr>
          <w:color w:val="000000"/>
        </w:rPr>
        <w:t xml:space="preserve">Date: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39"/>
        <w:rPr>
          <w:color w:val="000000"/>
        </w:rPr>
      </w:pPr>
      <w:r>
        <w:rPr>
          <w:color w:val="000000"/>
        </w:rPr>
        <w:t xml:space="preserve">Signature: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4"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lastRenderedPageBreak/>
        <w:drawing>
          <wp:inline distT="19050" distB="19050" distL="19050" distR="19050">
            <wp:extent cx="47625" cy="352425"/>
            <wp:effectExtent l="0" t="0" r="0" b="0"/>
            <wp:docPr id="1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417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Annex 1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4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Data Processing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9" w:lineRule="auto"/>
        <w:ind w:left="137" w:right="606" w:firstLine="9"/>
        <w:rPr>
          <w:color w:val="000000"/>
        </w:rPr>
      </w:pPr>
      <w:r>
        <w:rPr>
          <w:color w:val="000000"/>
        </w:rPr>
        <w:t xml:space="preserve">Prior to the execution of this Statement of Work, the Parties shall review Annex 1 of Joint Schedule 11 (Processing Data) and if the contents of Annex 1 </w:t>
      </w:r>
      <w:proofErr w:type="gramStart"/>
      <w:r>
        <w:rPr>
          <w:color w:val="000000"/>
        </w:rPr>
        <w:t>does</w:t>
      </w:r>
      <w:proofErr w:type="gramEnd"/>
      <w:r>
        <w:rPr>
          <w:color w:val="000000"/>
        </w:rPr>
        <w:t xml:space="preserve"> not adequately cover the Processor / Controller arrangements covered by this Statement of Work, Annex 1 shall be amended as set out below and the following table shall apply to the Processing activities undertaken under this Statement of Work only: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4"/>
        <w:rPr>
          <w:color w:val="000000"/>
        </w:rPr>
      </w:pPr>
      <w:r>
        <w:rPr>
          <w:color w:val="000000"/>
        </w:rPr>
        <w:t>[Temp</w:t>
      </w:r>
      <w:r>
        <w:rPr>
          <w:color w:val="000000"/>
        </w:rPr>
        <w:t xml:space="preserve">late Annex 1 of Joint Schedule 11 (Processing Data) Below] </w:t>
      </w:r>
    </w:p>
    <w:tbl>
      <w:tblPr>
        <w:tblStyle w:val="a4"/>
        <w:tblW w:w="9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000"/>
      </w:tblGrid>
      <w:tr w:rsidR="00CF27F6">
        <w:trPr>
          <w:trHeight w:val="72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Description </w:t>
            </w:r>
          </w:p>
        </w:tc>
        <w:tc>
          <w:tcPr>
            <w:tcW w:w="7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</w:tr>
      <w:tr w:rsidR="00CF27F6">
        <w:trPr>
          <w:trHeight w:val="936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8" w:right="260" w:firstLine="12"/>
              <w:rPr>
                <w:color w:val="000000"/>
              </w:rPr>
            </w:pPr>
            <w:r>
              <w:rPr>
                <w:color w:val="000000"/>
              </w:rPr>
              <w:t xml:space="preserve">Identity of Controller for each Category of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46"/>
              <w:rPr>
                <w:color w:val="000000"/>
              </w:rPr>
            </w:pPr>
            <w:r>
              <w:rPr>
                <w:color w:val="000000"/>
              </w:rPr>
              <w:t>Personal Data</w:t>
            </w:r>
          </w:p>
        </w:tc>
        <w:tc>
          <w:tcPr>
            <w:tcW w:w="7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6" w:right="1039" w:hanging="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The Relevant Authority is Controller and the Supplier is Processor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29" w:lineRule="auto"/>
              <w:ind w:left="133" w:right="103" w:firstLine="1"/>
              <w:rPr>
                <w:color w:val="000000"/>
              </w:rPr>
            </w:pPr>
            <w:r>
              <w:rPr>
                <w:color w:val="000000"/>
              </w:rPr>
              <w:t xml:space="preserve">The Parties acknowledge that in accordance with paragraph 2 to paragraph 15 and for the purposes of the Data Protection Legislation, the Relevant Authority is the Controller and the Supplier is the Processor of the following Personal Data: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149"/>
              <w:rPr>
                <w:color w:val="000000"/>
              </w:rPr>
            </w:pPr>
            <w:r>
              <w:rPr>
                <w:color w:val="000000"/>
              </w:rPr>
              <w:t xml:space="preserve">● Information related to any persons during user research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29" w:lineRule="auto"/>
              <w:ind w:left="146" w:right="1039" w:hanging="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The Supplier is Controller and the Relevant Authority is Processor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29" w:lineRule="auto"/>
              <w:ind w:left="133" w:right="95" w:firstLine="1"/>
              <w:rPr>
                <w:color w:val="000000"/>
              </w:rPr>
            </w:pPr>
            <w:r>
              <w:rPr>
                <w:color w:val="000000"/>
              </w:rPr>
              <w:t>The Parties acknowledge that for the purposes of the Data Protection Legislation, the Supplier is the Controller and the Relevant</w:t>
            </w:r>
            <w:r>
              <w:rPr>
                <w:color w:val="000000"/>
              </w:rPr>
              <w:t xml:space="preserve"> Authority is the Processor in accordance with paragraph 2 to paragraph 15 of the following Personal Data: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149"/>
              <w:rPr>
                <w:color w:val="000000"/>
              </w:rPr>
            </w:pPr>
            <w:r>
              <w:rPr>
                <w:color w:val="000000"/>
              </w:rPr>
              <w:t xml:space="preserve">● n/a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1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The Parties are Joint Controllers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29" w:lineRule="auto"/>
              <w:ind w:left="144" w:right="743" w:hanging="9"/>
              <w:rPr>
                <w:color w:val="000000"/>
              </w:rPr>
            </w:pPr>
            <w:r>
              <w:rPr>
                <w:color w:val="000000"/>
              </w:rPr>
              <w:t xml:space="preserve">The Parties acknowledge that they are Joint Controllers for the purposes of the Data Protection Legislation in respect of: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149"/>
              <w:rPr>
                <w:color w:val="000000"/>
              </w:rPr>
            </w:pPr>
            <w:r>
              <w:rPr>
                <w:color w:val="000000"/>
              </w:rPr>
              <w:t xml:space="preserve">● n/a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1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The Parties are Independent Controllers of Personal Data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29" w:lineRule="auto"/>
              <w:ind w:left="133" w:right="368" w:firstLine="1"/>
              <w:rPr>
                <w:color w:val="000000"/>
              </w:rPr>
            </w:pPr>
            <w:r>
              <w:rPr>
                <w:color w:val="000000"/>
              </w:rPr>
              <w:t xml:space="preserve">The Parties acknowledge that they are Independent Controllers for the purposes of the Data Protection Legislation in respect of: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29" w:lineRule="auto"/>
              <w:ind w:left="499" w:right="640" w:hanging="350"/>
              <w:rPr>
                <w:color w:val="000000"/>
              </w:rPr>
            </w:pPr>
            <w:r>
              <w:rPr>
                <w:color w:val="000000"/>
              </w:rPr>
              <w:t xml:space="preserve">● Business contact details of Supplier Personnel for which the Supplier is the Controller,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29" w:lineRule="auto"/>
              <w:ind w:left="493" w:right="73" w:hanging="344"/>
              <w:rPr>
                <w:color w:val="000000"/>
              </w:rPr>
            </w:pPr>
            <w:r>
              <w:rPr>
                <w:color w:val="000000"/>
              </w:rPr>
              <w:t xml:space="preserve">● Business contact details of any </w:t>
            </w:r>
            <w:r>
              <w:rPr>
                <w:color w:val="000000"/>
              </w:rPr>
              <w:t>directors, officers, employees, agents, consultants and contractors of Relevant Authority (excluding the Supplier Personnel) engaged in the performance of the Relevant Authority’s duties under the Contract) for which the Relevant Authority is the Controlle</w:t>
            </w:r>
            <w:r>
              <w:rPr>
                <w:color w:val="000000"/>
              </w:rPr>
              <w:t xml:space="preserve">r,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149"/>
              <w:rPr>
                <w:color w:val="000000"/>
              </w:rPr>
            </w:pPr>
            <w:r>
              <w:rPr>
                <w:color w:val="000000"/>
              </w:rPr>
              <w:t>● n/a</w:t>
            </w:r>
          </w:p>
        </w:tc>
      </w:tr>
      <w:tr w:rsidR="00CF27F6">
        <w:trPr>
          <w:trHeight w:val="72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Duration of the </w:t>
            </w:r>
          </w:p>
        </w:tc>
        <w:tc>
          <w:tcPr>
            <w:tcW w:w="7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color w:val="000000"/>
              </w:rPr>
            </w:pPr>
            <w:r>
              <w:rPr>
                <w:color w:val="000000"/>
              </w:rPr>
              <w:t>From 12/01/2024 until 11/01/2025</w:t>
            </w:r>
          </w:p>
        </w:tc>
      </w:tr>
    </w:tbl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5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7625" cy="352425"/>
            <wp:effectExtent l="0" t="0" r="0" b="0"/>
            <wp:docPr id="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"/>
        <w:rPr>
          <w:color w:val="000000"/>
        </w:rPr>
      </w:pPr>
      <w:r>
        <w:rPr>
          <w:color w:val="000000"/>
        </w:rPr>
        <w:t xml:space="preserve">Framework Ref: RM1043.8 Digital Outcomes 6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 xml:space="preserve">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1" w:right="1286" w:firstLine="5"/>
        <w:rPr>
          <w:color w:val="000000"/>
        </w:rPr>
      </w:pPr>
      <w:r>
        <w:rPr>
          <w:b/>
          <w:color w:val="000000"/>
        </w:rPr>
        <w:t xml:space="preserve">Framework Schedule 6 (Order Form, Statement of Work and Call-Off Schedules) </w:t>
      </w:r>
      <w:r>
        <w:rPr>
          <w:color w:val="000000"/>
        </w:rPr>
        <w:t xml:space="preserve">Call-Off Ref: RM1043.8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1"/>
        <w:rPr>
          <w:color w:val="000000"/>
        </w:rPr>
      </w:pPr>
      <w:r>
        <w:rPr>
          <w:color w:val="000000"/>
        </w:rPr>
        <w:t xml:space="preserve">Crown Copyright 2022 </w:t>
      </w:r>
    </w:p>
    <w:tbl>
      <w:tblPr>
        <w:tblStyle w:val="a5"/>
        <w:tblW w:w="9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000"/>
      </w:tblGrid>
      <w:tr w:rsidR="00CF27F6">
        <w:trPr>
          <w:trHeight w:val="58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</w:rPr>
            </w:pPr>
            <w:r>
              <w:rPr>
                <w:color w:val="000000"/>
              </w:rPr>
              <w:t>Processing</w:t>
            </w:r>
          </w:p>
        </w:tc>
        <w:tc>
          <w:tcPr>
            <w:tcW w:w="7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CF2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F27F6">
        <w:trPr>
          <w:trHeight w:val="200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252" w:firstLine="12"/>
              <w:rPr>
                <w:color w:val="000000"/>
              </w:rPr>
            </w:pPr>
            <w:r>
              <w:rPr>
                <w:color w:val="000000"/>
              </w:rPr>
              <w:t>Nature and purposes of the Processing</w:t>
            </w:r>
          </w:p>
        </w:tc>
        <w:tc>
          <w:tcPr>
            <w:tcW w:w="7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5" w:right="160" w:hanging="2"/>
              <w:rPr>
                <w:color w:val="000000"/>
              </w:rPr>
            </w:pPr>
            <w:r>
              <w:rPr>
                <w:color w:val="000000"/>
              </w:rPr>
              <w:t xml:space="preserve">The nature of the Processing means any operation such as collection, recording, organisation, structuring, storage, adaptation or alteration, retrieval, consultation, use, disclosure </w:t>
            </w:r>
            <w:r>
              <w:rPr>
                <w:color w:val="000000"/>
              </w:rPr>
              <w:t>by transmission, dissemination or otherwise making available, alignment or combination, restriction, erasure or destruction of data (whether or not by automated means) etc.</w:t>
            </w:r>
          </w:p>
        </w:tc>
      </w:tr>
      <w:tr w:rsidR="00CF27F6">
        <w:trPr>
          <w:trHeight w:val="70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Type of Personal Data </w:t>
            </w:r>
          </w:p>
        </w:tc>
        <w:tc>
          <w:tcPr>
            <w:tcW w:w="7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</w:rPr>
            </w:pPr>
            <w:r>
              <w:rPr>
                <w:color w:val="000000"/>
              </w:rPr>
              <w:t>Name, telephone number, email address, views / opinions</w:t>
            </w:r>
          </w:p>
        </w:tc>
      </w:tr>
      <w:tr w:rsidR="00CF27F6">
        <w:trPr>
          <w:trHeight w:val="1480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 xml:space="preserve">Categories of Data </w:t>
            </w:r>
          </w:p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</w:rPr>
            </w:pPr>
            <w:r>
              <w:rPr>
                <w:color w:val="000000"/>
              </w:rPr>
              <w:t>Subject</w:t>
            </w:r>
          </w:p>
        </w:tc>
        <w:tc>
          <w:tcPr>
            <w:tcW w:w="7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7F6" w:rsidRDefault="002E4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8" w:lineRule="auto"/>
              <w:ind w:left="138" w:right="1037" w:firstLine="1"/>
              <w:rPr>
                <w:color w:val="000000"/>
              </w:rPr>
            </w:pPr>
            <w:r>
              <w:rPr>
                <w:color w:val="000000"/>
              </w:rPr>
              <w:t>Staff (including volunteers, agents, and temporary workers), customers/ clients, users of the website</w:t>
            </w:r>
          </w:p>
        </w:tc>
      </w:tr>
    </w:tbl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27F6" w:rsidRDefault="00CF27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CF27F6">
          <w:pgSz w:w="11920" w:h="16840"/>
          <w:pgMar w:top="383" w:right="830" w:bottom="438" w:left="1310" w:header="0" w:footer="720" w:gutter="0"/>
          <w:pgNumType w:start="1"/>
          <w:cols w:space="720"/>
        </w:sectPr>
      </w:pP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</w:rPr>
      </w:pPr>
      <w:r>
        <w:rPr>
          <w:color w:val="000000"/>
        </w:rPr>
        <w:t xml:space="preserve">Plan for return and destruction of the data once the Processing is complete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rPr>
          <w:color w:val="000000"/>
        </w:rPr>
      </w:pPr>
      <w:r>
        <w:rPr>
          <w:color w:val="000000"/>
        </w:rPr>
        <w:t xml:space="preserve">UNLESS requirement under Union or Member State law to preserve that type of data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n/a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89" w:line="240" w:lineRule="auto"/>
        <w:rPr>
          <w:color w:val="000000"/>
        </w:rPr>
        <w:sectPr w:rsidR="00CF27F6">
          <w:type w:val="continuous"/>
          <w:pgSz w:w="11920" w:h="16840"/>
          <w:pgMar w:top="383" w:right="1465" w:bottom="438" w:left="1443" w:header="0" w:footer="720" w:gutter="0"/>
          <w:cols w:num="2" w:space="720" w:equalWidth="0">
            <w:col w:w="4520" w:space="0"/>
            <w:col w:w="4520" w:space="0"/>
          </w:cols>
        </w:sectPr>
      </w:pPr>
      <w:r>
        <w:rPr>
          <w:noProof/>
          <w:color w:val="000000"/>
        </w:rPr>
        <w:lastRenderedPageBreak/>
        <w:drawing>
          <wp:inline distT="19050" distB="19050" distL="19050" distR="19050">
            <wp:extent cx="47625" cy="352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6" w:right="5051" w:firstLine="1"/>
        <w:rPr>
          <w:color w:val="000000"/>
        </w:rPr>
      </w:pPr>
      <w:r>
        <w:rPr>
          <w:color w:val="000000"/>
        </w:rPr>
        <w:t xml:space="preserve">Framework Ref: RM1043.8 Digital Outcomes 6 Project Version: v2.0 </w:t>
      </w:r>
    </w:p>
    <w:p w:rsidR="00CF27F6" w:rsidRDefault="002E4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6"/>
        <w:rPr>
          <w:color w:val="000000"/>
        </w:rPr>
      </w:pPr>
      <w:r>
        <w:rPr>
          <w:color w:val="000000"/>
        </w:rPr>
        <w:t>Model Version: v3.8</w:t>
      </w:r>
    </w:p>
    <w:sectPr w:rsidR="00CF27F6">
      <w:type w:val="continuous"/>
      <w:pgSz w:w="11920" w:h="16840"/>
      <w:pgMar w:top="383" w:right="830" w:bottom="438" w:left="1310" w:header="0" w:footer="720" w:gutter="0"/>
      <w:cols w:space="720" w:equalWidth="0">
        <w:col w:w="97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F6"/>
    <w:rsid w:val="002E4657"/>
    <w:rsid w:val="00353477"/>
    <w:rsid w:val="00BA7807"/>
    <w:rsid w:val="00CF27F6"/>
    <w:rsid w:val="00F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D2AB"/>
  <w15:docId w15:val="{3AF7CEBE-5EF2-6643-AD10-3B34C2A2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2024-01-12T11:08:00Z</dcterms:created>
  <dcterms:modified xsi:type="dcterms:W3CDTF">2024-01-12T11:08:00Z</dcterms:modified>
</cp:coreProperties>
</file>