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7065" w14:textId="3508B88A" w:rsidR="004C298B" w:rsidRPr="006039C0" w:rsidRDefault="00D9691B" w:rsidP="006039C0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6039C0">
        <w:rPr>
          <w:rFonts w:ascii="Arial" w:eastAsiaTheme="minorEastAsia" w:hAnsi="Arial" w:cs="Arial"/>
          <w:b/>
          <w:bCs/>
          <w:sz w:val="28"/>
          <w:szCs w:val="28"/>
          <w:u w:val="single"/>
        </w:rPr>
        <w:t xml:space="preserve">DoLS Soft Market </w:t>
      </w:r>
      <w:r w:rsidR="67470412" w:rsidRPr="006039C0">
        <w:rPr>
          <w:rFonts w:ascii="Arial" w:eastAsiaTheme="minorEastAsia" w:hAnsi="Arial" w:cs="Arial"/>
          <w:b/>
          <w:bCs/>
          <w:sz w:val="28"/>
          <w:szCs w:val="28"/>
          <w:u w:val="single"/>
        </w:rPr>
        <w:t>Consultation</w:t>
      </w:r>
      <w:r w:rsidR="006039C0">
        <w:rPr>
          <w:rFonts w:ascii="Arial" w:eastAsiaTheme="minorEastAsia" w:hAnsi="Arial" w:cs="Arial"/>
          <w:b/>
          <w:bCs/>
          <w:sz w:val="28"/>
          <w:szCs w:val="28"/>
          <w:u w:val="single"/>
        </w:rPr>
        <w:t xml:space="preserve"> – Nottingham City Council</w:t>
      </w:r>
    </w:p>
    <w:p w14:paraId="018005AB" w14:textId="77777777" w:rsidR="006039C0" w:rsidRDefault="006039C0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4C30845" w14:textId="2BADC4AA" w:rsidR="00013392" w:rsidRPr="006039C0" w:rsidRDefault="00F87AAD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6039C0">
        <w:rPr>
          <w:rFonts w:ascii="Arial" w:eastAsiaTheme="minorEastAsia" w:hAnsi="Arial" w:cs="Arial"/>
          <w:b/>
          <w:sz w:val="24"/>
          <w:szCs w:val="24"/>
        </w:rPr>
        <w:t>Ov</w:t>
      </w:r>
      <w:r w:rsidR="00510FB2" w:rsidRPr="006039C0">
        <w:rPr>
          <w:rFonts w:ascii="Arial" w:eastAsiaTheme="minorEastAsia" w:hAnsi="Arial" w:cs="Arial"/>
          <w:b/>
          <w:sz w:val="24"/>
          <w:szCs w:val="24"/>
        </w:rPr>
        <w:t>erv</w:t>
      </w:r>
      <w:r w:rsidRPr="006039C0">
        <w:rPr>
          <w:rFonts w:ascii="Arial" w:eastAsiaTheme="minorEastAsia" w:hAnsi="Arial" w:cs="Arial"/>
          <w:b/>
          <w:sz w:val="24"/>
          <w:szCs w:val="24"/>
        </w:rPr>
        <w:t>iew</w:t>
      </w:r>
    </w:p>
    <w:p w14:paraId="2D2E74D9" w14:textId="77777777" w:rsidR="004C298B" w:rsidRPr="006039C0" w:rsidRDefault="004C298B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46FABC6C" w14:textId="6B8EB034" w:rsidR="004826F7" w:rsidRPr="006039C0" w:rsidRDefault="00DA0199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Nottingham City Council are </w:t>
      </w:r>
      <w:r w:rsidR="00B96A41" w:rsidRPr="006039C0">
        <w:rPr>
          <w:rFonts w:ascii="Arial" w:eastAsiaTheme="minorEastAsia" w:hAnsi="Arial" w:cs="Arial"/>
          <w:sz w:val="24"/>
          <w:szCs w:val="24"/>
        </w:rPr>
        <w:t>seeking to</w:t>
      </w:r>
      <w:r w:rsidR="5C1D03C3" w:rsidRPr="006039C0">
        <w:rPr>
          <w:rFonts w:ascii="Arial" w:eastAsiaTheme="minorEastAsia" w:hAnsi="Arial" w:cs="Arial"/>
          <w:sz w:val="24"/>
          <w:szCs w:val="24"/>
        </w:rPr>
        <w:t xml:space="preserve"> better understand 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the current local DoLS sector to gain an understanding of capacity, staffing resources, </w:t>
      </w:r>
      <w:proofErr w:type="gramStart"/>
      <w:r w:rsidR="004826F7" w:rsidRPr="006039C0">
        <w:rPr>
          <w:rFonts w:ascii="Arial" w:eastAsiaTheme="minorEastAsia" w:hAnsi="Arial" w:cs="Arial"/>
          <w:sz w:val="24"/>
          <w:szCs w:val="24"/>
        </w:rPr>
        <w:t>skills</w:t>
      </w:r>
      <w:proofErr w:type="gramEnd"/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 and qualifications available </w:t>
      </w:r>
      <w:r w:rsidR="004C298B" w:rsidRPr="006039C0">
        <w:rPr>
          <w:rFonts w:ascii="Arial" w:eastAsiaTheme="minorEastAsia" w:hAnsi="Arial" w:cs="Arial"/>
          <w:sz w:val="24"/>
          <w:szCs w:val="24"/>
        </w:rPr>
        <w:t>so this can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 help tailor our future service requirements</w:t>
      </w:r>
      <w:r w:rsidR="004C298B" w:rsidRPr="006039C0">
        <w:rPr>
          <w:rFonts w:ascii="Arial" w:eastAsiaTheme="minorEastAsia" w:hAnsi="Arial" w:cs="Arial"/>
          <w:sz w:val="24"/>
          <w:szCs w:val="24"/>
        </w:rPr>
        <w:t>.</w:t>
      </w:r>
      <w:r w:rsidR="295ED099" w:rsidRPr="006039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458F824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296CE98" w14:textId="5C0ABE77" w:rsidR="00DA0199" w:rsidRPr="006039C0" w:rsidRDefault="34FAE6C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This soft market 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consultation </w:t>
      </w:r>
      <w:r w:rsidRPr="006039C0">
        <w:rPr>
          <w:rFonts w:ascii="Arial" w:eastAsiaTheme="minorEastAsia" w:hAnsi="Arial" w:cs="Arial"/>
          <w:sz w:val="24"/>
          <w:szCs w:val="24"/>
        </w:rPr>
        <w:t xml:space="preserve">contains statements which set out Nottingham City Council’s requirements and </w:t>
      </w:r>
      <w:r w:rsidR="4B0D8E5B" w:rsidRPr="006039C0">
        <w:rPr>
          <w:rFonts w:ascii="Arial" w:eastAsiaTheme="minorEastAsia" w:hAnsi="Arial" w:cs="Arial"/>
          <w:sz w:val="24"/>
          <w:szCs w:val="24"/>
        </w:rPr>
        <w:t>poses questions to the providers around capability and capacity</w:t>
      </w:r>
      <w:r w:rsidR="00411AAF" w:rsidRPr="006039C0">
        <w:rPr>
          <w:rFonts w:ascii="Arial" w:eastAsiaTheme="minorEastAsia" w:hAnsi="Arial" w:cs="Arial"/>
          <w:sz w:val="24"/>
          <w:szCs w:val="24"/>
        </w:rPr>
        <w:t xml:space="preserve"> and the Council’s requirements</w:t>
      </w:r>
      <w:r w:rsidR="4B0D8E5B" w:rsidRPr="006039C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04179E65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E788AA2" w14:textId="74EB5E4B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Please complete the form at the end of this document with your response.</w:t>
      </w:r>
    </w:p>
    <w:p w14:paraId="6FCEE09E" w14:textId="43910C4A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35117CA" w14:textId="41826147" w:rsidR="004826F7" w:rsidRPr="006039C0" w:rsidRDefault="004826F7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  <w:t>Current Volumes</w:t>
      </w:r>
    </w:p>
    <w:p w14:paraId="07D270BD" w14:textId="77777777" w:rsidR="004C298B" w:rsidRPr="006039C0" w:rsidRDefault="004C298B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u w:val="single"/>
          <w:lang w:eastAsia="en-GB"/>
        </w:rPr>
      </w:pPr>
    </w:p>
    <w:p w14:paraId="77C1950D" w14:textId="15060598" w:rsidR="00E17BEC" w:rsidRDefault="00E17BEC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  <w:t xml:space="preserve">NCC </w:t>
      </w:r>
      <w:r w:rsidR="00DA0199" w:rsidRPr="006039C0"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  <w:t xml:space="preserve">Outsourced </w:t>
      </w:r>
      <w:r w:rsidRPr="006039C0"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  <w:t>DoLS Assessments 2023-</w:t>
      </w:r>
      <w:r w:rsidR="00DA0199" w:rsidRPr="006039C0"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  <w:t>2024</w:t>
      </w:r>
      <w:r w:rsidR="006039C0"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  <w:t>:</w:t>
      </w:r>
    </w:p>
    <w:p w14:paraId="69CE1A9E" w14:textId="77777777" w:rsidR="006039C0" w:rsidRPr="006039C0" w:rsidRDefault="006039C0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  <w:iCs/>
          <w:color w:val="000000"/>
          <w:sz w:val="24"/>
          <w:szCs w:val="24"/>
          <w:lang w:eastAsia="en-GB"/>
        </w:rPr>
      </w:pP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2830"/>
        <w:gridCol w:w="5245"/>
      </w:tblGrid>
      <w:tr w:rsidR="00681562" w:rsidRPr="006039C0" w14:paraId="5A98F4D1" w14:textId="77777777" w:rsidTr="006039C0">
        <w:tc>
          <w:tcPr>
            <w:tcW w:w="2830" w:type="dxa"/>
          </w:tcPr>
          <w:p w14:paraId="369C6839" w14:textId="77777777" w:rsidR="00681562" w:rsidRPr="006039C0" w:rsidRDefault="00681562" w:rsidP="006039C0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sz w:val="24"/>
                <w:szCs w:val="24"/>
              </w:rPr>
              <w:t>Type of Assessment</w:t>
            </w:r>
          </w:p>
        </w:tc>
        <w:tc>
          <w:tcPr>
            <w:tcW w:w="5245" w:type="dxa"/>
          </w:tcPr>
          <w:p w14:paraId="5B76593F" w14:textId="72511AF8" w:rsidR="00681562" w:rsidRPr="006039C0" w:rsidRDefault="00681562" w:rsidP="006039C0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sz w:val="24"/>
                <w:szCs w:val="24"/>
              </w:rPr>
              <w:t>Number of agency assessments expected to be required 2023-24</w:t>
            </w:r>
            <w:r w:rsidR="005E403D" w:rsidRPr="006039C0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B96810" w:rsidRPr="006039C0" w14:paraId="2909D89F" w14:textId="77777777" w:rsidTr="006039C0">
        <w:tc>
          <w:tcPr>
            <w:tcW w:w="2830" w:type="dxa"/>
          </w:tcPr>
          <w:p w14:paraId="38F4CB58" w14:textId="77777777" w:rsidR="00B96810" w:rsidRPr="006039C0" w:rsidRDefault="00B96810" w:rsidP="006039C0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sz w:val="24"/>
                <w:szCs w:val="24"/>
              </w:rPr>
              <w:t>Best Interests Assessor</w:t>
            </w:r>
          </w:p>
        </w:tc>
        <w:tc>
          <w:tcPr>
            <w:tcW w:w="5245" w:type="dxa"/>
          </w:tcPr>
          <w:p w14:paraId="67964945" w14:textId="6A03A887" w:rsidR="00B96810" w:rsidRPr="006039C0" w:rsidRDefault="00B96810" w:rsidP="006039C0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sz w:val="24"/>
                <w:szCs w:val="24"/>
              </w:rPr>
              <w:t>Approx 9 per month</w:t>
            </w:r>
          </w:p>
        </w:tc>
      </w:tr>
      <w:tr w:rsidR="00B96810" w:rsidRPr="006039C0" w14:paraId="2E0569EB" w14:textId="77777777" w:rsidTr="006039C0">
        <w:tc>
          <w:tcPr>
            <w:tcW w:w="2830" w:type="dxa"/>
          </w:tcPr>
          <w:p w14:paraId="79C80754" w14:textId="77777777" w:rsidR="00B96810" w:rsidRPr="006039C0" w:rsidRDefault="00B96810" w:rsidP="006039C0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sz w:val="24"/>
                <w:szCs w:val="24"/>
              </w:rPr>
              <w:t>Mental Health Assessor</w:t>
            </w:r>
          </w:p>
        </w:tc>
        <w:tc>
          <w:tcPr>
            <w:tcW w:w="5245" w:type="dxa"/>
          </w:tcPr>
          <w:p w14:paraId="0526E6C8" w14:textId="2965438C" w:rsidR="00B96810" w:rsidRPr="006039C0" w:rsidRDefault="00B96810" w:rsidP="006039C0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sz w:val="24"/>
                <w:szCs w:val="24"/>
              </w:rPr>
              <w:t>Approx 30 per month</w:t>
            </w:r>
          </w:p>
        </w:tc>
      </w:tr>
    </w:tbl>
    <w:p w14:paraId="724AB205" w14:textId="77777777" w:rsidR="00681562" w:rsidRPr="006039C0" w:rsidRDefault="00681562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7CEB133F" w14:textId="4BDDF02B" w:rsidR="00E72CC7" w:rsidRPr="006039C0" w:rsidRDefault="00E72CC7" w:rsidP="006039C0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Systems and </w:t>
      </w:r>
      <w:r w:rsidR="004C298B"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>P</w:t>
      </w: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rocesses </w:t>
      </w:r>
    </w:p>
    <w:p w14:paraId="4D290736" w14:textId="77777777" w:rsidR="004C298B" w:rsidRPr="006039C0" w:rsidRDefault="004C298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3D7AD4AA" w14:textId="77777777" w:rsidR="00B96810" w:rsidRPr="006039C0" w:rsidRDefault="00B96810" w:rsidP="006039C0">
      <w:pPr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</w:rPr>
        <w:t>NCC Requirements</w:t>
      </w:r>
    </w:p>
    <w:p w14:paraId="2C3D51AE" w14:textId="5011C4CC" w:rsidR="00B96810" w:rsidRPr="006039C0" w:rsidRDefault="00B96810" w:rsidP="006039C0">
      <w:pPr>
        <w:shd w:val="clear" w:color="auto" w:fill="FFFFFF" w:themeFill="background1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6039C0">
        <w:rPr>
          <w:rFonts w:ascii="Arial" w:hAnsi="Arial" w:cs="Arial"/>
          <w:sz w:val="24"/>
          <w:szCs w:val="24"/>
        </w:rPr>
        <w:t>NCC requires the provider to have access to: Email, Microsoft software (or software wh</w:t>
      </w:r>
      <w:r w:rsidR="00BA566C">
        <w:rPr>
          <w:rFonts w:ascii="Arial" w:hAnsi="Arial" w:cs="Arial"/>
          <w:sz w:val="24"/>
          <w:szCs w:val="24"/>
        </w:rPr>
        <w:t>ich</w:t>
      </w:r>
      <w:r w:rsidRPr="006039C0">
        <w:rPr>
          <w:rFonts w:ascii="Arial" w:hAnsi="Arial" w:cs="Arial"/>
          <w:sz w:val="24"/>
          <w:szCs w:val="24"/>
        </w:rPr>
        <w:t xml:space="preserve"> can </w:t>
      </w:r>
      <w:proofErr w:type="gramStart"/>
      <w:r w:rsidRPr="006039C0">
        <w:rPr>
          <w:rFonts w:ascii="Arial" w:hAnsi="Arial" w:cs="Arial"/>
          <w:sz w:val="24"/>
          <w:szCs w:val="24"/>
        </w:rPr>
        <w:t>be used</w:t>
      </w:r>
      <w:proofErr w:type="gramEnd"/>
      <w:r w:rsidRPr="006039C0">
        <w:rPr>
          <w:rFonts w:ascii="Arial" w:hAnsi="Arial" w:cs="Arial"/>
          <w:sz w:val="24"/>
          <w:szCs w:val="24"/>
        </w:rPr>
        <w:t xml:space="preserve"> by the Council’s Microsoft based systems – word, excel, outlook), </w:t>
      </w:r>
      <w:r w:rsidR="00062B40">
        <w:rPr>
          <w:rFonts w:ascii="Arial" w:hAnsi="Arial" w:cs="Arial"/>
          <w:sz w:val="24"/>
          <w:szCs w:val="24"/>
        </w:rPr>
        <w:t>P</w:t>
      </w:r>
      <w:r w:rsidRPr="006039C0">
        <w:rPr>
          <w:rFonts w:ascii="Arial" w:hAnsi="Arial" w:cs="Arial"/>
          <w:sz w:val="24"/>
          <w:szCs w:val="24"/>
        </w:rPr>
        <w:t xml:space="preserve">erformance Management/MI reporting systems, Teams, </w:t>
      </w:r>
      <w:r w:rsidR="00062B40">
        <w:rPr>
          <w:rFonts w:ascii="Arial" w:hAnsi="Arial" w:cs="Arial"/>
          <w:sz w:val="24"/>
          <w:szCs w:val="24"/>
        </w:rPr>
        <w:t>Telephone</w:t>
      </w:r>
      <w:r w:rsidRPr="006039C0">
        <w:rPr>
          <w:rFonts w:ascii="Arial" w:hAnsi="Arial" w:cs="Arial"/>
          <w:sz w:val="24"/>
          <w:szCs w:val="24"/>
        </w:rPr>
        <w:t>.</w:t>
      </w:r>
    </w:p>
    <w:p w14:paraId="6B313EF8" w14:textId="77777777" w:rsidR="006039C0" w:rsidRPr="006039C0" w:rsidRDefault="006039C0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2C169BA4" w14:textId="41BE829A" w:rsidR="00B96810" w:rsidRPr="006039C0" w:rsidRDefault="00B96810" w:rsidP="006039C0">
      <w:pPr>
        <w:shd w:val="clear" w:color="auto" w:fill="FFFFFF" w:themeFill="background1"/>
        <w:spacing w:after="15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Please confirm your access to the following working software, </w:t>
      </w:r>
      <w:proofErr w:type="gramStart"/>
      <w:r w:rsidRPr="006039C0">
        <w:rPr>
          <w:rFonts w:ascii="Arial" w:eastAsiaTheme="minorEastAsia" w:hAnsi="Arial" w:cs="Arial"/>
          <w:sz w:val="24"/>
          <w:szCs w:val="24"/>
          <w:lang w:eastAsia="en-GB"/>
        </w:rPr>
        <w:t>systems</w:t>
      </w:r>
      <w:proofErr w:type="gramEnd"/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and processes i.e., dashboards, emails communications, software systems.</w:t>
      </w:r>
    </w:p>
    <w:p w14:paraId="37091F31" w14:textId="77777777" w:rsidR="00194D44" w:rsidRPr="006039C0" w:rsidRDefault="00194D44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3E263AF" w14:textId="5AB38EDC" w:rsidR="00013392" w:rsidRPr="006039C0" w:rsidRDefault="00E72CC7" w:rsidP="006039C0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>Staffing</w:t>
      </w:r>
      <w:r w:rsidR="00F707D9"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 </w:t>
      </w:r>
    </w:p>
    <w:p w14:paraId="283A2B26" w14:textId="77777777" w:rsidR="004C298B" w:rsidRPr="006039C0" w:rsidRDefault="004C298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43DF6EC6" w14:textId="1884ED05" w:rsidR="059D32CB" w:rsidRPr="006039C0" w:rsidRDefault="059D32CB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</w:rPr>
        <w:t>NCC Requirements</w:t>
      </w:r>
    </w:p>
    <w:p w14:paraId="59A7AC70" w14:textId="03BED07F" w:rsidR="004826F7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Whilst Nottingham City Council has an internal DoLS team, it requires additional assessments to be undertaken externally. 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The Council would like to understand your current workforce capacity and availability. </w:t>
      </w:r>
    </w:p>
    <w:p w14:paraId="5DC4EF57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14:paraId="00D6174C" w14:textId="3C180CE4" w:rsidR="009B1D0E" w:rsidRPr="006039C0" w:rsidRDefault="004826F7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The Council would expect </w:t>
      </w:r>
      <w:r w:rsidR="004C298B" w:rsidRPr="006039C0">
        <w:rPr>
          <w:rFonts w:ascii="Arial" w:eastAsiaTheme="minorEastAsia" w:hAnsi="Arial" w:cs="Arial"/>
          <w:sz w:val="24"/>
          <w:szCs w:val="24"/>
        </w:rPr>
        <w:t>assessments</w:t>
      </w:r>
      <w:r w:rsidRPr="006039C0">
        <w:rPr>
          <w:rFonts w:ascii="Arial" w:eastAsiaTheme="minorEastAsia" w:hAnsi="Arial" w:cs="Arial"/>
          <w:sz w:val="24"/>
          <w:szCs w:val="24"/>
        </w:rPr>
        <w:t xml:space="preserve"> to be undertaken by BIA’s with a minimum of two </w:t>
      </w:r>
      <w:r w:rsidR="009B1D0E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years’ experience. </w:t>
      </w:r>
      <w:r w:rsidR="1715368F" w:rsidRPr="006039C0">
        <w:rPr>
          <w:rFonts w:ascii="Arial" w:eastAsiaTheme="minorEastAsia" w:hAnsi="Arial" w:cs="Arial"/>
          <w:sz w:val="24"/>
          <w:szCs w:val="24"/>
          <w:lang w:eastAsia="en-GB"/>
        </w:rPr>
        <w:t>Face-to-face</w:t>
      </w:r>
      <w:r w:rsidR="1A864DC5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2FF6E5BE" w:rsidRPr="006039C0">
        <w:rPr>
          <w:rFonts w:ascii="Arial" w:eastAsiaTheme="minorEastAsia" w:hAnsi="Arial" w:cs="Arial"/>
          <w:sz w:val="24"/>
          <w:szCs w:val="24"/>
          <w:lang w:eastAsia="en-GB"/>
        </w:rPr>
        <w:t>appointments to be offered as standard.</w:t>
      </w:r>
      <w:r w:rsidR="00CF76BC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It would also be required that ou</w:t>
      </w:r>
      <w:r w:rsidR="00262226" w:rsidRPr="006039C0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="00CF76BC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of area assessments are to be undertaken.</w:t>
      </w:r>
    </w:p>
    <w:p w14:paraId="101E9AA3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BB9B407" w14:textId="1575FC1F" w:rsidR="00CF76BC" w:rsidRPr="006039C0" w:rsidRDefault="004826F7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The Council would require a </w:t>
      </w:r>
      <w:r w:rsidR="00E72CC7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workforce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with </w:t>
      </w:r>
      <w:r w:rsidR="00E72CC7" w:rsidRPr="006039C0">
        <w:rPr>
          <w:rFonts w:ascii="Arial" w:eastAsiaTheme="minorEastAsia" w:hAnsi="Arial" w:cs="Arial"/>
          <w:sz w:val="24"/>
          <w:szCs w:val="24"/>
          <w:lang w:eastAsia="en-GB"/>
        </w:rPr>
        <w:t>capacity and availability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to meet the current volumes</w:t>
      </w:r>
      <w:r w:rsidR="00CF76BC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for BIA’s and MHA’s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stated above</w:t>
      </w:r>
      <w:r w:rsidR="00E91EEC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, in accordance with the </w:t>
      </w:r>
      <w:r w:rsidR="004C298B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deadlines in the </w:t>
      </w:r>
      <w:r w:rsidR="00E91EEC" w:rsidRPr="006039C0">
        <w:rPr>
          <w:rFonts w:ascii="Arial" w:eastAsiaTheme="minorEastAsia" w:hAnsi="Arial" w:cs="Arial"/>
          <w:sz w:val="24"/>
          <w:szCs w:val="24"/>
          <w:lang w:eastAsia="en-GB"/>
        </w:rPr>
        <w:t>Deprivation of Liberty Code of Practice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, along with </w:t>
      </w:r>
      <w:r w:rsidR="00CF76BC" w:rsidRPr="006039C0">
        <w:rPr>
          <w:rFonts w:ascii="Arial" w:eastAsiaTheme="minorEastAsia" w:hAnsi="Arial" w:cs="Arial"/>
          <w:sz w:val="24"/>
          <w:szCs w:val="24"/>
          <w:lang w:eastAsia="en-GB"/>
        </w:rPr>
        <w:t>the ability to meet any increase in demand for assessments</w:t>
      </w:r>
      <w:r w:rsidR="00E72CC7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. </w:t>
      </w:r>
    </w:p>
    <w:p w14:paraId="547093DB" w14:textId="77777777" w:rsidR="00D7437E" w:rsidRPr="006039C0" w:rsidRDefault="00D7437E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bookmarkStart w:id="0" w:name="_Hlk159422092"/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lastRenderedPageBreak/>
        <w:t>Response</w:t>
      </w:r>
    </w:p>
    <w:bookmarkEnd w:id="0"/>
    <w:p w14:paraId="389153B3" w14:textId="54B7ABDC" w:rsidR="00CF76BC" w:rsidRPr="006039C0" w:rsidRDefault="00CF76B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Suggestions, comments are therefore welcome on these requirements. Please provide details of your workforce capacity in respect of the above, particularly the split between BIAs and MHAs, so the </w:t>
      </w:r>
      <w:r w:rsidRPr="006039C0">
        <w:rPr>
          <w:rFonts w:ascii="Arial" w:eastAsiaTheme="minorEastAsia" w:hAnsi="Arial" w:cs="Arial"/>
          <w:sz w:val="24"/>
          <w:szCs w:val="24"/>
        </w:rPr>
        <w:t>Council can understand your current workforce capacity and</w:t>
      </w:r>
      <w:r w:rsidR="00E069DC" w:rsidRPr="006039C0">
        <w:rPr>
          <w:rFonts w:ascii="Arial" w:eastAsiaTheme="minorEastAsia" w:hAnsi="Arial" w:cs="Arial"/>
          <w:sz w:val="24"/>
          <w:szCs w:val="24"/>
        </w:rPr>
        <w:t xml:space="preserve"> resource availability.</w:t>
      </w:r>
    </w:p>
    <w:p w14:paraId="18757D03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67D86FAD" w14:textId="68F395B2" w:rsidR="00AA2665" w:rsidRPr="006039C0" w:rsidRDefault="00AA2665" w:rsidP="006039C0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Training </w:t>
      </w:r>
    </w:p>
    <w:p w14:paraId="24EAB0E5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1C4946FA" w14:textId="160774DA" w:rsidR="009B1D0E" w:rsidRPr="006039C0" w:rsidRDefault="5BBA559E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</w:rPr>
        <w:t>NCC Requirements</w:t>
      </w:r>
    </w:p>
    <w:p w14:paraId="6AE92251" w14:textId="67F18345" w:rsidR="009B1D0E" w:rsidRPr="006039C0" w:rsidRDefault="1D15706D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Nottingham City Council BIAs undertake annual refresher training. </w:t>
      </w:r>
      <w:r w:rsidR="5BBA559E" w:rsidRPr="006039C0">
        <w:rPr>
          <w:rFonts w:ascii="Arial" w:eastAsiaTheme="minorEastAsia" w:hAnsi="Arial" w:cs="Arial"/>
          <w:sz w:val="24"/>
          <w:szCs w:val="24"/>
        </w:rPr>
        <w:t xml:space="preserve">We require the provider to ensure that BIAs </w:t>
      </w:r>
      <w:r w:rsidR="5E708B3B" w:rsidRPr="006039C0">
        <w:rPr>
          <w:rFonts w:ascii="Arial" w:eastAsiaTheme="minorEastAsia" w:hAnsi="Arial" w:cs="Arial"/>
          <w:sz w:val="24"/>
          <w:szCs w:val="24"/>
        </w:rPr>
        <w:t>ensure they are meeting the legal requirements and working to best practice principles through up-to-date training.</w:t>
      </w:r>
    </w:p>
    <w:p w14:paraId="0900D386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58346F2" w14:textId="77777777" w:rsidR="00D7437E" w:rsidRPr="006039C0" w:rsidRDefault="00D7437E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57EFA0E5" w14:textId="25490A63" w:rsidR="00804AB3" w:rsidRPr="006039C0" w:rsidRDefault="00C07745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Suggestions and comments are welcome on how often </w:t>
      </w:r>
      <w:r w:rsidR="00E91EEC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you consider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BIA’s should be required to undertake refresher training.</w:t>
      </w:r>
    </w:p>
    <w:p w14:paraId="2366D30D" w14:textId="77777777" w:rsidR="009B3860" w:rsidRPr="006039C0" w:rsidRDefault="009B3860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B441BCF" w14:textId="62F6F790" w:rsidR="00AA2665" w:rsidRPr="006039C0" w:rsidRDefault="00AA2665" w:rsidP="006039C0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Management </w:t>
      </w:r>
    </w:p>
    <w:p w14:paraId="5546D898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3C06369A" w14:textId="77777777" w:rsidR="007D43CF" w:rsidRPr="006039C0" w:rsidRDefault="007D43C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 xml:space="preserve">NCC Requirements </w:t>
      </w:r>
    </w:p>
    <w:p w14:paraId="15409432" w14:textId="0947918C" w:rsidR="007D43CF" w:rsidRPr="006039C0" w:rsidRDefault="00C07745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The Council would require a c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onsistent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service 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lead manager to oversee the mobilisation and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provide effective management of the 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>day-to-day running of the service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to ensure delays are mitigated to avoid litigations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.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They would also be required to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attend regular quality monitoring meetings and be responsive to information requests or meetings outside of monitoring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meetings </w:t>
      </w:r>
      <w:r w:rsidR="465B97B3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as required. </w:t>
      </w:r>
    </w:p>
    <w:p w14:paraId="2EB59B51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AA17B06" w14:textId="77777777" w:rsidR="00D7437E" w:rsidRPr="006039C0" w:rsidRDefault="00D7437E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bookmarkStart w:id="1" w:name="_Hlk156202493"/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22398124" w14:textId="7E204E47" w:rsidR="00E72CC7" w:rsidRPr="006039C0" w:rsidRDefault="00C07745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Suggestions and comments are welcome on the Council above expectations.</w:t>
      </w:r>
      <w:bookmarkEnd w:id="1"/>
    </w:p>
    <w:p w14:paraId="699B893D" w14:textId="59605972" w:rsidR="0082693A" w:rsidRPr="006039C0" w:rsidRDefault="0082693A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E7943C7" w14:textId="72EF6DC3" w:rsidR="00202D83" w:rsidRPr="006039C0" w:rsidRDefault="00202D83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6039C0">
        <w:rPr>
          <w:rFonts w:ascii="Arial" w:eastAsiaTheme="minorEastAsia" w:hAnsi="Arial" w:cs="Arial"/>
          <w:b/>
          <w:sz w:val="24"/>
          <w:szCs w:val="24"/>
        </w:rPr>
        <w:t>Quality</w:t>
      </w:r>
    </w:p>
    <w:p w14:paraId="7A51DA5C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65987A7D" w14:textId="643CB026" w:rsidR="0082693A" w:rsidRPr="006039C0" w:rsidRDefault="0082693A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 xml:space="preserve">NCC </w:t>
      </w:r>
      <w:r w:rsidR="00567497"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 xml:space="preserve">requirements </w:t>
      </w:r>
    </w:p>
    <w:p w14:paraId="7ED92305" w14:textId="572761CB" w:rsidR="00C36FDB" w:rsidRPr="006039C0" w:rsidRDefault="00C36FD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The Council requires reporting on the time taken to correctly complete assessments. There needs to be a c</w:t>
      </w:r>
      <w:r w:rsidR="00567497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ommitment to complete assessments on time and in accordance with the quality criteria for </w:t>
      </w:r>
      <w:r w:rsidR="7B9A4666" w:rsidRPr="006039C0">
        <w:rPr>
          <w:rFonts w:ascii="Arial" w:eastAsiaTheme="minorEastAsia" w:hAnsi="Arial" w:cs="Arial"/>
          <w:sz w:val="24"/>
          <w:szCs w:val="24"/>
          <w:lang w:eastAsia="en-GB"/>
        </w:rPr>
        <w:t>assessments.</w:t>
      </w:r>
      <w:r w:rsidR="006A0904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5F7AD2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The provider will need to take ownership of the quality </w:t>
      </w:r>
      <w:r w:rsidR="00B35165" w:rsidRPr="006039C0">
        <w:rPr>
          <w:rFonts w:ascii="Arial" w:eastAsiaTheme="minorEastAsia" w:hAnsi="Arial" w:cs="Arial"/>
          <w:sz w:val="24"/>
          <w:szCs w:val="24"/>
          <w:lang w:eastAsia="en-GB"/>
        </w:rPr>
        <w:t>management to ensure</w:t>
      </w:r>
      <w:r w:rsidR="001264D9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274A06B8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that </w:t>
      </w:r>
      <w:proofErr w:type="gramStart"/>
      <w:r w:rsidR="274A06B8" w:rsidRPr="006039C0">
        <w:rPr>
          <w:rFonts w:ascii="Arial" w:eastAsiaTheme="minorEastAsia" w:hAnsi="Arial" w:cs="Arial"/>
          <w:sz w:val="24"/>
          <w:szCs w:val="24"/>
          <w:lang w:eastAsia="en-GB"/>
        </w:rPr>
        <w:t>good</w:t>
      </w:r>
      <w:r w:rsidR="00B35165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quality</w:t>
      </w:r>
      <w:proofErr w:type="gramEnd"/>
      <w:r w:rsidR="00B35165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assessments are returned</w:t>
      </w:r>
      <w:r w:rsidR="37BD43A3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with a low amendment rate</w:t>
      </w:r>
      <w:r w:rsidR="00B35165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. </w:t>
      </w:r>
    </w:p>
    <w:p w14:paraId="6A481B16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F5F0C6E" w14:textId="66F1D556" w:rsidR="00C36FDB" w:rsidRPr="006039C0" w:rsidRDefault="00C36FD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The Council’s preference would be for a quality assurance/manager/team to be in place to meet the above requirements.</w:t>
      </w:r>
    </w:p>
    <w:p w14:paraId="0953EB18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33F1810" w14:textId="77777777" w:rsidR="00D7437E" w:rsidRPr="006039C0" w:rsidRDefault="00D7437E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bookmarkStart w:id="2" w:name="_Hlk156203221"/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7FFC343F" w14:textId="38680396" w:rsidR="00C36FDB" w:rsidRPr="006039C0" w:rsidRDefault="00C36FD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Suggestions and comments are welcome on the Council above expectations, particularly in relation to any challenges you would face regarding this and what you consider an acceptable % figure for</w:t>
      </w:r>
      <w:r w:rsidR="00E91EEC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assessments requiring amendments per month.</w:t>
      </w:r>
      <w:bookmarkEnd w:id="2"/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</w:p>
    <w:p w14:paraId="21094808" w14:textId="77777777" w:rsidR="00062B40" w:rsidRDefault="00062B40" w:rsidP="006039C0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  <w:sectPr w:rsidR="00062B4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92525C" w14:textId="53939D5E" w:rsidR="006F0B13" w:rsidRPr="006039C0" w:rsidRDefault="5B4EFE1B" w:rsidP="006039C0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lastRenderedPageBreak/>
        <w:t>Timescales and monitoring</w:t>
      </w:r>
      <w:r w:rsidR="006F0B13"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 </w:t>
      </w:r>
    </w:p>
    <w:p w14:paraId="4BFA4A8E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55912A96" w14:textId="51F2F1FF" w:rsidR="006F0B13" w:rsidRPr="006039C0" w:rsidRDefault="006F0B13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NCC requirements</w:t>
      </w:r>
      <w:r w:rsidR="5B4EFE1B"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 xml:space="preserve"> </w:t>
      </w:r>
    </w:p>
    <w:p w14:paraId="00B5F284" w14:textId="46499E43" w:rsidR="006F0B13" w:rsidRPr="006039C0" w:rsidRDefault="008C195D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The Council </w:t>
      </w:r>
      <w:r w:rsidR="00E91EEC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requires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5B4EFE1B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ommitment to meet the standard assessment timescales in accordance </w:t>
      </w:r>
      <w:r w:rsidR="37FF738F" w:rsidRPr="006039C0">
        <w:rPr>
          <w:rFonts w:ascii="Arial" w:eastAsiaTheme="minorEastAsia" w:hAnsi="Arial" w:cs="Arial"/>
          <w:sz w:val="24"/>
          <w:szCs w:val="24"/>
          <w:lang w:eastAsia="en-GB"/>
        </w:rPr>
        <w:t>with the</w:t>
      </w:r>
      <w:r w:rsidR="5B4EFE1B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Deprivation of Liberty Code of Practice. </w:t>
      </w:r>
      <w:r w:rsidR="0E435341" w:rsidRPr="006039C0">
        <w:rPr>
          <w:rFonts w:ascii="Arial" w:eastAsiaTheme="minorEastAsia" w:hAnsi="Arial" w:cs="Arial"/>
          <w:sz w:val="24"/>
          <w:szCs w:val="24"/>
          <w:lang w:eastAsia="en-GB"/>
        </w:rPr>
        <w:t>Strong w</w:t>
      </w:r>
      <w:r w:rsidR="5B4EFE1B" w:rsidRPr="006039C0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eekly data monitoring reports</w:t>
      </w:r>
      <w:r w:rsidR="195F467D" w:rsidRPr="006039C0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which are </w:t>
      </w:r>
      <w:r w:rsidR="195F467D" w:rsidRPr="006039C0">
        <w:rPr>
          <w:rFonts w:ascii="Arial" w:eastAsiaTheme="minorEastAsia" w:hAnsi="Arial" w:cs="Arial"/>
          <w:sz w:val="24"/>
          <w:szCs w:val="24"/>
          <w:lang w:eastAsia="en-GB"/>
        </w:rPr>
        <w:t>evidence-based, clear and concise</w:t>
      </w:r>
      <w:r w:rsidR="1A081BC5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provided through qualitative and quantitative data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proofErr w:type="gramStart"/>
      <w:r w:rsidRPr="006039C0">
        <w:rPr>
          <w:rFonts w:ascii="Arial" w:eastAsiaTheme="minorEastAsia" w:hAnsi="Arial" w:cs="Arial"/>
          <w:sz w:val="24"/>
          <w:szCs w:val="24"/>
          <w:lang w:eastAsia="en-GB"/>
        </w:rPr>
        <w:t>is required</w:t>
      </w:r>
      <w:proofErr w:type="gramEnd"/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E91EEC" w:rsidRPr="006039C0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long with the a</w:t>
      </w:r>
      <w:r w:rsidR="5B4EFE1B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bility to have quality monitoring meetings co-ordinated by a strong quality assurance lead.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We expect that any provider is f</w:t>
      </w:r>
      <w:r w:rsidR="725F24F4" w:rsidRPr="006039C0">
        <w:rPr>
          <w:rFonts w:ascii="Arial" w:eastAsiaTheme="minorEastAsia" w:hAnsi="Arial" w:cs="Arial"/>
          <w:sz w:val="24"/>
          <w:szCs w:val="24"/>
          <w:lang w:eastAsia="en-GB"/>
        </w:rPr>
        <w:t>lexible and a</w:t>
      </w:r>
      <w:r w:rsidR="5B4EFE1B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ble to </w:t>
      </w:r>
      <w:proofErr w:type="gramStart"/>
      <w:r w:rsidR="5B4EFE1B" w:rsidRPr="006039C0">
        <w:rPr>
          <w:rFonts w:ascii="Arial" w:eastAsiaTheme="minorEastAsia" w:hAnsi="Arial" w:cs="Arial"/>
          <w:sz w:val="24"/>
          <w:szCs w:val="24"/>
          <w:lang w:eastAsia="en-GB"/>
        </w:rPr>
        <w:t>work</w:t>
      </w:r>
      <w:proofErr w:type="gramEnd"/>
      <w:r w:rsidR="5B4EFE1B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with us to adapt the presentation of data according to our needs.</w:t>
      </w:r>
    </w:p>
    <w:p w14:paraId="1D60134E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690FB37" w14:textId="6AEC4573" w:rsidR="006F0B13" w:rsidRPr="006039C0" w:rsidRDefault="008C195D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The Council requires:</w:t>
      </w:r>
    </w:p>
    <w:p w14:paraId="307C5408" w14:textId="77777777" w:rsidR="00E91EEC" w:rsidRPr="006039C0" w:rsidRDefault="00E91EEC" w:rsidP="006039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Standard assessments to </w:t>
      </w:r>
      <w:proofErr w:type="gramStart"/>
      <w:r w:rsidRPr="006039C0">
        <w:rPr>
          <w:rFonts w:ascii="Arial" w:eastAsiaTheme="minorEastAsia" w:hAnsi="Arial" w:cs="Arial"/>
          <w:sz w:val="24"/>
          <w:szCs w:val="24"/>
          <w:lang w:eastAsia="en-GB"/>
        </w:rPr>
        <w:t>be completed</w:t>
      </w:r>
      <w:proofErr w:type="gramEnd"/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and authorised within 21 days. </w:t>
      </w:r>
    </w:p>
    <w:p w14:paraId="518A76E0" w14:textId="3745D971" w:rsidR="008C195D" w:rsidRPr="006039C0" w:rsidRDefault="008C195D" w:rsidP="006039C0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Urgent assessments to </w:t>
      </w:r>
      <w:proofErr w:type="gramStart"/>
      <w:r w:rsidRPr="006039C0">
        <w:rPr>
          <w:rFonts w:ascii="Arial" w:eastAsiaTheme="minorEastAsia" w:hAnsi="Arial" w:cs="Arial"/>
          <w:sz w:val="24"/>
          <w:szCs w:val="24"/>
          <w:lang w:eastAsia="en-GB"/>
        </w:rPr>
        <w:t>be completed</w:t>
      </w:r>
      <w:proofErr w:type="gramEnd"/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and authorised within 7 days. </w:t>
      </w:r>
    </w:p>
    <w:p w14:paraId="0F223100" w14:textId="2A385462" w:rsidR="008C195D" w:rsidRPr="006039C0" w:rsidRDefault="008C195D" w:rsidP="006039C0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039C0">
        <w:rPr>
          <w:rFonts w:ascii="Arial" w:eastAsiaTheme="minorEastAsia" w:hAnsi="Arial" w:cs="Arial"/>
          <w:sz w:val="24"/>
          <w:szCs w:val="24"/>
        </w:rPr>
        <w:t>95%</w:t>
      </w:r>
      <w:proofErr w:type="gramEnd"/>
      <w:r w:rsidRPr="006039C0">
        <w:rPr>
          <w:rFonts w:ascii="Arial" w:eastAsiaTheme="minorEastAsia" w:hAnsi="Arial" w:cs="Arial"/>
          <w:sz w:val="24"/>
          <w:szCs w:val="24"/>
        </w:rPr>
        <w:t xml:space="preserve"> of standalone MH Assessor assessments completed within 7 days per calendar </w:t>
      </w:r>
      <w:r w:rsidR="00532715" w:rsidRPr="006039C0">
        <w:rPr>
          <w:rFonts w:ascii="Arial" w:eastAsiaTheme="minorEastAsia" w:hAnsi="Arial" w:cs="Arial"/>
          <w:sz w:val="24"/>
          <w:szCs w:val="24"/>
        </w:rPr>
        <w:t>month.</w:t>
      </w:r>
      <w:r w:rsidRPr="006039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4AE406E" w14:textId="5C0A33D0" w:rsidR="00E91EEC" w:rsidRPr="006039C0" w:rsidRDefault="00E91EEC" w:rsidP="006039C0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039C0">
        <w:rPr>
          <w:rFonts w:ascii="Arial" w:eastAsiaTheme="minorEastAsia" w:hAnsi="Arial" w:cs="Arial"/>
          <w:sz w:val="24"/>
          <w:szCs w:val="24"/>
        </w:rPr>
        <w:t>95%</w:t>
      </w:r>
      <w:proofErr w:type="gramEnd"/>
      <w:r w:rsidRPr="006039C0">
        <w:rPr>
          <w:rFonts w:ascii="Arial" w:eastAsiaTheme="minorEastAsia" w:hAnsi="Arial" w:cs="Arial"/>
          <w:sz w:val="24"/>
          <w:szCs w:val="24"/>
        </w:rPr>
        <w:t xml:space="preserve"> of combined/ BIA assessments completed within 21 days per calendar </w:t>
      </w:r>
      <w:r w:rsidR="00532715" w:rsidRPr="006039C0">
        <w:rPr>
          <w:rFonts w:ascii="Arial" w:eastAsiaTheme="minorEastAsia" w:hAnsi="Arial" w:cs="Arial"/>
          <w:sz w:val="24"/>
          <w:szCs w:val="24"/>
        </w:rPr>
        <w:t>month.</w:t>
      </w:r>
      <w:r w:rsidRPr="006039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F858799" w14:textId="77777777" w:rsidR="00E91EEC" w:rsidRPr="006039C0" w:rsidRDefault="00E91EEC" w:rsidP="006039C0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B95D5CA" w14:textId="77777777" w:rsidR="00D7437E" w:rsidRPr="006039C0" w:rsidRDefault="00D7437E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652ACC79" w14:textId="095E6CD5" w:rsidR="008C195D" w:rsidRPr="006039C0" w:rsidRDefault="008C195D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Suggestions and comments are welcome on the Council above expectations, particularly in relation to the targets.</w:t>
      </w:r>
    </w:p>
    <w:p w14:paraId="14AB7802" w14:textId="1BB73D3C" w:rsidR="006F0B13" w:rsidRPr="006039C0" w:rsidRDefault="006F0B13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9F7FA5B" w14:textId="74DB7020" w:rsidR="008C195D" w:rsidRDefault="008C195D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b/>
          <w:sz w:val="24"/>
          <w:szCs w:val="24"/>
        </w:rPr>
        <w:t>Mobilisation</w:t>
      </w:r>
      <w:r w:rsidRPr="006039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0CBAB22" w14:textId="77777777" w:rsidR="00062B40" w:rsidRDefault="00062B40" w:rsidP="00062B4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4873BDA" w14:textId="77777777" w:rsidR="00062B40" w:rsidRPr="006039C0" w:rsidRDefault="00062B40" w:rsidP="00062B4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 xml:space="preserve">NCC requirements </w:t>
      </w:r>
    </w:p>
    <w:p w14:paraId="594C44B5" w14:textId="77777777" w:rsidR="008C195D" w:rsidRPr="006039C0" w:rsidRDefault="008C195D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We are keen to understand what providers consider to be a realistic and practical mobilisation. </w:t>
      </w:r>
    </w:p>
    <w:p w14:paraId="3DDE6211" w14:textId="77777777" w:rsidR="00063E33" w:rsidRPr="006039C0" w:rsidRDefault="00063E33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</w:p>
    <w:p w14:paraId="5B6215F2" w14:textId="77777777" w:rsidR="00D7437E" w:rsidRPr="006039C0" w:rsidRDefault="00D7437E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62E3DF3D" w14:textId="77777777" w:rsidR="00063E33" w:rsidRPr="006039C0" w:rsidRDefault="008C195D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Do you consider a 4-week mobilisation to sufficient</w:t>
      </w:r>
      <w:r w:rsidR="00063E33" w:rsidRPr="006039C0">
        <w:rPr>
          <w:rFonts w:ascii="Arial" w:eastAsiaTheme="minorEastAsia" w:hAnsi="Arial" w:cs="Arial"/>
          <w:sz w:val="24"/>
          <w:szCs w:val="24"/>
        </w:rPr>
        <w:t xml:space="preserve"> (non-TUPE)</w:t>
      </w:r>
      <w:r w:rsidRPr="006039C0">
        <w:rPr>
          <w:rFonts w:ascii="Arial" w:eastAsiaTheme="minorEastAsia" w:hAnsi="Arial" w:cs="Arial"/>
          <w:sz w:val="24"/>
          <w:szCs w:val="24"/>
        </w:rPr>
        <w:t>?</w:t>
      </w:r>
      <w:r w:rsidR="00063E33" w:rsidRPr="006039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F300C55" w14:textId="0AF13751" w:rsidR="008C195D" w:rsidRPr="006039C0" w:rsidRDefault="00063E33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How long would you require for mobilisation period where TUPE is applicable?</w:t>
      </w:r>
    </w:p>
    <w:p w14:paraId="4155DA84" w14:textId="13CB30BD" w:rsidR="008C195D" w:rsidRPr="006039C0" w:rsidRDefault="008C195D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What do you require from the </w:t>
      </w:r>
      <w:r w:rsidR="00063E33" w:rsidRPr="006039C0">
        <w:rPr>
          <w:rFonts w:ascii="Arial" w:eastAsiaTheme="minorEastAsia" w:hAnsi="Arial" w:cs="Arial"/>
          <w:sz w:val="24"/>
          <w:szCs w:val="24"/>
        </w:rPr>
        <w:t xml:space="preserve">Council </w:t>
      </w:r>
      <w:r w:rsidRPr="006039C0">
        <w:rPr>
          <w:rFonts w:ascii="Arial" w:eastAsiaTheme="minorEastAsia" w:hAnsi="Arial" w:cs="Arial"/>
          <w:sz w:val="24"/>
          <w:szCs w:val="24"/>
        </w:rPr>
        <w:t>to enable a successful mobilisation?</w:t>
      </w:r>
    </w:p>
    <w:p w14:paraId="15ACD84A" w14:textId="77777777" w:rsidR="008C195D" w:rsidRPr="006039C0" w:rsidRDefault="008C195D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What initial and ongoing support would you require to mobilise successfully and to deliver a robust and efficient service? </w:t>
      </w:r>
    </w:p>
    <w:p w14:paraId="7985B830" w14:textId="77777777" w:rsidR="008C195D" w:rsidRPr="006039C0" w:rsidRDefault="008C195D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44443EB" w14:textId="12CEB692" w:rsidR="00202D83" w:rsidRPr="00062B40" w:rsidRDefault="00202D83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062B40">
        <w:rPr>
          <w:rFonts w:ascii="Arial" w:eastAsiaTheme="minorEastAsia" w:hAnsi="Arial" w:cs="Arial"/>
          <w:b/>
          <w:bCs/>
          <w:sz w:val="24"/>
          <w:szCs w:val="24"/>
        </w:rPr>
        <w:t xml:space="preserve">Pricing </w:t>
      </w:r>
    </w:p>
    <w:p w14:paraId="3A5A28B8" w14:textId="500DABC2" w:rsidR="00B96810" w:rsidRPr="006039C0" w:rsidRDefault="00B96810" w:rsidP="006039C0">
      <w:pPr>
        <w:jc w:val="both"/>
        <w:rPr>
          <w:rFonts w:ascii="Arial" w:eastAsia="Calibri" w:hAnsi="Arial" w:cs="Arial"/>
          <w:sz w:val="24"/>
          <w:szCs w:val="24"/>
        </w:rPr>
      </w:pPr>
      <w:r w:rsidRPr="00062B40">
        <w:rPr>
          <w:rFonts w:ascii="Arial" w:eastAsiaTheme="minorEastAsia" w:hAnsi="Arial" w:cs="Arial"/>
          <w:sz w:val="24"/>
          <w:szCs w:val="24"/>
        </w:rPr>
        <w:t xml:space="preserve">Please refer to the pricing document. </w:t>
      </w:r>
    </w:p>
    <w:p w14:paraId="19FE58D7" w14:textId="77777777" w:rsidR="00D7437E" w:rsidRPr="006039C0" w:rsidRDefault="00D7437E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6C8F49C3" w14:textId="15B0EFAA" w:rsidR="00062B40" w:rsidRDefault="00062B40" w:rsidP="006039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62B40">
        <w:rPr>
          <w:rFonts w:ascii="Arial" w:eastAsia="Calibri" w:hAnsi="Arial" w:cs="Arial"/>
          <w:sz w:val="24"/>
          <w:szCs w:val="24"/>
        </w:rPr>
        <w:t xml:space="preserve">Suggestions and comments are welcome on the Council’s pricing schedule in terms of </w:t>
      </w:r>
      <w:r w:rsidR="00936EF1">
        <w:rPr>
          <w:rFonts w:ascii="Arial" w:eastAsia="Calibri" w:hAnsi="Arial" w:cs="Arial"/>
          <w:sz w:val="24"/>
          <w:szCs w:val="24"/>
        </w:rPr>
        <w:t>structure</w:t>
      </w:r>
      <w:r w:rsidRPr="00062B40">
        <w:rPr>
          <w:rFonts w:ascii="Arial" w:eastAsia="Calibri" w:hAnsi="Arial" w:cs="Arial"/>
          <w:sz w:val="24"/>
          <w:szCs w:val="24"/>
        </w:rPr>
        <w:t>/content.</w:t>
      </w:r>
    </w:p>
    <w:p w14:paraId="47F93769" w14:textId="79E54863" w:rsidR="00062B40" w:rsidRDefault="00062B40" w:rsidP="006039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Please input a price or a price range for each element </w:t>
      </w:r>
      <w:r w:rsidRPr="00936EF1">
        <w:rPr>
          <w:rFonts w:ascii="Arial" w:eastAsia="Calibri" w:hAnsi="Arial" w:cs="Arial"/>
          <w:sz w:val="24"/>
          <w:szCs w:val="24"/>
          <w:u w:val="single"/>
        </w:rPr>
        <w:t>(please note you are not required to do so</w:t>
      </w:r>
      <w:r>
        <w:rPr>
          <w:rFonts w:ascii="Arial" w:eastAsia="Calibri" w:hAnsi="Arial" w:cs="Arial"/>
          <w:sz w:val="24"/>
          <w:szCs w:val="24"/>
        </w:rPr>
        <w:t>).</w:t>
      </w:r>
    </w:p>
    <w:p w14:paraId="5976B41B" w14:textId="7F1F95FA" w:rsidR="00063E33" w:rsidRDefault="00063E33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What price control mechanisms would you consider appropriate for the on-going management of prices throughout </w:t>
      </w:r>
      <w:r w:rsidR="00062B40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contract</w:t>
      </w:r>
      <w:r w:rsidR="00062B40">
        <w:rPr>
          <w:rFonts w:ascii="Arial" w:eastAsiaTheme="minorEastAsia" w:hAnsi="Arial" w:cs="Arial"/>
          <w:sz w:val="24"/>
          <w:szCs w:val="24"/>
          <w:lang w:eastAsia="en-GB"/>
        </w:rPr>
        <w:t>?</w:t>
      </w:r>
    </w:p>
    <w:p w14:paraId="68CF98A3" w14:textId="77777777" w:rsidR="00062B40" w:rsidRPr="006039C0" w:rsidRDefault="00062B40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14:paraId="4E2A6158" w14:textId="1E88CF77" w:rsidR="008C195D" w:rsidRPr="006039C0" w:rsidRDefault="006039C0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954843" w:rsidRPr="006039C0">
        <w:rPr>
          <w:rFonts w:ascii="Arial" w:eastAsiaTheme="minorEastAsia" w:hAnsi="Arial" w:cs="Arial"/>
          <w:b/>
          <w:sz w:val="24"/>
          <w:szCs w:val="24"/>
        </w:rPr>
        <w:t>Contract Opportunity</w:t>
      </w:r>
      <w:r w:rsidR="008C195D" w:rsidRPr="006039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4AE557BE" w14:textId="37D6B47A" w:rsidR="008C195D" w:rsidRPr="006039C0" w:rsidRDefault="008C195D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Taking into consideration the demand, proposed NCC requirements and pricing information detailed in this SMT, is this a contract opportunity that you would be </w:t>
      </w:r>
      <w:r w:rsidRPr="006039C0">
        <w:rPr>
          <w:rFonts w:ascii="Arial" w:eastAsiaTheme="minorEastAsia" w:hAnsi="Arial" w:cs="Arial"/>
          <w:sz w:val="24"/>
          <w:szCs w:val="24"/>
        </w:rPr>
        <w:lastRenderedPageBreak/>
        <w:t>interested in responding to should this be required by NCC?</w:t>
      </w:r>
      <w:r w:rsidR="009B3860" w:rsidRPr="006039C0">
        <w:rPr>
          <w:rFonts w:ascii="Arial" w:eastAsiaTheme="minorEastAsia" w:hAnsi="Arial" w:cs="Arial"/>
          <w:sz w:val="24"/>
          <w:szCs w:val="24"/>
        </w:rPr>
        <w:t xml:space="preserve"> If not</w:t>
      </w:r>
      <w:r w:rsidR="00262226" w:rsidRPr="006039C0">
        <w:rPr>
          <w:rFonts w:ascii="Arial" w:eastAsiaTheme="minorEastAsia" w:hAnsi="Arial" w:cs="Arial"/>
          <w:sz w:val="24"/>
          <w:szCs w:val="24"/>
        </w:rPr>
        <w:t>,</w:t>
      </w:r>
      <w:r w:rsidR="009B3860" w:rsidRPr="006039C0">
        <w:rPr>
          <w:rFonts w:ascii="Arial" w:eastAsiaTheme="minorEastAsia" w:hAnsi="Arial" w:cs="Arial"/>
          <w:sz w:val="24"/>
          <w:szCs w:val="24"/>
        </w:rPr>
        <w:t xml:space="preserve"> why would you not be interested?</w:t>
      </w:r>
    </w:p>
    <w:p w14:paraId="5880542F" w14:textId="77777777" w:rsidR="008C195D" w:rsidRPr="006039C0" w:rsidRDefault="008C195D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14:paraId="6B52309A" w14:textId="77777777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6039C0">
        <w:rPr>
          <w:rFonts w:ascii="Arial" w:eastAsiaTheme="minorEastAsia" w:hAnsi="Arial" w:cs="Arial"/>
          <w:b/>
          <w:bCs/>
          <w:sz w:val="24"/>
          <w:szCs w:val="24"/>
        </w:rPr>
        <w:t>Comments and Confidentiality</w:t>
      </w:r>
    </w:p>
    <w:p w14:paraId="4B1F81C0" w14:textId="58002CF3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The information you provide will be treated in the strictest confidence. It will not be made available to future potential bidders for the new service in the event of a tendering process taking place</w:t>
      </w:r>
      <w:r w:rsidR="00194D44" w:rsidRPr="006039C0">
        <w:rPr>
          <w:rFonts w:ascii="Arial" w:eastAsiaTheme="minorEastAsia" w:hAnsi="Arial" w:cs="Arial"/>
          <w:sz w:val="24"/>
          <w:szCs w:val="24"/>
        </w:rPr>
        <w:t>, though feedback will be used to help the Council design its service requirements</w:t>
      </w:r>
      <w:r w:rsidRPr="006039C0">
        <w:rPr>
          <w:rFonts w:ascii="Arial" w:eastAsiaTheme="minorEastAsia" w:hAnsi="Arial" w:cs="Arial"/>
          <w:sz w:val="24"/>
          <w:szCs w:val="24"/>
        </w:rPr>
        <w:t xml:space="preserve">. This is in line with Section 43 of the Freedom of Information Act i.e. a qualified exemption in relation to ‘Commercial Interests’. </w:t>
      </w:r>
    </w:p>
    <w:p w14:paraId="12C17BB1" w14:textId="77777777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FBFEA04" w14:textId="012E7D7C" w:rsidR="00B96810" w:rsidRPr="006039C0" w:rsidRDefault="00B96810" w:rsidP="006039C0">
      <w:pPr>
        <w:jc w:val="both"/>
        <w:rPr>
          <w:rFonts w:ascii="Arial" w:eastAsia="Calibri" w:hAnsi="Arial" w:cs="Arial"/>
          <w:sz w:val="24"/>
          <w:szCs w:val="24"/>
        </w:rPr>
      </w:pPr>
      <w:r w:rsidRPr="006039C0">
        <w:rPr>
          <w:rFonts w:ascii="Arial" w:eastAsia="Calibri" w:hAnsi="Arial" w:cs="Arial"/>
          <w:sz w:val="24"/>
          <w:szCs w:val="24"/>
        </w:rPr>
        <w:t xml:space="preserve">Please submit comments </w:t>
      </w:r>
      <w:r w:rsidR="007558FD">
        <w:rPr>
          <w:rFonts w:ascii="Arial" w:eastAsia="Calibri" w:hAnsi="Arial" w:cs="Arial"/>
          <w:sz w:val="24"/>
          <w:szCs w:val="24"/>
        </w:rPr>
        <w:t xml:space="preserve">on the form below (and pricing document if appropriate) </w:t>
      </w:r>
      <w:r w:rsidRPr="006039C0">
        <w:rPr>
          <w:rFonts w:ascii="Arial" w:eastAsia="Calibri" w:hAnsi="Arial" w:cs="Arial"/>
          <w:sz w:val="24"/>
          <w:szCs w:val="24"/>
        </w:rPr>
        <w:t xml:space="preserve">by email, quoting </w:t>
      </w:r>
      <w:r w:rsidR="00062B40">
        <w:rPr>
          <w:rFonts w:ascii="Arial" w:eastAsia="Calibri" w:hAnsi="Arial" w:cs="Arial"/>
          <w:sz w:val="24"/>
          <w:szCs w:val="24"/>
        </w:rPr>
        <w:t>“</w:t>
      </w:r>
      <w:r w:rsidRPr="00062B40">
        <w:rPr>
          <w:rFonts w:ascii="Arial" w:eastAsia="Calibri" w:hAnsi="Arial" w:cs="Arial"/>
          <w:i/>
          <w:iCs/>
          <w:sz w:val="24"/>
          <w:szCs w:val="24"/>
        </w:rPr>
        <w:t>DoLS SM</w:t>
      </w:r>
      <w:r w:rsidR="00062B40" w:rsidRPr="00062B40">
        <w:rPr>
          <w:rFonts w:ascii="Arial" w:eastAsia="Calibri" w:hAnsi="Arial" w:cs="Arial"/>
          <w:i/>
          <w:iCs/>
          <w:sz w:val="24"/>
          <w:szCs w:val="24"/>
        </w:rPr>
        <w:t>C</w:t>
      </w:r>
      <w:r w:rsidR="006C19D6">
        <w:rPr>
          <w:rFonts w:ascii="Arial" w:eastAsia="Calibri" w:hAnsi="Arial" w:cs="Arial"/>
          <w:i/>
          <w:iCs/>
          <w:sz w:val="24"/>
          <w:szCs w:val="24"/>
        </w:rPr>
        <w:t xml:space="preserve"> Response</w:t>
      </w:r>
      <w:r w:rsidR="00062B40">
        <w:rPr>
          <w:rFonts w:ascii="Arial" w:eastAsia="Calibri" w:hAnsi="Arial" w:cs="Arial"/>
          <w:sz w:val="24"/>
          <w:szCs w:val="24"/>
        </w:rPr>
        <w:t>”</w:t>
      </w:r>
      <w:r w:rsidRPr="006039C0">
        <w:rPr>
          <w:rFonts w:ascii="Arial" w:eastAsia="Calibri" w:hAnsi="Arial" w:cs="Arial"/>
          <w:sz w:val="24"/>
          <w:szCs w:val="24"/>
        </w:rPr>
        <w:t xml:space="preserve"> to: </w:t>
      </w:r>
      <w:hyperlink r:id="rId6">
        <w:r w:rsidRPr="006039C0">
          <w:rPr>
            <w:rStyle w:val="Hyperlink"/>
            <w:rFonts w:ascii="Arial" w:eastAsia="Times New Roman" w:hAnsi="Arial" w:cs="Arial"/>
            <w:color w:val="0000FF"/>
            <w:sz w:val="24"/>
            <w:szCs w:val="24"/>
          </w:rPr>
          <w:t>scandmd@nottinghamcity.gov.uk</w:t>
        </w:r>
      </w:hyperlink>
      <w:r w:rsidRPr="006039C0">
        <w:rPr>
          <w:rFonts w:ascii="Arial" w:eastAsia="Calibri" w:hAnsi="Arial" w:cs="Arial"/>
          <w:sz w:val="24"/>
          <w:szCs w:val="24"/>
        </w:rPr>
        <w:t xml:space="preserve"> by 12.00 noon on the </w:t>
      </w:r>
      <w:r w:rsidR="00062B40">
        <w:rPr>
          <w:rFonts w:ascii="Arial" w:eastAsia="Calibri" w:hAnsi="Arial" w:cs="Arial"/>
          <w:sz w:val="24"/>
          <w:szCs w:val="24"/>
        </w:rPr>
        <w:t>8</w:t>
      </w:r>
      <w:r w:rsidR="00062B40" w:rsidRPr="00062B40">
        <w:rPr>
          <w:rFonts w:ascii="Arial" w:eastAsia="Calibri" w:hAnsi="Arial" w:cs="Arial"/>
          <w:sz w:val="24"/>
          <w:szCs w:val="24"/>
          <w:vertAlign w:val="superscript"/>
        </w:rPr>
        <w:t>th</w:t>
      </w:r>
      <w:r w:rsidR="00062B40">
        <w:rPr>
          <w:rFonts w:ascii="Arial" w:eastAsia="Calibri" w:hAnsi="Arial" w:cs="Arial"/>
          <w:sz w:val="24"/>
          <w:szCs w:val="24"/>
        </w:rPr>
        <w:t xml:space="preserve"> March </w:t>
      </w:r>
      <w:r w:rsidRPr="006039C0">
        <w:rPr>
          <w:rFonts w:ascii="Arial" w:eastAsia="Calibri" w:hAnsi="Arial" w:cs="Arial"/>
          <w:sz w:val="24"/>
          <w:szCs w:val="24"/>
        </w:rPr>
        <w:t>2024</w:t>
      </w:r>
    </w:p>
    <w:p w14:paraId="441FE85B" w14:textId="77777777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6B2B3B9" w14:textId="73E2BB32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Thank you for your time in completing this consultation.</w:t>
      </w:r>
    </w:p>
    <w:p w14:paraId="1E7CA4A9" w14:textId="2F3C2246" w:rsidR="00194D44" w:rsidRPr="006039C0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br w:type="page"/>
      </w:r>
    </w:p>
    <w:p w14:paraId="0D50B5A6" w14:textId="73F60EB0" w:rsidR="00194D44" w:rsidRPr="006039C0" w:rsidRDefault="00194D44" w:rsidP="00062B4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6039C0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DoLS </w:t>
      </w:r>
      <w:r w:rsidR="00E069DC" w:rsidRPr="006039C0">
        <w:rPr>
          <w:rFonts w:ascii="Arial" w:eastAsiaTheme="minorEastAsia" w:hAnsi="Arial" w:cs="Arial"/>
          <w:b/>
          <w:sz w:val="24"/>
          <w:szCs w:val="24"/>
        </w:rPr>
        <w:t xml:space="preserve">Soft Market </w:t>
      </w:r>
      <w:r w:rsidRPr="006039C0">
        <w:rPr>
          <w:rFonts w:ascii="Arial" w:eastAsiaTheme="minorEastAsia" w:hAnsi="Arial" w:cs="Arial"/>
          <w:b/>
          <w:sz w:val="24"/>
          <w:szCs w:val="24"/>
        </w:rPr>
        <w:t>Consultation Response</w:t>
      </w:r>
    </w:p>
    <w:p w14:paraId="6C554C50" w14:textId="77777777" w:rsidR="00194D44" w:rsidRPr="006039C0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F5D7CF2" w14:textId="77777777" w:rsidR="00194D44" w:rsidRPr="006039C0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Expand the boxes to suit your response.</w:t>
      </w:r>
    </w:p>
    <w:p w14:paraId="608F0855" w14:textId="77777777" w:rsidR="00194D44" w:rsidRPr="006039C0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94D44" w:rsidRPr="006039C0" w14:paraId="2562572D" w14:textId="77777777" w:rsidTr="00454A4C">
        <w:trPr>
          <w:trHeight w:val="1176"/>
        </w:trPr>
        <w:tc>
          <w:tcPr>
            <w:tcW w:w="9016" w:type="dxa"/>
            <w:shd w:val="clear" w:color="auto" w:fill="auto"/>
          </w:tcPr>
          <w:p w14:paraId="6AE8B6D5" w14:textId="77777777" w:rsidR="00194D44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Organisation Name:</w:t>
            </w:r>
          </w:p>
          <w:p w14:paraId="6A3F9C76" w14:textId="77777777" w:rsidR="006C19D6" w:rsidRPr="006C19D6" w:rsidRDefault="006C19D6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194D44" w:rsidRPr="006039C0" w14:paraId="336AD5B1" w14:textId="77777777" w:rsidTr="00454A4C">
        <w:trPr>
          <w:trHeight w:val="966"/>
        </w:trPr>
        <w:tc>
          <w:tcPr>
            <w:tcW w:w="9016" w:type="dxa"/>
            <w:shd w:val="clear" w:color="auto" w:fill="auto"/>
          </w:tcPr>
          <w:p w14:paraId="2D90F4B5" w14:textId="77777777" w:rsidR="00194D44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Contact Name</w:t>
            </w:r>
            <w:r w:rsidR="006039C0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and Email Address</w:t>
            </w:r>
            <w:r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:</w:t>
            </w:r>
          </w:p>
          <w:p w14:paraId="48B719F0" w14:textId="76FCA133" w:rsidR="006C19D6" w:rsidRPr="006C19D6" w:rsidRDefault="006C19D6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194D44" w:rsidRPr="006039C0" w14:paraId="77C1E588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2494C869" w14:textId="2D2DD4C0" w:rsidR="00194D44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3.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Systems and Process - </w:t>
            </w:r>
            <w:r w:rsidR="00194D44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Suggestions and Comment:</w:t>
            </w:r>
          </w:p>
          <w:p w14:paraId="7AD92734" w14:textId="77777777" w:rsidR="00194D44" w:rsidRPr="006039C0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194D44" w:rsidRPr="006039C0" w14:paraId="2EB040E9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3840C567" w14:textId="18187E2C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4.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Staffing - Suggestions and Comment:</w:t>
            </w:r>
          </w:p>
          <w:p w14:paraId="70F2D3B2" w14:textId="77777777" w:rsidR="00194D44" w:rsidRPr="006039C0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194D44" w:rsidRPr="006039C0" w14:paraId="233FDF6B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05ECF340" w14:textId="273B7B4F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5.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Training - Suggestions and Comment:</w:t>
            </w:r>
          </w:p>
          <w:p w14:paraId="19426596" w14:textId="77777777" w:rsidR="00194D44" w:rsidRPr="006039C0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54A4C" w:rsidRPr="006039C0" w14:paraId="12887912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2AFC57D2" w14:textId="50FDC285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lastRenderedPageBreak/>
              <w:t xml:space="preserve">6.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Management - Suggestions and Comment:</w:t>
            </w:r>
          </w:p>
          <w:p w14:paraId="75E5F8D8" w14:textId="77777777" w:rsidR="00454A4C" w:rsidRPr="006C19D6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6039C0" w14:paraId="07225D58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74D1FE90" w14:textId="3C0442BA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7.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Quality - Suggestions and Comment:</w:t>
            </w:r>
          </w:p>
          <w:p w14:paraId="51BAD24B" w14:textId="77777777" w:rsidR="00454A4C" w:rsidRPr="006C19D6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6039C0" w14:paraId="3DECA6E4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77B40DCC" w14:textId="65F47075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8.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Timescales and Monitoring - Suggestions and Comment:</w:t>
            </w:r>
          </w:p>
          <w:p w14:paraId="2529569E" w14:textId="77777777" w:rsidR="00454A4C" w:rsidRPr="006C19D6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6039C0" w14:paraId="3B70DBAC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518250DB" w14:textId="1CFC54A3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9.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Mobilisation - Suggestions and Comment:</w:t>
            </w:r>
          </w:p>
          <w:p w14:paraId="52E22A3D" w14:textId="77777777" w:rsidR="00454A4C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  <w:p w14:paraId="2676ED0D" w14:textId="77777777" w:rsidR="006C19D6" w:rsidRPr="006C19D6" w:rsidRDefault="006C19D6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6039C0" w14:paraId="7510DCB8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0F64C43E" w14:textId="7D4ED718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lastRenderedPageBreak/>
              <w:t xml:space="preserve">10.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Pricing - Suggestions and Comment:</w:t>
            </w:r>
          </w:p>
          <w:p w14:paraId="1515815F" w14:textId="77777777" w:rsidR="00454A4C" w:rsidRPr="006C19D6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6039C0" w14:paraId="44C7AF1F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27C93A78" w14:textId="15B80024" w:rsidR="00454A4C" w:rsidRPr="006039C0" w:rsidRDefault="00454A4C" w:rsidP="006039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6" w:hanging="425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Contract Opportunity – We would be interested in a future contract opportunity (Yes or No)</w:t>
            </w:r>
            <w:r w:rsidR="006039C0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. If no, why not.</w:t>
            </w:r>
          </w:p>
          <w:p w14:paraId="7EE2258E" w14:textId="77777777" w:rsidR="00454A4C" w:rsidRPr="006C19D6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</w:tbl>
    <w:p w14:paraId="30FB9AB7" w14:textId="77777777" w:rsidR="68239F0A" w:rsidRPr="006039C0" w:rsidRDefault="68239F0A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sectPr w:rsidR="68239F0A" w:rsidRPr="00603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E74"/>
    <w:multiLevelType w:val="hybridMultilevel"/>
    <w:tmpl w:val="ADC862C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46"/>
    <w:multiLevelType w:val="hybridMultilevel"/>
    <w:tmpl w:val="B8D4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76206"/>
    <w:multiLevelType w:val="hybridMultilevel"/>
    <w:tmpl w:val="8E32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41BC8"/>
    <w:multiLevelType w:val="hybridMultilevel"/>
    <w:tmpl w:val="19924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4730A"/>
    <w:multiLevelType w:val="hybridMultilevel"/>
    <w:tmpl w:val="30E29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2F57"/>
    <w:multiLevelType w:val="hybridMultilevel"/>
    <w:tmpl w:val="FFFFFFFF"/>
    <w:lvl w:ilvl="0" w:tplc="F56E3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A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AD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81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CF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24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80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0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05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D6A78"/>
    <w:multiLevelType w:val="hybridMultilevel"/>
    <w:tmpl w:val="E4F8B1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F282E"/>
    <w:multiLevelType w:val="hybridMultilevel"/>
    <w:tmpl w:val="2AEE4ACA"/>
    <w:lvl w:ilvl="0" w:tplc="82DA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E7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AD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F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A6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27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28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AC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A0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94B22"/>
    <w:multiLevelType w:val="hybridMultilevel"/>
    <w:tmpl w:val="45B0EB32"/>
    <w:lvl w:ilvl="0" w:tplc="80D4DC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03789"/>
    <w:multiLevelType w:val="hybridMultilevel"/>
    <w:tmpl w:val="76A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35C4A"/>
    <w:multiLevelType w:val="hybridMultilevel"/>
    <w:tmpl w:val="8F9A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131913">
    <w:abstractNumId w:val="7"/>
  </w:num>
  <w:num w:numId="2" w16cid:durableId="1076590704">
    <w:abstractNumId w:val="2"/>
  </w:num>
  <w:num w:numId="3" w16cid:durableId="38212009">
    <w:abstractNumId w:val="1"/>
  </w:num>
  <w:num w:numId="4" w16cid:durableId="607346963">
    <w:abstractNumId w:val="10"/>
  </w:num>
  <w:num w:numId="5" w16cid:durableId="675155937">
    <w:abstractNumId w:val="9"/>
  </w:num>
  <w:num w:numId="6" w16cid:durableId="1991446303">
    <w:abstractNumId w:val="8"/>
  </w:num>
  <w:num w:numId="7" w16cid:durableId="1405569870">
    <w:abstractNumId w:val="4"/>
  </w:num>
  <w:num w:numId="8" w16cid:durableId="1402555330">
    <w:abstractNumId w:val="5"/>
  </w:num>
  <w:num w:numId="9" w16cid:durableId="25761159">
    <w:abstractNumId w:val="6"/>
  </w:num>
  <w:num w:numId="10" w16cid:durableId="149753503">
    <w:abstractNumId w:val="3"/>
  </w:num>
  <w:num w:numId="11" w16cid:durableId="178495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83"/>
    <w:rsid w:val="00005E0E"/>
    <w:rsid w:val="00013392"/>
    <w:rsid w:val="00062B40"/>
    <w:rsid w:val="00063E33"/>
    <w:rsid w:val="000B7C10"/>
    <w:rsid w:val="000E2B68"/>
    <w:rsid w:val="000F76F4"/>
    <w:rsid w:val="001130D7"/>
    <w:rsid w:val="001264D9"/>
    <w:rsid w:val="00154600"/>
    <w:rsid w:val="00194D44"/>
    <w:rsid w:val="001D1D7C"/>
    <w:rsid w:val="00202D83"/>
    <w:rsid w:val="002249C0"/>
    <w:rsid w:val="00235A2C"/>
    <w:rsid w:val="00251DF9"/>
    <w:rsid w:val="002548D1"/>
    <w:rsid w:val="00262226"/>
    <w:rsid w:val="00264836"/>
    <w:rsid w:val="00276F98"/>
    <w:rsid w:val="002E0664"/>
    <w:rsid w:val="00300898"/>
    <w:rsid w:val="003270BC"/>
    <w:rsid w:val="003939CD"/>
    <w:rsid w:val="003B5F2E"/>
    <w:rsid w:val="00401157"/>
    <w:rsid w:val="00411AAF"/>
    <w:rsid w:val="00432AE1"/>
    <w:rsid w:val="00454A4C"/>
    <w:rsid w:val="004748D6"/>
    <w:rsid w:val="004826F7"/>
    <w:rsid w:val="004C298B"/>
    <w:rsid w:val="004D1D0E"/>
    <w:rsid w:val="004D7E6F"/>
    <w:rsid w:val="00510FB2"/>
    <w:rsid w:val="00526873"/>
    <w:rsid w:val="005306B9"/>
    <w:rsid w:val="00530CCA"/>
    <w:rsid w:val="00532715"/>
    <w:rsid w:val="005512F6"/>
    <w:rsid w:val="00567497"/>
    <w:rsid w:val="005E403D"/>
    <w:rsid w:val="005E79E0"/>
    <w:rsid w:val="005F307F"/>
    <w:rsid w:val="005F3B9F"/>
    <w:rsid w:val="005F7AD2"/>
    <w:rsid w:val="006039C0"/>
    <w:rsid w:val="0062124D"/>
    <w:rsid w:val="0062433F"/>
    <w:rsid w:val="00625459"/>
    <w:rsid w:val="00637CD3"/>
    <w:rsid w:val="006579D9"/>
    <w:rsid w:val="00681562"/>
    <w:rsid w:val="006A0904"/>
    <w:rsid w:val="006B0E61"/>
    <w:rsid w:val="006C19D6"/>
    <w:rsid w:val="006F0B13"/>
    <w:rsid w:val="006F34FF"/>
    <w:rsid w:val="00714B1F"/>
    <w:rsid w:val="00716470"/>
    <w:rsid w:val="007558FD"/>
    <w:rsid w:val="0076219B"/>
    <w:rsid w:val="007645E5"/>
    <w:rsid w:val="007763D6"/>
    <w:rsid w:val="007957C8"/>
    <w:rsid w:val="007C6DE9"/>
    <w:rsid w:val="007D43CF"/>
    <w:rsid w:val="007E7816"/>
    <w:rsid w:val="007F5C7D"/>
    <w:rsid w:val="00802131"/>
    <w:rsid w:val="00804AB3"/>
    <w:rsid w:val="008066C4"/>
    <w:rsid w:val="0082693A"/>
    <w:rsid w:val="00855AB7"/>
    <w:rsid w:val="00884C36"/>
    <w:rsid w:val="008920B8"/>
    <w:rsid w:val="008C195D"/>
    <w:rsid w:val="008F48BF"/>
    <w:rsid w:val="00936EF1"/>
    <w:rsid w:val="00954843"/>
    <w:rsid w:val="00970839"/>
    <w:rsid w:val="00986CBB"/>
    <w:rsid w:val="00996132"/>
    <w:rsid w:val="009A51C7"/>
    <w:rsid w:val="009B1D0E"/>
    <w:rsid w:val="009B3860"/>
    <w:rsid w:val="009D3D8F"/>
    <w:rsid w:val="009E12F1"/>
    <w:rsid w:val="00A26F2D"/>
    <w:rsid w:val="00A57887"/>
    <w:rsid w:val="00A65F30"/>
    <w:rsid w:val="00A82D36"/>
    <w:rsid w:val="00A97B15"/>
    <w:rsid w:val="00AA2665"/>
    <w:rsid w:val="00AB7325"/>
    <w:rsid w:val="00AE6281"/>
    <w:rsid w:val="00AE6D55"/>
    <w:rsid w:val="00B27397"/>
    <w:rsid w:val="00B35165"/>
    <w:rsid w:val="00B66A58"/>
    <w:rsid w:val="00B96810"/>
    <w:rsid w:val="00B96A41"/>
    <w:rsid w:val="00BA321E"/>
    <w:rsid w:val="00BA566C"/>
    <w:rsid w:val="00BC4A2B"/>
    <w:rsid w:val="00BD6F98"/>
    <w:rsid w:val="00BE6CDA"/>
    <w:rsid w:val="00C07745"/>
    <w:rsid w:val="00C36FDB"/>
    <w:rsid w:val="00CC5C30"/>
    <w:rsid w:val="00CF76BC"/>
    <w:rsid w:val="00D318EC"/>
    <w:rsid w:val="00D7437E"/>
    <w:rsid w:val="00D824FD"/>
    <w:rsid w:val="00D9691B"/>
    <w:rsid w:val="00DA0199"/>
    <w:rsid w:val="00E069DC"/>
    <w:rsid w:val="00E14420"/>
    <w:rsid w:val="00E17BEC"/>
    <w:rsid w:val="00E44034"/>
    <w:rsid w:val="00E459BD"/>
    <w:rsid w:val="00E540AE"/>
    <w:rsid w:val="00E64D89"/>
    <w:rsid w:val="00E72CC7"/>
    <w:rsid w:val="00E91EEC"/>
    <w:rsid w:val="00EA7F60"/>
    <w:rsid w:val="00ED090E"/>
    <w:rsid w:val="00ED22BA"/>
    <w:rsid w:val="00F04163"/>
    <w:rsid w:val="00F131F7"/>
    <w:rsid w:val="00F34F45"/>
    <w:rsid w:val="00F707D9"/>
    <w:rsid w:val="00F87AAD"/>
    <w:rsid w:val="00FA27A2"/>
    <w:rsid w:val="00FA4DFE"/>
    <w:rsid w:val="00FE48A2"/>
    <w:rsid w:val="00FE5231"/>
    <w:rsid w:val="00FF41EB"/>
    <w:rsid w:val="011D39A9"/>
    <w:rsid w:val="017C5FAC"/>
    <w:rsid w:val="0318300D"/>
    <w:rsid w:val="04099D1D"/>
    <w:rsid w:val="0441CE94"/>
    <w:rsid w:val="04D2CC29"/>
    <w:rsid w:val="05007CE5"/>
    <w:rsid w:val="052EC038"/>
    <w:rsid w:val="059D32CB"/>
    <w:rsid w:val="05FAA80F"/>
    <w:rsid w:val="06501B1D"/>
    <w:rsid w:val="065E2C65"/>
    <w:rsid w:val="070F5C45"/>
    <w:rsid w:val="0B6FE8FE"/>
    <w:rsid w:val="0E435341"/>
    <w:rsid w:val="0EA10DB3"/>
    <w:rsid w:val="0EA6E416"/>
    <w:rsid w:val="0F9F7A98"/>
    <w:rsid w:val="10960C44"/>
    <w:rsid w:val="12C2A538"/>
    <w:rsid w:val="12D71B5A"/>
    <w:rsid w:val="131E0A87"/>
    <w:rsid w:val="1442B6D8"/>
    <w:rsid w:val="157388CF"/>
    <w:rsid w:val="16D8E529"/>
    <w:rsid w:val="1715368F"/>
    <w:rsid w:val="195F467D"/>
    <w:rsid w:val="1A081BC5"/>
    <w:rsid w:val="1A4C6EAF"/>
    <w:rsid w:val="1A864DC5"/>
    <w:rsid w:val="1C60A75E"/>
    <w:rsid w:val="1C9C638D"/>
    <w:rsid w:val="1D15706D"/>
    <w:rsid w:val="1E34F28C"/>
    <w:rsid w:val="1F55E0E7"/>
    <w:rsid w:val="1F984820"/>
    <w:rsid w:val="1FB17B16"/>
    <w:rsid w:val="2273973A"/>
    <w:rsid w:val="233EED9D"/>
    <w:rsid w:val="24187BDA"/>
    <w:rsid w:val="24BB0F80"/>
    <w:rsid w:val="257CD278"/>
    <w:rsid w:val="25B44C3B"/>
    <w:rsid w:val="2606E4F2"/>
    <w:rsid w:val="260BB789"/>
    <w:rsid w:val="274A06B8"/>
    <w:rsid w:val="295ED099"/>
    <w:rsid w:val="299970FE"/>
    <w:rsid w:val="2B3861A9"/>
    <w:rsid w:val="2B3F37E9"/>
    <w:rsid w:val="2B598222"/>
    <w:rsid w:val="2C6E5357"/>
    <w:rsid w:val="2D5AD9BD"/>
    <w:rsid w:val="2D5BB029"/>
    <w:rsid w:val="2EC3F743"/>
    <w:rsid w:val="2FEC146C"/>
    <w:rsid w:val="2FF6E5BE"/>
    <w:rsid w:val="309350EB"/>
    <w:rsid w:val="309DD8BF"/>
    <w:rsid w:val="31319F0A"/>
    <w:rsid w:val="32FED782"/>
    <w:rsid w:val="332D6C13"/>
    <w:rsid w:val="342CDA37"/>
    <w:rsid w:val="34FAE6CC"/>
    <w:rsid w:val="36650CD5"/>
    <w:rsid w:val="367A701F"/>
    <w:rsid w:val="375E3C54"/>
    <w:rsid w:val="376091ED"/>
    <w:rsid w:val="37A05572"/>
    <w:rsid w:val="37A842F8"/>
    <w:rsid w:val="37B5F171"/>
    <w:rsid w:val="37BD43A3"/>
    <w:rsid w:val="37FF738F"/>
    <w:rsid w:val="3800DD36"/>
    <w:rsid w:val="38E13BC4"/>
    <w:rsid w:val="395193B0"/>
    <w:rsid w:val="398339E2"/>
    <w:rsid w:val="3B0CC837"/>
    <w:rsid w:val="3B387DF8"/>
    <w:rsid w:val="3C8A1E7C"/>
    <w:rsid w:val="3CD44E59"/>
    <w:rsid w:val="3DE62644"/>
    <w:rsid w:val="3EF3459A"/>
    <w:rsid w:val="3F793FD1"/>
    <w:rsid w:val="3FFB4AC1"/>
    <w:rsid w:val="400BEF1B"/>
    <w:rsid w:val="40618BDD"/>
    <w:rsid w:val="40793371"/>
    <w:rsid w:val="41151032"/>
    <w:rsid w:val="41735E9B"/>
    <w:rsid w:val="428E9707"/>
    <w:rsid w:val="4405998E"/>
    <w:rsid w:val="457FC1FA"/>
    <w:rsid w:val="463FABA0"/>
    <w:rsid w:val="465B97B3"/>
    <w:rsid w:val="46C9B248"/>
    <w:rsid w:val="4751A061"/>
    <w:rsid w:val="48D90AB1"/>
    <w:rsid w:val="4A26B021"/>
    <w:rsid w:val="4B0D8E5B"/>
    <w:rsid w:val="4B627644"/>
    <w:rsid w:val="4B6AABEE"/>
    <w:rsid w:val="4C1B8E5F"/>
    <w:rsid w:val="4CA5D71B"/>
    <w:rsid w:val="4DD37F97"/>
    <w:rsid w:val="4DEE9247"/>
    <w:rsid w:val="4F20C01D"/>
    <w:rsid w:val="5032C9A2"/>
    <w:rsid w:val="50E69E54"/>
    <w:rsid w:val="52CEEED3"/>
    <w:rsid w:val="5350FCD3"/>
    <w:rsid w:val="53559B90"/>
    <w:rsid w:val="55832CE3"/>
    <w:rsid w:val="571354C1"/>
    <w:rsid w:val="57AED3B5"/>
    <w:rsid w:val="57B959FC"/>
    <w:rsid w:val="58C0F1B3"/>
    <w:rsid w:val="595F2016"/>
    <w:rsid w:val="59AD3280"/>
    <w:rsid w:val="5B2AF913"/>
    <w:rsid w:val="5B4EFE1B"/>
    <w:rsid w:val="5BBA559E"/>
    <w:rsid w:val="5BE1127C"/>
    <w:rsid w:val="5BE6C5E4"/>
    <w:rsid w:val="5C1D03C3"/>
    <w:rsid w:val="5CD40D48"/>
    <w:rsid w:val="5E701E9C"/>
    <w:rsid w:val="5E708B3B"/>
    <w:rsid w:val="5F1E66A6"/>
    <w:rsid w:val="5FE5CE97"/>
    <w:rsid w:val="61383C4B"/>
    <w:rsid w:val="6202C9FF"/>
    <w:rsid w:val="62560768"/>
    <w:rsid w:val="62D14F4B"/>
    <w:rsid w:val="63F1D7C9"/>
    <w:rsid w:val="63F3388F"/>
    <w:rsid w:val="65747FCD"/>
    <w:rsid w:val="65BC76AC"/>
    <w:rsid w:val="67470412"/>
    <w:rsid w:val="68239F0A"/>
    <w:rsid w:val="684C88F1"/>
    <w:rsid w:val="6976A4A6"/>
    <w:rsid w:val="69F97D71"/>
    <w:rsid w:val="6A1513D9"/>
    <w:rsid w:val="6BB83028"/>
    <w:rsid w:val="6D43AB70"/>
    <w:rsid w:val="6D5F97EF"/>
    <w:rsid w:val="6DE01976"/>
    <w:rsid w:val="6DF35BEC"/>
    <w:rsid w:val="6DF9346C"/>
    <w:rsid w:val="6F234F99"/>
    <w:rsid w:val="704789BA"/>
    <w:rsid w:val="725F24F4"/>
    <w:rsid w:val="734E0BCA"/>
    <w:rsid w:val="7459F250"/>
    <w:rsid w:val="752A8D08"/>
    <w:rsid w:val="759E8B00"/>
    <w:rsid w:val="75E0A387"/>
    <w:rsid w:val="7746548F"/>
    <w:rsid w:val="792B5020"/>
    <w:rsid w:val="79D8C05D"/>
    <w:rsid w:val="7A42CFB6"/>
    <w:rsid w:val="7AF54A41"/>
    <w:rsid w:val="7B771B75"/>
    <w:rsid w:val="7B80A62F"/>
    <w:rsid w:val="7B96C8DB"/>
    <w:rsid w:val="7B9A4666"/>
    <w:rsid w:val="7C10C3FA"/>
    <w:rsid w:val="7C49C885"/>
    <w:rsid w:val="7C62F0E2"/>
    <w:rsid w:val="7DDD2661"/>
    <w:rsid w:val="7E44B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ABC2"/>
  <w15:chartTrackingRefBased/>
  <w15:docId w15:val="{C2941007-37C7-4E0C-8988-A1680317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2D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F4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1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826F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6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andmd@nottinghamcity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4F56-F4FD-4F16-993A-2ECA23AE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Hinds</dc:creator>
  <cp:keywords/>
  <dc:description/>
  <cp:lastModifiedBy>Steve Cotterill</cp:lastModifiedBy>
  <cp:revision>7</cp:revision>
  <dcterms:created xsi:type="dcterms:W3CDTF">2024-02-21T15:31:00Z</dcterms:created>
  <dcterms:modified xsi:type="dcterms:W3CDTF">2024-02-22T08:01:00Z</dcterms:modified>
</cp:coreProperties>
</file>