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6311C" w14:textId="77777777" w:rsidR="00D07A5A" w:rsidRPr="00D07A5A" w:rsidRDefault="00D07A5A" w:rsidP="00D07A5A">
      <w:pPr>
        <w:jc w:val="center"/>
        <w:rPr>
          <w:rFonts w:ascii="Arial" w:hAnsi="Arial" w:cs="Arial"/>
          <w:sz w:val="20"/>
          <w:szCs w:val="20"/>
        </w:rPr>
      </w:pPr>
      <w:bookmarkStart w:id="0" w:name="_Hlk515378453"/>
    </w:p>
    <w:p w14:paraId="07E6F051" w14:textId="77777777" w:rsidR="00D85EFC" w:rsidRPr="00D07A5A" w:rsidRDefault="00E25695" w:rsidP="00907D82">
      <w:pPr>
        <w:pStyle w:val="SchHead"/>
        <w:numPr>
          <w:ilvl w:val="0"/>
          <w:numId w:val="0"/>
        </w:numPr>
        <w:jc w:val="left"/>
        <w:rPr>
          <w:rFonts w:ascii="Arial" w:hAnsi="Arial" w:cs="Arial"/>
          <w:sz w:val="20"/>
        </w:rPr>
      </w:pPr>
      <w:bookmarkStart w:id="1" w:name="_Ref487121121"/>
      <w:r w:rsidRPr="00D07A5A">
        <w:rPr>
          <w:rFonts w:ascii="Arial" w:eastAsia="Arial" w:hAnsi="Arial" w:cs="Arial"/>
          <w:color w:val="000000"/>
          <w:sz w:val="20"/>
          <w:highlight w:val="white"/>
        </w:rPr>
        <w:t>STATEMENT</w:t>
      </w:r>
      <w:r w:rsidRPr="00D07A5A">
        <w:rPr>
          <w:rFonts w:ascii="Arial" w:eastAsia="Arial" w:hAnsi="Arial" w:cs="Arial"/>
          <w:sz w:val="20"/>
        </w:rPr>
        <w:t xml:space="preserve"> OF WORK (</w:t>
      </w:r>
      <w:r w:rsidRPr="00D07A5A">
        <w:rPr>
          <w:rFonts w:ascii="Arial" w:eastAsia="Arial" w:hAnsi="Arial" w:cs="Arial"/>
          <w:color w:val="000000"/>
          <w:sz w:val="20"/>
          <w:highlight w:val="white"/>
        </w:rPr>
        <w:t>SOW</w:t>
      </w:r>
      <w:bookmarkEnd w:id="1"/>
      <w:r w:rsidR="006128D6">
        <w:rPr>
          <w:rFonts w:ascii="Arial" w:eastAsia="Arial" w:hAnsi="Arial" w:cs="Arial"/>
          <w:color w:val="000000"/>
          <w:sz w:val="20"/>
        </w:rPr>
        <w:t xml:space="preserve">) </w:t>
      </w:r>
      <w:r w:rsidR="006128D6" w:rsidRPr="006128D6">
        <w:rPr>
          <w:rFonts w:ascii="Arial" w:eastAsia="Arial" w:hAnsi="Arial" w:cs="Arial"/>
          <w:color w:val="000000"/>
          <w:sz w:val="20"/>
        </w:rPr>
        <w:t>including pricing arrangements and Key Staff</w:t>
      </w:r>
    </w:p>
    <w:p w14:paraId="419E118B" w14:textId="77777777" w:rsidR="00AD1F36" w:rsidRPr="00AD1F36" w:rsidRDefault="006128D6" w:rsidP="00A74913">
      <w:pPr>
        <w:pStyle w:val="H1S3"/>
        <w:widowControl w:val="0"/>
      </w:pPr>
      <w:bookmarkStart w:id="2" w:name="h.2s8eyo1" w:colFirst="0" w:colLast="0"/>
      <w:bookmarkStart w:id="3" w:name="_Ref448144588"/>
      <w:bookmarkEnd w:id="2"/>
      <w:r>
        <w:t xml:space="preserve">Schedule </w:t>
      </w:r>
      <w:r w:rsidR="006A52A9">
        <w:t>3.1:</w:t>
      </w:r>
      <w:r>
        <w:t xml:space="preserve"> </w:t>
      </w:r>
      <w:r w:rsidR="00AD1F36" w:rsidRPr="00AD1F36">
        <w:t>SOW Details</w:t>
      </w:r>
      <w:bookmarkEnd w:id="3"/>
    </w:p>
    <w:p w14:paraId="6813CB39" w14:textId="77777777" w:rsidR="00AD1F36" w:rsidRPr="00AD1F36" w:rsidRDefault="00AD1F36" w:rsidP="005069B9">
      <w:pPr>
        <w:pStyle w:val="H2S3"/>
        <w:widowControl w:val="0"/>
        <w:ind w:left="709" w:hanging="709"/>
      </w:pPr>
      <w:bookmarkStart w:id="4" w:name="_Ref487480391"/>
      <w:r w:rsidRPr="00AD1F36">
        <w:t xml:space="preserve">In this </w:t>
      </w:r>
      <w:r w:rsidRPr="00E67004">
        <w:t>Statement</w:t>
      </w:r>
      <w:r w:rsidRPr="00AD1F36">
        <w:t xml:space="preserve"> of Work, the </w:t>
      </w:r>
      <w:r w:rsidRPr="00E67004">
        <w:t>following</w:t>
      </w:r>
      <w:r w:rsidRPr="00AD1F36">
        <w:t xml:space="preserve"> definitions have the following meanings:</w:t>
      </w:r>
      <w:bookmarkEnd w:id="4"/>
    </w:p>
    <w:tbl>
      <w:tblPr>
        <w:tblW w:w="9497" w:type="dxa"/>
        <w:tblInd w:w="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36"/>
        <w:gridCol w:w="4961"/>
      </w:tblGrid>
      <w:tr w:rsidR="00AD1F36" w:rsidRPr="006128D6" w14:paraId="6CB658AF" w14:textId="77777777" w:rsidTr="00780926">
        <w:trPr>
          <w:trHeight w:val="472"/>
        </w:trPr>
        <w:tc>
          <w:tcPr>
            <w:tcW w:w="453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A683FB8" w14:textId="77777777" w:rsidR="00AD1F36" w:rsidRPr="00E87313" w:rsidRDefault="00AD1F36" w:rsidP="00A74913">
            <w:pPr>
              <w:pStyle w:val="HFRnormal"/>
              <w:widowControl w:val="0"/>
              <w:rPr>
                <w:szCs w:val="20"/>
              </w:rPr>
            </w:pPr>
            <w:permStart w:id="1977894011" w:edGrp="everyone"/>
            <w:r w:rsidRPr="00E87313">
              <w:rPr>
                <w:szCs w:val="20"/>
              </w:rPr>
              <w:t xml:space="preserve">Date of this </w:t>
            </w:r>
            <w:r w:rsidR="006128D6" w:rsidRPr="00E87313">
              <w:rPr>
                <w:szCs w:val="20"/>
              </w:rPr>
              <w:t>SOW:</w:t>
            </w:r>
          </w:p>
        </w:tc>
        <w:tc>
          <w:tcPr>
            <w:tcW w:w="4961"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C6152E7" w14:textId="77777777" w:rsidR="00AD1F36" w:rsidRPr="00E87313" w:rsidRDefault="00D15C6F" w:rsidP="00A74913">
            <w:pPr>
              <w:pStyle w:val="HFRnormal"/>
              <w:widowControl w:val="0"/>
              <w:rPr>
                <w:szCs w:val="20"/>
                <w:highlight w:val="yellow"/>
              </w:rPr>
            </w:pPr>
            <w:r w:rsidRPr="00871E9F">
              <w:rPr>
                <w:rFonts w:eastAsia="Arial"/>
                <w:i/>
                <w:szCs w:val="20"/>
                <w:highlight w:val="yellow"/>
              </w:rPr>
              <w:t>DD/MM/YYYY</w:t>
            </w:r>
          </w:p>
        </w:tc>
      </w:tr>
      <w:tr w:rsidR="00AD1F36" w:rsidRPr="006128D6" w14:paraId="03833C33" w14:textId="77777777" w:rsidTr="00780926">
        <w:tc>
          <w:tcPr>
            <w:tcW w:w="453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A7519A7" w14:textId="77777777" w:rsidR="00AD1F36" w:rsidRPr="00E87313" w:rsidRDefault="00AD1F36" w:rsidP="00A74913">
            <w:pPr>
              <w:pStyle w:val="HFRnormal"/>
              <w:widowControl w:val="0"/>
              <w:rPr>
                <w:szCs w:val="20"/>
              </w:rPr>
            </w:pPr>
            <w:r w:rsidRPr="00E87313">
              <w:rPr>
                <w:szCs w:val="20"/>
              </w:rPr>
              <w:t>SOW Reference:</w:t>
            </w:r>
          </w:p>
        </w:tc>
        <w:tc>
          <w:tcPr>
            <w:tcW w:w="4961"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965DAAE" w14:textId="1DA315B9" w:rsidR="00AD1F36" w:rsidRPr="00E87313" w:rsidRDefault="008E6635" w:rsidP="00A74913">
            <w:pPr>
              <w:widowControl w:val="0"/>
              <w:spacing w:before="60" w:after="60"/>
              <w:ind w:left="-15"/>
              <w:contextualSpacing/>
              <w:rPr>
                <w:rFonts w:ascii="Arial" w:hAnsi="Arial" w:cs="Arial"/>
                <w:sz w:val="20"/>
                <w:szCs w:val="20"/>
                <w:highlight w:val="yellow"/>
              </w:rPr>
            </w:pPr>
            <w:proofErr w:type="spellStart"/>
            <w:r w:rsidRPr="008E6635">
              <w:rPr>
                <w:rFonts w:ascii="Arial" w:eastAsia="Arial" w:hAnsi="Arial" w:cs="Arial"/>
                <w:i/>
                <w:sz w:val="20"/>
                <w:szCs w:val="20"/>
              </w:rPr>
              <w:t>Prj_xxx</w:t>
            </w:r>
            <w:proofErr w:type="spellEnd"/>
          </w:p>
        </w:tc>
      </w:tr>
      <w:tr w:rsidR="00AD1F36" w:rsidRPr="006128D6" w14:paraId="0EABDDBC" w14:textId="77777777" w:rsidTr="00780926">
        <w:tc>
          <w:tcPr>
            <w:tcW w:w="453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CA93516" w14:textId="77777777" w:rsidR="00AD1F36" w:rsidRPr="00E87313" w:rsidRDefault="00AD1F36" w:rsidP="00A74913">
            <w:pPr>
              <w:pStyle w:val="HFRnormal"/>
              <w:widowControl w:val="0"/>
              <w:rPr>
                <w:szCs w:val="20"/>
              </w:rPr>
            </w:pPr>
            <w:r w:rsidRPr="00E87313">
              <w:rPr>
                <w:szCs w:val="20"/>
              </w:rPr>
              <w:t>Procurement Reference:</w:t>
            </w:r>
          </w:p>
        </w:tc>
        <w:tc>
          <w:tcPr>
            <w:tcW w:w="4961"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666E8C" w14:textId="0781FCF2" w:rsidR="00AD1F36" w:rsidRPr="00E87313" w:rsidRDefault="008E6635" w:rsidP="00A74913">
            <w:pPr>
              <w:widowControl w:val="0"/>
              <w:spacing w:before="60" w:after="60"/>
              <w:ind w:left="-15"/>
              <w:rPr>
                <w:rFonts w:ascii="Arial" w:eastAsia="Arial" w:hAnsi="Arial" w:cs="Arial"/>
                <w:sz w:val="20"/>
                <w:szCs w:val="20"/>
              </w:rPr>
            </w:pPr>
            <w:r>
              <w:rPr>
                <w:rFonts w:ascii="Arial" w:eastAsia="Arial" w:hAnsi="Arial" w:cs="Arial"/>
                <w:i/>
                <w:sz w:val="20"/>
                <w:szCs w:val="20"/>
              </w:rPr>
              <w:t>xxx</w:t>
            </w:r>
            <w:r w:rsidR="003357C3">
              <w:rPr>
                <w:rFonts w:ascii="Arial" w:eastAsia="Arial" w:hAnsi="Arial" w:cs="Arial"/>
                <w:i/>
                <w:sz w:val="20"/>
                <w:szCs w:val="20"/>
              </w:rPr>
              <w:t>_</w:t>
            </w:r>
          </w:p>
        </w:tc>
      </w:tr>
      <w:tr w:rsidR="00AD1F36" w:rsidRPr="006128D6" w14:paraId="11249CAD" w14:textId="77777777" w:rsidTr="00780926">
        <w:tc>
          <w:tcPr>
            <w:tcW w:w="453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26625D9" w14:textId="77777777" w:rsidR="00AD1F36" w:rsidRPr="00E87313" w:rsidRDefault="00AD1F36" w:rsidP="00A74913">
            <w:pPr>
              <w:pStyle w:val="HFRnormal"/>
              <w:widowControl w:val="0"/>
              <w:rPr>
                <w:szCs w:val="20"/>
              </w:rPr>
            </w:pPr>
            <w:r w:rsidRPr="00E87313">
              <w:rPr>
                <w:szCs w:val="20"/>
              </w:rPr>
              <w:t>Contract Reference:</w:t>
            </w:r>
          </w:p>
        </w:tc>
        <w:tc>
          <w:tcPr>
            <w:tcW w:w="4961"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3C6EAA5" w14:textId="77777777" w:rsidR="00AD1F36" w:rsidRPr="00E87313" w:rsidRDefault="00887648" w:rsidP="00A74913">
            <w:pPr>
              <w:widowControl w:val="0"/>
              <w:spacing w:before="60" w:after="60"/>
              <w:ind w:left="-15"/>
              <w:rPr>
                <w:rFonts w:ascii="Arial" w:eastAsia="Arial" w:hAnsi="Arial" w:cs="Arial"/>
                <w:sz w:val="20"/>
                <w:szCs w:val="20"/>
              </w:rPr>
            </w:pPr>
            <w:r w:rsidRPr="00D844E8">
              <w:rPr>
                <w:rFonts w:ascii="Arial" w:eastAsia="Arial" w:hAnsi="Arial" w:cs="Arial"/>
                <w:i/>
                <w:sz w:val="20"/>
                <w:szCs w:val="20"/>
                <w:highlight w:val="yellow"/>
              </w:rPr>
              <w:t>[Buyer to insert post award]</w:t>
            </w:r>
          </w:p>
        </w:tc>
      </w:tr>
      <w:tr w:rsidR="00AD1F36" w:rsidRPr="006128D6" w14:paraId="442D3B29" w14:textId="77777777" w:rsidTr="00780926">
        <w:tc>
          <w:tcPr>
            <w:tcW w:w="453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49B5F6E" w14:textId="77777777" w:rsidR="00AD1F36" w:rsidRPr="00E87313" w:rsidRDefault="00AD1F36" w:rsidP="00A74913">
            <w:pPr>
              <w:pStyle w:val="HFRnormal"/>
              <w:widowControl w:val="0"/>
              <w:rPr>
                <w:szCs w:val="20"/>
              </w:rPr>
            </w:pPr>
            <w:r w:rsidRPr="00E87313">
              <w:rPr>
                <w:szCs w:val="20"/>
              </w:rPr>
              <w:t>Portfolio Reference:</w:t>
            </w:r>
          </w:p>
        </w:tc>
        <w:tc>
          <w:tcPr>
            <w:tcW w:w="4961"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7A8DCD9" w14:textId="4374C338" w:rsidR="00AD1F36" w:rsidRPr="00E87313" w:rsidRDefault="008E6635" w:rsidP="00A74913">
            <w:pPr>
              <w:widowControl w:val="0"/>
              <w:spacing w:before="60" w:after="60"/>
              <w:ind w:left="-15"/>
              <w:rPr>
                <w:rFonts w:ascii="Arial" w:eastAsia="Arial" w:hAnsi="Arial" w:cs="Arial"/>
                <w:sz w:val="20"/>
                <w:szCs w:val="20"/>
                <w:highlight w:val="yellow"/>
              </w:rPr>
            </w:pPr>
            <w:r>
              <w:rPr>
                <w:rFonts w:ascii="Arial" w:eastAsia="Arial" w:hAnsi="Arial" w:cs="Arial"/>
                <w:i/>
                <w:sz w:val="20"/>
                <w:szCs w:val="20"/>
              </w:rPr>
              <w:t>Xxx_</w:t>
            </w:r>
          </w:p>
        </w:tc>
      </w:tr>
      <w:tr w:rsidR="00AD1F36" w:rsidRPr="006128D6" w14:paraId="7E7536FC" w14:textId="77777777" w:rsidTr="00780926">
        <w:tc>
          <w:tcPr>
            <w:tcW w:w="453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64374EE" w14:textId="77777777" w:rsidR="00AD1F36" w:rsidRPr="00E87313" w:rsidRDefault="00AD1F36" w:rsidP="00A74913">
            <w:pPr>
              <w:pStyle w:val="HFRnormal"/>
              <w:widowControl w:val="0"/>
              <w:rPr>
                <w:szCs w:val="20"/>
              </w:rPr>
            </w:pPr>
            <w:r w:rsidRPr="00E87313">
              <w:rPr>
                <w:szCs w:val="20"/>
              </w:rPr>
              <w:t>Buyer:</w:t>
            </w:r>
          </w:p>
        </w:tc>
        <w:tc>
          <w:tcPr>
            <w:tcW w:w="4961"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4E98A8E" w14:textId="77777777" w:rsidR="00AD1F36" w:rsidRPr="00E87313" w:rsidRDefault="00AD1F36" w:rsidP="00A74913">
            <w:pPr>
              <w:widowControl w:val="0"/>
              <w:spacing w:before="60" w:after="60"/>
              <w:ind w:left="-15"/>
              <w:rPr>
                <w:rFonts w:ascii="Arial" w:hAnsi="Arial" w:cs="Arial"/>
                <w:sz w:val="20"/>
                <w:szCs w:val="20"/>
              </w:rPr>
            </w:pPr>
            <w:r w:rsidRPr="00E87313">
              <w:rPr>
                <w:rFonts w:ascii="Arial" w:eastAsia="Arial" w:hAnsi="Arial" w:cs="Arial"/>
                <w:sz w:val="20"/>
                <w:szCs w:val="20"/>
              </w:rPr>
              <w:t>Health and Social Care Information Centre</w:t>
            </w:r>
            <w:r w:rsidR="00A123B4">
              <w:rPr>
                <w:rFonts w:ascii="Arial" w:eastAsia="Arial" w:hAnsi="Arial" w:cs="Arial"/>
                <w:sz w:val="20"/>
                <w:szCs w:val="20"/>
              </w:rPr>
              <w:t xml:space="preserve"> known as NHS Digital</w:t>
            </w:r>
          </w:p>
        </w:tc>
      </w:tr>
      <w:tr w:rsidR="00AD1F36" w:rsidRPr="006128D6" w14:paraId="767FB324" w14:textId="77777777" w:rsidTr="00780926">
        <w:tc>
          <w:tcPr>
            <w:tcW w:w="453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1CB53BC" w14:textId="77777777" w:rsidR="00AD1F36" w:rsidRPr="00E87313" w:rsidRDefault="00AD1F36" w:rsidP="00A74913">
            <w:pPr>
              <w:pStyle w:val="HFRnormal"/>
              <w:widowControl w:val="0"/>
              <w:rPr>
                <w:szCs w:val="20"/>
              </w:rPr>
            </w:pPr>
            <w:r w:rsidRPr="00E87313">
              <w:rPr>
                <w:szCs w:val="20"/>
              </w:rPr>
              <w:t>Supplier:</w:t>
            </w:r>
          </w:p>
        </w:tc>
        <w:tc>
          <w:tcPr>
            <w:tcW w:w="4961"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0584C9C" w14:textId="77777777" w:rsidR="00AD1F36" w:rsidRPr="00E87313" w:rsidRDefault="008455A9" w:rsidP="00A74913">
            <w:pPr>
              <w:widowControl w:val="0"/>
              <w:spacing w:before="60" w:after="60"/>
              <w:ind w:left="-15"/>
              <w:rPr>
                <w:rFonts w:ascii="Arial" w:hAnsi="Arial" w:cs="Arial"/>
                <w:sz w:val="20"/>
                <w:szCs w:val="20"/>
                <w:highlight w:val="yellow"/>
              </w:rPr>
            </w:pPr>
            <w:r w:rsidRPr="00AE76D8">
              <w:rPr>
                <w:rFonts w:ascii="Arial" w:eastAsia="Arial" w:hAnsi="Arial" w:cs="Arial"/>
                <w:i/>
                <w:sz w:val="20"/>
                <w:szCs w:val="20"/>
                <w:highlight w:val="yellow"/>
              </w:rPr>
              <w:t>[Supplier to insert]</w:t>
            </w:r>
          </w:p>
        </w:tc>
      </w:tr>
      <w:tr w:rsidR="006128D6" w:rsidRPr="006128D6" w14:paraId="638DA431" w14:textId="77777777" w:rsidTr="00780926">
        <w:tc>
          <w:tcPr>
            <w:tcW w:w="453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C086E4E" w14:textId="77777777" w:rsidR="006128D6" w:rsidRPr="00E87313" w:rsidRDefault="006128D6" w:rsidP="00A74913">
            <w:pPr>
              <w:pStyle w:val="HFRnormal"/>
              <w:widowControl w:val="0"/>
              <w:rPr>
                <w:szCs w:val="20"/>
              </w:rPr>
            </w:pPr>
            <w:r w:rsidRPr="00E87313">
              <w:rPr>
                <w:szCs w:val="20"/>
              </w:rPr>
              <w:t>Phase(s) of Development:</w:t>
            </w:r>
          </w:p>
        </w:tc>
        <w:tc>
          <w:tcPr>
            <w:tcW w:w="4961"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A7C747D" w14:textId="0E05E5C7" w:rsidR="006128D6" w:rsidRPr="008455A9" w:rsidRDefault="008E6635" w:rsidP="00A74913">
            <w:pPr>
              <w:widowControl w:val="0"/>
              <w:spacing w:before="60" w:after="60"/>
              <w:ind w:left="-15"/>
              <w:rPr>
                <w:i/>
                <w:sz w:val="20"/>
                <w:szCs w:val="20"/>
              </w:rPr>
            </w:pPr>
            <w:r>
              <w:rPr>
                <w:rFonts w:ascii="Arial" w:eastAsia="Arial" w:hAnsi="Arial" w:cs="Arial"/>
                <w:i/>
                <w:sz w:val="20"/>
                <w:szCs w:val="20"/>
                <w:highlight w:val="yellow"/>
              </w:rPr>
              <w:t>Discovery</w:t>
            </w:r>
          </w:p>
        </w:tc>
      </w:tr>
      <w:tr w:rsidR="006128D6" w:rsidRPr="006128D6" w14:paraId="11A7D0E0" w14:textId="77777777" w:rsidTr="00780926">
        <w:tc>
          <w:tcPr>
            <w:tcW w:w="453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BE0E243" w14:textId="77777777" w:rsidR="006128D6" w:rsidRPr="00E87313" w:rsidRDefault="006128D6" w:rsidP="00A74913">
            <w:pPr>
              <w:pStyle w:val="HFRnormal"/>
              <w:widowControl w:val="0"/>
              <w:rPr>
                <w:szCs w:val="20"/>
              </w:rPr>
            </w:pPr>
            <w:r w:rsidRPr="00E87313">
              <w:rPr>
                <w:szCs w:val="20"/>
              </w:rPr>
              <w:t>Duration of SOW:</w:t>
            </w:r>
          </w:p>
        </w:tc>
        <w:tc>
          <w:tcPr>
            <w:tcW w:w="4961"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D5504DA" w14:textId="3171D044" w:rsidR="006128D6" w:rsidRPr="009E5FB9" w:rsidRDefault="008E6635" w:rsidP="00A74913">
            <w:pPr>
              <w:widowControl w:val="0"/>
              <w:spacing w:before="60" w:after="60"/>
              <w:ind w:left="-15"/>
              <w:rPr>
                <w:rFonts w:ascii="Arial" w:eastAsia="Arial" w:hAnsi="Arial" w:cs="Arial"/>
                <w:sz w:val="20"/>
                <w:szCs w:val="20"/>
              </w:rPr>
            </w:pPr>
            <w:r>
              <w:rPr>
                <w:rFonts w:ascii="Arial" w:eastAsia="Arial" w:hAnsi="Arial" w:cs="Arial"/>
                <w:sz w:val="20"/>
                <w:szCs w:val="20"/>
              </w:rPr>
              <w:t>12 Weeks</w:t>
            </w:r>
          </w:p>
        </w:tc>
      </w:tr>
      <w:tr w:rsidR="006128D6" w:rsidRPr="006128D6" w14:paraId="2FA7342B" w14:textId="77777777" w:rsidTr="00780926">
        <w:tc>
          <w:tcPr>
            <w:tcW w:w="453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E04E542" w14:textId="77777777" w:rsidR="006128D6" w:rsidRPr="00E87313" w:rsidRDefault="006128D6" w:rsidP="00A74913">
            <w:pPr>
              <w:pStyle w:val="HFRnormal"/>
              <w:widowControl w:val="0"/>
              <w:rPr>
                <w:szCs w:val="20"/>
              </w:rPr>
            </w:pPr>
            <w:r w:rsidRPr="00E87313">
              <w:rPr>
                <w:szCs w:val="20"/>
              </w:rPr>
              <w:t>Charging Method(s) for this SOW:</w:t>
            </w:r>
          </w:p>
        </w:tc>
        <w:tc>
          <w:tcPr>
            <w:tcW w:w="4961"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DC048B" w14:textId="61AB87A1" w:rsidR="006128D6" w:rsidRPr="009E5FB9" w:rsidRDefault="008E6635" w:rsidP="00D2010A">
            <w:pPr>
              <w:widowControl w:val="0"/>
              <w:spacing w:before="60" w:after="60"/>
              <w:ind w:left="-15"/>
              <w:rPr>
                <w:rFonts w:ascii="Arial" w:hAnsi="Arial" w:cs="Arial"/>
                <w:sz w:val="20"/>
                <w:szCs w:val="20"/>
                <w:highlight w:val="yellow"/>
              </w:rPr>
            </w:pPr>
            <w:r>
              <w:rPr>
                <w:rFonts w:ascii="Arial" w:eastAsia="Arial" w:hAnsi="Arial" w:cs="Arial"/>
                <w:i/>
                <w:sz w:val="20"/>
                <w:szCs w:val="20"/>
                <w:highlight w:val="yellow"/>
              </w:rPr>
              <w:t>Fixed Price</w:t>
            </w:r>
          </w:p>
        </w:tc>
      </w:tr>
      <w:tr w:rsidR="006128D6" w:rsidRPr="006128D6" w14:paraId="3D18A78A" w14:textId="77777777" w:rsidTr="00780926">
        <w:tc>
          <w:tcPr>
            <w:tcW w:w="453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893023" w14:textId="77777777" w:rsidR="006128D6" w:rsidRPr="00E87313" w:rsidRDefault="006128D6" w:rsidP="00A74913">
            <w:pPr>
              <w:pStyle w:val="HFRnormal"/>
              <w:widowControl w:val="0"/>
              <w:rPr>
                <w:szCs w:val="20"/>
              </w:rPr>
            </w:pPr>
            <w:r w:rsidRPr="00E87313">
              <w:rPr>
                <w:szCs w:val="20"/>
              </w:rPr>
              <w:t>Maximum SOW Call-Off Contract Charge:</w:t>
            </w:r>
          </w:p>
        </w:tc>
        <w:tc>
          <w:tcPr>
            <w:tcW w:w="4961"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608725F" w14:textId="77777777" w:rsidR="006128D6" w:rsidRPr="00E87313" w:rsidRDefault="00CA0FE5" w:rsidP="00614869">
            <w:pPr>
              <w:widowControl w:val="0"/>
              <w:spacing w:before="60" w:after="60"/>
              <w:ind w:left="-15"/>
              <w:rPr>
                <w:rFonts w:ascii="Arial" w:eastAsia="Arial" w:hAnsi="Arial" w:cs="Arial"/>
                <w:i/>
                <w:sz w:val="20"/>
                <w:szCs w:val="20"/>
                <w:highlight w:val="yellow"/>
              </w:rPr>
            </w:pPr>
            <w:r>
              <w:rPr>
                <w:rFonts w:ascii="Arial" w:eastAsia="Arial" w:hAnsi="Arial" w:cs="Arial"/>
                <w:i/>
                <w:sz w:val="20"/>
                <w:szCs w:val="20"/>
              </w:rPr>
              <w:t xml:space="preserve">£ [specify] </w:t>
            </w:r>
            <w:r w:rsidR="00614869">
              <w:rPr>
                <w:rFonts w:ascii="Arial" w:eastAsia="Arial" w:hAnsi="Arial" w:cs="Arial"/>
                <w:i/>
                <w:sz w:val="20"/>
                <w:szCs w:val="20"/>
              </w:rPr>
              <w:t>(Excluding</w:t>
            </w:r>
            <w:r>
              <w:rPr>
                <w:rFonts w:ascii="Arial" w:eastAsia="Arial" w:hAnsi="Arial" w:cs="Arial"/>
                <w:i/>
                <w:sz w:val="20"/>
                <w:szCs w:val="20"/>
              </w:rPr>
              <w:t xml:space="preserve"> </w:t>
            </w:r>
            <w:r w:rsidR="008455A9" w:rsidRPr="00E87313">
              <w:rPr>
                <w:rFonts w:ascii="Arial" w:eastAsia="Arial" w:hAnsi="Arial" w:cs="Arial"/>
                <w:i/>
                <w:sz w:val="20"/>
                <w:szCs w:val="20"/>
              </w:rPr>
              <w:t>VAT)</w:t>
            </w:r>
            <w:r w:rsidR="008455A9">
              <w:rPr>
                <w:rFonts w:ascii="Arial" w:eastAsia="Arial" w:hAnsi="Arial" w:cs="Arial"/>
                <w:i/>
                <w:sz w:val="20"/>
                <w:szCs w:val="20"/>
              </w:rPr>
              <w:t xml:space="preserve"> </w:t>
            </w:r>
            <w:r w:rsidR="008455A9" w:rsidRPr="00AE3032">
              <w:rPr>
                <w:rFonts w:ascii="Arial" w:eastAsia="Arial" w:hAnsi="Arial" w:cs="Arial"/>
                <w:i/>
                <w:sz w:val="20"/>
                <w:szCs w:val="20"/>
                <w:highlight w:val="yellow"/>
              </w:rPr>
              <w:t>[Buyer to insert post award]</w:t>
            </w:r>
          </w:p>
        </w:tc>
      </w:tr>
      <w:permEnd w:id="1977894011"/>
    </w:tbl>
    <w:p w14:paraId="75E02AE0" w14:textId="77777777" w:rsidR="00AD1F36" w:rsidRPr="00AD1F36" w:rsidRDefault="00AD1F36" w:rsidP="00D23F34">
      <w:pPr>
        <w:pStyle w:val="H2S3"/>
        <w:widowControl w:val="0"/>
        <w:numPr>
          <w:ilvl w:val="0"/>
          <w:numId w:val="0"/>
        </w:numPr>
        <w:ind w:left="142"/>
      </w:pPr>
    </w:p>
    <w:p w14:paraId="33D9DA19" w14:textId="77777777" w:rsidR="006128D6" w:rsidRDefault="006128D6" w:rsidP="001E73A5">
      <w:pPr>
        <w:pStyle w:val="H2S3"/>
        <w:widowControl w:val="0"/>
        <w:ind w:left="709" w:hanging="709"/>
      </w:pPr>
      <w:r w:rsidRPr="00AD1F36">
        <w:t>Upon agreement, this SOW forms part of the Contract referenced above.</w:t>
      </w:r>
    </w:p>
    <w:p w14:paraId="4790BB56" w14:textId="77777777" w:rsidR="00D23F34" w:rsidRDefault="00D23F34" w:rsidP="001E73A5">
      <w:pPr>
        <w:pStyle w:val="H2S3"/>
        <w:widowControl w:val="0"/>
        <w:numPr>
          <w:ilvl w:val="0"/>
          <w:numId w:val="0"/>
        </w:numPr>
        <w:ind w:left="709"/>
      </w:pPr>
    </w:p>
    <w:p w14:paraId="166FAC4F" w14:textId="77777777" w:rsidR="006128D6" w:rsidRDefault="006128D6" w:rsidP="001E73A5">
      <w:pPr>
        <w:pStyle w:val="H2S3"/>
        <w:widowControl w:val="0"/>
        <w:ind w:left="709" w:hanging="709"/>
      </w:pPr>
      <w:r>
        <w:t>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553212E9" w14:textId="77777777" w:rsidR="00D23F34" w:rsidRDefault="00D23F34" w:rsidP="001E73A5">
      <w:pPr>
        <w:pStyle w:val="H2S3"/>
        <w:widowControl w:val="0"/>
        <w:numPr>
          <w:ilvl w:val="0"/>
          <w:numId w:val="0"/>
        </w:numPr>
        <w:ind w:left="709"/>
      </w:pPr>
    </w:p>
    <w:p w14:paraId="7D0C6808" w14:textId="77777777" w:rsidR="007F7577" w:rsidRDefault="006128D6" w:rsidP="003A6810">
      <w:pPr>
        <w:pStyle w:val="H2S3"/>
        <w:widowControl w:val="0"/>
        <w:ind w:left="709" w:hanging="709"/>
      </w:pPr>
      <w:r>
        <w:t>The rights, obligations and details agreed by the Parties and set out in this SOW apply only in relation to the Services that are to be delivered under this SOW and will not app</w:t>
      </w:r>
      <w:r w:rsidR="00CA0FE5">
        <w:t>ly to any other SOW</w:t>
      </w:r>
      <w:r w:rsidR="007C0305">
        <w:t>s</w:t>
      </w:r>
      <w:r w:rsidR="00CA0FE5">
        <w:t xml:space="preserve"> executed </w:t>
      </w:r>
      <w:r>
        <w:t>or to be executed under this Call-Off Contract unless otherwise agreed by the Parties.</w:t>
      </w:r>
      <w:r w:rsidR="007F7577">
        <w:br w:type="page"/>
      </w:r>
    </w:p>
    <w:p w14:paraId="5FFFF09E" w14:textId="77777777" w:rsidR="00AD1F36" w:rsidRPr="00AD1F36" w:rsidRDefault="006128D6" w:rsidP="00A74913">
      <w:pPr>
        <w:pStyle w:val="H1S3"/>
        <w:widowControl w:val="0"/>
      </w:pPr>
      <w:bookmarkStart w:id="5" w:name="h.17dp8vu" w:colFirst="0" w:colLast="0"/>
      <w:bookmarkEnd w:id="5"/>
      <w:r>
        <w:lastRenderedPageBreak/>
        <w:t xml:space="preserve">Schedule </w:t>
      </w:r>
      <w:r w:rsidR="006A52A9">
        <w:t>3.2:</w:t>
      </w:r>
      <w:r>
        <w:t xml:space="preserve"> </w:t>
      </w:r>
      <w:r w:rsidR="00AD1F36" w:rsidRPr="00AD1F36">
        <w:t xml:space="preserve">Key </w:t>
      </w:r>
      <w:r w:rsidR="00AD1F36" w:rsidRPr="00E67004">
        <w:t>Staff</w:t>
      </w:r>
      <w:bookmarkStart w:id="6" w:name="h.3rdcrjn" w:colFirst="0" w:colLast="0"/>
      <w:bookmarkEnd w:id="6"/>
    </w:p>
    <w:p w14:paraId="78BEC505" w14:textId="77777777" w:rsidR="00AD1F36" w:rsidRPr="001E73A5" w:rsidRDefault="00AD1F36" w:rsidP="001E73A5">
      <w:pPr>
        <w:pStyle w:val="H2S3"/>
        <w:widowControl w:val="0"/>
        <w:ind w:left="709" w:hanging="709"/>
      </w:pPr>
      <w:r w:rsidRPr="001E73A5">
        <w:t>The Parties agree that the Key Staff in respect of these Services are detailed in the table below.</w:t>
      </w:r>
    </w:p>
    <w:p w14:paraId="49995909" w14:textId="77777777" w:rsidR="001E73A5" w:rsidRDefault="001E73A5" w:rsidP="001E73A5">
      <w:pPr>
        <w:pStyle w:val="H2S3"/>
        <w:widowControl w:val="0"/>
        <w:numPr>
          <w:ilvl w:val="0"/>
          <w:numId w:val="0"/>
        </w:numPr>
        <w:ind w:left="709"/>
      </w:pPr>
    </w:p>
    <w:p w14:paraId="1AF990CE" w14:textId="77777777" w:rsidR="00AD1F36" w:rsidRPr="00100623" w:rsidRDefault="00AD1F36" w:rsidP="005069B9">
      <w:pPr>
        <w:pStyle w:val="H2S3"/>
        <w:widowControl w:val="0"/>
        <w:ind w:left="709" w:hanging="709"/>
        <w:rPr>
          <w:b/>
        </w:rPr>
      </w:pPr>
      <w:permStart w:id="1245345878" w:edGrp="everyone"/>
      <w:r w:rsidRPr="001E73A5">
        <w:t>Table of Supplier Key Staff:</w:t>
      </w:r>
    </w:p>
    <w:tbl>
      <w:tblPr>
        <w:tblW w:w="9072" w:type="dxa"/>
        <w:tblInd w:w="817" w:type="dxa"/>
        <w:tblCellMar>
          <w:left w:w="0" w:type="dxa"/>
          <w:right w:w="0" w:type="dxa"/>
        </w:tblCellMar>
        <w:tblLook w:val="04A0" w:firstRow="1" w:lastRow="0" w:firstColumn="1" w:lastColumn="0" w:noHBand="0" w:noVBand="1"/>
      </w:tblPr>
      <w:tblGrid>
        <w:gridCol w:w="2438"/>
        <w:gridCol w:w="3496"/>
        <w:gridCol w:w="3138"/>
      </w:tblGrid>
      <w:tr w:rsidR="00AD1F36" w:rsidRPr="00AD1F36" w14:paraId="3E34283B" w14:textId="77777777" w:rsidTr="00780926">
        <w:tc>
          <w:tcPr>
            <w:tcW w:w="243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7334DCD7" w14:textId="77777777" w:rsidR="00AD1F36" w:rsidRPr="00AD1F36" w:rsidRDefault="00AD1F36" w:rsidP="00A74913">
            <w:pPr>
              <w:pStyle w:val="HFRnormal"/>
              <w:widowControl w:val="0"/>
            </w:pPr>
            <w:r w:rsidRPr="00AD1F36">
              <w:t>Name (If appropriate)</w:t>
            </w:r>
          </w:p>
        </w:tc>
        <w:tc>
          <w:tcPr>
            <w:tcW w:w="3496"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hideMark/>
          </w:tcPr>
          <w:p w14:paraId="4E09122D" w14:textId="77777777" w:rsidR="003616FA" w:rsidRPr="00AD1F36" w:rsidRDefault="00AD1F36" w:rsidP="003616FA">
            <w:pPr>
              <w:pStyle w:val="HFRnormal"/>
              <w:widowControl w:val="0"/>
              <w:rPr>
                <w:i/>
                <w:iCs/>
              </w:rPr>
            </w:pPr>
            <w:r w:rsidRPr="00AD1F36">
              <w:t xml:space="preserve">Role </w:t>
            </w:r>
            <w:r w:rsidR="003616FA">
              <w:rPr>
                <w:i/>
                <w:iCs/>
              </w:rPr>
              <w:t>(</w:t>
            </w:r>
            <w:r w:rsidR="003616FA">
              <w:t>Estimated to be:)</w:t>
            </w:r>
          </w:p>
        </w:tc>
        <w:tc>
          <w:tcPr>
            <w:tcW w:w="31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hideMark/>
          </w:tcPr>
          <w:p w14:paraId="4D0B1BBE" w14:textId="77777777" w:rsidR="00AD1F36" w:rsidRPr="00AD1F36" w:rsidRDefault="00AD1F36" w:rsidP="00A74913">
            <w:pPr>
              <w:pStyle w:val="HFRnormal"/>
              <w:widowControl w:val="0"/>
            </w:pPr>
            <w:r w:rsidRPr="00AD1F36">
              <w:t xml:space="preserve">Contact Details (Email, Phone) </w:t>
            </w:r>
          </w:p>
        </w:tc>
      </w:tr>
      <w:tr w:rsidR="00AD1F36" w:rsidRPr="00AD1F36" w14:paraId="7811213A" w14:textId="77777777" w:rsidTr="009E5FB9">
        <w:trPr>
          <w:trHeight w:val="25"/>
        </w:trPr>
        <w:tc>
          <w:tcPr>
            <w:tcW w:w="2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F841F6" w14:textId="77777777" w:rsidR="00AD1F36" w:rsidRPr="00AD1F36" w:rsidRDefault="003A6810" w:rsidP="00A74913">
            <w:pPr>
              <w:pStyle w:val="HFRnormal"/>
              <w:widowControl w:val="0"/>
            </w:pPr>
            <w:r w:rsidRPr="00941798">
              <w:rPr>
                <w:i/>
                <w:highlight w:val="yellow"/>
              </w:rPr>
              <w:t>[Supplier to insert]</w:t>
            </w:r>
          </w:p>
        </w:tc>
        <w:tc>
          <w:tcPr>
            <w:tcW w:w="3496" w:type="dxa"/>
            <w:tcBorders>
              <w:top w:val="nil"/>
              <w:left w:val="nil"/>
              <w:bottom w:val="single" w:sz="8" w:space="0" w:color="000000"/>
              <w:right w:val="single" w:sz="8" w:space="0" w:color="000000"/>
            </w:tcBorders>
            <w:tcMar>
              <w:top w:w="100" w:type="dxa"/>
              <w:left w:w="100" w:type="dxa"/>
              <w:bottom w:w="100" w:type="dxa"/>
              <w:right w:w="100" w:type="dxa"/>
            </w:tcMar>
          </w:tcPr>
          <w:p w14:paraId="5C077519" w14:textId="77777777" w:rsidR="00AD1F36" w:rsidRPr="00AD1F36" w:rsidRDefault="00AD1F36" w:rsidP="00A74913">
            <w:pPr>
              <w:pStyle w:val="HFRnormal"/>
              <w:widowControl w:val="0"/>
            </w:pPr>
          </w:p>
        </w:tc>
        <w:tc>
          <w:tcPr>
            <w:tcW w:w="3138" w:type="dxa"/>
            <w:tcBorders>
              <w:top w:val="nil"/>
              <w:left w:val="nil"/>
              <w:bottom w:val="single" w:sz="8" w:space="0" w:color="000000"/>
              <w:right w:val="single" w:sz="8" w:space="0" w:color="000000"/>
            </w:tcBorders>
            <w:tcMar>
              <w:top w:w="100" w:type="dxa"/>
              <w:left w:w="100" w:type="dxa"/>
              <w:bottom w:w="100" w:type="dxa"/>
              <w:right w:w="100" w:type="dxa"/>
            </w:tcMar>
          </w:tcPr>
          <w:p w14:paraId="25242E4E" w14:textId="77777777" w:rsidR="00AD1F36" w:rsidRPr="00AD1F36" w:rsidRDefault="003A6810" w:rsidP="00A74913">
            <w:pPr>
              <w:pStyle w:val="HFRnormal"/>
              <w:widowControl w:val="0"/>
            </w:pPr>
            <w:r w:rsidRPr="00941798">
              <w:rPr>
                <w:i/>
                <w:highlight w:val="yellow"/>
              </w:rPr>
              <w:t>[Supplier to insert]</w:t>
            </w:r>
          </w:p>
        </w:tc>
      </w:tr>
      <w:tr w:rsidR="00AD1F36" w:rsidRPr="00AD1F36" w14:paraId="2826C4EF" w14:textId="77777777" w:rsidTr="00780926">
        <w:tc>
          <w:tcPr>
            <w:tcW w:w="2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34A56E" w14:textId="77777777" w:rsidR="00AD1F36" w:rsidRPr="00AD1F36" w:rsidRDefault="00AD1F36" w:rsidP="00A74913">
            <w:pPr>
              <w:pStyle w:val="HFRnormal"/>
              <w:widowControl w:val="0"/>
              <w:rPr>
                <w:highlight w:val="white"/>
              </w:rPr>
            </w:pPr>
          </w:p>
        </w:tc>
        <w:tc>
          <w:tcPr>
            <w:tcW w:w="3496" w:type="dxa"/>
            <w:tcBorders>
              <w:top w:val="nil"/>
              <w:left w:val="nil"/>
              <w:bottom w:val="single" w:sz="8" w:space="0" w:color="000000"/>
              <w:right w:val="single" w:sz="8" w:space="0" w:color="000000"/>
            </w:tcBorders>
            <w:tcMar>
              <w:top w:w="100" w:type="dxa"/>
              <w:left w:w="100" w:type="dxa"/>
              <w:bottom w:w="100" w:type="dxa"/>
              <w:right w:w="100" w:type="dxa"/>
            </w:tcMar>
          </w:tcPr>
          <w:p w14:paraId="32BB5470" w14:textId="77777777" w:rsidR="00AD1F36" w:rsidRPr="00AD1F36" w:rsidRDefault="00AD1F36" w:rsidP="00A74913">
            <w:pPr>
              <w:pStyle w:val="HFRnormal"/>
              <w:widowControl w:val="0"/>
              <w:rPr>
                <w:highlight w:val="white"/>
              </w:rPr>
            </w:pPr>
          </w:p>
        </w:tc>
        <w:tc>
          <w:tcPr>
            <w:tcW w:w="3138" w:type="dxa"/>
            <w:tcBorders>
              <w:top w:val="nil"/>
              <w:left w:val="nil"/>
              <w:bottom w:val="single" w:sz="8" w:space="0" w:color="000000"/>
              <w:right w:val="single" w:sz="8" w:space="0" w:color="000000"/>
            </w:tcBorders>
            <w:tcMar>
              <w:top w:w="100" w:type="dxa"/>
              <w:left w:w="100" w:type="dxa"/>
              <w:bottom w:w="100" w:type="dxa"/>
              <w:right w:w="100" w:type="dxa"/>
            </w:tcMar>
          </w:tcPr>
          <w:p w14:paraId="57A3209B" w14:textId="77777777" w:rsidR="00AD1F36" w:rsidRPr="00AD1F36" w:rsidRDefault="00AD1F36" w:rsidP="00A74913">
            <w:pPr>
              <w:pStyle w:val="HFRnormal"/>
              <w:widowControl w:val="0"/>
              <w:rPr>
                <w:highlight w:val="white"/>
              </w:rPr>
            </w:pPr>
          </w:p>
        </w:tc>
      </w:tr>
      <w:tr w:rsidR="00AD1F36" w:rsidRPr="00AD1F36" w14:paraId="6EE7FE3F" w14:textId="77777777" w:rsidTr="00780926">
        <w:tc>
          <w:tcPr>
            <w:tcW w:w="2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5DCA81" w14:textId="77777777" w:rsidR="00AD1F36" w:rsidRPr="00AD1F36" w:rsidRDefault="00AD1F36" w:rsidP="00A74913">
            <w:pPr>
              <w:pStyle w:val="HFRnormal"/>
              <w:widowControl w:val="0"/>
              <w:rPr>
                <w:highlight w:val="white"/>
              </w:rPr>
            </w:pPr>
          </w:p>
        </w:tc>
        <w:tc>
          <w:tcPr>
            <w:tcW w:w="3496" w:type="dxa"/>
            <w:tcBorders>
              <w:top w:val="nil"/>
              <w:left w:val="nil"/>
              <w:bottom w:val="single" w:sz="8" w:space="0" w:color="000000"/>
              <w:right w:val="single" w:sz="8" w:space="0" w:color="000000"/>
            </w:tcBorders>
            <w:tcMar>
              <w:top w:w="100" w:type="dxa"/>
              <w:left w:w="100" w:type="dxa"/>
              <w:bottom w:w="100" w:type="dxa"/>
              <w:right w:w="100" w:type="dxa"/>
            </w:tcMar>
          </w:tcPr>
          <w:p w14:paraId="132EB439" w14:textId="77777777" w:rsidR="00AD1F36" w:rsidRPr="00AD1F36" w:rsidRDefault="00AD1F36" w:rsidP="00A74913">
            <w:pPr>
              <w:pStyle w:val="HFRnormal"/>
              <w:widowControl w:val="0"/>
              <w:rPr>
                <w:highlight w:val="white"/>
              </w:rPr>
            </w:pPr>
          </w:p>
        </w:tc>
        <w:tc>
          <w:tcPr>
            <w:tcW w:w="3138" w:type="dxa"/>
            <w:tcBorders>
              <w:top w:val="nil"/>
              <w:left w:val="nil"/>
              <w:bottom w:val="single" w:sz="8" w:space="0" w:color="000000"/>
              <w:right w:val="single" w:sz="8" w:space="0" w:color="000000"/>
            </w:tcBorders>
            <w:tcMar>
              <w:top w:w="100" w:type="dxa"/>
              <w:left w:w="100" w:type="dxa"/>
              <w:bottom w:w="100" w:type="dxa"/>
              <w:right w:w="100" w:type="dxa"/>
            </w:tcMar>
          </w:tcPr>
          <w:p w14:paraId="01C49DD7" w14:textId="77777777" w:rsidR="00AD1F36" w:rsidRPr="00AD1F36" w:rsidRDefault="00AD1F36" w:rsidP="00A74913">
            <w:pPr>
              <w:pStyle w:val="HFRnormal"/>
              <w:widowControl w:val="0"/>
              <w:rPr>
                <w:highlight w:val="white"/>
              </w:rPr>
            </w:pPr>
          </w:p>
        </w:tc>
      </w:tr>
    </w:tbl>
    <w:p w14:paraId="5511991E" w14:textId="77777777" w:rsidR="00AD1F36" w:rsidRPr="00AD1F36" w:rsidRDefault="00AD1F36" w:rsidP="00A74913">
      <w:pPr>
        <w:widowControl w:val="0"/>
        <w:rPr>
          <w:rFonts w:ascii="Arial" w:eastAsia="Arial" w:hAnsi="Arial" w:cs="Arial"/>
          <w:b/>
          <w:sz w:val="20"/>
          <w:szCs w:val="20"/>
        </w:rPr>
      </w:pPr>
    </w:p>
    <w:p w14:paraId="1F2C09C3" w14:textId="77777777" w:rsidR="00AD1F36" w:rsidRPr="00AD1F36" w:rsidRDefault="00AD1F36" w:rsidP="009E5FB9">
      <w:pPr>
        <w:pStyle w:val="H2S3"/>
        <w:widowControl w:val="0"/>
        <w:ind w:left="709" w:hanging="709"/>
      </w:pPr>
      <w:r w:rsidRPr="00AD1F36">
        <w:t>Table of Buyer Key Staff:</w:t>
      </w:r>
    </w:p>
    <w:tbl>
      <w:tblPr>
        <w:tblW w:w="9072" w:type="dxa"/>
        <w:tblInd w:w="8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68"/>
        <w:gridCol w:w="3686"/>
        <w:gridCol w:w="3118"/>
      </w:tblGrid>
      <w:tr w:rsidR="00AD1F36" w:rsidRPr="00AD1F36" w14:paraId="3CF5F4E0" w14:textId="77777777" w:rsidTr="00780926">
        <w:tc>
          <w:tcPr>
            <w:tcW w:w="22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77F4CF6" w14:textId="77777777" w:rsidR="00AD1F36" w:rsidRPr="00AD1F36" w:rsidRDefault="00AD1F36" w:rsidP="00A74913">
            <w:pPr>
              <w:pStyle w:val="HFRnormal"/>
              <w:widowControl w:val="0"/>
            </w:pPr>
            <w:r w:rsidRPr="00AD1F36">
              <w:t>Name (if appropriate)</w:t>
            </w:r>
          </w:p>
        </w:tc>
        <w:tc>
          <w:tcPr>
            <w:tcW w:w="36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9B87260" w14:textId="77777777" w:rsidR="00AD1F36" w:rsidRPr="00AD1F36" w:rsidRDefault="00AD1F36" w:rsidP="00A74913">
            <w:pPr>
              <w:pStyle w:val="HFRnormal"/>
              <w:widowControl w:val="0"/>
            </w:pPr>
            <w:r w:rsidRPr="00AD1F36">
              <w:t xml:space="preserve">Role </w:t>
            </w:r>
          </w:p>
        </w:tc>
        <w:tc>
          <w:tcPr>
            <w:tcW w:w="311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408B433" w14:textId="77777777" w:rsidR="00AD1F36" w:rsidRPr="00AD1F36" w:rsidRDefault="00AD1F36" w:rsidP="00A74913">
            <w:pPr>
              <w:pStyle w:val="HFRnormal"/>
              <w:widowControl w:val="0"/>
            </w:pPr>
            <w:r w:rsidRPr="00AD1F36">
              <w:rPr>
                <w:rFonts w:eastAsia="Arial"/>
              </w:rPr>
              <w:t>Contact Details (Email, Phone)</w:t>
            </w:r>
          </w:p>
        </w:tc>
      </w:tr>
      <w:tr w:rsidR="00AD1F36" w:rsidRPr="00AD1F36" w14:paraId="0315BB96" w14:textId="77777777" w:rsidTr="00780926">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001E0" w14:textId="584AF965" w:rsidR="00AD1F36" w:rsidRPr="00AD1F36" w:rsidRDefault="008E6635" w:rsidP="00A74913">
            <w:pPr>
              <w:pStyle w:val="HFRnormal"/>
              <w:widowControl w:val="0"/>
            </w:pPr>
            <w:r>
              <w:t>[Buyer to insert]</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4D9AC" w14:textId="3962BA23" w:rsidR="00AD1F36" w:rsidRPr="00AD1F36" w:rsidRDefault="00AD1F36" w:rsidP="00A74913">
            <w:pPr>
              <w:pStyle w:val="HFRnormal"/>
              <w:widowControl w:val="0"/>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F7985" w14:textId="77777777" w:rsidR="00AD1F36" w:rsidRPr="00AD1F36" w:rsidRDefault="00AD1F36" w:rsidP="00A74913">
            <w:pPr>
              <w:pStyle w:val="HFRnormal"/>
              <w:widowControl w:val="0"/>
            </w:pPr>
          </w:p>
        </w:tc>
      </w:tr>
      <w:tr w:rsidR="00AD1F36" w:rsidRPr="00AD1F36" w14:paraId="557281C6" w14:textId="77777777" w:rsidTr="00780926">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CA1BEB" w14:textId="0323BF15" w:rsidR="00AD1F36" w:rsidRPr="00AD1F36" w:rsidRDefault="00AD1F36" w:rsidP="00A74913">
            <w:pPr>
              <w:pStyle w:val="HFRnormal"/>
              <w:widowControl w:val="0"/>
              <w:rPr>
                <w:highlight w:val="white"/>
              </w:rPr>
            </w:pP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DE994" w14:textId="5D182A83" w:rsidR="00AD1F36" w:rsidRPr="00AD1F36" w:rsidRDefault="00AD1F36" w:rsidP="00A74913">
            <w:pPr>
              <w:pStyle w:val="HFRnormal"/>
              <w:widowControl w:val="0"/>
              <w:rPr>
                <w:highlight w:val="white"/>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6B033" w14:textId="77777777" w:rsidR="00AD1F36" w:rsidRPr="00AD1F36" w:rsidRDefault="00AD1F36" w:rsidP="00A74913">
            <w:pPr>
              <w:pStyle w:val="HFRnormal"/>
              <w:widowControl w:val="0"/>
              <w:rPr>
                <w:rFonts w:eastAsia="Arial"/>
                <w:highlight w:val="white"/>
              </w:rPr>
            </w:pPr>
          </w:p>
        </w:tc>
      </w:tr>
      <w:tr w:rsidR="00AD1F36" w:rsidRPr="00AD1F36" w14:paraId="6CA22002" w14:textId="77777777" w:rsidTr="00780926">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95C54" w14:textId="24DD97D7" w:rsidR="00AD1F36" w:rsidRPr="00AD1F36" w:rsidRDefault="00AD1F36" w:rsidP="00A74913">
            <w:pPr>
              <w:pStyle w:val="HFRnormal"/>
              <w:widowControl w:val="0"/>
              <w:rPr>
                <w:highlight w:val="white"/>
              </w:rPr>
            </w:pP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87BC5D" w14:textId="0D6633CB" w:rsidR="00AD1F36" w:rsidRPr="00AD1F36" w:rsidRDefault="00AD1F36" w:rsidP="00A74913">
            <w:pPr>
              <w:pStyle w:val="HFRnormal"/>
              <w:widowControl w:val="0"/>
              <w:rPr>
                <w:highlight w:val="white"/>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1F7F4" w14:textId="77777777" w:rsidR="00AD1F36" w:rsidRPr="00AD1F36" w:rsidRDefault="00AD1F36" w:rsidP="00A74913">
            <w:pPr>
              <w:pStyle w:val="HFRnormal"/>
              <w:widowControl w:val="0"/>
              <w:rPr>
                <w:rFonts w:eastAsia="Arial"/>
                <w:highlight w:val="white"/>
              </w:rPr>
            </w:pPr>
          </w:p>
        </w:tc>
      </w:tr>
      <w:tr w:rsidR="00921CB3" w:rsidRPr="00AD1F36" w14:paraId="0D126513" w14:textId="77777777" w:rsidTr="00780926">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B2DACC" w14:textId="5BBE31EA" w:rsidR="00921CB3" w:rsidRPr="00AD1F36" w:rsidRDefault="00921CB3" w:rsidP="00A74913">
            <w:pPr>
              <w:pStyle w:val="HFRnormal"/>
              <w:widowControl w:val="0"/>
              <w:rPr>
                <w:highlight w:val="white"/>
              </w:rPr>
            </w:pP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809781" w14:textId="6416DA36" w:rsidR="00921CB3" w:rsidRPr="00AD1F36" w:rsidRDefault="00921CB3" w:rsidP="00A74913">
            <w:pPr>
              <w:pStyle w:val="HFRnormal"/>
              <w:widowControl w:val="0"/>
              <w:rPr>
                <w:highlight w:val="white"/>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11012" w14:textId="77777777" w:rsidR="00921CB3" w:rsidRPr="00AD1F36" w:rsidRDefault="00921CB3" w:rsidP="00A74913">
            <w:pPr>
              <w:pStyle w:val="HFRnormal"/>
              <w:widowControl w:val="0"/>
              <w:rPr>
                <w:rFonts w:eastAsia="Arial"/>
                <w:highlight w:val="white"/>
              </w:rPr>
            </w:pPr>
          </w:p>
        </w:tc>
      </w:tr>
    </w:tbl>
    <w:p w14:paraId="15BC37E9" w14:textId="77777777" w:rsidR="007F7577" w:rsidRDefault="00AD1F36" w:rsidP="007F7577">
      <w:pPr>
        <w:widowControl w:val="0"/>
        <w:tabs>
          <w:tab w:val="left" w:pos="1860"/>
        </w:tabs>
        <w:rPr>
          <w:rFonts w:ascii="Arial" w:eastAsia="Arial" w:hAnsi="Arial" w:cs="Arial"/>
          <w:b/>
          <w:sz w:val="20"/>
          <w:szCs w:val="20"/>
          <w:highlight w:val="white"/>
        </w:rPr>
      </w:pPr>
      <w:r w:rsidRPr="00AD1F36">
        <w:rPr>
          <w:rFonts w:ascii="Arial" w:eastAsia="Arial" w:hAnsi="Arial" w:cs="Arial"/>
          <w:b/>
          <w:sz w:val="20"/>
          <w:szCs w:val="20"/>
          <w:highlight w:val="white"/>
        </w:rPr>
        <w:t xml:space="preserve"> </w:t>
      </w:r>
      <w:r w:rsidR="007F7577">
        <w:rPr>
          <w:rFonts w:ascii="Arial" w:eastAsia="Arial" w:hAnsi="Arial" w:cs="Arial"/>
          <w:b/>
          <w:sz w:val="20"/>
          <w:szCs w:val="20"/>
          <w:highlight w:val="white"/>
        </w:rPr>
        <w:tab/>
      </w:r>
    </w:p>
    <w:p w14:paraId="70B9AD59" w14:textId="77777777" w:rsidR="006128D6" w:rsidRDefault="006128D6" w:rsidP="00A74913">
      <w:pPr>
        <w:pStyle w:val="H1S3"/>
        <w:widowControl w:val="0"/>
      </w:pPr>
      <w:r>
        <w:t xml:space="preserve">Schedule </w:t>
      </w:r>
      <w:r w:rsidR="006A52A9">
        <w:t>3.3:</w:t>
      </w:r>
      <w:r>
        <w:t xml:space="preserve"> Deliverables</w:t>
      </w:r>
    </w:p>
    <w:p w14:paraId="1E3C2905" w14:textId="6CB5A50B" w:rsidR="00A123B4" w:rsidRDefault="00A123B4" w:rsidP="00A123B4">
      <w:pPr>
        <w:pStyle w:val="H2S3"/>
        <w:widowControl w:val="0"/>
        <w:ind w:left="709" w:hanging="709"/>
        <w:rPr>
          <w:b/>
        </w:rPr>
      </w:pPr>
      <w:r w:rsidRPr="007F7577">
        <w:rPr>
          <w:b/>
        </w:rPr>
        <w:t>Programme Overview</w:t>
      </w:r>
    </w:p>
    <w:p w14:paraId="6891EFF0" w14:textId="77777777" w:rsidR="008E6635" w:rsidRDefault="008E6635" w:rsidP="008E6635">
      <w:pPr>
        <w:pStyle w:val="H3S3"/>
        <w:ind w:left="1418" w:hanging="709"/>
      </w:pPr>
      <w:r>
        <w:t xml:space="preserve">The </w:t>
      </w:r>
      <w:proofErr w:type="spellStart"/>
      <w:r>
        <w:t>NHSmail</w:t>
      </w:r>
      <w:proofErr w:type="spellEnd"/>
      <w:r>
        <w:t xml:space="preserve"> service currently provides core email and instant messaging capability to over 1.3m users across health and care within England and Scotland.  The current service is due to expire in March 2021.  </w:t>
      </w:r>
      <w:proofErr w:type="gramStart"/>
      <w:r>
        <w:t>In order for</w:t>
      </w:r>
      <w:proofErr w:type="gramEnd"/>
      <w:r>
        <w:t xml:space="preserve"> NHS Digital to assess the most appropriate path for replacing the </w:t>
      </w:r>
      <w:proofErr w:type="spellStart"/>
      <w:r>
        <w:t>NHSmail</w:t>
      </w:r>
      <w:proofErr w:type="spellEnd"/>
      <w:r>
        <w:t xml:space="preserve"> service, an initial discovery phase is required to capture key information and inform the production of an Outline Business Case (OBC).</w:t>
      </w:r>
    </w:p>
    <w:p w14:paraId="13E2B482" w14:textId="0D142A03" w:rsidR="008E6635" w:rsidRDefault="008E6635" w:rsidP="008E6635">
      <w:pPr>
        <w:pStyle w:val="H3S3"/>
        <w:ind w:left="1418" w:hanging="709"/>
      </w:pPr>
      <w:r>
        <w:t xml:space="preserve">The replacement service, known as the Digital Collaboration Service – Future (DCSF) will support the digital workforce transformations currently taking place across health and care and will be based on public cloud infrastructure, putting the ‘internet first’ policy at the heart of its design and implementation.  </w:t>
      </w:r>
    </w:p>
    <w:p w14:paraId="062522D5" w14:textId="6A657362" w:rsidR="008E6635" w:rsidRDefault="008E6635" w:rsidP="008E6635">
      <w:pPr>
        <w:pStyle w:val="H3S3"/>
        <w:ind w:left="1418" w:hanging="709"/>
      </w:pPr>
      <w:r>
        <w:t xml:space="preserve">The DCSF will support users from a wide spectrum of roles within health and care (including but not limited to clinicians, allied and associated support professionals, administration and management). </w:t>
      </w:r>
    </w:p>
    <w:p w14:paraId="0F89984A" w14:textId="3334029F" w:rsidR="008E6635" w:rsidRPr="006221BE" w:rsidRDefault="008E6635" w:rsidP="006221BE">
      <w:pPr>
        <w:pStyle w:val="H3S3"/>
        <w:ind w:left="1418" w:hanging="709"/>
        <w:rPr>
          <w:lang w:eastAsia="zh-CN"/>
        </w:rPr>
      </w:pPr>
      <w:r>
        <w:rPr>
          <w:lang w:eastAsia="zh-CN"/>
        </w:rPr>
        <w:t>The DCSF will enable seamless integration, interoperability of information and collaboration services across health and care sector.</w:t>
      </w:r>
    </w:p>
    <w:p w14:paraId="04FE57B2" w14:textId="77777777" w:rsidR="00A123B4" w:rsidRDefault="00A123B4" w:rsidP="00A123B4">
      <w:pPr>
        <w:pStyle w:val="PartC3"/>
        <w:numPr>
          <w:ilvl w:val="0"/>
          <w:numId w:val="0"/>
        </w:numPr>
        <w:ind w:firstLine="851"/>
        <w:rPr>
          <w:color w:val="000000" w:themeColor="text1"/>
        </w:rPr>
      </w:pPr>
    </w:p>
    <w:p w14:paraId="2C7707F4" w14:textId="08DA81D9" w:rsidR="00A123B4" w:rsidRDefault="00A123B4" w:rsidP="00A123B4">
      <w:pPr>
        <w:pStyle w:val="H2S3"/>
        <w:widowControl w:val="0"/>
        <w:ind w:left="709" w:hanging="709"/>
        <w:rPr>
          <w:b/>
        </w:rPr>
      </w:pPr>
      <w:r w:rsidRPr="00A123B4">
        <w:rPr>
          <w:b/>
        </w:rPr>
        <w:t>Outcomes to be Delivered</w:t>
      </w:r>
    </w:p>
    <w:p w14:paraId="777F48A2" w14:textId="77777777" w:rsidR="008E6635" w:rsidRDefault="008E6635" w:rsidP="008E6635">
      <w:pPr>
        <w:pStyle w:val="H3S3"/>
        <w:ind w:left="1418" w:hanging="709"/>
      </w:pPr>
      <w:r w:rsidRPr="00EA6E53">
        <w:t xml:space="preserve">The objective of this </w:t>
      </w:r>
      <w:r>
        <w:t>work package</w:t>
      </w:r>
      <w:r w:rsidRPr="00EA6E53">
        <w:t xml:space="preserve"> is to </w:t>
      </w:r>
      <w:r>
        <w:t xml:space="preserve">provide initial discovery collateral to enable NHS Digital to assess the most appropriate path for the future of digital collaboration across health and care within England.  This work will directly inform the development of an Outline Business Case (OBC) which will seek approval to replace the existing services provided by </w:t>
      </w:r>
      <w:proofErr w:type="spellStart"/>
      <w:r>
        <w:t>NHSmail</w:t>
      </w:r>
      <w:proofErr w:type="spellEnd"/>
      <w:r>
        <w:t xml:space="preserve"> (email and instant messaging via Microsoft Exchange and Skype for Business products) in the 2021 timeframe.</w:t>
      </w:r>
    </w:p>
    <w:p w14:paraId="6912640A" w14:textId="77777777" w:rsidR="008E6635" w:rsidRDefault="008E6635" w:rsidP="008E6635">
      <w:pPr>
        <w:pStyle w:val="H3S3"/>
        <w:numPr>
          <w:ilvl w:val="0"/>
          <w:numId w:val="0"/>
        </w:numPr>
        <w:ind w:left="1418"/>
      </w:pPr>
    </w:p>
    <w:p w14:paraId="0194B0C6" w14:textId="77777777" w:rsidR="008E6635" w:rsidRDefault="008E6635" w:rsidP="008E6635">
      <w:pPr>
        <w:pStyle w:val="H3S3"/>
        <w:ind w:left="1418" w:hanging="709"/>
      </w:pPr>
      <w:r>
        <w:t>The Digital Collaboration Service – Future (DCSF) will be based on public cloud infrastructure and will be capable of support inter/intra and external organisation collaboration and information sharing, with the ability to provide integrated products and/or services to over 2m users.  This work package will focus on user research across health and care organisations to ensure future and current digital collaboration requirements are captured and prioritised.</w:t>
      </w:r>
    </w:p>
    <w:p w14:paraId="257E6DEF" w14:textId="77777777" w:rsidR="008E6635" w:rsidRDefault="008E6635" w:rsidP="008E6635">
      <w:pPr>
        <w:pStyle w:val="H3S3"/>
        <w:numPr>
          <w:ilvl w:val="0"/>
          <w:numId w:val="0"/>
        </w:numPr>
        <w:ind w:left="1418"/>
      </w:pPr>
    </w:p>
    <w:p w14:paraId="6D78EFA2" w14:textId="3D73FB5A" w:rsidR="00A123B4" w:rsidRDefault="00A123B4" w:rsidP="00BC3405">
      <w:pPr>
        <w:pStyle w:val="H3S3"/>
        <w:ind w:left="1418" w:hanging="709"/>
      </w:pPr>
      <w:r w:rsidRPr="00B42FF4">
        <w:t>Sub</w:t>
      </w:r>
      <w:r w:rsidRPr="00006505">
        <w:t>jec</w:t>
      </w:r>
      <w:r w:rsidRPr="00B42FF4">
        <w:t>t to the terms and conditions of this SOW and the Call Off Contract, the Supplier is required to deliver the following outcomes for each discovery new work request during the duration of this SOW:</w:t>
      </w:r>
    </w:p>
    <w:p w14:paraId="538E0B71" w14:textId="77777777" w:rsidR="00A123B4" w:rsidRPr="00006505" w:rsidRDefault="00A123B4" w:rsidP="00A123B4">
      <w:pPr>
        <w:pStyle w:val="PartC2"/>
        <w:numPr>
          <w:ilvl w:val="0"/>
          <w:numId w:val="0"/>
        </w:numPr>
        <w:spacing w:line="276" w:lineRule="auto"/>
        <w:ind w:left="1276"/>
        <w:rPr>
          <w:b/>
        </w:rPr>
      </w:pPr>
    </w:p>
    <w:p w14:paraId="0B59D5FB" w14:textId="77777777" w:rsidR="00A123B4" w:rsidRPr="00A7624E" w:rsidRDefault="00A123B4" w:rsidP="005069B9">
      <w:pPr>
        <w:pStyle w:val="H3S3"/>
        <w:numPr>
          <w:ilvl w:val="0"/>
          <w:numId w:val="0"/>
        </w:numPr>
        <w:spacing w:line="276" w:lineRule="auto"/>
        <w:ind w:left="1276"/>
        <w:rPr>
          <w:b/>
        </w:rPr>
      </w:pPr>
      <w:r>
        <w:t xml:space="preserve">The </w:t>
      </w:r>
      <w:r w:rsidRPr="00F64C04">
        <w:t xml:space="preserve">following </w:t>
      </w:r>
      <w:r>
        <w:t xml:space="preserve">target Milestones shall apply in relation to the </w:t>
      </w:r>
      <w:r w:rsidR="00325C1B">
        <w:t>outcom</w:t>
      </w:r>
      <w:r w:rsidR="00874383">
        <w:t>es</w:t>
      </w:r>
      <w:r w:rsidR="00325C1B">
        <w:t>:</w:t>
      </w:r>
    </w:p>
    <w:tbl>
      <w:tblPr>
        <w:tblStyle w:val="TableGrid"/>
        <w:tblW w:w="9072" w:type="dxa"/>
        <w:tblInd w:w="675" w:type="dxa"/>
        <w:tblLayout w:type="fixed"/>
        <w:tblLook w:val="04A0" w:firstRow="1" w:lastRow="0" w:firstColumn="1" w:lastColumn="0" w:noHBand="0" w:noVBand="1"/>
      </w:tblPr>
      <w:tblGrid>
        <w:gridCol w:w="1418"/>
        <w:gridCol w:w="3544"/>
        <w:gridCol w:w="2551"/>
        <w:gridCol w:w="1559"/>
      </w:tblGrid>
      <w:tr w:rsidR="00A123B4" w14:paraId="127FECA8" w14:textId="77777777" w:rsidTr="00A123B4">
        <w:tc>
          <w:tcPr>
            <w:tcW w:w="1418" w:type="dxa"/>
            <w:shd w:val="clear" w:color="auto" w:fill="BFBFBF" w:themeFill="background1" w:themeFillShade="BF"/>
          </w:tcPr>
          <w:p w14:paraId="1072AF31" w14:textId="77777777" w:rsidR="00A123B4" w:rsidRPr="00A123B4" w:rsidRDefault="00A123B4" w:rsidP="005069B9">
            <w:pPr>
              <w:pStyle w:val="ListParagraph"/>
              <w:rPr>
                <w:rFonts w:ascii="Arial" w:hAnsi="Arial" w:cs="Arial"/>
                <w:b/>
                <w:sz w:val="20"/>
                <w:szCs w:val="20"/>
              </w:rPr>
            </w:pPr>
          </w:p>
          <w:p w14:paraId="1AB79656" w14:textId="77777777" w:rsidR="00A123B4" w:rsidRPr="00A123B4" w:rsidRDefault="00A123B4" w:rsidP="005069B9">
            <w:pPr>
              <w:pStyle w:val="HFRbullet"/>
              <w:numPr>
                <w:ilvl w:val="0"/>
                <w:numId w:val="0"/>
              </w:numPr>
              <w:jc w:val="center"/>
              <w:rPr>
                <w:b/>
                <w:sz w:val="20"/>
                <w:szCs w:val="20"/>
              </w:rPr>
            </w:pPr>
            <w:r w:rsidRPr="00A123B4">
              <w:rPr>
                <w:b/>
                <w:sz w:val="20"/>
                <w:szCs w:val="20"/>
              </w:rPr>
              <w:t>Milestone Ref.</w:t>
            </w:r>
          </w:p>
          <w:p w14:paraId="100F292D" w14:textId="77777777" w:rsidR="00A123B4" w:rsidRPr="00A123B4" w:rsidRDefault="00A123B4" w:rsidP="005069B9">
            <w:pPr>
              <w:pStyle w:val="HFRbullet"/>
              <w:numPr>
                <w:ilvl w:val="0"/>
                <w:numId w:val="0"/>
              </w:numPr>
              <w:jc w:val="center"/>
              <w:rPr>
                <w:b/>
                <w:sz w:val="20"/>
                <w:szCs w:val="20"/>
              </w:rPr>
            </w:pPr>
          </w:p>
        </w:tc>
        <w:tc>
          <w:tcPr>
            <w:tcW w:w="3544" w:type="dxa"/>
            <w:shd w:val="clear" w:color="auto" w:fill="BFBFBF" w:themeFill="background1" w:themeFillShade="BF"/>
          </w:tcPr>
          <w:p w14:paraId="30AB6536" w14:textId="77777777" w:rsidR="00A123B4" w:rsidRPr="00A123B4" w:rsidRDefault="00A123B4" w:rsidP="005069B9">
            <w:pPr>
              <w:pStyle w:val="HFRbullet"/>
              <w:numPr>
                <w:ilvl w:val="0"/>
                <w:numId w:val="0"/>
              </w:numPr>
              <w:jc w:val="left"/>
              <w:rPr>
                <w:b/>
                <w:sz w:val="20"/>
                <w:szCs w:val="20"/>
              </w:rPr>
            </w:pPr>
            <w:r w:rsidRPr="00A123B4">
              <w:rPr>
                <w:b/>
                <w:sz w:val="20"/>
                <w:szCs w:val="20"/>
              </w:rPr>
              <w:t xml:space="preserve">Milestone Description </w:t>
            </w:r>
          </w:p>
        </w:tc>
        <w:tc>
          <w:tcPr>
            <w:tcW w:w="2551" w:type="dxa"/>
            <w:shd w:val="clear" w:color="auto" w:fill="BFBFBF" w:themeFill="background1" w:themeFillShade="BF"/>
          </w:tcPr>
          <w:p w14:paraId="3A56957F" w14:textId="77777777" w:rsidR="00A123B4" w:rsidRPr="00A123B4" w:rsidRDefault="00A123B4" w:rsidP="005069B9">
            <w:pPr>
              <w:pStyle w:val="HFRbullet"/>
              <w:numPr>
                <w:ilvl w:val="0"/>
                <w:numId w:val="0"/>
              </w:numPr>
              <w:jc w:val="center"/>
              <w:rPr>
                <w:b/>
                <w:sz w:val="20"/>
                <w:szCs w:val="20"/>
              </w:rPr>
            </w:pPr>
            <w:r w:rsidRPr="00A123B4">
              <w:rPr>
                <w:b/>
                <w:sz w:val="20"/>
                <w:szCs w:val="20"/>
              </w:rPr>
              <w:t>Achievement Criteria</w:t>
            </w:r>
          </w:p>
        </w:tc>
        <w:tc>
          <w:tcPr>
            <w:tcW w:w="1559" w:type="dxa"/>
            <w:shd w:val="clear" w:color="auto" w:fill="BFBFBF" w:themeFill="background1" w:themeFillShade="BF"/>
          </w:tcPr>
          <w:p w14:paraId="26B1EA8D" w14:textId="77777777" w:rsidR="00A123B4" w:rsidRPr="00A123B4" w:rsidRDefault="00A123B4" w:rsidP="005069B9">
            <w:pPr>
              <w:pStyle w:val="HFRbullet"/>
              <w:numPr>
                <w:ilvl w:val="0"/>
                <w:numId w:val="0"/>
              </w:numPr>
              <w:jc w:val="center"/>
              <w:rPr>
                <w:b/>
                <w:sz w:val="20"/>
                <w:szCs w:val="20"/>
              </w:rPr>
            </w:pPr>
            <w:r w:rsidRPr="00A123B4">
              <w:rPr>
                <w:b/>
                <w:sz w:val="20"/>
                <w:szCs w:val="20"/>
              </w:rPr>
              <w:t>Target Milestone Date</w:t>
            </w:r>
          </w:p>
        </w:tc>
      </w:tr>
      <w:tr w:rsidR="00A123B4" w:rsidRPr="004365EF" w14:paraId="1D15C04F" w14:textId="77777777" w:rsidTr="00A123B4">
        <w:tc>
          <w:tcPr>
            <w:tcW w:w="1418" w:type="dxa"/>
          </w:tcPr>
          <w:p w14:paraId="50A69CCE" w14:textId="40133180" w:rsidR="00A123B4" w:rsidRPr="00A123B4" w:rsidRDefault="006221BE" w:rsidP="005069B9">
            <w:pPr>
              <w:pStyle w:val="HFRbullet"/>
              <w:numPr>
                <w:ilvl w:val="0"/>
                <w:numId w:val="0"/>
              </w:numPr>
              <w:spacing w:before="100" w:beforeAutospacing="1" w:after="0"/>
              <w:rPr>
                <w:color w:val="000000" w:themeColor="text1"/>
                <w:sz w:val="20"/>
                <w:szCs w:val="20"/>
              </w:rPr>
            </w:pPr>
            <w:r>
              <w:rPr>
                <w:color w:val="000000" w:themeColor="text1"/>
                <w:sz w:val="20"/>
                <w:szCs w:val="20"/>
              </w:rPr>
              <w:t>M</w:t>
            </w:r>
            <w:r w:rsidR="008E6635">
              <w:rPr>
                <w:color w:val="000000" w:themeColor="text1"/>
                <w:sz w:val="20"/>
                <w:szCs w:val="20"/>
              </w:rPr>
              <w:t>1</w:t>
            </w:r>
          </w:p>
        </w:tc>
        <w:tc>
          <w:tcPr>
            <w:tcW w:w="3544" w:type="dxa"/>
          </w:tcPr>
          <w:p w14:paraId="22DA7862" w14:textId="07A1FEB9" w:rsidR="00A123B4" w:rsidRPr="008E6635" w:rsidRDefault="008E6635" w:rsidP="008E6635">
            <w:pPr>
              <w:rPr>
                <w:rFonts w:ascii="Arial" w:eastAsia="STZhongsong" w:hAnsi="Arial" w:cs="Arial"/>
                <w:color w:val="000000"/>
                <w:sz w:val="20"/>
                <w:szCs w:val="20"/>
                <w:lang w:eastAsia="zh-CN"/>
              </w:rPr>
            </w:pPr>
            <w:r>
              <w:rPr>
                <w:rFonts w:ascii="Arial" w:eastAsia="STZhongsong" w:hAnsi="Arial" w:cs="Arial"/>
                <w:color w:val="000000"/>
                <w:sz w:val="20"/>
                <w:szCs w:val="20"/>
                <w:lang w:eastAsia="zh-CN"/>
              </w:rPr>
              <w:t>Stand Up User Research Team</w:t>
            </w:r>
          </w:p>
        </w:tc>
        <w:tc>
          <w:tcPr>
            <w:tcW w:w="2551" w:type="dxa"/>
          </w:tcPr>
          <w:p w14:paraId="32491082" w14:textId="1A5AC31D" w:rsidR="00A123B4" w:rsidRPr="008E6635" w:rsidRDefault="008E6635" w:rsidP="008E6635">
            <w:pPr>
              <w:rPr>
                <w:rFonts w:ascii="Arial" w:hAnsi="Arial" w:cs="Arial"/>
                <w:i/>
                <w:color w:val="000000" w:themeColor="text1"/>
                <w:sz w:val="20"/>
                <w:szCs w:val="20"/>
              </w:rPr>
            </w:pPr>
            <w:r w:rsidRPr="008E6635">
              <w:rPr>
                <w:rFonts w:ascii="Arial" w:eastAsia="STZhongsong" w:hAnsi="Arial" w:cs="Arial"/>
                <w:color w:val="000000"/>
                <w:sz w:val="20"/>
                <w:szCs w:val="20"/>
                <w:lang w:eastAsia="zh-CN"/>
              </w:rPr>
              <w:t>Establish initial research team</w:t>
            </w:r>
          </w:p>
        </w:tc>
        <w:tc>
          <w:tcPr>
            <w:tcW w:w="1559" w:type="dxa"/>
          </w:tcPr>
          <w:p w14:paraId="380B1AF3" w14:textId="23DB0F3E" w:rsidR="00A123B4" w:rsidRPr="00522F3C" w:rsidRDefault="008E6635" w:rsidP="005069B9">
            <w:pPr>
              <w:pStyle w:val="HFRbullet"/>
              <w:numPr>
                <w:ilvl w:val="0"/>
                <w:numId w:val="0"/>
              </w:numPr>
              <w:spacing w:before="100" w:beforeAutospacing="1" w:after="0"/>
              <w:jc w:val="left"/>
              <w:rPr>
                <w:rFonts w:eastAsia="Verdana"/>
                <w:i/>
                <w:color w:val="222222"/>
                <w:sz w:val="20"/>
                <w:szCs w:val="20"/>
              </w:rPr>
            </w:pPr>
            <w:r>
              <w:rPr>
                <w:rFonts w:eastAsia="Verdana"/>
                <w:i/>
                <w:color w:val="222222"/>
                <w:sz w:val="20"/>
                <w:szCs w:val="20"/>
              </w:rPr>
              <w:t>ASAP</w:t>
            </w:r>
          </w:p>
        </w:tc>
      </w:tr>
      <w:tr w:rsidR="00A123B4" w:rsidRPr="004365EF" w14:paraId="18EB220F" w14:textId="77777777" w:rsidTr="00A123B4">
        <w:tc>
          <w:tcPr>
            <w:tcW w:w="1418" w:type="dxa"/>
          </w:tcPr>
          <w:p w14:paraId="667F5CFB" w14:textId="72158EC6" w:rsidR="00A123B4" w:rsidRPr="00A123B4" w:rsidRDefault="006221BE" w:rsidP="005069B9">
            <w:pPr>
              <w:pStyle w:val="HFRbullet"/>
              <w:numPr>
                <w:ilvl w:val="0"/>
                <w:numId w:val="0"/>
              </w:numPr>
              <w:spacing w:before="100" w:beforeAutospacing="1" w:after="0"/>
              <w:rPr>
                <w:color w:val="000000" w:themeColor="text1"/>
                <w:sz w:val="20"/>
                <w:szCs w:val="20"/>
              </w:rPr>
            </w:pPr>
            <w:r>
              <w:rPr>
                <w:color w:val="000000" w:themeColor="text1"/>
                <w:sz w:val="20"/>
                <w:szCs w:val="20"/>
              </w:rPr>
              <w:t>M</w:t>
            </w:r>
            <w:r w:rsidR="008E6635">
              <w:rPr>
                <w:color w:val="000000" w:themeColor="text1"/>
                <w:sz w:val="20"/>
                <w:szCs w:val="20"/>
              </w:rPr>
              <w:t>2</w:t>
            </w:r>
          </w:p>
        </w:tc>
        <w:tc>
          <w:tcPr>
            <w:tcW w:w="3544" w:type="dxa"/>
          </w:tcPr>
          <w:p w14:paraId="3F1EF18F" w14:textId="32CCCBDA" w:rsidR="00A123B4" w:rsidRPr="008E6635" w:rsidRDefault="008E6635" w:rsidP="008E6635">
            <w:pPr>
              <w:shd w:val="clear" w:color="auto" w:fill="FFFFFF"/>
              <w:rPr>
                <w:rFonts w:ascii="Arial" w:hAnsi="Arial" w:cs="Arial"/>
                <w:i/>
                <w:color w:val="212121"/>
                <w:sz w:val="20"/>
                <w:szCs w:val="20"/>
              </w:rPr>
            </w:pPr>
            <w:r>
              <w:rPr>
                <w:rFonts w:ascii="Arial" w:hAnsi="Arial" w:cs="Arial"/>
                <w:i/>
                <w:color w:val="212121"/>
                <w:sz w:val="20"/>
                <w:szCs w:val="20"/>
              </w:rPr>
              <w:t>Delivery User Research Analysis</w:t>
            </w:r>
          </w:p>
        </w:tc>
        <w:tc>
          <w:tcPr>
            <w:tcW w:w="2551" w:type="dxa"/>
          </w:tcPr>
          <w:p w14:paraId="37CA1143" w14:textId="77777777" w:rsidR="008E6635" w:rsidRDefault="008E6635" w:rsidP="008E6635">
            <w:pPr>
              <w:rPr>
                <w:rFonts w:ascii="Arial" w:eastAsia="Times New Roman" w:hAnsi="Arial" w:cs="Arial"/>
                <w:color w:val="000000"/>
                <w:sz w:val="20"/>
                <w:szCs w:val="20"/>
              </w:rPr>
            </w:pPr>
            <w:r>
              <w:rPr>
                <w:rFonts w:ascii="Arial" w:eastAsia="Times New Roman" w:hAnsi="Arial" w:cs="Arial"/>
                <w:color w:val="000000"/>
                <w:sz w:val="20"/>
                <w:szCs w:val="20"/>
              </w:rPr>
              <w:t xml:space="preserve">Deliver user research analysis to inform product/service comparison and requirements analysis – this should </w:t>
            </w:r>
            <w:proofErr w:type="spellStart"/>
            <w:r>
              <w:rPr>
                <w:rFonts w:ascii="Arial" w:eastAsia="Times New Roman" w:hAnsi="Arial" w:cs="Arial"/>
                <w:color w:val="000000"/>
                <w:sz w:val="20"/>
                <w:szCs w:val="20"/>
              </w:rPr>
              <w:t>inc</w:t>
            </w:r>
            <w:proofErr w:type="spellEnd"/>
            <w:r>
              <w:rPr>
                <w:rFonts w:ascii="Arial" w:eastAsia="Times New Roman" w:hAnsi="Arial" w:cs="Arial"/>
                <w:color w:val="000000"/>
                <w:sz w:val="20"/>
                <w:szCs w:val="20"/>
              </w:rPr>
              <w:t xml:space="preserve"> (but not limited to);</w:t>
            </w:r>
          </w:p>
          <w:p w14:paraId="5E04F933" w14:textId="77777777" w:rsidR="008E6635" w:rsidRDefault="008E6635" w:rsidP="008E6635">
            <w:pPr>
              <w:pStyle w:val="ListParagraph"/>
              <w:numPr>
                <w:ilvl w:val="0"/>
                <w:numId w:val="35"/>
              </w:numPr>
              <w:rPr>
                <w:rFonts w:ascii="Arial" w:eastAsia="Times New Roman" w:hAnsi="Arial" w:cs="Arial"/>
                <w:color w:val="000000"/>
                <w:sz w:val="20"/>
                <w:szCs w:val="20"/>
              </w:rPr>
            </w:pPr>
            <w:proofErr w:type="spellStart"/>
            <w:r>
              <w:rPr>
                <w:rFonts w:ascii="Arial" w:eastAsia="Times New Roman" w:hAnsi="Arial" w:cs="Arial"/>
                <w:color w:val="000000"/>
                <w:sz w:val="20"/>
                <w:szCs w:val="20"/>
              </w:rPr>
              <w:t>Quantitive</w:t>
            </w:r>
            <w:proofErr w:type="spellEnd"/>
            <w:r>
              <w:rPr>
                <w:rFonts w:ascii="Arial" w:eastAsia="Times New Roman" w:hAnsi="Arial" w:cs="Arial"/>
                <w:color w:val="000000"/>
                <w:sz w:val="20"/>
                <w:szCs w:val="20"/>
              </w:rPr>
              <w:t xml:space="preserve"> Analysis</w:t>
            </w:r>
          </w:p>
          <w:p w14:paraId="7FD90CC3" w14:textId="77777777" w:rsidR="008E6635" w:rsidRDefault="008E6635" w:rsidP="008E6635">
            <w:pPr>
              <w:pStyle w:val="ListParagraph"/>
              <w:numPr>
                <w:ilvl w:val="0"/>
                <w:numId w:val="35"/>
              </w:numPr>
              <w:rPr>
                <w:rFonts w:ascii="Arial" w:eastAsia="Times New Roman" w:hAnsi="Arial" w:cs="Arial"/>
                <w:color w:val="000000"/>
                <w:sz w:val="20"/>
                <w:szCs w:val="20"/>
              </w:rPr>
            </w:pPr>
            <w:r>
              <w:rPr>
                <w:rFonts w:ascii="Arial" w:eastAsia="Times New Roman" w:hAnsi="Arial" w:cs="Arial"/>
                <w:color w:val="000000"/>
                <w:sz w:val="20"/>
                <w:szCs w:val="20"/>
              </w:rPr>
              <w:t xml:space="preserve">Qualitative Analysis </w:t>
            </w:r>
            <w:proofErr w:type="spellStart"/>
            <w:r>
              <w:rPr>
                <w:rFonts w:ascii="Arial" w:eastAsia="Times New Roman" w:hAnsi="Arial" w:cs="Arial"/>
                <w:color w:val="000000"/>
                <w:sz w:val="20"/>
                <w:szCs w:val="20"/>
              </w:rPr>
              <w:t>inc</w:t>
            </w:r>
            <w:proofErr w:type="spellEnd"/>
            <w:r>
              <w:rPr>
                <w:rFonts w:ascii="Arial" w:eastAsia="Times New Roman" w:hAnsi="Arial" w:cs="Arial"/>
                <w:color w:val="000000"/>
                <w:sz w:val="20"/>
                <w:szCs w:val="20"/>
              </w:rPr>
              <w:t xml:space="preserve"> workflow/journeys</w:t>
            </w:r>
          </w:p>
          <w:p w14:paraId="2125D5C4" w14:textId="44CBA2FB" w:rsidR="00A123B4" w:rsidRPr="00522F3C" w:rsidRDefault="008E6635" w:rsidP="008E6635">
            <w:pPr>
              <w:pStyle w:val="ListParagraph"/>
              <w:ind w:left="360"/>
              <w:rPr>
                <w:rFonts w:ascii="Arial" w:hAnsi="Arial" w:cs="Arial"/>
                <w:i/>
                <w:color w:val="000000" w:themeColor="text1"/>
                <w:sz w:val="20"/>
                <w:szCs w:val="20"/>
              </w:rPr>
            </w:pPr>
            <w:r>
              <w:rPr>
                <w:rFonts w:ascii="Arial" w:eastAsia="Times New Roman" w:hAnsi="Arial" w:cs="Arial"/>
                <w:color w:val="000000"/>
                <w:sz w:val="20"/>
                <w:szCs w:val="20"/>
              </w:rPr>
              <w:t>User insight across care settings (Health &amp; Care orgs)</w:t>
            </w:r>
          </w:p>
        </w:tc>
        <w:tc>
          <w:tcPr>
            <w:tcW w:w="1559" w:type="dxa"/>
          </w:tcPr>
          <w:p w14:paraId="43867960" w14:textId="78A4A972" w:rsidR="00A123B4" w:rsidRPr="00522F3C" w:rsidRDefault="008E6635" w:rsidP="005069B9">
            <w:pPr>
              <w:pStyle w:val="HFRbullet"/>
              <w:numPr>
                <w:ilvl w:val="0"/>
                <w:numId w:val="0"/>
              </w:numPr>
              <w:spacing w:before="100" w:beforeAutospacing="1" w:after="0"/>
              <w:jc w:val="left"/>
              <w:rPr>
                <w:rFonts w:eastAsia="Verdana"/>
                <w:i/>
                <w:color w:val="222222"/>
                <w:sz w:val="20"/>
                <w:szCs w:val="20"/>
              </w:rPr>
            </w:pPr>
            <w:r>
              <w:rPr>
                <w:rFonts w:eastAsia="Verdana"/>
                <w:i/>
                <w:color w:val="222222"/>
                <w:sz w:val="20"/>
                <w:szCs w:val="20"/>
              </w:rPr>
              <w:t>12 Weeks from Commencement</w:t>
            </w:r>
          </w:p>
        </w:tc>
      </w:tr>
    </w:tbl>
    <w:p w14:paraId="7B9204F2" w14:textId="77777777" w:rsidR="00A123B4" w:rsidRDefault="00A123B4" w:rsidP="00A123B4">
      <w:pPr>
        <w:pStyle w:val="ListParagraph"/>
        <w:rPr>
          <w:b/>
        </w:rPr>
      </w:pPr>
    </w:p>
    <w:p w14:paraId="2BD4BBA4" w14:textId="77777777" w:rsidR="00AD1F36" w:rsidRDefault="00AD1F36" w:rsidP="00BC3405">
      <w:pPr>
        <w:pStyle w:val="H3S3"/>
        <w:widowControl w:val="0"/>
        <w:ind w:left="1418" w:hanging="709"/>
      </w:pPr>
      <w:r w:rsidRPr="00AD1F36">
        <w:t xml:space="preserve">The Supplier shall provide supporting information for each milestone as reasonably requested by the Buyer.  </w:t>
      </w:r>
    </w:p>
    <w:p w14:paraId="1B2F42A5" w14:textId="77777777" w:rsidR="00A123B4" w:rsidRDefault="00A123B4" w:rsidP="00A123B4">
      <w:pPr>
        <w:pStyle w:val="H3S3"/>
        <w:widowControl w:val="0"/>
        <w:numPr>
          <w:ilvl w:val="0"/>
          <w:numId w:val="0"/>
        </w:numPr>
        <w:ind w:left="2258"/>
      </w:pPr>
    </w:p>
    <w:p w14:paraId="7F1C7307" w14:textId="77777777" w:rsidR="007F7577" w:rsidRDefault="007F7577" w:rsidP="007F7577">
      <w:pPr>
        <w:pStyle w:val="H2S3"/>
        <w:widowControl w:val="0"/>
        <w:ind w:left="709" w:hanging="709"/>
        <w:rPr>
          <w:b/>
        </w:rPr>
      </w:pPr>
      <w:r>
        <w:rPr>
          <w:b/>
        </w:rPr>
        <w:t>Delivery Approach</w:t>
      </w:r>
    </w:p>
    <w:p w14:paraId="0175D180" w14:textId="77777777" w:rsidR="007F7577" w:rsidRPr="007F7577" w:rsidRDefault="007F7577" w:rsidP="007F7577">
      <w:pPr>
        <w:pStyle w:val="H3S3"/>
        <w:widowControl w:val="0"/>
        <w:numPr>
          <w:ilvl w:val="0"/>
          <w:numId w:val="0"/>
        </w:numPr>
        <w:ind w:left="851"/>
        <w:rPr>
          <w:b/>
        </w:rPr>
      </w:pPr>
      <w:r w:rsidRPr="007F7577">
        <w:rPr>
          <w:b/>
        </w:rPr>
        <w:t>Requirements</w:t>
      </w:r>
    </w:p>
    <w:p w14:paraId="1FF2DC04" w14:textId="77777777" w:rsidR="007F7577" w:rsidRPr="007F7577" w:rsidRDefault="007F7577" w:rsidP="00BC3405">
      <w:pPr>
        <w:pStyle w:val="H3S3"/>
        <w:widowControl w:val="0"/>
        <w:ind w:left="1418" w:hanging="676"/>
      </w:pPr>
      <w:r>
        <w:t xml:space="preserve">The Supplier shall provide the Buyer with the following services in order to achieve the Outcomes: </w:t>
      </w:r>
    </w:p>
    <w:permEnd w:id="1245345878"/>
    <w:p w14:paraId="42EF47FE" w14:textId="77777777" w:rsidR="007F7577" w:rsidRDefault="007F7577" w:rsidP="007F7577">
      <w:pPr>
        <w:pStyle w:val="PartC3"/>
        <w:numPr>
          <w:ilvl w:val="0"/>
          <w:numId w:val="0"/>
        </w:numPr>
        <w:spacing w:line="276" w:lineRule="auto"/>
        <w:ind w:left="1418"/>
      </w:pPr>
    </w:p>
    <w:p w14:paraId="70A9A5A3" w14:textId="77777777" w:rsidR="007F7577" w:rsidRDefault="007F7577" w:rsidP="007F7577">
      <w:pPr>
        <w:pStyle w:val="Style2"/>
        <w:numPr>
          <w:ilvl w:val="0"/>
          <w:numId w:val="0"/>
        </w:numPr>
        <w:ind w:left="720"/>
        <w:rPr>
          <w:b/>
          <w:szCs w:val="20"/>
        </w:rPr>
      </w:pPr>
      <w:r>
        <w:rPr>
          <w:b/>
          <w:szCs w:val="20"/>
        </w:rPr>
        <w:t>Ways of Working</w:t>
      </w:r>
    </w:p>
    <w:p w14:paraId="374455F3" w14:textId="77777777" w:rsidR="007F7577" w:rsidRDefault="007F7577" w:rsidP="002336C3">
      <w:pPr>
        <w:pStyle w:val="PartC3"/>
        <w:numPr>
          <w:ilvl w:val="2"/>
          <w:numId w:val="5"/>
        </w:numPr>
        <w:spacing w:line="276" w:lineRule="auto"/>
        <w:ind w:left="1418" w:hanging="709"/>
        <w:rPr>
          <w:color w:val="000000" w:themeColor="text1"/>
        </w:rPr>
      </w:pPr>
      <w:r>
        <w:rPr>
          <w:color w:val="000000" w:themeColor="text1"/>
        </w:rPr>
        <w:t xml:space="preserve">The supplier shall detail in the </w:t>
      </w:r>
      <w:r w:rsidRPr="007F7577">
        <w:rPr>
          <w:color w:val="000000" w:themeColor="text1"/>
          <w:highlight w:val="yellow"/>
        </w:rPr>
        <w:t>Finance Model (Annex 1)</w:t>
      </w:r>
      <w:r w:rsidRPr="00CA0FE5">
        <w:rPr>
          <w:color w:val="000000" w:themeColor="text1"/>
        </w:rPr>
        <w:t xml:space="preserve"> all </w:t>
      </w:r>
      <w:r>
        <w:rPr>
          <w:color w:val="000000" w:themeColor="text1"/>
        </w:rPr>
        <w:t>costs applicable to the delivery of the outcomes in this SOW.</w:t>
      </w:r>
    </w:p>
    <w:p w14:paraId="53A22F4E" w14:textId="77777777" w:rsidR="007F7577" w:rsidRPr="00F64C04" w:rsidRDefault="007F7577" w:rsidP="007F7577">
      <w:pPr>
        <w:pStyle w:val="PartC3"/>
        <w:numPr>
          <w:ilvl w:val="0"/>
          <w:numId w:val="0"/>
        </w:numPr>
        <w:spacing w:line="276" w:lineRule="auto"/>
        <w:ind w:left="1418"/>
        <w:rPr>
          <w:color w:val="000000" w:themeColor="text1"/>
        </w:rPr>
      </w:pPr>
    </w:p>
    <w:p w14:paraId="0FFDAFFC" w14:textId="77777777" w:rsidR="007F7577" w:rsidRDefault="007F7577" w:rsidP="002336C3">
      <w:pPr>
        <w:pStyle w:val="PartC3"/>
        <w:numPr>
          <w:ilvl w:val="2"/>
          <w:numId w:val="5"/>
        </w:numPr>
        <w:spacing w:line="276" w:lineRule="auto"/>
        <w:ind w:left="1418" w:hanging="709"/>
        <w:rPr>
          <w:color w:val="000000" w:themeColor="text1"/>
        </w:rPr>
      </w:pPr>
      <w:r w:rsidRPr="00F64C04">
        <w:rPr>
          <w:color w:val="000000" w:themeColor="text1"/>
        </w:rPr>
        <w:tab/>
        <w:t xml:space="preserve">The Supplier shall at the Buyer’s </w:t>
      </w:r>
      <w:r w:rsidRPr="004365EF">
        <w:rPr>
          <w:color w:val="000000" w:themeColor="text1"/>
        </w:rPr>
        <w:t>request</w:t>
      </w:r>
      <w:r w:rsidRPr="00F64C04">
        <w:rPr>
          <w:color w:val="000000" w:themeColor="text1"/>
        </w:rPr>
        <w:t xml:space="preserve"> provide any and </w:t>
      </w:r>
      <w:r>
        <w:rPr>
          <w:color w:val="000000" w:themeColor="text1"/>
        </w:rPr>
        <w:t>/ or</w:t>
      </w:r>
      <w:r w:rsidRPr="004365EF">
        <w:rPr>
          <w:color w:val="000000" w:themeColor="text1"/>
        </w:rPr>
        <w:t xml:space="preserve"> </w:t>
      </w:r>
      <w:r w:rsidRPr="00F64C04">
        <w:rPr>
          <w:color w:val="000000" w:themeColor="text1"/>
        </w:rPr>
        <w:t>all of the Supplier personnel detailed in the Finance Model (Annex</w:t>
      </w:r>
      <w:r>
        <w:rPr>
          <w:color w:val="000000" w:themeColor="text1"/>
        </w:rPr>
        <w:t xml:space="preserve"> 1</w:t>
      </w:r>
      <w:r w:rsidRPr="00F64C04">
        <w:rPr>
          <w:color w:val="000000" w:themeColor="text1"/>
        </w:rPr>
        <w:t xml:space="preserve">) to deliver the </w:t>
      </w:r>
      <w:r w:rsidRPr="004365EF">
        <w:rPr>
          <w:color w:val="000000" w:themeColor="text1"/>
        </w:rPr>
        <w:t xml:space="preserve">Outcomes. </w:t>
      </w:r>
      <w:r>
        <w:rPr>
          <w:color w:val="000000" w:themeColor="text1"/>
        </w:rPr>
        <w:t>Failure by the Supplier to be able to meet the minimum resource allocation as detailed in the Finance Model (Annex 1) shall be deemed a material breach by the Supplier.</w:t>
      </w:r>
    </w:p>
    <w:p w14:paraId="12551890" w14:textId="77777777" w:rsidR="007F7577" w:rsidRDefault="007F7577" w:rsidP="007F7577">
      <w:pPr>
        <w:pStyle w:val="PartC3"/>
        <w:numPr>
          <w:ilvl w:val="0"/>
          <w:numId w:val="0"/>
        </w:numPr>
        <w:spacing w:line="276" w:lineRule="auto"/>
        <w:ind w:left="1418"/>
        <w:rPr>
          <w:szCs w:val="20"/>
        </w:rPr>
      </w:pPr>
    </w:p>
    <w:p w14:paraId="659C00C3" w14:textId="77777777" w:rsidR="007F7577" w:rsidRDefault="007F7577" w:rsidP="002336C3">
      <w:pPr>
        <w:pStyle w:val="PartC3"/>
        <w:numPr>
          <w:ilvl w:val="2"/>
          <w:numId w:val="5"/>
        </w:numPr>
        <w:spacing w:line="276" w:lineRule="auto"/>
        <w:ind w:left="1418" w:hanging="709"/>
        <w:rPr>
          <w:szCs w:val="20"/>
        </w:rPr>
      </w:pPr>
      <w:r>
        <w:rPr>
          <w:szCs w:val="20"/>
        </w:rPr>
        <w:t>In the event that the deliverables and Outcomes under this SOW can be delivered by the Supplier through the provision of less Supplier personnel than those detailed in the Finance Model (Annex 1) then, following written agreement of the Buyer, the Supplier shall be allowed to deliver the outcomes through a lesser number of dedicated Supplier personnel.</w:t>
      </w:r>
    </w:p>
    <w:p w14:paraId="2CD61860" w14:textId="77777777" w:rsidR="007F7577" w:rsidRDefault="007F7577" w:rsidP="007F7577">
      <w:pPr>
        <w:pStyle w:val="PartC3"/>
        <w:numPr>
          <w:ilvl w:val="0"/>
          <w:numId w:val="0"/>
        </w:numPr>
        <w:spacing w:line="276" w:lineRule="auto"/>
        <w:ind w:left="1418"/>
        <w:rPr>
          <w:color w:val="000000" w:themeColor="text1"/>
        </w:rPr>
      </w:pPr>
    </w:p>
    <w:p w14:paraId="2C71E50E" w14:textId="77777777" w:rsidR="007F7577" w:rsidRDefault="007F7577" w:rsidP="002336C3">
      <w:pPr>
        <w:pStyle w:val="PartC3"/>
        <w:numPr>
          <w:ilvl w:val="2"/>
          <w:numId w:val="5"/>
        </w:numPr>
        <w:spacing w:line="276" w:lineRule="auto"/>
        <w:ind w:left="1418" w:hanging="709"/>
        <w:rPr>
          <w:color w:val="000000" w:themeColor="text1"/>
        </w:rPr>
      </w:pPr>
      <w:r>
        <w:rPr>
          <w:color w:val="000000" w:themeColor="text1"/>
        </w:rPr>
        <w:t xml:space="preserve">In order to achieve the </w:t>
      </w:r>
      <w:r w:rsidR="00A7624E">
        <w:rPr>
          <w:color w:val="000000" w:themeColor="text1"/>
        </w:rPr>
        <w:t>Outcomes,</w:t>
      </w:r>
      <w:r>
        <w:rPr>
          <w:color w:val="000000" w:themeColor="text1"/>
        </w:rPr>
        <w:t xml:space="preserve"> the Supplier shall be required to adopt agile methodologies and work collaboratively with the Buyer and the Buyer’s other development suppliers.  </w:t>
      </w:r>
    </w:p>
    <w:p w14:paraId="286D1D2F" w14:textId="77777777" w:rsidR="007F7577" w:rsidRDefault="007F7577" w:rsidP="007F7577">
      <w:pPr>
        <w:pStyle w:val="PartC3"/>
        <w:numPr>
          <w:ilvl w:val="0"/>
          <w:numId w:val="0"/>
        </w:numPr>
        <w:spacing w:line="276" w:lineRule="auto"/>
        <w:ind w:left="1418"/>
        <w:rPr>
          <w:color w:val="000000" w:themeColor="text1"/>
        </w:rPr>
      </w:pPr>
    </w:p>
    <w:p w14:paraId="7D055868" w14:textId="77777777" w:rsidR="003A02F9" w:rsidRPr="001B55B5" w:rsidRDefault="007F7577" w:rsidP="005069B9">
      <w:pPr>
        <w:pStyle w:val="PartC3"/>
        <w:numPr>
          <w:ilvl w:val="2"/>
          <w:numId w:val="5"/>
        </w:numPr>
        <w:spacing w:line="276" w:lineRule="auto"/>
        <w:ind w:left="1418" w:hanging="709"/>
        <w:rPr>
          <w:color w:val="000000" w:themeColor="text1"/>
        </w:rPr>
      </w:pPr>
      <w:r w:rsidRPr="001B55B5">
        <w:rPr>
          <w:color w:val="000000" w:themeColor="text1"/>
        </w:rPr>
        <w:t xml:space="preserve">It is recognised that this is an agile programme and the scope of the Outcomes and milestones are likely to change as delivery requirements complete and Buyer business priorities change.  Changes would be discussed with the Supplier in the monthly Account Review meetings, </w:t>
      </w:r>
      <w:r w:rsidRPr="001B55B5">
        <w:rPr>
          <w:szCs w:val="20"/>
        </w:rPr>
        <w:t xml:space="preserve">the detailed scope (e.g. as defined in user stories) can evolve and change during the SOW Period. </w:t>
      </w:r>
      <w:r w:rsidRPr="001B55B5">
        <w:rPr>
          <w:color w:val="000000" w:themeColor="text1"/>
        </w:rPr>
        <w:t xml:space="preserve"> </w:t>
      </w:r>
    </w:p>
    <w:p w14:paraId="511D80CC" w14:textId="77777777" w:rsidR="007F7577" w:rsidRDefault="001B55B5" w:rsidP="001B55B5">
      <w:pPr>
        <w:pStyle w:val="PartC3"/>
        <w:numPr>
          <w:ilvl w:val="0"/>
          <w:numId w:val="0"/>
        </w:numPr>
        <w:ind w:left="1418" w:hanging="698"/>
        <w:rPr>
          <w:color w:val="000000" w:themeColor="text1"/>
        </w:rPr>
      </w:pPr>
      <w:r>
        <w:rPr>
          <w:highlight w:val="white"/>
        </w:rPr>
        <w:t xml:space="preserve">3.3.7 </w:t>
      </w:r>
      <w:r>
        <w:rPr>
          <w:highlight w:val="white"/>
        </w:rPr>
        <w:tab/>
      </w:r>
      <w:r w:rsidR="003A02F9" w:rsidRPr="003A02F9">
        <w:rPr>
          <w:highlight w:val="white"/>
        </w:rPr>
        <w:t>The Supplier staff/personnel will be managed on a day to day basis by the Supplier throughout this SOW whilst recognising that certain aspects will require very close working with the Buyer’s staff.</w:t>
      </w:r>
      <w:r w:rsidR="007F7577">
        <w:rPr>
          <w:color w:val="000000" w:themeColor="text1"/>
        </w:rPr>
        <w:t xml:space="preserve"> </w:t>
      </w:r>
    </w:p>
    <w:p w14:paraId="73E2E50D" w14:textId="77777777" w:rsidR="007F7577" w:rsidRDefault="007F7577" w:rsidP="007F7577">
      <w:pPr>
        <w:pStyle w:val="PartC3"/>
        <w:numPr>
          <w:ilvl w:val="0"/>
          <w:numId w:val="0"/>
        </w:numPr>
        <w:spacing w:line="276" w:lineRule="auto"/>
        <w:rPr>
          <w:color w:val="000000" w:themeColor="text1"/>
        </w:rPr>
      </w:pPr>
    </w:p>
    <w:p w14:paraId="627A26D8" w14:textId="77777777" w:rsidR="007F7577" w:rsidRDefault="007F7577" w:rsidP="007F7577">
      <w:pPr>
        <w:pStyle w:val="PartC2"/>
        <w:numPr>
          <w:ilvl w:val="0"/>
          <w:numId w:val="0"/>
        </w:numPr>
        <w:spacing w:line="276" w:lineRule="auto"/>
        <w:ind w:left="709"/>
        <w:rPr>
          <w:b/>
        </w:rPr>
      </w:pPr>
      <w:permStart w:id="1839495885" w:edGrp="everyone"/>
      <w:r>
        <w:rPr>
          <w:b/>
        </w:rPr>
        <w:t>Toolsets</w:t>
      </w:r>
    </w:p>
    <w:p w14:paraId="033127E1" w14:textId="77777777" w:rsidR="007F7577" w:rsidRPr="002218BA" w:rsidRDefault="007F7577" w:rsidP="002218BA">
      <w:pPr>
        <w:pStyle w:val="H3S3"/>
        <w:numPr>
          <w:ilvl w:val="2"/>
          <w:numId w:val="23"/>
        </w:numPr>
        <w:ind w:left="1418" w:hanging="709"/>
        <w:rPr>
          <w:highlight w:val="white"/>
        </w:rPr>
      </w:pPr>
      <w:r w:rsidRPr="002218BA">
        <w:rPr>
          <w:highlight w:val="white"/>
        </w:rPr>
        <w:t>In the provision of the Outcomes, the Supplier is required to use Buyer specified toolsets, these are currently:</w:t>
      </w:r>
    </w:p>
    <w:p w14:paraId="0FD39C70" w14:textId="2162570C" w:rsidR="00A7624E" w:rsidRPr="007F7577" w:rsidRDefault="00E67956" w:rsidP="00E67956">
      <w:pPr>
        <w:pStyle w:val="H3S3"/>
        <w:numPr>
          <w:ilvl w:val="0"/>
          <w:numId w:val="0"/>
        </w:numPr>
        <w:ind w:left="1418"/>
      </w:pPr>
      <w:r w:rsidRPr="00E67956">
        <w:rPr>
          <w:highlight w:val="yellow"/>
        </w:rPr>
        <w:t>{to be agreed with supplier and updated as necessary}</w:t>
      </w:r>
    </w:p>
    <w:p w14:paraId="6B2F9BCC" w14:textId="77777777" w:rsidR="007F7577" w:rsidRPr="007F7577" w:rsidRDefault="007F7577" w:rsidP="007F7577">
      <w:pPr>
        <w:pStyle w:val="PartC3"/>
        <w:numPr>
          <w:ilvl w:val="0"/>
          <w:numId w:val="0"/>
        </w:numPr>
        <w:ind w:left="1560" w:hanging="709"/>
        <w:rPr>
          <w:szCs w:val="20"/>
        </w:rPr>
      </w:pPr>
    </w:p>
    <w:p w14:paraId="1C78E2AA" w14:textId="77777777" w:rsidR="007F7577" w:rsidRPr="007F7577" w:rsidRDefault="007F7577" w:rsidP="002336C3">
      <w:pPr>
        <w:pStyle w:val="PartC3"/>
        <w:numPr>
          <w:ilvl w:val="2"/>
          <w:numId w:val="5"/>
        </w:numPr>
        <w:ind w:left="1560" w:hanging="709"/>
        <w:rPr>
          <w:szCs w:val="20"/>
        </w:rPr>
      </w:pPr>
      <w:proofErr w:type="gramStart"/>
      <w:r w:rsidRPr="007F7577">
        <w:rPr>
          <w:szCs w:val="20"/>
        </w:rPr>
        <w:t>All of</w:t>
      </w:r>
      <w:proofErr w:type="gramEnd"/>
      <w:r w:rsidRPr="007F7577">
        <w:rPr>
          <w:szCs w:val="20"/>
        </w:rPr>
        <w:t xml:space="preserve"> the sp</w:t>
      </w:r>
      <w:r>
        <w:rPr>
          <w:szCs w:val="20"/>
        </w:rPr>
        <w:t>ecified toolset at section 3.3.</w:t>
      </w:r>
      <w:r w:rsidR="00100623">
        <w:rPr>
          <w:szCs w:val="20"/>
        </w:rPr>
        <w:t>7</w:t>
      </w:r>
      <w:r w:rsidRPr="007F7577">
        <w:rPr>
          <w:szCs w:val="20"/>
        </w:rPr>
        <w:t xml:space="preserve"> above are deemed </w:t>
      </w:r>
      <w:r w:rsidRPr="007F7577">
        <w:rPr>
          <w:b/>
          <w:i/>
          <w:color w:val="000000" w:themeColor="text1"/>
          <w:szCs w:val="20"/>
        </w:rPr>
        <w:t>Essential</w:t>
      </w:r>
      <w:r w:rsidRPr="007F7577">
        <w:rPr>
          <w:szCs w:val="20"/>
        </w:rPr>
        <w:t xml:space="preserve"> for the delivery of the Outcomes.</w:t>
      </w:r>
    </w:p>
    <w:p w14:paraId="649C497B" w14:textId="77777777" w:rsidR="007F7577" w:rsidRPr="007F7577" w:rsidRDefault="007F7577" w:rsidP="007F7577">
      <w:pPr>
        <w:spacing w:before="60" w:after="60"/>
        <w:ind w:left="1418"/>
        <w:rPr>
          <w:rFonts w:ascii="Arial" w:eastAsia="Arial" w:hAnsi="Arial" w:cs="Arial"/>
          <w:sz w:val="20"/>
          <w:szCs w:val="20"/>
        </w:rPr>
      </w:pPr>
    </w:p>
    <w:p w14:paraId="5ABBD696" w14:textId="77777777" w:rsidR="007F7577" w:rsidRDefault="007F7577" w:rsidP="007F7577">
      <w:pPr>
        <w:spacing w:before="60" w:after="60"/>
        <w:ind w:left="709"/>
        <w:rPr>
          <w:rFonts w:ascii="Arial" w:eastAsia="Arial" w:hAnsi="Arial" w:cs="Arial"/>
          <w:b/>
          <w:sz w:val="20"/>
          <w:szCs w:val="20"/>
        </w:rPr>
      </w:pPr>
      <w:r w:rsidRPr="007F7577">
        <w:rPr>
          <w:rFonts w:ascii="Arial" w:eastAsia="Arial" w:hAnsi="Arial" w:cs="Arial"/>
          <w:b/>
          <w:sz w:val="20"/>
          <w:szCs w:val="20"/>
        </w:rPr>
        <w:t>Technology</w:t>
      </w:r>
    </w:p>
    <w:p w14:paraId="73242FB3" w14:textId="77777777" w:rsidR="002336C3" w:rsidRPr="007F7577" w:rsidRDefault="002336C3" w:rsidP="002218BA">
      <w:pPr>
        <w:pStyle w:val="PartC3"/>
        <w:numPr>
          <w:ilvl w:val="2"/>
          <w:numId w:val="5"/>
        </w:numPr>
        <w:ind w:left="1560" w:hanging="709"/>
      </w:pPr>
      <w:r w:rsidRPr="007F7577">
        <w:t xml:space="preserve">In the provision of the Outcomes, the Supplier is required to use Buyer specified </w:t>
      </w:r>
      <w:r w:rsidR="003D133B">
        <w:t>technologies</w:t>
      </w:r>
      <w:r w:rsidRPr="007F7577">
        <w:t xml:space="preserve">, these are </w:t>
      </w:r>
      <w:r w:rsidRPr="002218BA">
        <w:rPr>
          <w:szCs w:val="20"/>
        </w:rPr>
        <w:t>currently</w:t>
      </w:r>
      <w:r w:rsidRPr="007F7577">
        <w:t>:</w:t>
      </w:r>
    </w:p>
    <w:p w14:paraId="4E46E5DB" w14:textId="77777777" w:rsidR="002336C3" w:rsidRPr="002336C3" w:rsidRDefault="002336C3" w:rsidP="007F7577">
      <w:pPr>
        <w:spacing w:before="60" w:after="60"/>
        <w:ind w:left="709"/>
        <w:rPr>
          <w:rFonts w:ascii="Arial" w:eastAsia="Arial" w:hAnsi="Arial" w:cs="Arial"/>
          <w:sz w:val="20"/>
          <w:szCs w:val="20"/>
        </w:rPr>
      </w:pPr>
    </w:p>
    <w:p w14:paraId="10ECD7E8" w14:textId="17B10F85" w:rsidR="007F7577" w:rsidRPr="00061F61" w:rsidRDefault="00061F61" w:rsidP="00061F61">
      <w:pPr>
        <w:pStyle w:val="H3S3"/>
        <w:numPr>
          <w:ilvl w:val="0"/>
          <w:numId w:val="22"/>
        </w:numPr>
      </w:pPr>
      <w:r w:rsidRPr="00E67956">
        <w:rPr>
          <w:highlight w:val="yellow"/>
        </w:rPr>
        <w:t>{to be agreed with supplier and updated as necessary}</w:t>
      </w:r>
      <w:bookmarkStart w:id="7" w:name="_GoBack"/>
      <w:bookmarkEnd w:id="7"/>
    </w:p>
    <w:p w14:paraId="69238E7C" w14:textId="77777777" w:rsidR="007F7577" w:rsidRPr="007F7577" w:rsidRDefault="007F7577" w:rsidP="007F7577">
      <w:pPr>
        <w:spacing w:before="60" w:after="60"/>
        <w:rPr>
          <w:rFonts w:ascii="Arial" w:eastAsia="Arial" w:hAnsi="Arial" w:cs="Arial"/>
          <w:sz w:val="20"/>
          <w:szCs w:val="20"/>
        </w:rPr>
      </w:pPr>
    </w:p>
    <w:p w14:paraId="141E1586" w14:textId="77777777" w:rsidR="007F7577" w:rsidRPr="007F7577" w:rsidRDefault="007F7577" w:rsidP="002336C3">
      <w:pPr>
        <w:pStyle w:val="PartC3"/>
        <w:numPr>
          <w:ilvl w:val="2"/>
          <w:numId w:val="5"/>
        </w:numPr>
        <w:ind w:left="1560" w:hanging="709"/>
        <w:rPr>
          <w:szCs w:val="20"/>
        </w:rPr>
      </w:pPr>
      <w:proofErr w:type="gramStart"/>
      <w:r w:rsidRPr="007F7577">
        <w:rPr>
          <w:szCs w:val="20"/>
        </w:rPr>
        <w:t>All of</w:t>
      </w:r>
      <w:proofErr w:type="gramEnd"/>
      <w:r w:rsidRPr="007F7577">
        <w:rPr>
          <w:szCs w:val="20"/>
        </w:rPr>
        <w:t xml:space="preserve"> the specified toolset at section 3.3.</w:t>
      </w:r>
      <w:r w:rsidR="00100623">
        <w:rPr>
          <w:szCs w:val="20"/>
        </w:rPr>
        <w:t>9</w:t>
      </w:r>
      <w:r w:rsidRPr="007F7577">
        <w:rPr>
          <w:szCs w:val="20"/>
        </w:rPr>
        <w:t xml:space="preserve"> above are deemed </w:t>
      </w:r>
      <w:r w:rsidR="00740327" w:rsidRPr="00740327">
        <w:rPr>
          <w:b/>
          <w:i/>
          <w:szCs w:val="20"/>
        </w:rPr>
        <w:t xml:space="preserve">[Nice to Haves / </w:t>
      </w:r>
      <w:r w:rsidRPr="007F7577">
        <w:rPr>
          <w:b/>
          <w:i/>
          <w:color w:val="000000" w:themeColor="text1"/>
          <w:szCs w:val="20"/>
        </w:rPr>
        <w:t>Essential</w:t>
      </w:r>
      <w:r w:rsidR="00740327">
        <w:rPr>
          <w:szCs w:val="20"/>
        </w:rPr>
        <w:t xml:space="preserve">] </w:t>
      </w:r>
      <w:r w:rsidRPr="007F7577">
        <w:rPr>
          <w:szCs w:val="20"/>
        </w:rPr>
        <w:t>for the delivery of the Outcomes.</w:t>
      </w:r>
    </w:p>
    <w:permEnd w:id="1839495885"/>
    <w:p w14:paraId="612C6D6D" w14:textId="77777777" w:rsidR="007F7577" w:rsidRPr="007F7577" w:rsidRDefault="007F7577" w:rsidP="007F7577">
      <w:pPr>
        <w:pStyle w:val="PartC3"/>
        <w:numPr>
          <w:ilvl w:val="0"/>
          <w:numId w:val="0"/>
        </w:numPr>
        <w:rPr>
          <w:szCs w:val="20"/>
        </w:rPr>
      </w:pPr>
    </w:p>
    <w:p w14:paraId="006ECDD6" w14:textId="77777777" w:rsidR="007F7577" w:rsidRPr="007F7577" w:rsidRDefault="007F7577" w:rsidP="00BC3405">
      <w:pPr>
        <w:spacing w:before="60" w:after="60"/>
        <w:ind w:left="709"/>
        <w:rPr>
          <w:b/>
          <w:szCs w:val="20"/>
        </w:rPr>
      </w:pPr>
      <w:r w:rsidRPr="007F7577">
        <w:rPr>
          <w:b/>
          <w:szCs w:val="20"/>
        </w:rPr>
        <w:t xml:space="preserve">Account </w:t>
      </w:r>
      <w:r w:rsidRPr="00BC3405">
        <w:rPr>
          <w:rFonts w:ascii="Arial" w:eastAsia="Arial" w:hAnsi="Arial" w:cs="Arial"/>
          <w:b/>
          <w:sz w:val="20"/>
          <w:szCs w:val="20"/>
        </w:rPr>
        <w:t>Review</w:t>
      </w:r>
    </w:p>
    <w:p w14:paraId="35DB390C" w14:textId="77777777" w:rsidR="007F7577" w:rsidRPr="007F7577" w:rsidRDefault="007F7577" w:rsidP="002336C3">
      <w:pPr>
        <w:pStyle w:val="PartC3"/>
        <w:numPr>
          <w:ilvl w:val="2"/>
          <w:numId w:val="5"/>
        </w:numPr>
        <w:spacing w:line="276" w:lineRule="auto"/>
        <w:ind w:left="1418" w:hanging="709"/>
        <w:rPr>
          <w:color w:val="000000" w:themeColor="text1"/>
          <w:szCs w:val="20"/>
        </w:rPr>
      </w:pPr>
      <w:r w:rsidRPr="007F7577">
        <w:rPr>
          <w:color w:val="000000" w:themeColor="text1"/>
          <w:szCs w:val="20"/>
        </w:rPr>
        <w:t>The Supplier will be required to attend Monthly account management meetings with the Buyer, where performance can be reviewed.</w:t>
      </w:r>
    </w:p>
    <w:p w14:paraId="362864F1" w14:textId="77777777" w:rsidR="007F7577" w:rsidRPr="007F7577" w:rsidRDefault="007F7577" w:rsidP="007F7577">
      <w:pPr>
        <w:pStyle w:val="PartC2"/>
        <w:numPr>
          <w:ilvl w:val="0"/>
          <w:numId w:val="0"/>
        </w:numPr>
        <w:spacing w:line="276" w:lineRule="auto"/>
        <w:ind w:left="709"/>
        <w:rPr>
          <w:b/>
          <w:szCs w:val="20"/>
        </w:rPr>
      </w:pPr>
    </w:p>
    <w:p w14:paraId="46B53FDA" w14:textId="77777777" w:rsidR="007F7577" w:rsidRPr="007F7577" w:rsidRDefault="007F7577" w:rsidP="007F7577">
      <w:pPr>
        <w:pStyle w:val="PartC2"/>
        <w:numPr>
          <w:ilvl w:val="0"/>
          <w:numId w:val="0"/>
        </w:numPr>
        <w:spacing w:line="276" w:lineRule="auto"/>
        <w:ind w:left="709"/>
        <w:rPr>
          <w:b/>
          <w:szCs w:val="20"/>
        </w:rPr>
      </w:pPr>
      <w:r w:rsidRPr="007F7577">
        <w:rPr>
          <w:b/>
          <w:szCs w:val="20"/>
        </w:rPr>
        <w:t>Interoperability</w:t>
      </w:r>
    </w:p>
    <w:p w14:paraId="325F60EB" w14:textId="77777777" w:rsidR="007F7577" w:rsidRPr="007F7577" w:rsidRDefault="007F7577" w:rsidP="002336C3">
      <w:pPr>
        <w:pStyle w:val="PartC3"/>
        <w:numPr>
          <w:ilvl w:val="2"/>
          <w:numId w:val="5"/>
        </w:numPr>
        <w:ind w:left="1418" w:hanging="709"/>
        <w:rPr>
          <w:szCs w:val="20"/>
          <w:highlight w:val="white"/>
        </w:rPr>
      </w:pPr>
      <w:r w:rsidRPr="007F7577">
        <w:rPr>
          <w:szCs w:val="20"/>
          <w:highlight w:val="white"/>
        </w:rPr>
        <w:t xml:space="preserve">Interoperability requires health information systems to work together within and across organisational boundaries in order to advance the effective delivery of healthcare for individuals and communities. </w:t>
      </w:r>
    </w:p>
    <w:p w14:paraId="1015DF3B" w14:textId="77777777" w:rsidR="007F7577" w:rsidRDefault="007F7577" w:rsidP="007F7577">
      <w:pPr>
        <w:pStyle w:val="PartC3"/>
        <w:numPr>
          <w:ilvl w:val="0"/>
          <w:numId w:val="0"/>
        </w:numPr>
        <w:spacing w:line="276" w:lineRule="auto"/>
        <w:ind w:left="1418"/>
        <w:rPr>
          <w:szCs w:val="20"/>
          <w:highlight w:val="white"/>
        </w:rPr>
      </w:pPr>
    </w:p>
    <w:p w14:paraId="32219554" w14:textId="77777777" w:rsidR="007F7577" w:rsidRPr="007F7577" w:rsidRDefault="007F7577" w:rsidP="002336C3">
      <w:pPr>
        <w:pStyle w:val="PartC3"/>
        <w:numPr>
          <w:ilvl w:val="2"/>
          <w:numId w:val="5"/>
        </w:numPr>
        <w:spacing w:line="276" w:lineRule="auto"/>
        <w:ind w:left="1418" w:hanging="709"/>
        <w:rPr>
          <w:szCs w:val="20"/>
          <w:highlight w:val="white"/>
        </w:rPr>
      </w:pPr>
      <w:r w:rsidRPr="007F7577">
        <w:rPr>
          <w:szCs w:val="20"/>
          <w:highlight w:val="white"/>
        </w:rPr>
        <w:t>To support the Buyer in the achievement of interoperability the Supplier shall perform all required activities in relation to ensuring interoperability between technology developed under this SOW and other applicable technologies as instructed by the Buyer. Such activities may include:</w:t>
      </w:r>
    </w:p>
    <w:p w14:paraId="4D6A8883" w14:textId="77777777" w:rsidR="007F7577" w:rsidRPr="007F7577" w:rsidRDefault="007F7577" w:rsidP="002336C3">
      <w:pPr>
        <w:pStyle w:val="PartC3"/>
        <w:numPr>
          <w:ilvl w:val="3"/>
          <w:numId w:val="5"/>
        </w:numPr>
        <w:spacing w:line="276" w:lineRule="auto"/>
        <w:ind w:left="2835" w:hanging="1035"/>
        <w:rPr>
          <w:szCs w:val="20"/>
          <w:highlight w:val="white"/>
        </w:rPr>
      </w:pPr>
      <w:r w:rsidRPr="007F7577">
        <w:rPr>
          <w:szCs w:val="20"/>
          <w:highlight w:val="white"/>
        </w:rPr>
        <w:t xml:space="preserve">supporting service queries, requests, incident resolution; </w:t>
      </w:r>
    </w:p>
    <w:p w14:paraId="0B03F0FF" w14:textId="77777777" w:rsidR="007F7577" w:rsidRPr="007F7577" w:rsidRDefault="007F7577" w:rsidP="002336C3">
      <w:pPr>
        <w:pStyle w:val="PartC3"/>
        <w:numPr>
          <w:ilvl w:val="3"/>
          <w:numId w:val="5"/>
        </w:numPr>
        <w:spacing w:line="276" w:lineRule="auto"/>
        <w:ind w:left="2835" w:hanging="1035"/>
        <w:rPr>
          <w:szCs w:val="20"/>
          <w:highlight w:val="white"/>
        </w:rPr>
      </w:pPr>
      <w:r w:rsidRPr="007F7577">
        <w:rPr>
          <w:szCs w:val="20"/>
          <w:highlight w:val="white"/>
        </w:rPr>
        <w:t xml:space="preserve">other development, test, assurance and operation activities; and </w:t>
      </w:r>
    </w:p>
    <w:p w14:paraId="31410D3A" w14:textId="77777777" w:rsidR="007F7577" w:rsidRPr="007F7577" w:rsidRDefault="007F7577" w:rsidP="002336C3">
      <w:pPr>
        <w:pStyle w:val="PartC3"/>
        <w:numPr>
          <w:ilvl w:val="3"/>
          <w:numId w:val="5"/>
        </w:numPr>
        <w:tabs>
          <w:tab w:val="left" w:pos="2835"/>
        </w:tabs>
        <w:spacing w:line="276" w:lineRule="auto"/>
        <w:ind w:left="2835" w:hanging="1035"/>
        <w:rPr>
          <w:szCs w:val="20"/>
          <w:highlight w:val="white"/>
        </w:rPr>
      </w:pPr>
      <w:r w:rsidRPr="007F7577">
        <w:rPr>
          <w:szCs w:val="20"/>
          <w:highlight w:val="white"/>
        </w:rPr>
        <w:t xml:space="preserve">knowledge sharing and skillset transfer between teams (including Buyer teams and other suppliers). </w:t>
      </w:r>
    </w:p>
    <w:p w14:paraId="27A53274" w14:textId="77777777" w:rsidR="007F7577" w:rsidRDefault="007F7577" w:rsidP="007F7577">
      <w:pPr>
        <w:pStyle w:val="PartC3"/>
        <w:numPr>
          <w:ilvl w:val="0"/>
          <w:numId w:val="0"/>
        </w:numPr>
        <w:spacing w:line="276" w:lineRule="auto"/>
        <w:ind w:left="1418"/>
        <w:rPr>
          <w:szCs w:val="20"/>
          <w:highlight w:val="white"/>
        </w:rPr>
      </w:pPr>
    </w:p>
    <w:p w14:paraId="078D5174" w14:textId="77777777" w:rsidR="007F7577" w:rsidRDefault="007F7577" w:rsidP="002336C3">
      <w:pPr>
        <w:pStyle w:val="PartC3"/>
        <w:numPr>
          <w:ilvl w:val="2"/>
          <w:numId w:val="5"/>
        </w:numPr>
        <w:spacing w:line="276" w:lineRule="auto"/>
        <w:ind w:left="1418" w:hanging="709"/>
        <w:rPr>
          <w:szCs w:val="20"/>
          <w:highlight w:val="white"/>
        </w:rPr>
      </w:pPr>
      <w:r w:rsidRPr="007F7577">
        <w:rPr>
          <w:szCs w:val="20"/>
          <w:highlight w:val="white"/>
        </w:rPr>
        <w:t>Such interoperability work may require the Supplier working collaboratively with other Suppliers and or development teams.</w:t>
      </w:r>
    </w:p>
    <w:p w14:paraId="537A834A" w14:textId="77777777" w:rsidR="007F7577" w:rsidRPr="007F7577" w:rsidRDefault="007F7577" w:rsidP="007F7577">
      <w:pPr>
        <w:pStyle w:val="PartC3"/>
        <w:numPr>
          <w:ilvl w:val="0"/>
          <w:numId w:val="0"/>
        </w:numPr>
        <w:spacing w:line="276" w:lineRule="auto"/>
        <w:ind w:left="1418"/>
        <w:rPr>
          <w:szCs w:val="20"/>
          <w:highlight w:val="white"/>
        </w:rPr>
      </w:pPr>
    </w:p>
    <w:p w14:paraId="1E0B97E9" w14:textId="77777777" w:rsidR="007F7577" w:rsidRDefault="00CA0FE5" w:rsidP="007F7577">
      <w:pPr>
        <w:pStyle w:val="H1S3"/>
        <w:widowControl w:val="0"/>
      </w:pPr>
      <w:r>
        <w:t xml:space="preserve">Resource </w:t>
      </w:r>
      <w:r w:rsidR="007F7577">
        <w:t>Provisions</w:t>
      </w:r>
    </w:p>
    <w:p w14:paraId="3DCF79F2" w14:textId="77777777" w:rsidR="001E73A5" w:rsidRPr="00AD1F36" w:rsidRDefault="001E73A5" w:rsidP="001E73A5">
      <w:pPr>
        <w:pStyle w:val="H1S3"/>
        <w:widowControl w:val="0"/>
        <w:numPr>
          <w:ilvl w:val="0"/>
          <w:numId w:val="0"/>
        </w:numPr>
      </w:pPr>
      <w:r w:rsidRPr="00AD1F36">
        <w:t>Security Clearance</w:t>
      </w:r>
    </w:p>
    <w:p w14:paraId="5B860A82" w14:textId="77777777" w:rsidR="001E73A5" w:rsidRPr="00EA26EE" w:rsidRDefault="001E73A5" w:rsidP="001E73A5">
      <w:pPr>
        <w:pStyle w:val="H2S3"/>
        <w:widowControl w:val="0"/>
        <w:ind w:left="709" w:hanging="709"/>
        <w:rPr>
          <w:b/>
          <w:highlight w:val="white"/>
        </w:rPr>
      </w:pPr>
      <w:r w:rsidRPr="00AD1F36">
        <w:t>Any staff that are required to work with Personal Confidential Data (PCD) must be security cleared.</w:t>
      </w:r>
    </w:p>
    <w:p w14:paraId="404E1603" w14:textId="77777777" w:rsidR="001E73A5" w:rsidRPr="00A07748" w:rsidRDefault="001E73A5" w:rsidP="001E73A5">
      <w:pPr>
        <w:pStyle w:val="H2S3"/>
        <w:ind w:left="709" w:hanging="709"/>
        <w:rPr>
          <w:b/>
          <w:highlight w:val="white"/>
        </w:rPr>
      </w:pPr>
      <w:r>
        <w:t xml:space="preserve">Part 2 of </w:t>
      </w:r>
      <w:r w:rsidRPr="00EA26EE">
        <w:t>SCHEDULE 1(E): SECURITY</w:t>
      </w:r>
      <w:r>
        <w:t xml:space="preserve"> shall apply to the Supplier under this SOW.</w:t>
      </w:r>
    </w:p>
    <w:p w14:paraId="0EAF4370" w14:textId="77777777" w:rsidR="00A07748" w:rsidRDefault="00A07748" w:rsidP="00A07748">
      <w:pPr>
        <w:pStyle w:val="H1S3"/>
        <w:numPr>
          <w:ilvl w:val="0"/>
          <w:numId w:val="0"/>
        </w:numPr>
        <w:rPr>
          <w:highlight w:val="white"/>
        </w:rPr>
      </w:pPr>
    </w:p>
    <w:p w14:paraId="74BAEB10" w14:textId="77777777" w:rsidR="00A07748" w:rsidRDefault="00A07748" w:rsidP="00A07748">
      <w:pPr>
        <w:pStyle w:val="H1S3"/>
        <w:numPr>
          <w:ilvl w:val="0"/>
          <w:numId w:val="0"/>
        </w:numPr>
        <w:rPr>
          <w:highlight w:val="white"/>
        </w:rPr>
      </w:pPr>
      <w:r>
        <w:rPr>
          <w:highlight w:val="white"/>
        </w:rPr>
        <w:t>User Research Ethics</w:t>
      </w:r>
    </w:p>
    <w:p w14:paraId="41D8BAAD" w14:textId="77777777" w:rsidR="005069B9" w:rsidRDefault="005069B9" w:rsidP="005069B9">
      <w:pPr>
        <w:pStyle w:val="H2S3"/>
        <w:ind w:left="709" w:hanging="709"/>
      </w:pPr>
      <w:r w:rsidRPr="005069B9">
        <w:t xml:space="preserve">It is standard practice for user researchers to work to an ethical code and </w:t>
      </w:r>
      <w:r>
        <w:t xml:space="preserve">the Buyer </w:t>
      </w:r>
      <w:r w:rsidRPr="005069B9">
        <w:t>expect</w:t>
      </w:r>
      <w:r>
        <w:t>s</w:t>
      </w:r>
      <w:r w:rsidRPr="005069B9">
        <w:t xml:space="preserve"> everyone conducting research on behalf of </w:t>
      </w:r>
      <w:r>
        <w:t xml:space="preserve">the Buyer </w:t>
      </w:r>
      <w:r w:rsidRPr="005069B9">
        <w:t xml:space="preserve">to abide by such a code. </w:t>
      </w:r>
      <w:r>
        <w:t xml:space="preserve"> The Buyer is</w:t>
      </w:r>
      <w:r w:rsidRPr="005069B9">
        <w:t xml:space="preserve"> currently developing the NHS Digital User Research ethical code but currently</w:t>
      </w:r>
      <w:r>
        <w:t>,</w:t>
      </w:r>
      <w:r w:rsidRPr="005069B9">
        <w:t xml:space="preserve"> researchers </w:t>
      </w:r>
      <w:r>
        <w:t xml:space="preserve">are required to </w:t>
      </w:r>
      <w:r w:rsidRPr="005069B9">
        <w:t>abide by ethical codes such as those of the</w:t>
      </w:r>
      <w:r>
        <w:t>:</w:t>
      </w:r>
      <w:r w:rsidRPr="005069B9">
        <w:t xml:space="preserve"> </w:t>
      </w:r>
    </w:p>
    <w:p w14:paraId="327E4E0C" w14:textId="77777777" w:rsidR="005069B9" w:rsidRPr="005069B9" w:rsidRDefault="005069B9" w:rsidP="0043516D">
      <w:pPr>
        <w:pStyle w:val="H3S3"/>
        <w:numPr>
          <w:ilvl w:val="0"/>
          <w:numId w:val="22"/>
        </w:numPr>
      </w:pPr>
      <w:r w:rsidRPr="005069B9">
        <w:t>British Psychological Society (</w:t>
      </w:r>
      <w:hyperlink r:id="rId12" w:history="1">
        <w:r w:rsidRPr="005069B9">
          <w:t>https://www.bps.org.uk/news-and-policy/bps-code-human-research-ethics-2nd-edition-2014</w:t>
        </w:r>
      </w:hyperlink>
      <w:r w:rsidRPr="005069B9">
        <w:t>)</w:t>
      </w:r>
      <w:r>
        <w:t>;</w:t>
      </w:r>
    </w:p>
    <w:p w14:paraId="3284FBFA" w14:textId="77777777" w:rsidR="005069B9" w:rsidRPr="005069B9" w:rsidRDefault="005069B9" w:rsidP="0043516D">
      <w:pPr>
        <w:pStyle w:val="H3S3"/>
        <w:numPr>
          <w:ilvl w:val="0"/>
          <w:numId w:val="22"/>
        </w:numPr>
      </w:pPr>
      <w:r w:rsidRPr="005069B9">
        <w:t>Market Research Society (</w:t>
      </w:r>
      <w:hyperlink r:id="rId13" w:history="1">
        <w:r w:rsidRPr="005069B9">
          <w:t>https://www.mrs.org.uk/standards/code_of_conduct</w:t>
        </w:r>
      </w:hyperlink>
      <w:r w:rsidRPr="005069B9">
        <w:t>)</w:t>
      </w:r>
      <w:r>
        <w:t xml:space="preserve">; </w:t>
      </w:r>
      <w:r w:rsidRPr="005069B9">
        <w:t xml:space="preserve">or </w:t>
      </w:r>
    </w:p>
    <w:p w14:paraId="32C36297" w14:textId="77777777" w:rsidR="005069B9" w:rsidRDefault="005069B9" w:rsidP="0043516D">
      <w:pPr>
        <w:pStyle w:val="H3S3"/>
        <w:numPr>
          <w:ilvl w:val="0"/>
          <w:numId w:val="22"/>
        </w:numPr>
      </w:pPr>
      <w:r w:rsidRPr="005069B9">
        <w:t>NHS research (</w:t>
      </w:r>
      <w:hyperlink r:id="rId14" w:history="1">
        <w:r w:rsidRPr="005069B9">
          <w:t>https://www.hra.nhs.uk/planning-and-improving-research/policies-standards-legislation/uk-policy-framework-health-social-care-research</w:t>
        </w:r>
      </w:hyperlink>
      <w:r w:rsidRPr="005069B9">
        <w:t>)</w:t>
      </w:r>
    </w:p>
    <w:p w14:paraId="0CA9FA40" w14:textId="77777777" w:rsidR="005069B9" w:rsidRPr="005069B9" w:rsidRDefault="005069B9" w:rsidP="005069B9">
      <w:pPr>
        <w:pStyle w:val="H3S3"/>
        <w:numPr>
          <w:ilvl w:val="0"/>
          <w:numId w:val="0"/>
        </w:numPr>
        <w:ind w:left="1985"/>
      </w:pPr>
    </w:p>
    <w:p w14:paraId="6FF20FFC" w14:textId="77777777" w:rsidR="00A07748" w:rsidRPr="00A07748" w:rsidRDefault="005069B9" w:rsidP="005069B9">
      <w:pPr>
        <w:pStyle w:val="H2S3"/>
        <w:ind w:left="709" w:hanging="709"/>
      </w:pPr>
      <w:r w:rsidRPr="005069B9">
        <w:t xml:space="preserve">User Research conducted on behalf of </w:t>
      </w:r>
      <w:r>
        <w:t xml:space="preserve">the Buyer </w:t>
      </w:r>
      <w:r w:rsidRPr="005069B9">
        <w:t>should be working in accordance with Government Digital Service (GDS) Standards (</w:t>
      </w:r>
      <w:hyperlink r:id="rId15" w:history="1">
        <w:r w:rsidRPr="005069B9">
          <w:t>https://www.gov.uk/service-manual/service-standard</w:t>
        </w:r>
      </w:hyperlink>
      <w:r w:rsidRPr="005069B9">
        <w:t xml:space="preserve">). All user researchers, whether permanent or externally contracted, including those brought in through statements of work, will also be expected to engage with </w:t>
      </w:r>
      <w:r w:rsidR="00FA57A3">
        <w:t xml:space="preserve">the Buyer’s </w:t>
      </w:r>
      <w:r w:rsidRPr="005069B9">
        <w:t>user research community to facilitate knowledge sharing and transfer between programmes and ensure that they are aware of and upholding NHS Digital user research ways of working and quality standards.</w:t>
      </w:r>
    </w:p>
    <w:p w14:paraId="345C333B" w14:textId="77777777" w:rsidR="001147C5" w:rsidRDefault="001147C5" w:rsidP="001147C5">
      <w:pPr>
        <w:pStyle w:val="H2S3"/>
        <w:numPr>
          <w:ilvl w:val="0"/>
          <w:numId w:val="0"/>
        </w:numPr>
        <w:rPr>
          <w:highlight w:val="white"/>
        </w:rPr>
      </w:pPr>
    </w:p>
    <w:p w14:paraId="50261B80" w14:textId="77777777" w:rsidR="00A07748" w:rsidRDefault="00A07748" w:rsidP="001147C5">
      <w:pPr>
        <w:pStyle w:val="H2S3"/>
        <w:numPr>
          <w:ilvl w:val="0"/>
          <w:numId w:val="0"/>
        </w:numPr>
        <w:rPr>
          <w:highlight w:val="white"/>
        </w:rPr>
      </w:pPr>
    </w:p>
    <w:p w14:paraId="60F9D8C3" w14:textId="77777777" w:rsidR="001147C5" w:rsidRDefault="001147C5" w:rsidP="001147C5">
      <w:pPr>
        <w:pStyle w:val="H2S3"/>
        <w:numPr>
          <w:ilvl w:val="0"/>
          <w:numId w:val="0"/>
        </w:numPr>
        <w:rPr>
          <w:b/>
          <w:highlight w:val="white"/>
        </w:rPr>
      </w:pPr>
      <w:r w:rsidRPr="001147C5">
        <w:rPr>
          <w:b/>
          <w:highlight w:val="white"/>
        </w:rPr>
        <w:t>Performance Monitoring</w:t>
      </w:r>
    </w:p>
    <w:p w14:paraId="6BFD93D1" w14:textId="77777777" w:rsidR="001147C5" w:rsidRPr="00A07748" w:rsidRDefault="001147C5" w:rsidP="00A07748">
      <w:pPr>
        <w:pStyle w:val="H2S3"/>
        <w:ind w:left="709" w:hanging="709"/>
      </w:pPr>
      <w:r w:rsidRPr="00A07748">
        <w:t>The Buyer will monitor the</w:t>
      </w:r>
      <w:r w:rsidR="003A02F9" w:rsidRPr="00A07748">
        <w:t xml:space="preserve"> ongoing service</w:t>
      </w:r>
      <w:r w:rsidRPr="00A07748">
        <w:t xml:space="preserve"> performance</w:t>
      </w:r>
      <w:r w:rsidR="003A02F9" w:rsidRPr="00A07748">
        <w:t xml:space="preserve"> to date and plans for the remainder of the contract, such review to include the performance</w:t>
      </w:r>
      <w:r w:rsidRPr="00A07748">
        <w:t xml:space="preserve"> of individuals a</w:t>
      </w:r>
      <w:r w:rsidR="003A02F9" w:rsidRPr="00A07748">
        <w:t xml:space="preserve">nd overall working relationships with other teams.  </w:t>
      </w:r>
    </w:p>
    <w:p w14:paraId="7A1CB71A" w14:textId="77777777" w:rsidR="001147C5" w:rsidRDefault="001147C5" w:rsidP="00A07748">
      <w:pPr>
        <w:pStyle w:val="H2S3"/>
        <w:ind w:left="709" w:hanging="709"/>
      </w:pPr>
      <w:r w:rsidRPr="00A07748">
        <w:t>The Supplier shall r</w:t>
      </w:r>
      <w:r w:rsidR="003A02F9" w:rsidRPr="00A07748">
        <w:t>emedy any concerns which may require the replacement of</w:t>
      </w:r>
      <w:r w:rsidRPr="00A07748">
        <w:t xml:space="preserve"> any staff/personnel deemed not satisfactory by the Buyer in accordance with the provisions of the Call-Off Contract.  The Supplier shall ensure any such replacement takes place within seven (7) days of notification by the Buyer.</w:t>
      </w:r>
    </w:p>
    <w:p w14:paraId="3AA95C27" w14:textId="77777777" w:rsidR="00A07748" w:rsidRPr="00A07748" w:rsidRDefault="00A07748" w:rsidP="00A07748">
      <w:pPr>
        <w:pStyle w:val="H2S3"/>
        <w:numPr>
          <w:ilvl w:val="0"/>
          <w:numId w:val="0"/>
        </w:numPr>
        <w:ind w:left="709"/>
      </w:pPr>
    </w:p>
    <w:p w14:paraId="0E4119D0" w14:textId="77777777" w:rsidR="001E73A5" w:rsidRPr="00AD1F36" w:rsidRDefault="001E73A5" w:rsidP="001E73A5">
      <w:pPr>
        <w:pStyle w:val="H1S3"/>
        <w:widowControl w:val="0"/>
        <w:numPr>
          <w:ilvl w:val="0"/>
          <w:numId w:val="0"/>
        </w:numPr>
      </w:pPr>
      <w:r w:rsidRPr="00AD1F36">
        <w:t>Hours of Working</w:t>
      </w:r>
    </w:p>
    <w:p w14:paraId="72880BA3" w14:textId="77777777" w:rsidR="001E73A5" w:rsidRPr="00AA7DF4" w:rsidRDefault="004D014B" w:rsidP="001E73A5">
      <w:pPr>
        <w:pStyle w:val="H2S3"/>
        <w:widowControl w:val="0"/>
        <w:ind w:left="709" w:hanging="709"/>
      </w:pPr>
      <w:r>
        <w:t>NHS Digital office hours are Monday – Friday 9am – 5.30pm</w:t>
      </w:r>
      <w:r w:rsidR="00325C1B">
        <w:t>.</w:t>
      </w:r>
    </w:p>
    <w:p w14:paraId="68336C91" w14:textId="77777777" w:rsidR="001E73A5" w:rsidRPr="00AD1F36" w:rsidRDefault="001E73A5" w:rsidP="001E73A5">
      <w:pPr>
        <w:pStyle w:val="H2S3"/>
        <w:widowControl w:val="0"/>
        <w:ind w:left="709" w:hanging="709"/>
      </w:pPr>
      <w:r w:rsidRPr="00AD1F36">
        <w:t>The Supplier</w:t>
      </w:r>
      <w:r w:rsidR="007C0305">
        <w:t>’</w:t>
      </w:r>
      <w:r w:rsidRPr="00AD1F36">
        <w:t xml:space="preserve">s </w:t>
      </w:r>
      <w:r w:rsidR="001147C5">
        <w:t>s</w:t>
      </w:r>
      <w:r w:rsidRPr="00AD1F36">
        <w:t>taff</w:t>
      </w:r>
      <w:r w:rsidR="001147C5">
        <w:t>/personnel</w:t>
      </w:r>
      <w:r w:rsidRPr="00AD1F36">
        <w:t xml:space="preserve"> </w:t>
      </w:r>
      <w:r w:rsidR="004D014B">
        <w:t xml:space="preserve">may be required to undertake </w:t>
      </w:r>
      <w:r w:rsidRPr="00AD1F36">
        <w:t>Out of Hours (OOH) work (Evenings and Weekends) as required in order to achieve the Deliverables under this SOW.</w:t>
      </w:r>
    </w:p>
    <w:p w14:paraId="17D8D65D" w14:textId="77777777" w:rsidR="001E73A5" w:rsidRPr="00AD1F36" w:rsidRDefault="001E73A5" w:rsidP="001E73A5">
      <w:pPr>
        <w:pStyle w:val="H1S3"/>
        <w:widowControl w:val="0"/>
        <w:numPr>
          <w:ilvl w:val="0"/>
          <w:numId w:val="0"/>
        </w:numPr>
      </w:pPr>
      <w:r w:rsidRPr="00AD1F36">
        <w:t>E</w:t>
      </w:r>
      <w:r>
        <w:t>mployment Regulations</w:t>
      </w:r>
    </w:p>
    <w:p w14:paraId="74A45F89" w14:textId="77777777" w:rsidR="001E73A5" w:rsidRPr="00AD1F36" w:rsidRDefault="001E73A5" w:rsidP="001E73A5">
      <w:pPr>
        <w:pStyle w:val="H2S3"/>
        <w:widowControl w:val="0"/>
        <w:ind w:left="709" w:hanging="709"/>
      </w:pPr>
      <w:bookmarkStart w:id="8" w:name="_Ref350725051"/>
      <w:r w:rsidRPr="00AD1F36">
        <w:t xml:space="preserve">The Buyer and the Supplier agree that the provision of the Services and the provision of Outcomes from the Supplier to the Buyer under this SOW, and on termination or expiry (in whole or part) of this SOW, will not constitute a "relevant transfer" to which the </w:t>
      </w:r>
      <w:bookmarkEnd w:id="8"/>
      <w:r>
        <w:t>Employment Regulations</w:t>
      </w:r>
      <w:r w:rsidRPr="00AD1F36">
        <w:t xml:space="preserve"> will apply.</w:t>
      </w:r>
    </w:p>
    <w:p w14:paraId="60F1FBFC" w14:textId="77777777" w:rsidR="001E73A5" w:rsidRPr="0094443A" w:rsidRDefault="001E73A5" w:rsidP="001E73A5">
      <w:pPr>
        <w:pStyle w:val="H2S3"/>
        <w:ind w:left="709" w:hanging="709"/>
      </w:pPr>
      <w:r>
        <w:t>Without prejudice to Clause 28 and 29 of Part C, i</w:t>
      </w:r>
      <w:r w:rsidRPr="00AD1F36">
        <w:t xml:space="preserve">n any circumstances where it is alleged or determined that </w:t>
      </w:r>
      <w:r w:rsidRPr="000A151F">
        <w:t xml:space="preserve">the Employment Regulations </w:t>
      </w:r>
      <w:r w:rsidRPr="00AD1F36">
        <w:t>does apply, the Supplier shall indemnify the Buyer (and, in respect of exit, any third party providing replacement services which are the same or similar to the Outcomes) in respect of any costs, claims liabilities or expenses incurred by the Buyer or such replacement supplier result</w:t>
      </w:r>
      <w:r>
        <w:t xml:space="preserve">ing from the operation of </w:t>
      </w:r>
      <w:r w:rsidRPr="000A151F">
        <w:t>the Employment Regulations</w:t>
      </w:r>
      <w:r>
        <w:t>.</w:t>
      </w:r>
    </w:p>
    <w:p w14:paraId="3E5CDE12" w14:textId="77777777" w:rsidR="00AD1F36" w:rsidRPr="00AD1F36" w:rsidRDefault="006128D6" w:rsidP="00A74913">
      <w:pPr>
        <w:pStyle w:val="H1S3"/>
        <w:widowControl w:val="0"/>
      </w:pPr>
      <w:r>
        <w:t xml:space="preserve">Schedule </w:t>
      </w:r>
      <w:r w:rsidR="00325C1B">
        <w:t>3.4:</w:t>
      </w:r>
      <w:r>
        <w:t xml:space="preserve"> </w:t>
      </w:r>
      <w:r w:rsidR="00AD1F36" w:rsidRPr="00AD1F36">
        <w:t>Call-Off Contract Charges</w:t>
      </w:r>
    </w:p>
    <w:p w14:paraId="0BC0251F" w14:textId="77777777" w:rsidR="00AD1F36" w:rsidRDefault="00AD1F36" w:rsidP="001E73A5">
      <w:pPr>
        <w:pStyle w:val="H2S3"/>
        <w:widowControl w:val="0"/>
        <w:ind w:left="709" w:hanging="709"/>
      </w:pPr>
      <w:r w:rsidRPr="00AD1F36">
        <w:t xml:space="preserve">The applicable charging method(s) for this SOW is </w:t>
      </w:r>
      <w:r w:rsidR="006128D6">
        <w:t xml:space="preserve">as detailed in Clause </w:t>
      </w:r>
      <w:r w:rsidR="006128D6">
        <w:fldChar w:fldCharType="begin"/>
      </w:r>
      <w:r w:rsidR="006128D6">
        <w:instrText xml:space="preserve"> REF _Ref487480391 \r \h </w:instrText>
      </w:r>
      <w:r w:rsidR="001E73A5">
        <w:instrText xml:space="preserve"> \* MERGEFORMAT </w:instrText>
      </w:r>
      <w:r w:rsidR="006128D6">
        <w:fldChar w:fldCharType="separate"/>
      </w:r>
      <w:r w:rsidR="006128D6">
        <w:t>1.1</w:t>
      </w:r>
      <w:r w:rsidR="006128D6">
        <w:fldChar w:fldCharType="end"/>
      </w:r>
      <w:r w:rsidR="006128D6">
        <w:t xml:space="preserve"> above</w:t>
      </w:r>
      <w:r w:rsidRPr="00AD1F36">
        <w:t>.</w:t>
      </w:r>
    </w:p>
    <w:p w14:paraId="655CBBCD" w14:textId="77777777" w:rsidR="00D2010A" w:rsidRPr="00AD1F36" w:rsidRDefault="00D2010A" w:rsidP="001E73A5">
      <w:pPr>
        <w:pStyle w:val="H2S3"/>
        <w:widowControl w:val="0"/>
        <w:numPr>
          <w:ilvl w:val="0"/>
          <w:numId w:val="0"/>
        </w:numPr>
        <w:ind w:left="709"/>
      </w:pPr>
    </w:p>
    <w:p w14:paraId="319D8163" w14:textId="77777777" w:rsidR="00AD1F36" w:rsidRPr="001E73A5" w:rsidRDefault="00AD1F36" w:rsidP="001E73A5">
      <w:pPr>
        <w:pStyle w:val="H2S3"/>
        <w:widowControl w:val="0"/>
        <w:ind w:left="709" w:hanging="709"/>
      </w:pPr>
      <w:r w:rsidRPr="00AD1F36">
        <w:t xml:space="preserve">Additionally, the maximum value </w:t>
      </w:r>
      <w:r w:rsidRPr="001E73A5">
        <w:t xml:space="preserve">of this SOW (irrespective of the selected charging method) is as </w:t>
      </w:r>
      <w:r w:rsidR="006128D6">
        <w:t xml:space="preserve">detailed in Clause </w:t>
      </w:r>
      <w:r w:rsidR="006128D6">
        <w:fldChar w:fldCharType="begin"/>
      </w:r>
      <w:r w:rsidR="006128D6">
        <w:instrText xml:space="preserve"> REF _Ref487480391 \r \h </w:instrText>
      </w:r>
      <w:r w:rsidR="001E73A5">
        <w:instrText xml:space="preserve"> \* MERGEFORMAT </w:instrText>
      </w:r>
      <w:r w:rsidR="006128D6">
        <w:fldChar w:fldCharType="separate"/>
      </w:r>
      <w:r w:rsidR="006128D6">
        <w:t>1.1</w:t>
      </w:r>
      <w:r w:rsidR="006128D6">
        <w:fldChar w:fldCharType="end"/>
      </w:r>
      <w:r w:rsidR="006128D6">
        <w:t xml:space="preserve"> above</w:t>
      </w:r>
      <w:r w:rsidR="006128D6" w:rsidRPr="00AD1F36">
        <w:t>.</w:t>
      </w:r>
    </w:p>
    <w:p w14:paraId="02798B9C" w14:textId="77777777" w:rsidR="00D2010A" w:rsidRPr="001E73A5" w:rsidRDefault="00D2010A" w:rsidP="001E73A5">
      <w:pPr>
        <w:pStyle w:val="H2S3"/>
        <w:widowControl w:val="0"/>
        <w:numPr>
          <w:ilvl w:val="0"/>
          <w:numId w:val="0"/>
        </w:numPr>
        <w:ind w:left="709"/>
      </w:pPr>
    </w:p>
    <w:p w14:paraId="0BED8E95" w14:textId="77777777" w:rsidR="00AD1F36" w:rsidRDefault="00AD1F36" w:rsidP="001E73A5">
      <w:pPr>
        <w:pStyle w:val="H2S3"/>
        <w:widowControl w:val="0"/>
        <w:ind w:left="709" w:hanging="709"/>
      </w:pPr>
      <w:r w:rsidRPr="006128D6">
        <w:t xml:space="preserve">The financial model applicable to this SOW is detailed at </w:t>
      </w:r>
      <w:r w:rsidRPr="001E73A5">
        <w:t xml:space="preserve">Annex </w:t>
      </w:r>
      <w:r w:rsidR="001E73A5" w:rsidRPr="001E73A5">
        <w:t>1</w:t>
      </w:r>
      <w:r w:rsidRPr="001E73A5">
        <w:t>.</w:t>
      </w:r>
    </w:p>
    <w:p w14:paraId="3383925E" w14:textId="77777777" w:rsidR="001E73A5" w:rsidRPr="00D2010A" w:rsidRDefault="001E73A5" w:rsidP="001E73A5">
      <w:pPr>
        <w:pStyle w:val="H3S3"/>
        <w:numPr>
          <w:ilvl w:val="0"/>
          <w:numId w:val="0"/>
        </w:numPr>
        <w:ind w:left="851"/>
        <w:rPr>
          <w:highlight w:val="yellow"/>
        </w:rPr>
      </w:pPr>
    </w:p>
    <w:p w14:paraId="5992FF5F" w14:textId="77777777" w:rsidR="001E73A5" w:rsidRDefault="001E73A5" w:rsidP="001E73A5">
      <w:pPr>
        <w:pStyle w:val="H2S3"/>
        <w:widowControl w:val="0"/>
        <w:ind w:left="709" w:hanging="709"/>
      </w:pPr>
      <w:r w:rsidRPr="001E73A5">
        <w:tab/>
        <w:t>The Call-Off Contract Charges as detailed in the financial model shall be invoiced monthly in arrears and shall be payable according to the terms of the Call-Off Contract.</w:t>
      </w:r>
    </w:p>
    <w:p w14:paraId="775BCB4B" w14:textId="77777777" w:rsidR="001E73A5" w:rsidRDefault="001E73A5" w:rsidP="001E73A5">
      <w:pPr>
        <w:pStyle w:val="H2S3"/>
        <w:widowControl w:val="0"/>
        <w:numPr>
          <w:ilvl w:val="0"/>
          <w:numId w:val="0"/>
        </w:numPr>
        <w:ind w:left="709"/>
      </w:pPr>
    </w:p>
    <w:p w14:paraId="1792F46F" w14:textId="77777777" w:rsidR="001E73A5" w:rsidRDefault="006128D6" w:rsidP="001E73A5">
      <w:pPr>
        <w:pStyle w:val="H2S3"/>
        <w:widowControl w:val="0"/>
        <w:ind w:left="709" w:hanging="709"/>
      </w:pPr>
      <w:r w:rsidRPr="001E73A5">
        <w:t>Any changes to the Supplier Staff (not applicable to Lot 3 Services) should be agreed with the Buyer and covered by a separate SOW where it cannot be accommodated within an existing SOW.</w:t>
      </w:r>
    </w:p>
    <w:p w14:paraId="7BB80749" w14:textId="77777777" w:rsidR="001E73A5" w:rsidRPr="001E73A5" w:rsidRDefault="001E73A5" w:rsidP="001E73A5">
      <w:pPr>
        <w:pStyle w:val="H2S3"/>
        <w:widowControl w:val="0"/>
        <w:numPr>
          <w:ilvl w:val="0"/>
          <w:numId w:val="0"/>
        </w:numPr>
        <w:ind w:left="709"/>
      </w:pPr>
    </w:p>
    <w:p w14:paraId="5DFC67DD" w14:textId="77777777" w:rsidR="006128D6" w:rsidRPr="00325C1B" w:rsidRDefault="006128D6" w:rsidP="005069B9">
      <w:pPr>
        <w:pStyle w:val="H2S3"/>
        <w:widowControl w:val="0"/>
        <w:ind w:left="709" w:hanging="709"/>
      </w:pPr>
      <w:r w:rsidRPr="00325C1B">
        <w:t>The Supplier will keep accurate records of the time spent by the Supplier staff in providing the services and will provide records to the Buyer for inspection on request (not applicable to Lot 3 Services)</w:t>
      </w:r>
      <w:r w:rsidR="00325C1B" w:rsidRPr="00325C1B">
        <w:t>.</w:t>
      </w:r>
    </w:p>
    <w:p w14:paraId="37297C4D" w14:textId="77777777" w:rsidR="00AD1F36" w:rsidRPr="006128D6" w:rsidRDefault="00AD1F36" w:rsidP="00A74913">
      <w:pPr>
        <w:pStyle w:val="H1S3"/>
        <w:widowControl w:val="0"/>
      </w:pPr>
      <w:r w:rsidRPr="006128D6">
        <w:t>Assumptions</w:t>
      </w:r>
    </w:p>
    <w:p w14:paraId="4D9268D8" w14:textId="77777777" w:rsidR="00AD1F36" w:rsidRPr="00AD1F36" w:rsidRDefault="00AD1F36" w:rsidP="001E73A5">
      <w:pPr>
        <w:pStyle w:val="H2S3"/>
        <w:widowControl w:val="0"/>
        <w:ind w:left="709" w:hanging="709"/>
      </w:pPr>
      <w:r w:rsidRPr="00AD1F36">
        <w:t>The Parties agree that the following assumptions, representations, risks and contingencies apply:</w:t>
      </w:r>
    </w:p>
    <w:p w14:paraId="04CCFC44" w14:textId="77777777" w:rsidR="00AD1F36" w:rsidRPr="006A52A9" w:rsidRDefault="004D014B" w:rsidP="00A74913">
      <w:pPr>
        <w:pStyle w:val="BulletH4"/>
        <w:widowControl w:val="0"/>
        <w:rPr>
          <w:highlight w:val="yellow"/>
        </w:rPr>
      </w:pPr>
      <w:r w:rsidRPr="006A52A9">
        <w:rPr>
          <w:highlight w:val="yellow"/>
        </w:rPr>
        <w:t>[Parties to include assumptions as agreed as part of the post award discussion</w:t>
      </w:r>
      <w:r w:rsidR="006A52A9" w:rsidRPr="006A52A9">
        <w:rPr>
          <w:highlight w:val="yellow"/>
        </w:rPr>
        <w:t>s]</w:t>
      </w:r>
      <w:r w:rsidR="00AD1F36" w:rsidRPr="006A52A9">
        <w:rPr>
          <w:highlight w:val="yellow"/>
        </w:rPr>
        <w:t xml:space="preserve"> </w:t>
      </w:r>
    </w:p>
    <w:p w14:paraId="46F66F5B" w14:textId="77777777" w:rsidR="00AD1F36" w:rsidRPr="00AD1F36" w:rsidRDefault="00AD1F36" w:rsidP="00A74913">
      <w:pPr>
        <w:pStyle w:val="H1S3"/>
        <w:widowControl w:val="0"/>
      </w:pPr>
      <w:r w:rsidRPr="00AD1F36">
        <w:t>General</w:t>
      </w:r>
    </w:p>
    <w:p w14:paraId="771AC7CD" w14:textId="77777777" w:rsidR="0094443A" w:rsidRDefault="00AD1F36" w:rsidP="001E73A5">
      <w:pPr>
        <w:pStyle w:val="H2S3"/>
        <w:widowControl w:val="0"/>
        <w:ind w:left="709" w:hanging="709"/>
      </w:pPr>
      <w:r w:rsidRPr="00AD1F36">
        <w:t>Any changes to the scope of this SOW</w:t>
      </w:r>
      <w:r w:rsidR="004A523A">
        <w:t xml:space="preserve"> shall be subject to agreement </w:t>
      </w:r>
      <w:r w:rsidRPr="00AD1F36">
        <w:t xml:space="preserve">with the Buyer in accordance with the </w:t>
      </w:r>
      <w:r w:rsidR="008018E9">
        <w:t xml:space="preserve">Call-Off </w:t>
      </w:r>
      <w:r w:rsidRPr="00AD1F36">
        <w:t>Contract terms, and covered by a separate SOW where it cannot be accommodated within an existing SOW.</w:t>
      </w:r>
    </w:p>
    <w:p w14:paraId="59700A31" w14:textId="77777777" w:rsidR="002336C3" w:rsidRPr="00AD1F36" w:rsidRDefault="002336C3" w:rsidP="001E73A5">
      <w:pPr>
        <w:pStyle w:val="H2S3"/>
        <w:widowControl w:val="0"/>
        <w:numPr>
          <w:ilvl w:val="0"/>
          <w:numId w:val="0"/>
        </w:numPr>
        <w:ind w:left="709"/>
      </w:pPr>
    </w:p>
    <w:p w14:paraId="3A43EA6B" w14:textId="77777777" w:rsidR="00AD1F36" w:rsidRDefault="00AD1F36" w:rsidP="001E73A5">
      <w:pPr>
        <w:pStyle w:val="H2S3"/>
        <w:widowControl w:val="0"/>
        <w:ind w:left="709" w:hanging="709"/>
      </w:pPr>
      <w:r w:rsidRPr="00AD1F36">
        <w:t xml:space="preserve">Reporting shall be in accordance with the terms set out in the </w:t>
      </w:r>
      <w:r w:rsidR="008018E9">
        <w:t xml:space="preserve">Call-Off </w:t>
      </w:r>
      <w:r w:rsidRPr="00AD1F36">
        <w:t>Contract.</w:t>
      </w:r>
    </w:p>
    <w:p w14:paraId="5A84E4EF" w14:textId="77777777" w:rsidR="002336C3" w:rsidRDefault="002336C3" w:rsidP="001E73A5">
      <w:pPr>
        <w:pStyle w:val="H2S3"/>
        <w:widowControl w:val="0"/>
        <w:numPr>
          <w:ilvl w:val="0"/>
          <w:numId w:val="0"/>
        </w:numPr>
        <w:ind w:left="709"/>
      </w:pPr>
    </w:p>
    <w:p w14:paraId="374F8B67" w14:textId="77777777" w:rsidR="00AD1F36" w:rsidRPr="00AD1F36" w:rsidRDefault="00AD1F36" w:rsidP="001E73A5">
      <w:pPr>
        <w:pStyle w:val="H2S3"/>
        <w:widowControl w:val="0"/>
        <w:ind w:left="709" w:hanging="709"/>
      </w:pPr>
      <w:r w:rsidRPr="00AD1F36">
        <w:t>Where the Contract states that certain standard requirements shall apply to all SOWs, then they shall apply to this SOW, unless this SOW specifically references and excludes them.</w:t>
      </w:r>
    </w:p>
    <w:p w14:paraId="01A3BB73" w14:textId="77777777" w:rsidR="00A74913" w:rsidRDefault="00A74913" w:rsidP="00A74913">
      <w:pPr>
        <w:pStyle w:val="HFRsubheading"/>
        <w:keepNext w:val="0"/>
        <w:keepLines w:val="0"/>
        <w:widowControl w:val="0"/>
        <w:rPr>
          <w:sz w:val="20"/>
          <w:szCs w:val="20"/>
        </w:rPr>
      </w:pPr>
      <w:bookmarkStart w:id="9" w:name="h.lnxbz9" w:colFirst="0" w:colLast="0"/>
      <w:bookmarkEnd w:id="9"/>
    </w:p>
    <w:p w14:paraId="015AD3C4" w14:textId="77777777" w:rsidR="00325C1B" w:rsidRDefault="00325C1B" w:rsidP="00A74913">
      <w:pPr>
        <w:pStyle w:val="HFRsubheading"/>
        <w:keepNext w:val="0"/>
        <w:keepLines w:val="0"/>
        <w:widowControl w:val="0"/>
        <w:rPr>
          <w:sz w:val="20"/>
          <w:szCs w:val="20"/>
        </w:rPr>
      </w:pPr>
    </w:p>
    <w:p w14:paraId="147AC765" w14:textId="77777777" w:rsidR="00325C1B" w:rsidRDefault="00325C1B" w:rsidP="00A74913">
      <w:pPr>
        <w:pStyle w:val="HFRsubheading"/>
        <w:keepNext w:val="0"/>
        <w:keepLines w:val="0"/>
        <w:widowControl w:val="0"/>
        <w:rPr>
          <w:sz w:val="20"/>
          <w:szCs w:val="20"/>
        </w:rPr>
      </w:pPr>
    </w:p>
    <w:p w14:paraId="45402DB7" w14:textId="77777777" w:rsidR="00325C1B" w:rsidRDefault="00325C1B" w:rsidP="00A74913">
      <w:pPr>
        <w:pStyle w:val="HFRsubheading"/>
        <w:keepNext w:val="0"/>
        <w:keepLines w:val="0"/>
        <w:widowControl w:val="0"/>
        <w:rPr>
          <w:sz w:val="20"/>
          <w:szCs w:val="20"/>
        </w:rPr>
      </w:pPr>
    </w:p>
    <w:p w14:paraId="4A26A3A1" w14:textId="77777777" w:rsidR="00325C1B" w:rsidRDefault="00325C1B" w:rsidP="00A74913">
      <w:pPr>
        <w:pStyle w:val="HFRsubheading"/>
        <w:keepNext w:val="0"/>
        <w:keepLines w:val="0"/>
        <w:widowControl w:val="0"/>
        <w:rPr>
          <w:sz w:val="20"/>
          <w:szCs w:val="20"/>
        </w:rPr>
      </w:pPr>
    </w:p>
    <w:p w14:paraId="47602710" w14:textId="77777777" w:rsidR="00325C1B" w:rsidRDefault="00325C1B" w:rsidP="00A74913">
      <w:pPr>
        <w:pStyle w:val="HFRsubheading"/>
        <w:keepNext w:val="0"/>
        <w:keepLines w:val="0"/>
        <w:widowControl w:val="0"/>
        <w:rPr>
          <w:sz w:val="20"/>
          <w:szCs w:val="20"/>
        </w:rPr>
      </w:pPr>
    </w:p>
    <w:p w14:paraId="4EC766E8" w14:textId="77777777" w:rsidR="00325C1B" w:rsidRDefault="00325C1B" w:rsidP="00A74913">
      <w:pPr>
        <w:pStyle w:val="HFRsubheading"/>
        <w:keepNext w:val="0"/>
        <w:keepLines w:val="0"/>
        <w:widowControl w:val="0"/>
        <w:rPr>
          <w:sz w:val="20"/>
          <w:szCs w:val="20"/>
        </w:rPr>
      </w:pPr>
    </w:p>
    <w:p w14:paraId="52C3A0CE" w14:textId="77777777" w:rsidR="00325C1B" w:rsidRDefault="00325C1B" w:rsidP="00A74913">
      <w:pPr>
        <w:pStyle w:val="HFRsubheading"/>
        <w:keepNext w:val="0"/>
        <w:keepLines w:val="0"/>
        <w:widowControl w:val="0"/>
        <w:rPr>
          <w:sz w:val="20"/>
          <w:szCs w:val="20"/>
        </w:rPr>
      </w:pPr>
    </w:p>
    <w:p w14:paraId="35FCE676" w14:textId="77777777" w:rsidR="00AD1F36" w:rsidRPr="00AD1F36" w:rsidRDefault="00AD1F36" w:rsidP="00A74913">
      <w:pPr>
        <w:pStyle w:val="HFRsubheading"/>
        <w:keepNext w:val="0"/>
        <w:keepLines w:val="0"/>
        <w:widowControl w:val="0"/>
        <w:rPr>
          <w:sz w:val="20"/>
          <w:szCs w:val="20"/>
        </w:rPr>
      </w:pPr>
      <w:r w:rsidRPr="00AD1F36">
        <w:rPr>
          <w:sz w:val="20"/>
          <w:szCs w:val="20"/>
        </w:rPr>
        <w:t>Agreement of this Statement of Work</w:t>
      </w:r>
    </w:p>
    <w:tbl>
      <w:tblPr>
        <w:tblW w:w="10119" w:type="dxa"/>
        <w:tblInd w:w="-230" w:type="dxa"/>
        <w:tblLayout w:type="fixed"/>
        <w:tblLook w:val="0000" w:firstRow="0" w:lastRow="0" w:firstColumn="0" w:lastColumn="0" w:noHBand="0" w:noVBand="0"/>
      </w:tblPr>
      <w:tblGrid>
        <w:gridCol w:w="10119"/>
      </w:tblGrid>
      <w:tr w:rsidR="00AD1F36" w:rsidRPr="00AD1F36" w14:paraId="23F69852" w14:textId="77777777" w:rsidTr="00D956FD">
        <w:tc>
          <w:tcPr>
            <w:tcW w:w="10119" w:type="dxa"/>
          </w:tcPr>
          <w:p w14:paraId="42221EB9" w14:textId="77777777" w:rsidR="00AD1F36" w:rsidRPr="00AD1F36" w:rsidRDefault="00AD1F36" w:rsidP="00A74913">
            <w:pPr>
              <w:widowControl w:val="0"/>
              <w:spacing w:before="60" w:after="60"/>
              <w:ind w:left="230"/>
              <w:rPr>
                <w:rFonts w:ascii="Arial" w:hAnsi="Arial" w:cs="Arial"/>
                <w:sz w:val="20"/>
                <w:szCs w:val="20"/>
              </w:rPr>
            </w:pPr>
            <w:r w:rsidRPr="00AD1F36">
              <w:rPr>
                <w:rFonts w:ascii="Arial" w:eastAsia="Arial" w:hAnsi="Arial" w:cs="Arial"/>
                <w:sz w:val="20"/>
                <w:szCs w:val="20"/>
              </w:rPr>
              <w:t>BY SIGNING this Statement of Work, the Parties agree to be bound by the terms and conditions referenced and set out herein:</w:t>
            </w:r>
          </w:p>
          <w:p w14:paraId="32018197" w14:textId="77777777" w:rsidR="00AD1F36" w:rsidRPr="00AD1F36" w:rsidRDefault="00AD1F36" w:rsidP="00A74913">
            <w:pPr>
              <w:widowControl w:val="0"/>
              <w:spacing w:before="60" w:after="60"/>
              <w:ind w:hanging="720"/>
              <w:rPr>
                <w:rFonts w:ascii="Arial" w:hAnsi="Arial" w:cs="Arial"/>
                <w:sz w:val="20"/>
                <w:szCs w:val="20"/>
              </w:rPr>
            </w:pPr>
            <w:r w:rsidRPr="00AD1F36">
              <w:rPr>
                <w:rFonts w:ascii="Arial" w:eastAsia="Arial" w:hAnsi="Arial" w:cs="Arial"/>
                <w:sz w:val="20"/>
                <w:szCs w:val="20"/>
              </w:rPr>
              <w:t xml:space="preserve"> </w:t>
            </w:r>
          </w:p>
          <w:tbl>
            <w:tblPr>
              <w:tblW w:w="9020" w:type="dxa"/>
              <w:tblLayout w:type="fixed"/>
              <w:tblLook w:val="0000" w:firstRow="0" w:lastRow="0" w:firstColumn="0" w:lastColumn="0" w:noHBand="0" w:noVBand="0"/>
            </w:tblPr>
            <w:tblGrid>
              <w:gridCol w:w="2600"/>
              <w:gridCol w:w="6420"/>
            </w:tblGrid>
            <w:tr w:rsidR="00AD1F36" w:rsidRPr="00AD1F36" w14:paraId="56A99AD5" w14:textId="77777777" w:rsidTr="00780926">
              <w:tc>
                <w:tcPr>
                  <w:tcW w:w="9020" w:type="dxa"/>
                  <w:gridSpan w:val="2"/>
                </w:tcPr>
                <w:p w14:paraId="7ED54449" w14:textId="77777777" w:rsidR="00AD1F36" w:rsidRPr="00AD1F36" w:rsidRDefault="00AD1F36" w:rsidP="00A74913">
                  <w:pPr>
                    <w:widowControl w:val="0"/>
                    <w:spacing w:before="60" w:after="60"/>
                    <w:ind w:left="142"/>
                    <w:rPr>
                      <w:rFonts w:ascii="Arial" w:hAnsi="Arial" w:cs="Arial"/>
                      <w:sz w:val="20"/>
                      <w:szCs w:val="20"/>
                    </w:rPr>
                  </w:pPr>
                  <w:r w:rsidRPr="00AD1F36">
                    <w:rPr>
                      <w:rFonts w:ascii="Arial" w:eastAsia="Arial" w:hAnsi="Arial" w:cs="Arial"/>
                      <w:b/>
                      <w:sz w:val="20"/>
                      <w:szCs w:val="20"/>
                    </w:rPr>
                    <w:t>For and on behalf of the Supplier:</w:t>
                  </w:r>
                </w:p>
              </w:tc>
            </w:tr>
            <w:tr w:rsidR="00AD1F36" w:rsidRPr="00AD1F36" w14:paraId="3B960A57" w14:textId="77777777" w:rsidTr="00780926">
              <w:tc>
                <w:tcPr>
                  <w:tcW w:w="2600" w:type="dxa"/>
                </w:tcPr>
                <w:p w14:paraId="43A5B006" w14:textId="77777777" w:rsidR="00AD1F36" w:rsidRPr="00AD1F36" w:rsidRDefault="00AD1F36" w:rsidP="00A74913">
                  <w:pPr>
                    <w:widowControl w:val="0"/>
                    <w:spacing w:before="60" w:after="60"/>
                    <w:ind w:left="142"/>
                    <w:rPr>
                      <w:rFonts w:ascii="Arial" w:hAnsi="Arial" w:cs="Arial"/>
                      <w:sz w:val="20"/>
                      <w:szCs w:val="20"/>
                    </w:rPr>
                  </w:pPr>
                  <w:r w:rsidRPr="00AD1F36">
                    <w:rPr>
                      <w:rFonts w:ascii="Arial" w:eastAsia="Arial" w:hAnsi="Arial" w:cs="Arial"/>
                      <w:sz w:val="20"/>
                      <w:szCs w:val="20"/>
                    </w:rPr>
                    <w:t>Name and title</w:t>
                  </w:r>
                </w:p>
              </w:tc>
              <w:tc>
                <w:tcPr>
                  <w:tcW w:w="6420" w:type="dxa"/>
                  <w:tcBorders>
                    <w:bottom w:val="dashed" w:sz="4" w:space="0" w:color="000000"/>
                  </w:tcBorders>
                </w:tcPr>
                <w:p w14:paraId="465EBD6E" w14:textId="77777777" w:rsidR="00AD1F36" w:rsidRPr="00AD1F36" w:rsidRDefault="00AD1F36" w:rsidP="00A74913">
                  <w:pPr>
                    <w:widowControl w:val="0"/>
                    <w:spacing w:before="60" w:after="60"/>
                    <w:ind w:left="142"/>
                    <w:rPr>
                      <w:rFonts w:ascii="Arial" w:hAnsi="Arial" w:cs="Arial"/>
                      <w:sz w:val="20"/>
                      <w:szCs w:val="20"/>
                    </w:rPr>
                  </w:pPr>
                </w:p>
              </w:tc>
            </w:tr>
            <w:tr w:rsidR="00AD1F36" w:rsidRPr="00AD1F36" w14:paraId="4A0A9CD4" w14:textId="77777777" w:rsidTr="00780926">
              <w:tc>
                <w:tcPr>
                  <w:tcW w:w="2600" w:type="dxa"/>
                </w:tcPr>
                <w:p w14:paraId="06177C3B" w14:textId="77777777" w:rsidR="00AD1F36" w:rsidRPr="00AD1F36" w:rsidRDefault="00AD1F36" w:rsidP="00A74913">
                  <w:pPr>
                    <w:widowControl w:val="0"/>
                    <w:spacing w:before="60" w:after="60"/>
                    <w:ind w:left="142"/>
                    <w:rPr>
                      <w:rFonts w:ascii="Arial" w:hAnsi="Arial" w:cs="Arial"/>
                      <w:sz w:val="20"/>
                      <w:szCs w:val="20"/>
                    </w:rPr>
                  </w:pPr>
                  <w:r w:rsidRPr="00AD1F36">
                    <w:rPr>
                      <w:rFonts w:ascii="Arial" w:eastAsia="Arial" w:hAnsi="Arial" w:cs="Arial"/>
                      <w:sz w:val="20"/>
                      <w:szCs w:val="20"/>
                    </w:rPr>
                    <w:t>Signature and date</w:t>
                  </w:r>
                </w:p>
              </w:tc>
              <w:tc>
                <w:tcPr>
                  <w:tcW w:w="6420" w:type="dxa"/>
                  <w:tcBorders>
                    <w:top w:val="dashed" w:sz="4" w:space="0" w:color="000000"/>
                    <w:bottom w:val="dashed" w:sz="4" w:space="0" w:color="000000"/>
                  </w:tcBorders>
                </w:tcPr>
                <w:p w14:paraId="4E05A7FE" w14:textId="77777777" w:rsidR="00AD1F36" w:rsidRPr="00AD1F36" w:rsidRDefault="00AD1F36" w:rsidP="00A74913">
                  <w:pPr>
                    <w:widowControl w:val="0"/>
                    <w:spacing w:before="60" w:after="60"/>
                    <w:ind w:left="142"/>
                    <w:rPr>
                      <w:rFonts w:ascii="Arial" w:hAnsi="Arial" w:cs="Arial"/>
                      <w:sz w:val="20"/>
                      <w:szCs w:val="20"/>
                    </w:rPr>
                  </w:pPr>
                  <w:r w:rsidRPr="00AD1F36">
                    <w:rPr>
                      <w:rFonts w:ascii="Arial" w:hAnsi="Arial" w:cs="Arial"/>
                      <w:noProof/>
                      <w:sz w:val="20"/>
                      <w:szCs w:val="20"/>
                    </w:rPr>
                    <w:drawing>
                      <wp:inline distT="0" distB="0" distL="114300" distR="114300" wp14:anchorId="5D754136" wp14:editId="765391AD">
                        <wp:extent cx="1980338" cy="638175"/>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sidRPr="00AD1F36">
                    <w:rPr>
                      <w:rFonts w:ascii="Arial" w:eastAsia="Arial" w:hAnsi="Arial" w:cs="Arial"/>
                      <w:color w:val="808080"/>
                      <w:sz w:val="20"/>
                      <w:szCs w:val="20"/>
                    </w:rPr>
                    <w:t xml:space="preserve"> </w:t>
                  </w:r>
                </w:p>
              </w:tc>
            </w:tr>
          </w:tbl>
          <w:p w14:paraId="142F5DE4" w14:textId="77777777" w:rsidR="00AD1F36" w:rsidRPr="00AD1F36" w:rsidRDefault="00AD1F36" w:rsidP="00A74913">
            <w:pPr>
              <w:widowControl w:val="0"/>
              <w:spacing w:before="60" w:after="60"/>
              <w:ind w:hanging="720"/>
              <w:rPr>
                <w:rFonts w:ascii="Arial" w:hAnsi="Arial" w:cs="Arial"/>
                <w:sz w:val="20"/>
                <w:szCs w:val="20"/>
              </w:rPr>
            </w:pPr>
          </w:p>
          <w:tbl>
            <w:tblPr>
              <w:tblW w:w="9020" w:type="dxa"/>
              <w:tblLayout w:type="fixed"/>
              <w:tblLook w:val="0000" w:firstRow="0" w:lastRow="0" w:firstColumn="0" w:lastColumn="0" w:noHBand="0" w:noVBand="0"/>
            </w:tblPr>
            <w:tblGrid>
              <w:gridCol w:w="2600"/>
              <w:gridCol w:w="6420"/>
            </w:tblGrid>
            <w:tr w:rsidR="00AD1F36" w:rsidRPr="00AD1F36" w14:paraId="07B3E1E2" w14:textId="77777777" w:rsidTr="00780926">
              <w:tc>
                <w:tcPr>
                  <w:tcW w:w="9020" w:type="dxa"/>
                  <w:gridSpan w:val="2"/>
                </w:tcPr>
                <w:p w14:paraId="7831A461" w14:textId="77777777" w:rsidR="00AD1F36" w:rsidRPr="00AD1F36" w:rsidRDefault="00AD1F36" w:rsidP="00A74913">
                  <w:pPr>
                    <w:widowControl w:val="0"/>
                    <w:spacing w:before="60" w:after="60"/>
                    <w:ind w:left="142"/>
                    <w:rPr>
                      <w:rFonts w:ascii="Arial" w:eastAsia="Arial" w:hAnsi="Arial" w:cs="Arial"/>
                      <w:b/>
                      <w:sz w:val="20"/>
                      <w:szCs w:val="20"/>
                    </w:rPr>
                  </w:pPr>
                </w:p>
                <w:p w14:paraId="237C120E" w14:textId="77777777" w:rsidR="00AD1F36" w:rsidRPr="00AD1F36" w:rsidRDefault="00AD1F36" w:rsidP="00A74913">
                  <w:pPr>
                    <w:widowControl w:val="0"/>
                    <w:spacing w:before="60" w:after="60"/>
                    <w:ind w:left="142"/>
                    <w:rPr>
                      <w:rFonts w:ascii="Arial" w:eastAsia="Arial" w:hAnsi="Arial" w:cs="Arial"/>
                      <w:b/>
                      <w:sz w:val="20"/>
                      <w:szCs w:val="20"/>
                    </w:rPr>
                  </w:pPr>
                  <w:r w:rsidRPr="00AD1F36">
                    <w:rPr>
                      <w:rFonts w:ascii="Arial" w:eastAsia="Arial" w:hAnsi="Arial" w:cs="Arial"/>
                      <w:b/>
                      <w:sz w:val="20"/>
                      <w:szCs w:val="20"/>
                    </w:rPr>
                    <w:t xml:space="preserve">SIGNED: </w:t>
                  </w:r>
                </w:p>
                <w:p w14:paraId="69CD5D74" w14:textId="77777777" w:rsidR="00AD1F36" w:rsidRPr="00AD1F36" w:rsidRDefault="00AD1F36" w:rsidP="00A74913">
                  <w:pPr>
                    <w:widowControl w:val="0"/>
                    <w:spacing w:before="60" w:after="60"/>
                    <w:ind w:left="142"/>
                    <w:rPr>
                      <w:rFonts w:ascii="Arial" w:eastAsia="Arial" w:hAnsi="Arial" w:cs="Arial"/>
                      <w:b/>
                      <w:sz w:val="20"/>
                      <w:szCs w:val="20"/>
                    </w:rPr>
                  </w:pPr>
                </w:p>
                <w:p w14:paraId="06871817" w14:textId="77777777" w:rsidR="00AD1F36" w:rsidRPr="00AD1F36" w:rsidRDefault="00AD1F36" w:rsidP="00A74913">
                  <w:pPr>
                    <w:widowControl w:val="0"/>
                    <w:spacing w:before="60" w:after="60"/>
                    <w:ind w:left="142"/>
                    <w:rPr>
                      <w:rFonts w:ascii="Arial" w:hAnsi="Arial" w:cs="Arial"/>
                      <w:sz w:val="20"/>
                      <w:szCs w:val="20"/>
                    </w:rPr>
                  </w:pPr>
                  <w:r w:rsidRPr="00AD1F36">
                    <w:rPr>
                      <w:rFonts w:ascii="Arial" w:eastAsia="Arial" w:hAnsi="Arial" w:cs="Arial"/>
                      <w:b/>
                      <w:sz w:val="20"/>
                      <w:szCs w:val="20"/>
                    </w:rPr>
                    <w:t>For and on behalf of the Buyer:</w:t>
                  </w:r>
                </w:p>
              </w:tc>
            </w:tr>
            <w:tr w:rsidR="00AD1F36" w:rsidRPr="00AD1F36" w14:paraId="06A6E3B7" w14:textId="77777777" w:rsidTr="00780926">
              <w:tc>
                <w:tcPr>
                  <w:tcW w:w="2600" w:type="dxa"/>
                </w:tcPr>
                <w:p w14:paraId="1AED3F12" w14:textId="77777777" w:rsidR="00AD1F36" w:rsidRPr="00AD1F36" w:rsidRDefault="00AD1F36" w:rsidP="00A74913">
                  <w:pPr>
                    <w:widowControl w:val="0"/>
                    <w:spacing w:before="60" w:after="60"/>
                    <w:ind w:left="142"/>
                    <w:rPr>
                      <w:rFonts w:ascii="Arial" w:hAnsi="Arial" w:cs="Arial"/>
                      <w:sz w:val="20"/>
                      <w:szCs w:val="20"/>
                    </w:rPr>
                  </w:pPr>
                  <w:r w:rsidRPr="00AD1F36">
                    <w:rPr>
                      <w:rFonts w:ascii="Arial" w:eastAsia="Arial" w:hAnsi="Arial" w:cs="Arial"/>
                      <w:sz w:val="20"/>
                      <w:szCs w:val="20"/>
                    </w:rPr>
                    <w:t>Name and title</w:t>
                  </w:r>
                </w:p>
              </w:tc>
              <w:tc>
                <w:tcPr>
                  <w:tcW w:w="6420" w:type="dxa"/>
                  <w:tcBorders>
                    <w:bottom w:val="dashed" w:sz="4" w:space="0" w:color="000000"/>
                  </w:tcBorders>
                </w:tcPr>
                <w:p w14:paraId="1A995036" w14:textId="77777777" w:rsidR="00AD1F36" w:rsidRPr="00AD1F36" w:rsidRDefault="00AD1F36" w:rsidP="00A74913">
                  <w:pPr>
                    <w:widowControl w:val="0"/>
                    <w:spacing w:before="60" w:after="60"/>
                    <w:ind w:left="142"/>
                    <w:rPr>
                      <w:rFonts w:ascii="Arial" w:hAnsi="Arial" w:cs="Arial"/>
                      <w:sz w:val="20"/>
                      <w:szCs w:val="20"/>
                    </w:rPr>
                  </w:pPr>
                </w:p>
              </w:tc>
            </w:tr>
            <w:tr w:rsidR="00AD1F36" w:rsidRPr="00AD1F36" w14:paraId="02AA4A64" w14:textId="77777777" w:rsidTr="00780926">
              <w:tc>
                <w:tcPr>
                  <w:tcW w:w="2600" w:type="dxa"/>
                </w:tcPr>
                <w:p w14:paraId="4B7A8A85" w14:textId="77777777" w:rsidR="00AD1F36" w:rsidRPr="00AD1F36" w:rsidRDefault="00AD1F36" w:rsidP="00A74913">
                  <w:pPr>
                    <w:widowControl w:val="0"/>
                    <w:spacing w:before="60" w:after="60"/>
                    <w:ind w:left="142"/>
                    <w:rPr>
                      <w:rFonts w:ascii="Arial" w:hAnsi="Arial" w:cs="Arial"/>
                      <w:sz w:val="20"/>
                      <w:szCs w:val="20"/>
                    </w:rPr>
                  </w:pPr>
                  <w:r w:rsidRPr="00AD1F36">
                    <w:rPr>
                      <w:rFonts w:ascii="Arial" w:eastAsia="Arial" w:hAnsi="Arial" w:cs="Arial"/>
                      <w:sz w:val="20"/>
                      <w:szCs w:val="20"/>
                    </w:rPr>
                    <w:t>Signature and date</w:t>
                  </w:r>
                </w:p>
              </w:tc>
              <w:tc>
                <w:tcPr>
                  <w:tcW w:w="6420" w:type="dxa"/>
                  <w:tcBorders>
                    <w:bottom w:val="dashed" w:sz="4" w:space="0" w:color="000000"/>
                  </w:tcBorders>
                </w:tcPr>
                <w:p w14:paraId="3720DC25" w14:textId="77777777" w:rsidR="00AD1F36" w:rsidRPr="00AD1F36" w:rsidRDefault="00AD1F36" w:rsidP="00A74913">
                  <w:pPr>
                    <w:widowControl w:val="0"/>
                    <w:spacing w:before="60" w:after="60"/>
                    <w:ind w:left="142"/>
                    <w:rPr>
                      <w:rFonts w:ascii="Arial" w:hAnsi="Arial" w:cs="Arial"/>
                      <w:sz w:val="20"/>
                      <w:szCs w:val="20"/>
                    </w:rPr>
                  </w:pPr>
                  <w:r w:rsidRPr="00AD1F36">
                    <w:rPr>
                      <w:rFonts w:ascii="Arial" w:hAnsi="Arial" w:cs="Arial"/>
                      <w:noProof/>
                      <w:sz w:val="20"/>
                      <w:szCs w:val="20"/>
                    </w:rPr>
                    <w:drawing>
                      <wp:inline distT="0" distB="0" distL="114300" distR="114300" wp14:anchorId="7F088A9C" wp14:editId="05BA911D">
                        <wp:extent cx="1989863" cy="638175"/>
                        <wp:effectExtent l="0" t="0" r="0" b="0"/>
                        <wp:docPr id="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6"/>
                                <a:srcRect/>
                                <a:stretch>
                                  <a:fillRect/>
                                </a:stretch>
                              </pic:blipFill>
                              <pic:spPr>
                                <a:xfrm>
                                  <a:off x="0" y="0"/>
                                  <a:ext cx="1989863" cy="638175"/>
                                </a:xfrm>
                                <a:prstGeom prst="rect">
                                  <a:avLst/>
                                </a:prstGeom>
                                <a:ln/>
                              </pic:spPr>
                            </pic:pic>
                          </a:graphicData>
                        </a:graphic>
                      </wp:inline>
                    </w:drawing>
                  </w:r>
                  <w:r w:rsidRPr="00AD1F36">
                    <w:rPr>
                      <w:rFonts w:ascii="Arial" w:eastAsia="Arial" w:hAnsi="Arial" w:cs="Arial"/>
                      <w:sz w:val="20"/>
                      <w:szCs w:val="20"/>
                    </w:rPr>
                    <w:t xml:space="preserve"> </w:t>
                  </w:r>
                </w:p>
              </w:tc>
            </w:tr>
          </w:tbl>
          <w:p w14:paraId="59F494BA" w14:textId="77777777" w:rsidR="00AD1F36" w:rsidRPr="00AD1F36" w:rsidRDefault="00AD1F36" w:rsidP="00A74913">
            <w:pPr>
              <w:pStyle w:val="HFRGuidanceNotes"/>
              <w:jc w:val="both"/>
              <w:rPr>
                <w:rFonts w:ascii="Arial" w:hAnsi="Arial" w:cs="Arial"/>
                <w:sz w:val="20"/>
              </w:rPr>
            </w:pPr>
          </w:p>
          <w:p w14:paraId="16FA7878" w14:textId="77777777" w:rsidR="00AD1F36" w:rsidRDefault="00AD1F36" w:rsidP="00A74913">
            <w:pPr>
              <w:pStyle w:val="HFRGuidanceNotes"/>
              <w:jc w:val="both"/>
              <w:rPr>
                <w:rFonts w:ascii="Arial" w:eastAsia="Arial" w:hAnsi="Arial" w:cs="Arial"/>
                <w:sz w:val="20"/>
              </w:rPr>
            </w:pPr>
            <w:r w:rsidRPr="00AD1F36">
              <w:rPr>
                <w:rFonts w:ascii="Arial" w:eastAsia="Arial" w:hAnsi="Arial" w:cs="Arial"/>
                <w:sz w:val="20"/>
              </w:rPr>
              <w:t>If the value of the first SOW is lower than the Overall Call-Off Contract value (as detailed in the Contract terms), and subsequent SOW(s) are required to ensure the Services are delivered, they must be raised and signed by the Buyer and the Supplier, with a copy sent by the Supplier to CCS for its records.</w:t>
            </w:r>
          </w:p>
          <w:p w14:paraId="21EC565B" w14:textId="77777777" w:rsidR="00EC24DA" w:rsidRDefault="00EC24DA" w:rsidP="00A74913">
            <w:pPr>
              <w:pStyle w:val="HFRGuidanceNotes"/>
              <w:jc w:val="both"/>
              <w:rPr>
                <w:rFonts w:ascii="Arial" w:hAnsi="Arial" w:cs="Arial"/>
                <w:sz w:val="20"/>
              </w:rPr>
            </w:pPr>
          </w:p>
          <w:p w14:paraId="02B9B4D5" w14:textId="77777777" w:rsidR="0094443A" w:rsidRPr="00AD1F36" w:rsidRDefault="00EC24DA" w:rsidP="00A74913">
            <w:pPr>
              <w:pStyle w:val="HFRGuidanceNotes"/>
              <w:jc w:val="both"/>
              <w:rPr>
                <w:rFonts w:ascii="Arial" w:hAnsi="Arial" w:cs="Arial"/>
                <w:sz w:val="20"/>
              </w:rPr>
            </w:pPr>
            <w:r w:rsidRPr="00EC24DA">
              <w:rPr>
                <w:rFonts w:ascii="Arial" w:hAnsi="Arial" w:cs="Arial"/>
                <w:sz w:val="20"/>
              </w:rPr>
              <w:t>The Buyer may raise a contract change note (CCN) extending the Service beyond the original agreed term and scope.</w:t>
            </w:r>
          </w:p>
          <w:p w14:paraId="295B05B4" w14:textId="77777777" w:rsidR="00AD1F36" w:rsidRPr="00AD1F36" w:rsidRDefault="00AD1F36" w:rsidP="00A74913">
            <w:pPr>
              <w:widowControl w:val="0"/>
              <w:spacing w:before="60" w:after="60"/>
              <w:rPr>
                <w:rFonts w:ascii="Arial" w:hAnsi="Arial" w:cs="Arial"/>
                <w:sz w:val="20"/>
                <w:szCs w:val="20"/>
              </w:rPr>
            </w:pPr>
          </w:p>
        </w:tc>
      </w:tr>
    </w:tbl>
    <w:p w14:paraId="0C50265D" w14:textId="257B4542" w:rsidR="0096487F" w:rsidRDefault="0096487F" w:rsidP="00833254">
      <w:pPr>
        <w:rPr>
          <w:rFonts w:ascii="Arial" w:hAnsi="Arial" w:cs="Arial"/>
          <w:sz w:val="20"/>
          <w:szCs w:val="20"/>
        </w:rPr>
      </w:pPr>
    </w:p>
    <w:p w14:paraId="051CBC2A" w14:textId="77777777" w:rsidR="0096487F" w:rsidRDefault="0096487F">
      <w:pPr>
        <w:rPr>
          <w:rFonts w:ascii="Arial" w:hAnsi="Arial" w:cs="Arial"/>
          <w:sz w:val="20"/>
          <w:szCs w:val="20"/>
        </w:rPr>
      </w:pPr>
      <w:r>
        <w:rPr>
          <w:rFonts w:ascii="Arial" w:hAnsi="Arial" w:cs="Arial"/>
          <w:sz w:val="20"/>
          <w:szCs w:val="20"/>
        </w:rPr>
        <w:br w:type="page"/>
      </w:r>
    </w:p>
    <w:p w14:paraId="2D8369B6" w14:textId="77777777" w:rsidR="00325C1B" w:rsidRPr="00AD1F36" w:rsidRDefault="00325C1B" w:rsidP="00833254">
      <w:pPr>
        <w:rPr>
          <w:rFonts w:ascii="Arial" w:hAnsi="Arial" w:cs="Arial"/>
          <w:sz w:val="20"/>
          <w:szCs w:val="20"/>
        </w:rPr>
      </w:pPr>
    </w:p>
    <w:p w14:paraId="79DC674B" w14:textId="77777777" w:rsidR="00AD1F36" w:rsidRPr="00AD1F36" w:rsidRDefault="00AD1F36" w:rsidP="00A74913">
      <w:pPr>
        <w:widowControl w:val="0"/>
        <w:spacing w:before="60"/>
        <w:jc w:val="center"/>
        <w:rPr>
          <w:rFonts w:ascii="Arial" w:hAnsi="Arial" w:cs="Arial"/>
          <w:b/>
          <w:sz w:val="20"/>
          <w:szCs w:val="20"/>
        </w:rPr>
      </w:pPr>
      <w:r w:rsidRPr="00AD1F36">
        <w:rPr>
          <w:rFonts w:ascii="Arial" w:hAnsi="Arial" w:cs="Arial"/>
          <w:b/>
          <w:sz w:val="20"/>
          <w:szCs w:val="20"/>
        </w:rPr>
        <w:t xml:space="preserve">ANNEX </w:t>
      </w:r>
      <w:r w:rsidR="00D07A5A">
        <w:rPr>
          <w:rFonts w:ascii="Arial" w:hAnsi="Arial" w:cs="Arial"/>
          <w:b/>
          <w:sz w:val="20"/>
          <w:szCs w:val="20"/>
        </w:rPr>
        <w:t>1</w:t>
      </w:r>
    </w:p>
    <w:p w14:paraId="17739A37" w14:textId="77777777" w:rsidR="00AD1F36" w:rsidRPr="00AD1F36" w:rsidRDefault="00AD1F36" w:rsidP="00A74913">
      <w:pPr>
        <w:widowControl w:val="0"/>
        <w:spacing w:before="60"/>
        <w:jc w:val="center"/>
        <w:rPr>
          <w:rFonts w:ascii="Arial" w:hAnsi="Arial" w:cs="Arial"/>
          <w:b/>
          <w:sz w:val="20"/>
          <w:szCs w:val="20"/>
        </w:rPr>
      </w:pPr>
      <w:r w:rsidRPr="00AD1F36">
        <w:rPr>
          <w:rFonts w:ascii="Arial" w:hAnsi="Arial" w:cs="Arial"/>
          <w:b/>
          <w:sz w:val="20"/>
          <w:szCs w:val="20"/>
        </w:rPr>
        <w:t xml:space="preserve">Finance Model </w:t>
      </w:r>
    </w:p>
    <w:p w14:paraId="48EFEE19" w14:textId="77777777" w:rsidR="00AD1F36" w:rsidRPr="00AD1F36" w:rsidRDefault="00AD1F36" w:rsidP="00A74913">
      <w:pPr>
        <w:widowControl w:val="0"/>
        <w:spacing w:before="60"/>
        <w:jc w:val="center"/>
        <w:rPr>
          <w:rFonts w:ascii="Arial" w:hAnsi="Arial" w:cs="Arial"/>
          <w:b/>
          <w:sz w:val="20"/>
          <w:szCs w:val="20"/>
        </w:rPr>
      </w:pPr>
    </w:p>
    <w:p w14:paraId="378DFED0" w14:textId="4B00ABC8" w:rsidR="001E73A5" w:rsidRDefault="00AD1F36" w:rsidP="00325C1B">
      <w:pPr>
        <w:widowControl w:val="0"/>
        <w:jc w:val="center"/>
        <w:rPr>
          <w:rFonts w:ascii="Arial" w:eastAsia="Arial" w:hAnsi="Arial" w:cs="Arial"/>
          <w:i/>
          <w:sz w:val="20"/>
          <w:szCs w:val="20"/>
          <w:highlight w:val="yellow"/>
        </w:rPr>
      </w:pPr>
      <w:r w:rsidRPr="00AD1F36">
        <w:rPr>
          <w:rFonts w:ascii="Arial" w:hAnsi="Arial" w:cs="Arial"/>
          <w:b/>
          <w:sz w:val="20"/>
          <w:szCs w:val="20"/>
          <w:highlight w:val="yellow"/>
        </w:rPr>
        <w:t>[DN - Supplier to insert finance model]</w:t>
      </w:r>
      <w:r w:rsidRPr="00AD1F36">
        <w:rPr>
          <w:rFonts w:ascii="Arial" w:eastAsia="Arial" w:hAnsi="Arial" w:cs="Arial"/>
          <w:i/>
          <w:sz w:val="20"/>
          <w:szCs w:val="20"/>
          <w:highlight w:val="yellow"/>
        </w:rPr>
        <w:t xml:space="preserve"> </w:t>
      </w:r>
    </w:p>
    <w:bookmarkEnd w:id="0"/>
    <w:p w14:paraId="73CAF2FE" w14:textId="7AF59003" w:rsidR="0096487F" w:rsidRDefault="0096487F">
      <w:pPr>
        <w:rPr>
          <w:rFonts w:ascii="Arial" w:hAnsi="Arial" w:cs="Arial"/>
          <w:b/>
          <w:sz w:val="20"/>
          <w:szCs w:val="20"/>
        </w:rPr>
      </w:pPr>
    </w:p>
    <w:sectPr w:rsidR="0096487F" w:rsidSect="00B26006">
      <w:footerReference w:type="default" r:id="rId17"/>
      <w:type w:val="continuous"/>
      <w:pgSz w:w="11900" w:h="16840"/>
      <w:pgMar w:top="720" w:right="1133" w:bottom="993" w:left="1133" w:header="720" w:footer="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634AF" w14:textId="77777777" w:rsidR="00103D13" w:rsidRDefault="00103D13">
      <w:pPr>
        <w:spacing w:after="0" w:line="240" w:lineRule="auto"/>
      </w:pPr>
      <w:r>
        <w:separator/>
      </w:r>
    </w:p>
    <w:p w14:paraId="38CFE44F" w14:textId="77777777" w:rsidR="00103D13" w:rsidRDefault="00103D13"/>
  </w:endnote>
  <w:endnote w:type="continuationSeparator" w:id="0">
    <w:p w14:paraId="502C0F47" w14:textId="77777777" w:rsidR="00103D13" w:rsidRDefault="00103D13">
      <w:pPr>
        <w:spacing w:after="0" w:line="240" w:lineRule="auto"/>
      </w:pPr>
      <w:r>
        <w:continuationSeparator/>
      </w:r>
    </w:p>
    <w:p w14:paraId="4552F966" w14:textId="77777777" w:rsidR="00103D13" w:rsidRDefault="00103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E79D" w14:textId="77777777" w:rsidR="005069B9" w:rsidRDefault="005069B9">
    <w:pPr>
      <w:pStyle w:val="Footer"/>
      <w:rPr>
        <w:rFonts w:ascii="Arial" w:hAnsi="Arial" w:cs="Arial"/>
        <w:sz w:val="16"/>
        <w:szCs w:val="16"/>
      </w:rPr>
    </w:pPr>
  </w:p>
  <w:p w14:paraId="68773E4F" w14:textId="77777777" w:rsidR="005069B9" w:rsidRDefault="005069B9">
    <w:pPr>
      <w:pStyle w:val="Footer"/>
      <w:rPr>
        <w:rFonts w:ascii="Arial" w:hAnsi="Arial" w:cs="Arial"/>
        <w:sz w:val="16"/>
        <w:szCs w:val="16"/>
      </w:rPr>
    </w:pPr>
  </w:p>
  <w:p w14:paraId="419E5974" w14:textId="60C44B18" w:rsidR="005069B9" w:rsidRDefault="005069B9">
    <w:pPr>
      <w:pStyle w:val="Footer"/>
      <w:rPr>
        <w:rFonts w:ascii="Arial" w:hAnsi="Arial" w:cs="Arial"/>
        <w:sz w:val="16"/>
        <w:szCs w:val="16"/>
      </w:rPr>
    </w:pPr>
    <w:r>
      <w:rPr>
        <w:rFonts w:ascii="Arial" w:hAnsi="Arial" w:cs="Arial"/>
        <w:sz w:val="16"/>
        <w:szCs w:val="16"/>
      </w:rPr>
      <w:t xml:space="preserve">Version </w:t>
    </w:r>
    <w:r w:rsidR="000524F9">
      <w:rPr>
        <w:rFonts w:ascii="Arial" w:hAnsi="Arial" w:cs="Arial"/>
        <w:sz w:val="16"/>
        <w:szCs w:val="16"/>
      </w:rPr>
      <w:t>4</w:t>
    </w:r>
  </w:p>
  <w:p w14:paraId="72DAA189" w14:textId="197722D3" w:rsidR="005069B9" w:rsidRDefault="000524F9">
    <w:pPr>
      <w:pStyle w:val="Footer"/>
      <w:rPr>
        <w:rFonts w:ascii="Arial" w:hAnsi="Arial" w:cs="Arial"/>
        <w:sz w:val="16"/>
        <w:szCs w:val="16"/>
      </w:rPr>
    </w:pPr>
    <w:r>
      <w:rPr>
        <w:rFonts w:ascii="Arial" w:hAnsi="Arial" w:cs="Arial"/>
        <w:sz w:val="16"/>
        <w:szCs w:val="16"/>
      </w:rPr>
      <w:t>May</w:t>
    </w:r>
    <w:r w:rsidR="005069B9">
      <w:rPr>
        <w:rFonts w:ascii="Arial" w:hAnsi="Arial" w:cs="Arial"/>
        <w:sz w:val="16"/>
        <w:szCs w:val="16"/>
      </w:rPr>
      <w:t xml:space="preserve"> 2018</w:t>
    </w:r>
  </w:p>
  <w:p w14:paraId="48740246" w14:textId="77777777" w:rsidR="005069B9" w:rsidRPr="004E02CF" w:rsidRDefault="005069B9" w:rsidP="004E02CF">
    <w:pPr>
      <w:pStyle w:val="Footer"/>
      <w:jc w:val="right"/>
      <w:rPr>
        <w:rFonts w:ascii="Arial" w:hAnsi="Arial" w:cs="Arial"/>
        <w:sz w:val="16"/>
        <w:szCs w:val="16"/>
      </w:rPr>
    </w:pPr>
    <w:r w:rsidRPr="004E02CF">
      <w:rPr>
        <w:rFonts w:ascii="Arial" w:hAnsi="Arial" w:cs="Arial"/>
        <w:sz w:val="16"/>
        <w:szCs w:val="16"/>
      </w:rPr>
      <w:t xml:space="preserve">Page </w:t>
    </w:r>
    <w:r w:rsidRPr="004E02CF">
      <w:rPr>
        <w:rFonts w:ascii="Arial" w:hAnsi="Arial" w:cs="Arial"/>
        <w:b/>
        <w:sz w:val="16"/>
        <w:szCs w:val="16"/>
      </w:rPr>
      <w:fldChar w:fldCharType="begin"/>
    </w:r>
    <w:r w:rsidRPr="004E02CF">
      <w:rPr>
        <w:rFonts w:ascii="Arial" w:hAnsi="Arial" w:cs="Arial"/>
        <w:b/>
        <w:sz w:val="16"/>
        <w:szCs w:val="16"/>
      </w:rPr>
      <w:instrText xml:space="preserve"> PAGE  \* Arabic  \* MERGEFORMAT </w:instrText>
    </w:r>
    <w:r w:rsidRPr="004E02CF">
      <w:rPr>
        <w:rFonts w:ascii="Arial" w:hAnsi="Arial" w:cs="Arial"/>
        <w:b/>
        <w:sz w:val="16"/>
        <w:szCs w:val="16"/>
      </w:rPr>
      <w:fldChar w:fldCharType="separate"/>
    </w:r>
    <w:r>
      <w:rPr>
        <w:rFonts w:ascii="Arial" w:hAnsi="Arial" w:cs="Arial"/>
        <w:b/>
        <w:noProof/>
        <w:sz w:val="16"/>
        <w:szCs w:val="16"/>
      </w:rPr>
      <w:t>2</w:t>
    </w:r>
    <w:r w:rsidRPr="004E02CF">
      <w:rPr>
        <w:rFonts w:ascii="Arial" w:hAnsi="Arial" w:cs="Arial"/>
        <w:b/>
        <w:sz w:val="16"/>
        <w:szCs w:val="16"/>
      </w:rPr>
      <w:fldChar w:fldCharType="end"/>
    </w:r>
    <w:r w:rsidRPr="004E02CF">
      <w:rPr>
        <w:rFonts w:ascii="Arial" w:hAnsi="Arial" w:cs="Arial"/>
        <w:sz w:val="16"/>
        <w:szCs w:val="16"/>
      </w:rPr>
      <w:t xml:space="preserve"> of </w:t>
    </w:r>
    <w:r w:rsidRPr="004E02CF">
      <w:rPr>
        <w:rFonts w:ascii="Arial" w:hAnsi="Arial" w:cs="Arial"/>
        <w:b/>
        <w:sz w:val="16"/>
        <w:szCs w:val="16"/>
      </w:rPr>
      <w:fldChar w:fldCharType="begin"/>
    </w:r>
    <w:r w:rsidRPr="004E02CF">
      <w:rPr>
        <w:rFonts w:ascii="Arial" w:hAnsi="Arial" w:cs="Arial"/>
        <w:b/>
        <w:sz w:val="16"/>
        <w:szCs w:val="16"/>
      </w:rPr>
      <w:instrText xml:space="preserve"> NUMPAGES  \* Arabic  \* MERGEFORMAT </w:instrText>
    </w:r>
    <w:r w:rsidRPr="004E02CF">
      <w:rPr>
        <w:rFonts w:ascii="Arial" w:hAnsi="Arial" w:cs="Arial"/>
        <w:b/>
        <w:sz w:val="16"/>
        <w:szCs w:val="16"/>
      </w:rPr>
      <w:fldChar w:fldCharType="separate"/>
    </w:r>
    <w:r>
      <w:rPr>
        <w:rFonts w:ascii="Arial" w:hAnsi="Arial" w:cs="Arial"/>
        <w:b/>
        <w:noProof/>
        <w:sz w:val="16"/>
        <w:szCs w:val="16"/>
      </w:rPr>
      <w:t>12</w:t>
    </w:r>
    <w:r w:rsidRPr="004E02CF">
      <w:rPr>
        <w:rFonts w:ascii="Arial" w:hAnsi="Arial" w:cs="Arial"/>
        <w:b/>
        <w:sz w:val="16"/>
        <w:szCs w:val="16"/>
      </w:rPr>
      <w:fldChar w:fldCharType="end"/>
    </w:r>
  </w:p>
  <w:p w14:paraId="25881ADD" w14:textId="77777777" w:rsidR="005069B9" w:rsidRDefault="005069B9"/>
  <w:p w14:paraId="717B452F" w14:textId="77777777" w:rsidR="005069B9" w:rsidRDefault="005069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BA190" w14:textId="77777777" w:rsidR="00103D13" w:rsidRDefault="00103D13">
      <w:pPr>
        <w:spacing w:after="0" w:line="240" w:lineRule="auto"/>
      </w:pPr>
      <w:r>
        <w:separator/>
      </w:r>
    </w:p>
    <w:p w14:paraId="0201DF18" w14:textId="77777777" w:rsidR="00103D13" w:rsidRDefault="00103D13"/>
  </w:footnote>
  <w:footnote w:type="continuationSeparator" w:id="0">
    <w:p w14:paraId="2EC2611A" w14:textId="77777777" w:rsidR="00103D13" w:rsidRDefault="00103D13">
      <w:pPr>
        <w:spacing w:after="0" w:line="240" w:lineRule="auto"/>
      </w:pPr>
      <w:r>
        <w:continuationSeparator/>
      </w:r>
    </w:p>
    <w:p w14:paraId="7213F1B7" w14:textId="77777777" w:rsidR="00103D13" w:rsidRDefault="00103D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5FCE"/>
    <w:multiLevelType w:val="multilevel"/>
    <w:tmpl w:val="E4DC6B04"/>
    <w:lvl w:ilvl="0">
      <w:start w:val="1"/>
      <w:numFmt w:val="decimal"/>
      <w:pStyle w:val="H1S1A"/>
      <w:lvlText w:val="%1"/>
      <w:lvlJc w:val="left"/>
      <w:pPr>
        <w:ind w:left="432" w:hanging="432"/>
      </w:pPr>
      <w:rPr>
        <w:rFonts w:hint="default"/>
      </w:rPr>
    </w:lvl>
    <w:lvl w:ilvl="1">
      <w:start w:val="1"/>
      <w:numFmt w:val="decimal"/>
      <w:pStyle w:val="H2S1A"/>
      <w:isLgl/>
      <w:lvlText w:val="%1.%2"/>
      <w:lvlJc w:val="left"/>
      <w:pPr>
        <w:ind w:left="576" w:hanging="576"/>
      </w:pPr>
      <w:rPr>
        <w:rFonts w:hint="default"/>
      </w:rPr>
    </w:lvl>
    <w:lvl w:ilvl="2">
      <w:start w:val="1"/>
      <w:numFmt w:val="decimal"/>
      <w:pStyle w:val="H3S1A"/>
      <w:lvlText w:val="%1.%2.%3"/>
      <w:lvlJc w:val="left"/>
      <w:pPr>
        <w:ind w:left="720" w:hanging="720"/>
      </w:pPr>
      <w:rPr>
        <w:rFonts w:hint="default"/>
      </w:rPr>
    </w:lvl>
    <w:lvl w:ilvl="3">
      <w:start w:val="1"/>
      <w:numFmt w:val="decimal"/>
      <w:lvlText w:val="%1.%2.%3.%4"/>
      <w:lvlJc w:val="left"/>
      <w:pPr>
        <w:ind w:left="228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E45C9D"/>
    <w:multiLevelType w:val="multilevel"/>
    <w:tmpl w:val="5678C5E6"/>
    <w:lvl w:ilvl="0">
      <w:start w:val="1"/>
      <w:numFmt w:val="decimal"/>
      <w:pStyle w:val="H1S1G"/>
      <w:lvlText w:val="%1"/>
      <w:lvlJc w:val="left"/>
      <w:pPr>
        <w:ind w:left="432" w:hanging="432"/>
      </w:pPr>
    </w:lvl>
    <w:lvl w:ilvl="1">
      <w:start w:val="1"/>
      <w:numFmt w:val="decimal"/>
      <w:pStyle w:val="H2S1G"/>
      <w:lvlText w:val="%1.%2"/>
      <w:lvlJc w:val="left"/>
      <w:pPr>
        <w:ind w:left="576" w:hanging="576"/>
      </w:pPr>
    </w:lvl>
    <w:lvl w:ilvl="2">
      <w:start w:val="1"/>
      <w:numFmt w:val="decimal"/>
      <w:pStyle w:val="H3S1G"/>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F3A6242"/>
    <w:multiLevelType w:val="multilevel"/>
    <w:tmpl w:val="C24EB95C"/>
    <w:lvl w:ilvl="0">
      <w:start w:val="1"/>
      <w:numFmt w:val="decimal"/>
      <w:pStyle w:val="H1S8PC"/>
      <w:lvlText w:val="%1"/>
      <w:lvlJc w:val="left"/>
      <w:pPr>
        <w:ind w:left="432" w:hanging="432"/>
      </w:pPr>
      <w:rPr>
        <w:rFonts w:hint="default"/>
      </w:rPr>
    </w:lvl>
    <w:lvl w:ilvl="1">
      <w:start w:val="1"/>
      <w:numFmt w:val="decimal"/>
      <w:pStyle w:val="H2S8PC"/>
      <w:lvlText w:val="%1.%2"/>
      <w:lvlJc w:val="left"/>
      <w:pPr>
        <w:ind w:left="576" w:hanging="576"/>
      </w:pPr>
      <w:rPr>
        <w:rFonts w:hint="default"/>
      </w:rPr>
    </w:lvl>
    <w:lvl w:ilvl="2">
      <w:start w:val="1"/>
      <w:numFmt w:val="decimal"/>
      <w:pStyle w:val="H3S8PC"/>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5)"/>
      <w:lvlJc w:val="left"/>
      <w:pPr>
        <w:ind w:left="1717" w:hanging="1008"/>
      </w:pPr>
      <w:rPr>
        <w:rFonts w:ascii="Arial" w:eastAsiaTheme="minorEastAsia" w:hAnsi="Arial" w:cs="Arial"/>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5586A94"/>
    <w:multiLevelType w:val="hybridMultilevel"/>
    <w:tmpl w:val="0BB69D3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15:restartNumberingAfterBreak="0">
    <w:nsid w:val="29F83EE9"/>
    <w:multiLevelType w:val="hybridMultilevel"/>
    <w:tmpl w:val="9F74A2F6"/>
    <w:lvl w:ilvl="0" w:tplc="460C8BF0">
      <w:start w:val="1"/>
      <w:numFmt w:val="bullet"/>
      <w:pStyle w:val="bulletS8PC"/>
      <w:lvlText w:val=""/>
      <w:lvlJc w:val="left"/>
      <w:pPr>
        <w:ind w:left="720" w:hanging="360"/>
      </w:pPr>
      <w:rPr>
        <w:rFonts w:ascii="Symbol" w:hAnsi="Symbol" w:hint="default"/>
      </w:rPr>
    </w:lvl>
    <w:lvl w:ilvl="1" w:tplc="E3887202">
      <w:start w:val="1"/>
      <w:numFmt w:val="bullet"/>
      <w:pStyle w:val="bulletindentS8PC"/>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960C8"/>
    <w:multiLevelType w:val="multilevel"/>
    <w:tmpl w:val="2530F0D0"/>
    <w:name w:val="Plato Schedule Numbering List"/>
    <w:lvl w:ilvl="0">
      <w:start w:val="1"/>
      <w:numFmt w:val="decimal"/>
      <w:pStyle w:val="ScheduleL1"/>
      <w:lvlText w:val="%1."/>
      <w:lvlJc w:val="left"/>
      <w:pPr>
        <w:tabs>
          <w:tab w:val="num" w:pos="720"/>
        </w:tabs>
        <w:ind w:left="720" w:hanging="720"/>
      </w:pPr>
      <w:rPr>
        <w:b/>
        <w:i w:val="0"/>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2ABB05B9"/>
    <w:multiLevelType w:val="hybridMultilevel"/>
    <w:tmpl w:val="0D1437CC"/>
    <w:lvl w:ilvl="0" w:tplc="08090001">
      <w:start w:val="1"/>
      <w:numFmt w:val="bullet"/>
      <w:lvlText w:val=""/>
      <w:lvlJc w:val="left"/>
      <w:pPr>
        <w:ind w:left="2138" w:hanging="360"/>
      </w:pPr>
      <w:rPr>
        <w:rFonts w:ascii="Symbol" w:hAnsi="Symbol" w:hint="default"/>
      </w:rPr>
    </w:lvl>
    <w:lvl w:ilvl="1" w:tplc="D1C62E60">
      <w:numFmt w:val="bullet"/>
      <w:lvlText w:val="-"/>
      <w:lvlJc w:val="left"/>
      <w:pPr>
        <w:ind w:left="2858" w:hanging="360"/>
      </w:pPr>
      <w:rPr>
        <w:rFonts w:ascii="Arial" w:eastAsia="Arial" w:hAnsi="Arial" w:cs="Arial"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337D02E5"/>
    <w:multiLevelType w:val="multilevel"/>
    <w:tmpl w:val="A234269A"/>
    <w:lvl w:ilvl="0">
      <w:start w:val="1"/>
      <w:numFmt w:val="decimal"/>
      <w:pStyle w:val="H1S1D"/>
      <w:lvlText w:val="%1"/>
      <w:lvlJc w:val="left"/>
      <w:pPr>
        <w:ind w:left="432" w:hanging="432"/>
      </w:pPr>
      <w:rPr>
        <w:rFonts w:hint="default"/>
      </w:rPr>
    </w:lvl>
    <w:lvl w:ilvl="1">
      <w:start w:val="1"/>
      <w:numFmt w:val="decimal"/>
      <w:pStyle w:val="H2S1D"/>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52A4308"/>
    <w:multiLevelType w:val="hybridMultilevel"/>
    <w:tmpl w:val="C77EB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EA40A6"/>
    <w:multiLevelType w:val="multilevel"/>
    <w:tmpl w:val="3D623A2C"/>
    <w:lvl w:ilvl="0">
      <w:start w:val="1"/>
      <w:numFmt w:val="decimal"/>
      <w:pStyle w:val="H1S1C"/>
      <w:isLgl/>
      <w:lvlText w:val="%1"/>
      <w:lvlJc w:val="left"/>
      <w:pPr>
        <w:ind w:left="432" w:hanging="432"/>
      </w:pPr>
      <w:rPr>
        <w:rFonts w:hint="default"/>
      </w:rPr>
    </w:lvl>
    <w:lvl w:ilvl="1">
      <w:start w:val="1"/>
      <w:numFmt w:val="decimal"/>
      <w:pStyle w:val="H2S1C"/>
      <w:lvlText w:val="%1.%2"/>
      <w:lvlJc w:val="left"/>
      <w:pPr>
        <w:ind w:left="576" w:hanging="576"/>
      </w:pPr>
      <w:rPr>
        <w:rFonts w:hint="default"/>
      </w:rPr>
    </w:lvl>
    <w:lvl w:ilvl="2">
      <w:start w:val="1"/>
      <w:numFmt w:val="decimal"/>
      <w:pStyle w:val="H3S1C"/>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28C460E"/>
    <w:multiLevelType w:val="hybridMultilevel"/>
    <w:tmpl w:val="F7041D66"/>
    <w:lvl w:ilvl="0" w:tplc="39EEDA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D4B9A"/>
    <w:multiLevelType w:val="multilevel"/>
    <w:tmpl w:val="53A8E092"/>
    <w:lvl w:ilvl="0">
      <w:start w:val="1"/>
      <w:numFmt w:val="decimal"/>
      <w:pStyle w:val="A1-Lev1Clause"/>
      <w:lvlText w:val="%1."/>
      <w:lvlJc w:val="left"/>
      <w:pPr>
        <w:tabs>
          <w:tab w:val="num" w:pos="862"/>
        </w:tabs>
        <w:ind w:left="862" w:hanging="720"/>
      </w:pPr>
      <w:rPr>
        <w:rFonts w:ascii="Trebuchet MS" w:eastAsia="Times New Roman" w:hAnsi="Trebuchet MS" w:cs="Times New Roman"/>
        <w:caps w:val="0"/>
        <w:effect w:val="none"/>
      </w:rPr>
    </w:lvl>
    <w:lvl w:ilvl="1">
      <w:start w:val="1"/>
      <w:numFmt w:val="decimal"/>
      <w:lvlText w:val="%1.%2"/>
      <w:lvlJc w:val="left"/>
      <w:pPr>
        <w:tabs>
          <w:tab w:val="num" w:pos="810"/>
        </w:tabs>
        <w:ind w:left="810" w:hanging="720"/>
      </w:pPr>
      <w:rPr>
        <w:rFonts w:hint="default"/>
        <w:b w:val="0"/>
        <w:caps w:val="0"/>
        <w:effect w:val="none"/>
      </w:rPr>
    </w:lvl>
    <w:lvl w:ilvl="2">
      <w:start w:val="1"/>
      <w:numFmt w:val="decimal"/>
      <w:lvlText w:val="%1.%2.%3"/>
      <w:lvlJc w:val="left"/>
      <w:pPr>
        <w:tabs>
          <w:tab w:val="num" w:pos="1800"/>
        </w:tabs>
        <w:ind w:left="1800" w:hanging="1080"/>
      </w:pPr>
      <w:rPr>
        <w:rFonts w:cs="Times New Roman" w:hint="default"/>
        <w:b w:val="0"/>
        <w:bCs w:val="0"/>
        <w:i w:val="0"/>
        <w:iCs w:val="0"/>
        <w:smallCaps w:val="0"/>
        <w:strike w:val="0"/>
        <w:dstrike w:val="0"/>
        <w:noProof w:val="0"/>
        <w:vanish w:val="0"/>
        <w:color w:val="00000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2988"/>
        </w:tabs>
        <w:ind w:left="2988"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4A153CC8"/>
    <w:multiLevelType w:val="multilevel"/>
    <w:tmpl w:val="77CE8E56"/>
    <w:lvl w:ilvl="0">
      <w:start w:val="1"/>
      <w:numFmt w:val="decimal"/>
      <w:pStyle w:val="H1S1"/>
      <w:lvlText w:val="%1"/>
      <w:lvlJc w:val="left"/>
      <w:pPr>
        <w:ind w:left="432" w:hanging="432"/>
      </w:pPr>
      <w:rPr>
        <w:rFonts w:hint="default"/>
      </w:rPr>
    </w:lvl>
    <w:lvl w:ilvl="1">
      <w:start w:val="1"/>
      <w:numFmt w:val="decimal"/>
      <w:pStyle w:val="H2S1"/>
      <w:lvlText w:val="%1.%2"/>
      <w:lvlJc w:val="left"/>
      <w:pPr>
        <w:ind w:left="576" w:hanging="576"/>
      </w:pPr>
      <w:rPr>
        <w:rFonts w:hint="default"/>
      </w:rPr>
    </w:lvl>
    <w:lvl w:ilvl="2">
      <w:start w:val="1"/>
      <w:numFmt w:val="decimal"/>
      <w:pStyle w:val="H3S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A376A8D"/>
    <w:multiLevelType w:val="multilevel"/>
    <w:tmpl w:val="52C48EC4"/>
    <w:lvl w:ilvl="0">
      <w:start w:val="1"/>
      <w:numFmt w:val="decimal"/>
      <w:lvlRestart w:val="0"/>
      <w:pStyle w:val="SchHead"/>
      <w:suff w:val="space"/>
      <w:lvlText w:val="SCHEDULE %1: "/>
      <w:lvlJc w:val="left"/>
      <w:pPr>
        <w:ind w:left="0" w:firstLine="0"/>
      </w:pPr>
      <w:rPr>
        <w:rFonts w:ascii="Arial" w:hAnsi="Arial" w:cs="Arial" w:hint="default"/>
        <w:caps w:val="0"/>
        <w:sz w:val="20"/>
        <w:effect w:val="none"/>
      </w:rPr>
    </w:lvl>
    <w:lvl w:ilvl="1">
      <w:start w:val="1"/>
      <w:numFmt w:val="decimal"/>
      <w:pStyle w:val="SchPart"/>
      <w:suff w:val="space"/>
      <w:lvlText w:val="Part %2: "/>
      <w:lvlJc w:val="left"/>
      <w:pPr>
        <w:ind w:left="0"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D195591"/>
    <w:multiLevelType w:val="multilevel"/>
    <w:tmpl w:val="1804C580"/>
    <w:lvl w:ilvl="0">
      <w:start w:val="1"/>
      <w:numFmt w:val="decimal"/>
      <w:pStyle w:val="H1S1F"/>
      <w:lvlText w:val="%1"/>
      <w:lvlJc w:val="left"/>
      <w:pPr>
        <w:ind w:left="432" w:hanging="432"/>
      </w:pPr>
      <w:rPr>
        <w:rFonts w:hint="default"/>
      </w:rPr>
    </w:lvl>
    <w:lvl w:ilvl="1">
      <w:start w:val="1"/>
      <w:numFmt w:val="decimal"/>
      <w:pStyle w:val="H2S1F"/>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2FC1CEB"/>
    <w:multiLevelType w:val="hybridMultilevel"/>
    <w:tmpl w:val="CC94D7EE"/>
    <w:lvl w:ilvl="0" w:tplc="7C2887A8">
      <w:start w:val="1"/>
      <w:numFmt w:val="bullet"/>
      <w:pStyle w:val="List1"/>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6" w15:restartNumberingAfterBreak="0">
    <w:nsid w:val="63BE2FF9"/>
    <w:multiLevelType w:val="multilevel"/>
    <w:tmpl w:val="F89891F2"/>
    <w:lvl w:ilvl="0">
      <w:start w:val="1"/>
      <w:numFmt w:val="decimal"/>
      <w:pStyle w:val="Style2"/>
      <w:lvlText w:val="%1."/>
      <w:lvlJc w:val="left"/>
      <w:pPr>
        <w:ind w:left="0" w:firstLine="1080"/>
      </w:pPr>
    </w:lvl>
    <w:lvl w:ilvl="1">
      <w:start w:val="1"/>
      <w:numFmt w:val="decimal"/>
      <w:pStyle w:val="A3-Lev3Clause"/>
      <w:lvlText w:val="%1.%2"/>
      <w:lvlJc w:val="left"/>
      <w:pPr>
        <w:ind w:left="55" w:firstLine="108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0" w:firstLine="1440"/>
      </w:pPr>
      <w:rPr>
        <w:b w:val="0"/>
      </w:rPr>
    </w:lvl>
    <w:lvl w:ilvl="3">
      <w:start w:val="1"/>
      <w:numFmt w:val="bullet"/>
      <w:lvlText w:val=""/>
      <w:lvlJc w:val="left"/>
      <w:pPr>
        <w:ind w:left="360" w:firstLine="1440"/>
      </w:pPr>
      <w:rPr>
        <w:rFonts w:ascii="Symbol" w:hAnsi="Symbol" w:hint="default"/>
      </w:rPr>
    </w:lvl>
    <w:lvl w:ilvl="4">
      <w:start w:val="1"/>
      <w:numFmt w:val="decimal"/>
      <w:lvlText w:val="%1.%2.%3.%4.%5"/>
      <w:lvlJc w:val="left"/>
      <w:pPr>
        <w:ind w:left="720" w:firstLine="1800"/>
      </w:pPr>
    </w:lvl>
    <w:lvl w:ilvl="5">
      <w:start w:val="1"/>
      <w:numFmt w:val="decimal"/>
      <w:lvlText w:val="%1.%2.%3.%4.%5.%6"/>
      <w:lvlJc w:val="left"/>
      <w:pPr>
        <w:ind w:left="720" w:firstLine="1800"/>
      </w:pPr>
    </w:lvl>
    <w:lvl w:ilvl="6">
      <w:start w:val="1"/>
      <w:numFmt w:val="decimal"/>
      <w:lvlText w:val="%1.%2.%3.%4.%5.%6.%7"/>
      <w:lvlJc w:val="left"/>
      <w:pPr>
        <w:ind w:left="1080" w:firstLine="2160"/>
      </w:pPr>
    </w:lvl>
    <w:lvl w:ilvl="7">
      <w:start w:val="1"/>
      <w:numFmt w:val="decimal"/>
      <w:lvlText w:val="%1.%2.%3.%4.%5.%6.%7.%8"/>
      <w:lvlJc w:val="left"/>
      <w:pPr>
        <w:ind w:left="1080" w:firstLine="2160"/>
      </w:pPr>
    </w:lvl>
    <w:lvl w:ilvl="8">
      <w:start w:val="1"/>
      <w:numFmt w:val="decimal"/>
      <w:lvlText w:val="%1.%2.%3.%4.%5.%6.%7.%8.%9"/>
      <w:lvlJc w:val="left"/>
      <w:pPr>
        <w:ind w:left="1440" w:firstLine="2520"/>
      </w:pPr>
    </w:lvl>
  </w:abstractNum>
  <w:abstractNum w:abstractNumId="17" w15:restartNumberingAfterBreak="0">
    <w:nsid w:val="69F225B1"/>
    <w:multiLevelType w:val="multilevel"/>
    <w:tmpl w:val="86BEAD70"/>
    <w:lvl w:ilvl="0">
      <w:start w:val="1"/>
      <w:numFmt w:val="bullet"/>
      <w:pStyle w:val="HFRbullet"/>
      <w:lvlText w:val="●"/>
      <w:lvlJc w:val="left"/>
      <w:pPr>
        <w:ind w:left="0" w:firstLine="1080"/>
      </w:pPr>
      <w:rPr>
        <w:rFonts w:ascii="Arial" w:eastAsia="Arial" w:hAnsi="Arial" w:cs="Arial"/>
        <w:u w:val="none"/>
      </w:rPr>
    </w:lvl>
    <w:lvl w:ilvl="1">
      <w:start w:val="1"/>
      <w:numFmt w:val="bullet"/>
      <w:lvlText w:val="○"/>
      <w:lvlJc w:val="left"/>
      <w:pPr>
        <w:ind w:left="720" w:firstLine="2520"/>
      </w:pPr>
      <w:rPr>
        <w:rFonts w:ascii="Arial" w:eastAsia="Arial" w:hAnsi="Arial" w:cs="Arial"/>
        <w:u w:val="none"/>
      </w:rPr>
    </w:lvl>
    <w:lvl w:ilvl="2">
      <w:start w:val="1"/>
      <w:numFmt w:val="bullet"/>
      <w:lvlText w:val="■"/>
      <w:lvlJc w:val="left"/>
      <w:pPr>
        <w:ind w:left="1440" w:firstLine="3960"/>
      </w:pPr>
      <w:rPr>
        <w:rFonts w:ascii="Arial" w:eastAsia="Arial" w:hAnsi="Arial" w:cs="Arial"/>
        <w:u w:val="none"/>
      </w:rPr>
    </w:lvl>
    <w:lvl w:ilvl="3">
      <w:start w:val="1"/>
      <w:numFmt w:val="bullet"/>
      <w:lvlText w:val="●"/>
      <w:lvlJc w:val="left"/>
      <w:pPr>
        <w:ind w:left="2160" w:firstLine="5400"/>
      </w:pPr>
      <w:rPr>
        <w:rFonts w:ascii="Arial" w:eastAsia="Arial" w:hAnsi="Arial" w:cs="Arial"/>
        <w:u w:val="none"/>
      </w:rPr>
    </w:lvl>
    <w:lvl w:ilvl="4">
      <w:start w:val="1"/>
      <w:numFmt w:val="bullet"/>
      <w:lvlText w:val="○"/>
      <w:lvlJc w:val="left"/>
      <w:pPr>
        <w:ind w:left="2880" w:firstLine="6840"/>
      </w:pPr>
      <w:rPr>
        <w:rFonts w:ascii="Arial" w:eastAsia="Arial" w:hAnsi="Arial" w:cs="Arial"/>
        <w:u w:val="none"/>
      </w:rPr>
    </w:lvl>
    <w:lvl w:ilvl="5">
      <w:start w:val="1"/>
      <w:numFmt w:val="bullet"/>
      <w:lvlText w:val="■"/>
      <w:lvlJc w:val="left"/>
      <w:pPr>
        <w:ind w:left="3600" w:firstLine="8280"/>
      </w:pPr>
      <w:rPr>
        <w:rFonts w:ascii="Arial" w:eastAsia="Arial" w:hAnsi="Arial" w:cs="Arial"/>
        <w:u w:val="none"/>
      </w:rPr>
    </w:lvl>
    <w:lvl w:ilvl="6">
      <w:start w:val="1"/>
      <w:numFmt w:val="bullet"/>
      <w:lvlText w:val="●"/>
      <w:lvlJc w:val="left"/>
      <w:pPr>
        <w:ind w:left="4320" w:firstLine="9720"/>
      </w:pPr>
      <w:rPr>
        <w:rFonts w:ascii="Arial" w:eastAsia="Arial" w:hAnsi="Arial" w:cs="Arial"/>
        <w:u w:val="none"/>
      </w:rPr>
    </w:lvl>
    <w:lvl w:ilvl="7">
      <w:start w:val="1"/>
      <w:numFmt w:val="bullet"/>
      <w:lvlText w:val="○"/>
      <w:lvlJc w:val="left"/>
      <w:pPr>
        <w:ind w:left="5040" w:firstLine="11160"/>
      </w:pPr>
      <w:rPr>
        <w:rFonts w:ascii="Arial" w:eastAsia="Arial" w:hAnsi="Arial" w:cs="Arial"/>
        <w:u w:val="none"/>
      </w:rPr>
    </w:lvl>
    <w:lvl w:ilvl="8">
      <w:start w:val="1"/>
      <w:numFmt w:val="bullet"/>
      <w:lvlText w:val="■"/>
      <w:lvlJc w:val="left"/>
      <w:pPr>
        <w:ind w:left="5760" w:firstLine="12600"/>
      </w:pPr>
      <w:rPr>
        <w:rFonts w:ascii="Arial" w:eastAsia="Arial" w:hAnsi="Arial" w:cs="Arial"/>
        <w:u w:val="none"/>
      </w:rPr>
    </w:lvl>
  </w:abstractNum>
  <w:abstractNum w:abstractNumId="18" w15:restartNumberingAfterBreak="0">
    <w:nsid w:val="6B270C81"/>
    <w:multiLevelType w:val="multilevel"/>
    <w:tmpl w:val="166690AE"/>
    <w:lvl w:ilvl="0">
      <w:start w:val="1"/>
      <w:numFmt w:val="decimal"/>
      <w:pStyle w:val="H1S1B"/>
      <w:isLgl/>
      <w:lvlText w:val="%1"/>
      <w:lvlJc w:val="left"/>
      <w:pPr>
        <w:ind w:left="855" w:hanging="855"/>
      </w:pPr>
      <w:rPr>
        <w:rFonts w:hint="default"/>
      </w:rPr>
    </w:lvl>
    <w:lvl w:ilvl="1">
      <w:start w:val="1"/>
      <w:numFmt w:val="decimal"/>
      <w:pStyle w:val="H2S1B"/>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413FA"/>
    <w:multiLevelType w:val="multilevel"/>
    <w:tmpl w:val="57F609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58A1051"/>
    <w:multiLevelType w:val="hybridMultilevel"/>
    <w:tmpl w:val="91865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6557EB"/>
    <w:multiLevelType w:val="hybridMultilevel"/>
    <w:tmpl w:val="E124A87E"/>
    <w:lvl w:ilvl="0" w:tplc="08841F36">
      <w:start w:val="385"/>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51731E"/>
    <w:multiLevelType w:val="hybridMultilevel"/>
    <w:tmpl w:val="20DAAB38"/>
    <w:lvl w:ilvl="0" w:tplc="0E8ED760">
      <w:start w:val="1"/>
      <w:numFmt w:val="bullet"/>
      <w:pStyle w:val="H4S1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79F51008"/>
    <w:multiLevelType w:val="multilevel"/>
    <w:tmpl w:val="2722C978"/>
    <w:lvl w:ilvl="0">
      <w:start w:val="1"/>
      <w:numFmt w:val="decimal"/>
      <w:pStyle w:val="H1S3"/>
      <w:lvlText w:val="%1."/>
      <w:lvlJc w:val="left"/>
      <w:pPr>
        <w:ind w:left="0" w:firstLine="1080"/>
      </w:pPr>
      <w:rPr>
        <w:rFonts w:hint="default"/>
      </w:rPr>
    </w:lvl>
    <w:lvl w:ilvl="1">
      <w:start w:val="1"/>
      <w:numFmt w:val="decimal"/>
      <w:pStyle w:val="H2S3"/>
      <w:lvlText w:val="%1.%2"/>
      <w:lvlJc w:val="left"/>
      <w:pPr>
        <w:ind w:left="55" w:firstLine="108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S3"/>
      <w:lvlText w:val="%1.%2.%3"/>
      <w:lvlJc w:val="left"/>
      <w:pPr>
        <w:ind w:left="-872" w:firstLine="1440"/>
      </w:pPr>
      <w:rPr>
        <w:rFonts w:hint="default"/>
        <w:b w:val="0"/>
      </w:rPr>
    </w:lvl>
    <w:lvl w:ilvl="3">
      <w:start w:val="1"/>
      <w:numFmt w:val="decimal"/>
      <w:lvlText w:val="%1.%2.%3.%4"/>
      <w:lvlJc w:val="left"/>
      <w:pPr>
        <w:ind w:left="360" w:firstLine="1440"/>
      </w:pPr>
      <w:rPr>
        <w:rFonts w:hint="default"/>
        <w:b w:val="0"/>
      </w:rPr>
    </w:lvl>
    <w:lvl w:ilvl="4">
      <w:start w:val="1"/>
      <w:numFmt w:val="decimal"/>
      <w:lvlText w:val="%1.%2.%3.%4.%5"/>
      <w:lvlJc w:val="left"/>
      <w:pPr>
        <w:ind w:left="720" w:firstLine="1800"/>
      </w:pPr>
      <w:rPr>
        <w:rFonts w:hint="default"/>
      </w:rPr>
    </w:lvl>
    <w:lvl w:ilvl="5">
      <w:start w:val="1"/>
      <w:numFmt w:val="decimal"/>
      <w:lvlText w:val="%1.%2.%3.%4.%5.%6"/>
      <w:lvlJc w:val="left"/>
      <w:pPr>
        <w:ind w:left="720" w:firstLine="1800"/>
      </w:pPr>
      <w:rPr>
        <w:rFonts w:hint="default"/>
      </w:rPr>
    </w:lvl>
    <w:lvl w:ilvl="6">
      <w:start w:val="1"/>
      <w:numFmt w:val="decimal"/>
      <w:lvlText w:val="%1.%2.%3.%4.%5.%6.%7"/>
      <w:lvlJc w:val="left"/>
      <w:pPr>
        <w:ind w:left="1080" w:firstLine="2160"/>
      </w:pPr>
      <w:rPr>
        <w:rFonts w:hint="default"/>
      </w:rPr>
    </w:lvl>
    <w:lvl w:ilvl="7">
      <w:start w:val="1"/>
      <w:numFmt w:val="decimal"/>
      <w:lvlText w:val="%1.%2.%3.%4.%5.%6.%7.%8"/>
      <w:lvlJc w:val="left"/>
      <w:pPr>
        <w:ind w:left="1080" w:firstLine="2160"/>
      </w:pPr>
      <w:rPr>
        <w:rFonts w:hint="default"/>
      </w:rPr>
    </w:lvl>
    <w:lvl w:ilvl="8">
      <w:start w:val="1"/>
      <w:numFmt w:val="decimal"/>
      <w:lvlText w:val="%1.%2.%3.%4.%5.%6.%7.%8.%9"/>
      <w:lvlJc w:val="left"/>
      <w:pPr>
        <w:ind w:left="1440" w:firstLine="2520"/>
      </w:pPr>
      <w:rPr>
        <w:rFonts w:hint="default"/>
      </w:rPr>
    </w:lvl>
  </w:abstractNum>
  <w:num w:numId="1">
    <w:abstractNumId w:val="18"/>
  </w:num>
  <w:num w:numId="2">
    <w:abstractNumId w:val="22"/>
  </w:num>
  <w:num w:numId="3">
    <w:abstractNumId w:val="4"/>
  </w:num>
  <w:num w:numId="4">
    <w:abstractNumId w:val="11"/>
  </w:num>
  <w:num w:numId="5">
    <w:abstractNumId w:val="23"/>
  </w:num>
  <w:num w:numId="6">
    <w:abstractNumId w:val="17"/>
  </w:num>
  <w:num w:numId="7">
    <w:abstractNumId w:val="15"/>
  </w:num>
  <w:num w:numId="8">
    <w:abstractNumId w:val="19"/>
  </w:num>
  <w:num w:numId="9">
    <w:abstractNumId w:val="12"/>
  </w:num>
  <w:num w:numId="10">
    <w:abstractNumId w:val="0"/>
  </w:num>
  <w:num w:numId="11">
    <w:abstractNumId w:val="9"/>
  </w:num>
  <w:num w:numId="12">
    <w:abstractNumId w:val="7"/>
  </w:num>
  <w:num w:numId="13">
    <w:abstractNumId w:val="14"/>
  </w:num>
  <w:num w:numId="14">
    <w:abstractNumId w:val="1"/>
  </w:num>
  <w:num w:numId="15">
    <w:abstractNumId w:val="2"/>
  </w:num>
  <w:num w:numId="16">
    <w:abstractNumId w:val="13"/>
  </w:num>
  <w:num w:numId="17">
    <w:abstractNumId w:val="5"/>
  </w:num>
  <w:num w:numId="18">
    <w:abstractNumId w:val="20"/>
  </w:num>
  <w:num w:numId="19">
    <w:abstractNumId w:val="16"/>
  </w:num>
  <w:num w:numId="20">
    <w:abstractNumId w:val="8"/>
  </w:num>
  <w:num w:numId="21">
    <w:abstractNumId w:val="3"/>
  </w:num>
  <w:num w:numId="22">
    <w:abstractNumId w:val="6"/>
  </w:num>
  <w:num w:numId="23">
    <w:abstractNumId w:val="23"/>
    <w:lvlOverride w:ilvl="0">
      <w:startOverride w:val="3"/>
    </w:lvlOverride>
    <w:lvlOverride w:ilvl="1">
      <w:startOverride w:val="3"/>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3"/>
  </w:num>
  <w:num w:numId="27">
    <w:abstractNumId w:val="21"/>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16"/>
  </w:num>
  <w:num w:numId="35">
    <w:abstractNumId w:val="10"/>
  </w:num>
  <w:num w:numId="36">
    <w:abstractNumId w:val="23"/>
  </w:num>
  <w:num w:numId="37">
    <w:abstractNumId w:val="23"/>
  </w:num>
  <w:num w:numId="38">
    <w:abstractNumId w:val="23"/>
  </w:num>
  <w:num w:numId="39">
    <w:abstractNumId w:val="23"/>
  </w:num>
  <w:num w:numId="40">
    <w:abstractNumId w:val="23"/>
  </w:num>
  <w:num w:numId="41">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ocumentProtection w:edit="readOnly" w:enforcement="0"/>
  <w:defaultTabStop w:val="720"/>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D3"/>
    <w:rsid w:val="00010EE9"/>
    <w:rsid w:val="00015CE7"/>
    <w:rsid w:val="000179C9"/>
    <w:rsid w:val="000206A0"/>
    <w:rsid w:val="000305F0"/>
    <w:rsid w:val="00042E3B"/>
    <w:rsid w:val="00045398"/>
    <w:rsid w:val="000524F9"/>
    <w:rsid w:val="00061F61"/>
    <w:rsid w:val="00063B8C"/>
    <w:rsid w:val="00076AD7"/>
    <w:rsid w:val="00095348"/>
    <w:rsid w:val="000A151F"/>
    <w:rsid w:val="000E202D"/>
    <w:rsid w:val="000F216C"/>
    <w:rsid w:val="000F314C"/>
    <w:rsid w:val="00100623"/>
    <w:rsid w:val="0010322E"/>
    <w:rsid w:val="00103D13"/>
    <w:rsid w:val="00113A76"/>
    <w:rsid w:val="001147C5"/>
    <w:rsid w:val="0012447A"/>
    <w:rsid w:val="00133AB7"/>
    <w:rsid w:val="001359D3"/>
    <w:rsid w:val="00137EDF"/>
    <w:rsid w:val="00152BCB"/>
    <w:rsid w:val="00162DD1"/>
    <w:rsid w:val="00167726"/>
    <w:rsid w:val="00180EA2"/>
    <w:rsid w:val="00191F61"/>
    <w:rsid w:val="001928EA"/>
    <w:rsid w:val="001A0CD6"/>
    <w:rsid w:val="001B24C4"/>
    <w:rsid w:val="001B55B5"/>
    <w:rsid w:val="001B601C"/>
    <w:rsid w:val="001C025D"/>
    <w:rsid w:val="001D0EC2"/>
    <w:rsid w:val="001D6929"/>
    <w:rsid w:val="001E0F76"/>
    <w:rsid w:val="001E73A5"/>
    <w:rsid w:val="001F3667"/>
    <w:rsid w:val="001F6592"/>
    <w:rsid w:val="001F7D90"/>
    <w:rsid w:val="002005F0"/>
    <w:rsid w:val="002063E4"/>
    <w:rsid w:val="00213633"/>
    <w:rsid w:val="002211CE"/>
    <w:rsid w:val="002218BA"/>
    <w:rsid w:val="00224863"/>
    <w:rsid w:val="00226FDB"/>
    <w:rsid w:val="002336C3"/>
    <w:rsid w:val="00234D23"/>
    <w:rsid w:val="00253830"/>
    <w:rsid w:val="00277E15"/>
    <w:rsid w:val="002A3CDE"/>
    <w:rsid w:val="002A4111"/>
    <w:rsid w:val="002C306F"/>
    <w:rsid w:val="002C7B99"/>
    <w:rsid w:val="002D573D"/>
    <w:rsid w:val="002E1425"/>
    <w:rsid w:val="002F01D6"/>
    <w:rsid w:val="002F62CF"/>
    <w:rsid w:val="00302A6E"/>
    <w:rsid w:val="00303A70"/>
    <w:rsid w:val="0030767D"/>
    <w:rsid w:val="00312292"/>
    <w:rsid w:val="00321A2C"/>
    <w:rsid w:val="00322106"/>
    <w:rsid w:val="00325C1B"/>
    <w:rsid w:val="003301A8"/>
    <w:rsid w:val="003357C3"/>
    <w:rsid w:val="0034455E"/>
    <w:rsid w:val="003516C9"/>
    <w:rsid w:val="0035321D"/>
    <w:rsid w:val="003616FA"/>
    <w:rsid w:val="003729CF"/>
    <w:rsid w:val="00373145"/>
    <w:rsid w:val="00387723"/>
    <w:rsid w:val="0039643A"/>
    <w:rsid w:val="003A02F9"/>
    <w:rsid w:val="003A4B6E"/>
    <w:rsid w:val="003A53D6"/>
    <w:rsid w:val="003A6557"/>
    <w:rsid w:val="003A6810"/>
    <w:rsid w:val="003D133B"/>
    <w:rsid w:val="003E69EE"/>
    <w:rsid w:val="003F53A1"/>
    <w:rsid w:val="0040126F"/>
    <w:rsid w:val="00421978"/>
    <w:rsid w:val="0043516D"/>
    <w:rsid w:val="0045268C"/>
    <w:rsid w:val="0048386B"/>
    <w:rsid w:val="004906B2"/>
    <w:rsid w:val="004A523A"/>
    <w:rsid w:val="004B7C2E"/>
    <w:rsid w:val="004C69B6"/>
    <w:rsid w:val="004D014B"/>
    <w:rsid w:val="004D27AE"/>
    <w:rsid w:val="004D2BE8"/>
    <w:rsid w:val="004E02CF"/>
    <w:rsid w:val="004F3348"/>
    <w:rsid w:val="005069B9"/>
    <w:rsid w:val="00507A26"/>
    <w:rsid w:val="0051230F"/>
    <w:rsid w:val="00516F88"/>
    <w:rsid w:val="005208A0"/>
    <w:rsid w:val="00522F3C"/>
    <w:rsid w:val="00526FCE"/>
    <w:rsid w:val="00527213"/>
    <w:rsid w:val="005315CF"/>
    <w:rsid w:val="0053546A"/>
    <w:rsid w:val="00541351"/>
    <w:rsid w:val="00542618"/>
    <w:rsid w:val="00546852"/>
    <w:rsid w:val="00553718"/>
    <w:rsid w:val="00572C71"/>
    <w:rsid w:val="00587B2E"/>
    <w:rsid w:val="005902C0"/>
    <w:rsid w:val="0059361D"/>
    <w:rsid w:val="005A7E39"/>
    <w:rsid w:val="005D562F"/>
    <w:rsid w:val="005E52FC"/>
    <w:rsid w:val="00606F9E"/>
    <w:rsid w:val="006128D6"/>
    <w:rsid w:val="00614869"/>
    <w:rsid w:val="00614C8A"/>
    <w:rsid w:val="006221BE"/>
    <w:rsid w:val="00626CC8"/>
    <w:rsid w:val="00630323"/>
    <w:rsid w:val="00636737"/>
    <w:rsid w:val="00636782"/>
    <w:rsid w:val="006507DB"/>
    <w:rsid w:val="006553EB"/>
    <w:rsid w:val="00673DCD"/>
    <w:rsid w:val="006942E3"/>
    <w:rsid w:val="006A2C82"/>
    <w:rsid w:val="006A52A9"/>
    <w:rsid w:val="006B7341"/>
    <w:rsid w:val="006D2346"/>
    <w:rsid w:val="006D46E4"/>
    <w:rsid w:val="006F1D16"/>
    <w:rsid w:val="006F6EE8"/>
    <w:rsid w:val="00700090"/>
    <w:rsid w:val="007202C2"/>
    <w:rsid w:val="00726378"/>
    <w:rsid w:val="0072777B"/>
    <w:rsid w:val="00740327"/>
    <w:rsid w:val="00767AB9"/>
    <w:rsid w:val="00775763"/>
    <w:rsid w:val="00777FE5"/>
    <w:rsid w:val="00780926"/>
    <w:rsid w:val="007915CF"/>
    <w:rsid w:val="007936B4"/>
    <w:rsid w:val="007A0F90"/>
    <w:rsid w:val="007C0305"/>
    <w:rsid w:val="007E2EE2"/>
    <w:rsid w:val="007F7577"/>
    <w:rsid w:val="008018E9"/>
    <w:rsid w:val="00805B53"/>
    <w:rsid w:val="008267CC"/>
    <w:rsid w:val="0082685F"/>
    <w:rsid w:val="00833254"/>
    <w:rsid w:val="00836982"/>
    <w:rsid w:val="008455A9"/>
    <w:rsid w:val="00867B57"/>
    <w:rsid w:val="00874383"/>
    <w:rsid w:val="00884E84"/>
    <w:rsid w:val="00887648"/>
    <w:rsid w:val="008932BE"/>
    <w:rsid w:val="008A1DAE"/>
    <w:rsid w:val="008A1F74"/>
    <w:rsid w:val="008A24A7"/>
    <w:rsid w:val="008C3A9D"/>
    <w:rsid w:val="008C6712"/>
    <w:rsid w:val="008D3161"/>
    <w:rsid w:val="008D56FD"/>
    <w:rsid w:val="008E6635"/>
    <w:rsid w:val="008E7938"/>
    <w:rsid w:val="008E7B0C"/>
    <w:rsid w:val="008F7A34"/>
    <w:rsid w:val="009048EE"/>
    <w:rsid w:val="0090519C"/>
    <w:rsid w:val="00907D82"/>
    <w:rsid w:val="00921CB3"/>
    <w:rsid w:val="0094443A"/>
    <w:rsid w:val="00947D01"/>
    <w:rsid w:val="009509A5"/>
    <w:rsid w:val="00950EBC"/>
    <w:rsid w:val="0095741E"/>
    <w:rsid w:val="0096487F"/>
    <w:rsid w:val="009B7DF8"/>
    <w:rsid w:val="009D5BE1"/>
    <w:rsid w:val="009E043B"/>
    <w:rsid w:val="009E071B"/>
    <w:rsid w:val="009E5FB9"/>
    <w:rsid w:val="009F1100"/>
    <w:rsid w:val="00A07748"/>
    <w:rsid w:val="00A123B4"/>
    <w:rsid w:val="00A27A89"/>
    <w:rsid w:val="00A3399C"/>
    <w:rsid w:val="00A47196"/>
    <w:rsid w:val="00A516B5"/>
    <w:rsid w:val="00A539C0"/>
    <w:rsid w:val="00A74913"/>
    <w:rsid w:val="00A7624E"/>
    <w:rsid w:val="00A77234"/>
    <w:rsid w:val="00A81257"/>
    <w:rsid w:val="00A919DA"/>
    <w:rsid w:val="00A934B2"/>
    <w:rsid w:val="00AA5B90"/>
    <w:rsid w:val="00AA7DF4"/>
    <w:rsid w:val="00AB00EE"/>
    <w:rsid w:val="00AC6B14"/>
    <w:rsid w:val="00AD1F36"/>
    <w:rsid w:val="00AD7C8B"/>
    <w:rsid w:val="00AE0D16"/>
    <w:rsid w:val="00AF0F29"/>
    <w:rsid w:val="00AF4679"/>
    <w:rsid w:val="00B114E3"/>
    <w:rsid w:val="00B11911"/>
    <w:rsid w:val="00B132CE"/>
    <w:rsid w:val="00B141D5"/>
    <w:rsid w:val="00B144A8"/>
    <w:rsid w:val="00B151E5"/>
    <w:rsid w:val="00B154D7"/>
    <w:rsid w:val="00B26006"/>
    <w:rsid w:val="00B413BC"/>
    <w:rsid w:val="00B70747"/>
    <w:rsid w:val="00BB110A"/>
    <w:rsid w:val="00BB5AD0"/>
    <w:rsid w:val="00BC0E73"/>
    <w:rsid w:val="00BC3405"/>
    <w:rsid w:val="00BC671D"/>
    <w:rsid w:val="00BC7124"/>
    <w:rsid w:val="00BD2618"/>
    <w:rsid w:val="00BD36F2"/>
    <w:rsid w:val="00BE5721"/>
    <w:rsid w:val="00BF7A50"/>
    <w:rsid w:val="00C06CED"/>
    <w:rsid w:val="00C467F0"/>
    <w:rsid w:val="00C55EF9"/>
    <w:rsid w:val="00C66ABA"/>
    <w:rsid w:val="00C676B9"/>
    <w:rsid w:val="00C81A35"/>
    <w:rsid w:val="00C85B91"/>
    <w:rsid w:val="00CA0FE5"/>
    <w:rsid w:val="00CB7BF2"/>
    <w:rsid w:val="00CE0E2A"/>
    <w:rsid w:val="00CF0870"/>
    <w:rsid w:val="00CF0D66"/>
    <w:rsid w:val="00D07A5A"/>
    <w:rsid w:val="00D15C6F"/>
    <w:rsid w:val="00D2010A"/>
    <w:rsid w:val="00D23F34"/>
    <w:rsid w:val="00D3161F"/>
    <w:rsid w:val="00D4492A"/>
    <w:rsid w:val="00D472E3"/>
    <w:rsid w:val="00D51D22"/>
    <w:rsid w:val="00D557FA"/>
    <w:rsid w:val="00D85EFC"/>
    <w:rsid w:val="00D92650"/>
    <w:rsid w:val="00D956FD"/>
    <w:rsid w:val="00D96CBE"/>
    <w:rsid w:val="00DA085A"/>
    <w:rsid w:val="00DA3DC5"/>
    <w:rsid w:val="00DA46BB"/>
    <w:rsid w:val="00DA6113"/>
    <w:rsid w:val="00DF21C3"/>
    <w:rsid w:val="00DF619B"/>
    <w:rsid w:val="00DF7A72"/>
    <w:rsid w:val="00E01A6E"/>
    <w:rsid w:val="00E07327"/>
    <w:rsid w:val="00E25695"/>
    <w:rsid w:val="00E256BB"/>
    <w:rsid w:val="00E37E59"/>
    <w:rsid w:val="00E44DFB"/>
    <w:rsid w:val="00E515A2"/>
    <w:rsid w:val="00E55879"/>
    <w:rsid w:val="00E6252E"/>
    <w:rsid w:val="00E64B02"/>
    <w:rsid w:val="00E67004"/>
    <w:rsid w:val="00E67956"/>
    <w:rsid w:val="00E87313"/>
    <w:rsid w:val="00E913E3"/>
    <w:rsid w:val="00EA26EE"/>
    <w:rsid w:val="00EB2FC8"/>
    <w:rsid w:val="00EB36A1"/>
    <w:rsid w:val="00EB4FB9"/>
    <w:rsid w:val="00EB66A8"/>
    <w:rsid w:val="00EC24DA"/>
    <w:rsid w:val="00EC36BB"/>
    <w:rsid w:val="00EC3D39"/>
    <w:rsid w:val="00ED05A4"/>
    <w:rsid w:val="00ED6614"/>
    <w:rsid w:val="00EE7D29"/>
    <w:rsid w:val="00F060E8"/>
    <w:rsid w:val="00F16324"/>
    <w:rsid w:val="00F35638"/>
    <w:rsid w:val="00F35EB2"/>
    <w:rsid w:val="00F46060"/>
    <w:rsid w:val="00F47C4F"/>
    <w:rsid w:val="00F53FA2"/>
    <w:rsid w:val="00F54BE0"/>
    <w:rsid w:val="00F611B2"/>
    <w:rsid w:val="00F62341"/>
    <w:rsid w:val="00F67CDC"/>
    <w:rsid w:val="00F71A33"/>
    <w:rsid w:val="00F71B54"/>
    <w:rsid w:val="00F87057"/>
    <w:rsid w:val="00F91719"/>
    <w:rsid w:val="00F921A8"/>
    <w:rsid w:val="00FA39BB"/>
    <w:rsid w:val="00FA57A3"/>
    <w:rsid w:val="00FA5FA8"/>
    <w:rsid w:val="00FB053B"/>
    <w:rsid w:val="00FB0A07"/>
    <w:rsid w:val="00FB1750"/>
    <w:rsid w:val="00FB54BC"/>
    <w:rsid w:val="00FB5CCF"/>
    <w:rsid w:val="00FC7C3C"/>
    <w:rsid w:val="00FD17E5"/>
    <w:rsid w:val="00FF195D"/>
    <w:rsid w:val="00FF1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6530BE"/>
  <w15:docId w15:val="{50888EF1-A5D9-4C8E-9129-1509A801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37EDF"/>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37EDF"/>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7EDF"/>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37EDF"/>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7EDF"/>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37EDF"/>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HeaderTableGrid1">
    <w:name w:val="Header Table Grid1"/>
    <w:basedOn w:val="TableNormal"/>
    <w:next w:val="TableGri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themeColor="hyperlink"/>
      <w:u w:val="single"/>
    </w:rPr>
  </w:style>
  <w:style w:type="table" w:customStyle="1" w:styleId="TableGrid1">
    <w:name w:val="Table Grid1"/>
    <w:basedOn w:val="TableNormal"/>
    <w:next w:val="TableGrid"/>
    <w:uiPriority w:val="59"/>
    <w:pPr>
      <w:spacing w:after="0" w:line="240" w:lineRule="auto"/>
      <w:jc w:val="both"/>
    </w:pPr>
    <w:rPr>
      <w:rFonts w:ascii="Verdana" w:eastAsia="Verdana" w:hAnsi="Verdana" w:cs="Verdana"/>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1"/>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table" w:customStyle="1" w:styleId="TableGrid3">
    <w:name w:val="Table Grid3"/>
    <w:basedOn w:val="TableNormal"/>
    <w:next w:val="TableGri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customStyle="1" w:styleId="A1-Lev1Clause">
    <w:name w:val="A1 - Lev 1 Clause"/>
    <w:basedOn w:val="Header"/>
    <w:link w:val="A1-Lev1ClauseChar"/>
    <w:qFormat/>
    <w:rsid w:val="00B413BC"/>
    <w:pPr>
      <w:keepNext/>
      <w:numPr>
        <w:numId w:val="4"/>
      </w:numPr>
      <w:tabs>
        <w:tab w:val="clear" w:pos="862"/>
        <w:tab w:val="clear" w:pos="4513"/>
        <w:tab w:val="clear" w:pos="9026"/>
        <w:tab w:val="num" w:pos="720"/>
        <w:tab w:val="right" w:pos="8640"/>
      </w:tabs>
      <w:spacing w:after="240"/>
      <w:ind w:left="720"/>
      <w:jc w:val="both"/>
    </w:pPr>
    <w:rPr>
      <w:rFonts w:ascii="Arial Bold" w:eastAsia="Times New Roman" w:hAnsi="Arial Bold" w:cs="Times New Roman"/>
      <w:b/>
      <w:spacing w:val="15"/>
      <w:sz w:val="20"/>
      <w:lang w:eastAsia="en-US"/>
    </w:rPr>
  </w:style>
  <w:style w:type="paragraph" w:customStyle="1" w:styleId="A2-Lev2Clause">
    <w:name w:val="A2 - Lev 2 Clause"/>
    <w:basedOn w:val="H2S3"/>
    <w:link w:val="A2-Lev2ClauseChar"/>
    <w:qFormat/>
    <w:rsid w:val="00A74913"/>
  </w:style>
  <w:style w:type="character" w:customStyle="1" w:styleId="A1-Lev1ClauseChar">
    <w:name w:val="A1 - Lev 1 Clause Char"/>
    <w:link w:val="A1-Lev1Clause"/>
    <w:rsid w:val="00B413BC"/>
    <w:rPr>
      <w:rFonts w:ascii="Arial Bold" w:eastAsia="Times New Roman" w:hAnsi="Arial Bold" w:cs="Times New Roman"/>
      <w:b/>
      <w:spacing w:val="15"/>
      <w:sz w:val="20"/>
      <w:lang w:eastAsia="en-US"/>
    </w:rPr>
  </w:style>
  <w:style w:type="paragraph" w:customStyle="1" w:styleId="A3-Lev3Clause">
    <w:name w:val="A3 - Lev 3 Clause"/>
    <w:basedOn w:val="A2-Lev2Clause"/>
    <w:qFormat/>
    <w:rsid w:val="00B26006"/>
    <w:pPr>
      <w:numPr>
        <w:numId w:val="19"/>
      </w:numPr>
    </w:pPr>
  </w:style>
  <w:style w:type="character" w:customStyle="1" w:styleId="A2-Lev2ClauseChar">
    <w:name w:val="A2 - Lev 2 Clause Char"/>
    <w:link w:val="A2-Lev2Clause"/>
    <w:rsid w:val="00A74913"/>
    <w:rPr>
      <w:rFonts w:ascii="Arial" w:eastAsia="Arial" w:hAnsi="Arial" w:cs="Arial"/>
      <w:color w:val="000000"/>
      <w:sz w:val="20"/>
      <w:szCs w:val="20"/>
    </w:rPr>
  </w:style>
  <w:style w:type="character" w:styleId="Strong">
    <w:name w:val="Strong"/>
    <w:basedOn w:val="DefaultParagraphFont"/>
    <w:uiPriority w:val="22"/>
    <w:qFormat/>
    <w:rsid w:val="008C3A9D"/>
    <w:rPr>
      <w:b/>
      <w:bCs/>
    </w:rPr>
  </w:style>
  <w:style w:type="paragraph" w:customStyle="1" w:styleId="Style2">
    <w:name w:val="Style2"/>
    <w:basedOn w:val="Normal"/>
    <w:link w:val="Style2Char"/>
    <w:qFormat/>
    <w:rsid w:val="00AD1F36"/>
    <w:pPr>
      <w:numPr>
        <w:numId w:val="19"/>
      </w:numPr>
      <w:spacing w:before="60" w:after="60" w:line="240" w:lineRule="auto"/>
      <w:jc w:val="both"/>
    </w:pPr>
    <w:rPr>
      <w:rFonts w:ascii="Arial" w:eastAsia="Arial" w:hAnsi="Arial" w:cs="Arial"/>
      <w:color w:val="000000"/>
      <w:sz w:val="20"/>
      <w:szCs w:val="24"/>
    </w:rPr>
  </w:style>
  <w:style w:type="character" w:customStyle="1" w:styleId="Style2Char">
    <w:name w:val="Style2 Char"/>
    <w:basedOn w:val="DefaultParagraphFont"/>
    <w:link w:val="Style2"/>
    <w:rsid w:val="00AD1F36"/>
    <w:rPr>
      <w:rFonts w:ascii="Arial" w:eastAsia="Arial" w:hAnsi="Arial" w:cs="Arial"/>
      <w:color w:val="000000"/>
      <w:sz w:val="20"/>
      <w:szCs w:val="24"/>
    </w:rPr>
  </w:style>
  <w:style w:type="paragraph" w:customStyle="1" w:styleId="Style1">
    <w:name w:val="Style1"/>
    <w:basedOn w:val="Normal"/>
    <w:link w:val="Style1Char"/>
    <w:qFormat/>
    <w:rsid w:val="00AD1F36"/>
    <w:pPr>
      <w:tabs>
        <w:tab w:val="left" w:pos="709"/>
      </w:tabs>
      <w:spacing w:before="240" w:after="240" w:line="240" w:lineRule="auto"/>
      <w:jc w:val="both"/>
    </w:pPr>
    <w:rPr>
      <w:rFonts w:ascii="Arial" w:eastAsia="Arial" w:hAnsi="Arial" w:cs="Arial"/>
      <w:b/>
      <w:color w:val="000000"/>
      <w:sz w:val="20"/>
      <w:szCs w:val="24"/>
    </w:rPr>
  </w:style>
  <w:style w:type="character" w:customStyle="1" w:styleId="Style1Char">
    <w:name w:val="Style1 Char"/>
    <w:basedOn w:val="DefaultParagraphFont"/>
    <w:link w:val="Style1"/>
    <w:rsid w:val="00AD1F36"/>
    <w:rPr>
      <w:rFonts w:ascii="Arial" w:eastAsia="Arial" w:hAnsi="Arial" w:cs="Arial"/>
      <w:b/>
      <w:color w:val="000000"/>
      <w:sz w:val="20"/>
      <w:szCs w:val="24"/>
    </w:rPr>
  </w:style>
  <w:style w:type="paragraph" w:customStyle="1" w:styleId="PartC1">
    <w:name w:val="PartC1"/>
    <w:basedOn w:val="Style1"/>
    <w:link w:val="PartC1Char"/>
    <w:qFormat/>
    <w:rsid w:val="00AD1F36"/>
  </w:style>
  <w:style w:type="paragraph" w:customStyle="1" w:styleId="PartC2">
    <w:name w:val="PartC2"/>
    <w:basedOn w:val="Style2"/>
    <w:link w:val="PartC2Char"/>
    <w:qFormat/>
    <w:rsid w:val="00AD1F36"/>
  </w:style>
  <w:style w:type="character" w:customStyle="1" w:styleId="PartC1Char">
    <w:name w:val="PartC1 Char"/>
    <w:basedOn w:val="Style1Char"/>
    <w:link w:val="PartC1"/>
    <w:rsid w:val="00AD1F36"/>
    <w:rPr>
      <w:rFonts w:ascii="Arial" w:eastAsia="Arial" w:hAnsi="Arial" w:cs="Arial"/>
      <w:b/>
      <w:color w:val="000000"/>
      <w:sz w:val="20"/>
      <w:szCs w:val="24"/>
    </w:rPr>
  </w:style>
  <w:style w:type="character" w:customStyle="1" w:styleId="PartC2Char">
    <w:name w:val="PartC2 Char"/>
    <w:basedOn w:val="Style2Char"/>
    <w:link w:val="PartC2"/>
    <w:rsid w:val="00AD1F36"/>
    <w:rPr>
      <w:rFonts w:ascii="Arial" w:eastAsia="Arial" w:hAnsi="Arial" w:cs="Arial"/>
      <w:color w:val="000000"/>
      <w:sz w:val="20"/>
      <w:szCs w:val="24"/>
    </w:rPr>
  </w:style>
  <w:style w:type="paragraph" w:customStyle="1" w:styleId="PartC3">
    <w:name w:val="PartC3"/>
    <w:basedOn w:val="PartC2"/>
    <w:link w:val="PartC3Char"/>
    <w:qFormat/>
    <w:rsid w:val="00AD1F36"/>
  </w:style>
  <w:style w:type="character" w:customStyle="1" w:styleId="PartC3Char">
    <w:name w:val="PartC3 Char"/>
    <w:basedOn w:val="PartC2Char"/>
    <w:link w:val="PartC3"/>
    <w:rsid w:val="00AD1F36"/>
    <w:rPr>
      <w:rFonts w:ascii="Arial" w:eastAsia="Arial" w:hAnsi="Arial" w:cs="Arial"/>
      <w:color w:val="000000"/>
      <w:sz w:val="20"/>
      <w:szCs w:val="24"/>
    </w:rPr>
  </w:style>
  <w:style w:type="paragraph" w:customStyle="1" w:styleId="HFRnormal">
    <w:name w:val="HFR normal"/>
    <w:basedOn w:val="Normal"/>
    <w:link w:val="HFRnormalChar"/>
    <w:qFormat/>
    <w:rsid w:val="00CE0E2A"/>
    <w:rPr>
      <w:rFonts w:ascii="Arial" w:hAnsi="Arial" w:cs="Arial"/>
      <w:sz w:val="20"/>
    </w:rPr>
  </w:style>
  <w:style w:type="character" w:customStyle="1" w:styleId="HFRnormalChar">
    <w:name w:val="HFR normal Char"/>
    <w:basedOn w:val="DefaultParagraphFont"/>
    <w:link w:val="HFRnormal"/>
    <w:rsid w:val="00CE0E2A"/>
    <w:rPr>
      <w:rFonts w:ascii="Arial" w:hAnsi="Arial" w:cs="Arial"/>
      <w:sz w:val="20"/>
    </w:rPr>
  </w:style>
  <w:style w:type="paragraph" w:customStyle="1" w:styleId="HFRHeading2">
    <w:name w:val="HFR Heading 2"/>
    <w:basedOn w:val="Normal"/>
    <w:link w:val="HFRHeading2Char"/>
    <w:qFormat/>
    <w:rsid w:val="00AD1F36"/>
    <w:pPr>
      <w:keepNext/>
      <w:keepLines/>
      <w:spacing w:before="120" w:after="120" w:line="240" w:lineRule="auto"/>
      <w:jc w:val="both"/>
      <w:outlineLvl w:val="0"/>
    </w:pPr>
    <w:rPr>
      <w:rFonts w:ascii="Arial" w:eastAsia="Arial" w:hAnsi="Arial" w:cs="Arial"/>
      <w:color w:val="000000"/>
      <w:sz w:val="24"/>
      <w:szCs w:val="24"/>
    </w:rPr>
  </w:style>
  <w:style w:type="paragraph" w:customStyle="1" w:styleId="HFRbullet">
    <w:name w:val="HFR bullet"/>
    <w:basedOn w:val="Normal"/>
    <w:link w:val="HFRbulletChar"/>
    <w:qFormat/>
    <w:rsid w:val="00AD1F36"/>
    <w:pPr>
      <w:numPr>
        <w:numId w:val="6"/>
      </w:numPr>
      <w:spacing w:before="120" w:after="120" w:line="240" w:lineRule="auto"/>
      <w:ind w:right="-28"/>
      <w:contextualSpacing/>
      <w:jc w:val="both"/>
    </w:pPr>
    <w:rPr>
      <w:rFonts w:ascii="Arial" w:eastAsia="Arial" w:hAnsi="Arial" w:cs="Arial"/>
      <w:color w:val="000000"/>
      <w:sz w:val="24"/>
      <w:szCs w:val="24"/>
    </w:rPr>
  </w:style>
  <w:style w:type="character" w:customStyle="1" w:styleId="HFRHeading2Char">
    <w:name w:val="HFR Heading 2 Char"/>
    <w:basedOn w:val="DefaultParagraphFont"/>
    <w:link w:val="HFRHeading2"/>
    <w:rsid w:val="00AD1F36"/>
    <w:rPr>
      <w:rFonts w:ascii="Arial" w:eastAsia="Arial" w:hAnsi="Arial" w:cs="Arial"/>
      <w:color w:val="000000"/>
      <w:sz w:val="24"/>
      <w:szCs w:val="24"/>
    </w:rPr>
  </w:style>
  <w:style w:type="character" w:customStyle="1" w:styleId="HFRbulletChar">
    <w:name w:val="HFR bullet Char"/>
    <w:basedOn w:val="DefaultParagraphFont"/>
    <w:link w:val="HFRbullet"/>
    <w:rsid w:val="00AD1F36"/>
    <w:rPr>
      <w:rFonts w:ascii="Arial" w:eastAsia="Arial" w:hAnsi="Arial" w:cs="Arial"/>
      <w:color w:val="000000"/>
      <w:sz w:val="24"/>
      <w:szCs w:val="24"/>
    </w:rPr>
  </w:style>
  <w:style w:type="paragraph" w:customStyle="1" w:styleId="HFRsubheading">
    <w:name w:val="HFR subheading"/>
    <w:basedOn w:val="HFRHeading2"/>
    <w:link w:val="HFRsubheadingChar"/>
    <w:qFormat/>
    <w:rsid w:val="00AD1F36"/>
    <w:rPr>
      <w:b/>
    </w:rPr>
  </w:style>
  <w:style w:type="character" w:customStyle="1" w:styleId="HFRsubheadingChar">
    <w:name w:val="HFR subheading Char"/>
    <w:basedOn w:val="HFRHeading2Char"/>
    <w:link w:val="HFRsubheading"/>
    <w:rsid w:val="00AD1F36"/>
    <w:rPr>
      <w:rFonts w:ascii="Arial" w:eastAsia="Arial" w:hAnsi="Arial" w:cs="Arial"/>
      <w:b/>
      <w:color w:val="000000"/>
      <w:sz w:val="24"/>
      <w:szCs w:val="24"/>
    </w:rPr>
  </w:style>
  <w:style w:type="paragraph" w:customStyle="1" w:styleId="HFRGuidanceNotes">
    <w:name w:val="HFR Guidance Notes"/>
    <w:basedOn w:val="Normal"/>
    <w:link w:val="HFRGuidanceNotesChar"/>
    <w:qFormat/>
    <w:rsid w:val="00AD1F36"/>
    <w:pPr>
      <w:widowControl w:val="0"/>
      <w:tabs>
        <w:tab w:val="left" w:pos="3261"/>
        <w:tab w:val="left" w:pos="3686"/>
      </w:tabs>
      <w:spacing w:before="60" w:after="60" w:line="240" w:lineRule="auto"/>
      <w:jc w:val="center"/>
    </w:pPr>
    <w:rPr>
      <w:rFonts w:ascii="Verdana" w:eastAsia="Verdana" w:hAnsi="Verdana" w:cs="Verdana"/>
      <w:color w:val="000000"/>
      <w:sz w:val="14"/>
      <w:szCs w:val="20"/>
    </w:rPr>
  </w:style>
  <w:style w:type="character" w:customStyle="1" w:styleId="HFRGuidanceNotesChar">
    <w:name w:val="HFR Guidance Notes Char"/>
    <w:basedOn w:val="DefaultParagraphFont"/>
    <w:link w:val="HFRGuidanceNotes"/>
    <w:rsid w:val="00AD1F36"/>
    <w:rPr>
      <w:rFonts w:ascii="Verdana" w:eastAsia="Verdana" w:hAnsi="Verdana" w:cs="Verdana"/>
      <w:color w:val="000000"/>
      <w:sz w:val="14"/>
      <w:szCs w:val="20"/>
    </w:rPr>
  </w:style>
  <w:style w:type="paragraph" w:customStyle="1" w:styleId="H1S1">
    <w:name w:val="H1 S1"/>
    <w:basedOn w:val="Heading1"/>
    <w:link w:val="H1S1Char"/>
    <w:qFormat/>
    <w:rsid w:val="00063B8C"/>
    <w:pPr>
      <w:numPr>
        <w:numId w:val="9"/>
      </w:numPr>
      <w:ind w:left="709" w:hanging="709"/>
    </w:pPr>
    <w:rPr>
      <w:rFonts w:ascii="Arial" w:hAnsi="Arial" w:cs="Arial"/>
      <w:color w:val="auto"/>
      <w:sz w:val="20"/>
      <w:szCs w:val="20"/>
    </w:rPr>
  </w:style>
  <w:style w:type="character" w:customStyle="1" w:styleId="Heading4Char">
    <w:name w:val="Heading 4 Char"/>
    <w:basedOn w:val="DefaultParagraphFont"/>
    <w:link w:val="Heading4"/>
    <w:uiPriority w:val="9"/>
    <w:semiHidden/>
    <w:rsid w:val="00137EDF"/>
    <w:rPr>
      <w:rFonts w:asciiTheme="majorHAnsi" w:eastAsiaTheme="majorEastAsia" w:hAnsiTheme="majorHAnsi" w:cstheme="majorBidi"/>
      <w:b/>
      <w:bCs/>
      <w:i/>
      <w:iCs/>
      <w:color w:val="4F81BD" w:themeColor="accent1"/>
    </w:rPr>
  </w:style>
  <w:style w:type="character" w:customStyle="1" w:styleId="H1S1Char">
    <w:name w:val="H1 S1 Char"/>
    <w:basedOn w:val="DefaultParagraphFont"/>
    <w:link w:val="H1S1"/>
    <w:rsid w:val="00063B8C"/>
    <w:rPr>
      <w:rFonts w:ascii="Arial" w:eastAsiaTheme="majorEastAsia" w:hAnsi="Arial" w:cs="Arial"/>
      <w:b/>
      <w:bCs/>
      <w:sz w:val="20"/>
      <w:szCs w:val="20"/>
    </w:rPr>
  </w:style>
  <w:style w:type="character" w:customStyle="1" w:styleId="Heading5Char">
    <w:name w:val="Heading 5 Char"/>
    <w:basedOn w:val="DefaultParagraphFont"/>
    <w:link w:val="Heading5"/>
    <w:uiPriority w:val="9"/>
    <w:semiHidden/>
    <w:rsid w:val="00137ED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37ED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37E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7ED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37EDF"/>
    <w:rPr>
      <w:rFonts w:asciiTheme="majorHAnsi" w:eastAsiaTheme="majorEastAsia" w:hAnsiTheme="majorHAnsi" w:cstheme="majorBidi"/>
      <w:i/>
      <w:iCs/>
      <w:color w:val="404040" w:themeColor="text1" w:themeTint="BF"/>
      <w:sz w:val="20"/>
      <w:szCs w:val="20"/>
    </w:rPr>
  </w:style>
  <w:style w:type="paragraph" w:customStyle="1" w:styleId="H1S10">
    <w:name w:val="H1S1"/>
    <w:basedOn w:val="A1-Lev1Clause"/>
    <w:link w:val="H1S1Char0"/>
    <w:rsid w:val="00373145"/>
  </w:style>
  <w:style w:type="paragraph" w:customStyle="1" w:styleId="H2S1">
    <w:name w:val="H2 S1"/>
    <w:basedOn w:val="Heading2"/>
    <w:link w:val="H2S1Char"/>
    <w:qFormat/>
    <w:rsid w:val="00063B8C"/>
    <w:pPr>
      <w:numPr>
        <w:numId w:val="9"/>
      </w:numPr>
      <w:spacing w:before="120" w:after="120"/>
      <w:ind w:left="709" w:hanging="709"/>
      <w:jc w:val="both"/>
    </w:pPr>
    <w:rPr>
      <w:rFonts w:ascii="Arial" w:hAnsi="Arial" w:cs="Arial"/>
      <w:b w:val="0"/>
      <w:color w:val="auto"/>
      <w:sz w:val="20"/>
      <w:szCs w:val="20"/>
    </w:rPr>
  </w:style>
  <w:style w:type="character" w:customStyle="1" w:styleId="H1S1Char0">
    <w:name w:val="H1S1 Char"/>
    <w:basedOn w:val="A1-Lev1ClauseChar"/>
    <w:link w:val="H1S10"/>
    <w:rsid w:val="00373145"/>
    <w:rPr>
      <w:rFonts w:ascii="Arial Bold" w:eastAsia="Times New Roman" w:hAnsi="Arial Bold" w:cs="Times New Roman"/>
      <w:b/>
      <w:spacing w:val="15"/>
      <w:sz w:val="20"/>
      <w:lang w:eastAsia="en-US"/>
    </w:rPr>
  </w:style>
  <w:style w:type="paragraph" w:customStyle="1" w:styleId="H3S1">
    <w:name w:val="H3S1"/>
    <w:basedOn w:val="Normal"/>
    <w:link w:val="H3S1Char"/>
    <w:qFormat/>
    <w:rsid w:val="00063B8C"/>
    <w:pPr>
      <w:numPr>
        <w:ilvl w:val="2"/>
        <w:numId w:val="9"/>
      </w:numPr>
      <w:spacing w:before="120" w:after="120"/>
      <w:ind w:left="1418" w:hanging="709"/>
      <w:jc w:val="both"/>
    </w:pPr>
    <w:rPr>
      <w:rFonts w:ascii="Arial" w:hAnsi="Arial" w:cs="Arial"/>
      <w:sz w:val="20"/>
      <w:szCs w:val="20"/>
    </w:rPr>
  </w:style>
  <w:style w:type="character" w:customStyle="1" w:styleId="H2S1Char">
    <w:name w:val="H2 S1 Char"/>
    <w:basedOn w:val="DefaultParagraphFont"/>
    <w:link w:val="H2S1"/>
    <w:rsid w:val="00063B8C"/>
    <w:rPr>
      <w:rFonts w:ascii="Arial" w:eastAsiaTheme="majorEastAsia" w:hAnsi="Arial" w:cs="Arial"/>
      <w:bCs/>
      <w:sz w:val="20"/>
      <w:szCs w:val="20"/>
    </w:rPr>
  </w:style>
  <w:style w:type="paragraph" w:customStyle="1" w:styleId="H4S1bullet">
    <w:name w:val="H4 S1 bullet"/>
    <w:basedOn w:val="ListParagraph"/>
    <w:link w:val="H4S1bulletChar"/>
    <w:qFormat/>
    <w:rsid w:val="00E515A2"/>
    <w:pPr>
      <w:numPr>
        <w:numId w:val="2"/>
      </w:numPr>
      <w:ind w:left="1985" w:hanging="567"/>
      <w:jc w:val="both"/>
    </w:pPr>
    <w:rPr>
      <w:rFonts w:ascii="Arial" w:hAnsi="Arial" w:cs="Arial"/>
      <w:sz w:val="20"/>
      <w:szCs w:val="20"/>
    </w:rPr>
  </w:style>
  <w:style w:type="character" w:customStyle="1" w:styleId="H3S1Char">
    <w:name w:val="H3S1 Char"/>
    <w:basedOn w:val="DefaultParagraphFont"/>
    <w:link w:val="H3S1"/>
    <w:rsid w:val="00063B8C"/>
    <w:rPr>
      <w:rFonts w:ascii="Arial" w:hAnsi="Arial" w:cs="Arial"/>
      <w:sz w:val="20"/>
      <w:szCs w:val="20"/>
    </w:rPr>
  </w:style>
  <w:style w:type="character" w:customStyle="1" w:styleId="ListParagraphChar">
    <w:name w:val="List Paragraph Char"/>
    <w:basedOn w:val="DefaultParagraphFont"/>
    <w:link w:val="ListParagraph"/>
    <w:uiPriority w:val="34"/>
    <w:rsid w:val="00E515A2"/>
  </w:style>
  <w:style w:type="character" w:customStyle="1" w:styleId="H4S1bulletChar">
    <w:name w:val="H4 S1 bullet Char"/>
    <w:basedOn w:val="ListParagraphChar"/>
    <w:link w:val="H4S1bullet"/>
    <w:rsid w:val="00E515A2"/>
    <w:rPr>
      <w:rFonts w:ascii="Arial" w:hAnsi="Arial" w:cs="Arial"/>
      <w:sz w:val="20"/>
      <w:szCs w:val="20"/>
    </w:rPr>
  </w:style>
  <w:style w:type="paragraph" w:customStyle="1" w:styleId="H1S1A">
    <w:name w:val="H1 S1A"/>
    <w:basedOn w:val="ListParagraph"/>
    <w:link w:val="H1S1AChar"/>
    <w:qFormat/>
    <w:rsid w:val="001F3667"/>
    <w:pPr>
      <w:numPr>
        <w:numId w:val="10"/>
      </w:numPr>
      <w:tabs>
        <w:tab w:val="left" w:pos="709"/>
      </w:tabs>
      <w:spacing w:before="240" w:after="120"/>
      <w:ind w:left="709" w:hanging="709"/>
      <w:jc w:val="both"/>
    </w:pPr>
    <w:rPr>
      <w:rFonts w:ascii="Arial" w:hAnsi="Arial" w:cs="Arial"/>
      <w:b/>
      <w:sz w:val="20"/>
      <w:szCs w:val="20"/>
    </w:rPr>
  </w:style>
  <w:style w:type="paragraph" w:customStyle="1" w:styleId="H2S1A">
    <w:name w:val="H2 S1A"/>
    <w:basedOn w:val="H1S1A"/>
    <w:link w:val="H2S1AChar"/>
    <w:qFormat/>
    <w:rsid w:val="001F3667"/>
    <w:pPr>
      <w:numPr>
        <w:ilvl w:val="1"/>
      </w:numPr>
      <w:ind w:left="709" w:hanging="709"/>
      <w:contextualSpacing w:val="0"/>
    </w:pPr>
    <w:rPr>
      <w:b w:val="0"/>
    </w:rPr>
  </w:style>
  <w:style w:type="character" w:customStyle="1" w:styleId="H1S1AChar">
    <w:name w:val="H1 S1A Char"/>
    <w:basedOn w:val="DefaultParagraphFont"/>
    <w:link w:val="H1S1A"/>
    <w:rsid w:val="001F3667"/>
    <w:rPr>
      <w:rFonts w:ascii="Arial" w:hAnsi="Arial" w:cs="Arial"/>
      <w:b/>
      <w:sz w:val="20"/>
      <w:szCs w:val="20"/>
    </w:rPr>
  </w:style>
  <w:style w:type="paragraph" w:customStyle="1" w:styleId="H3S1A">
    <w:name w:val="H3 S1A"/>
    <w:basedOn w:val="H2S1A"/>
    <w:link w:val="H3S1AChar"/>
    <w:qFormat/>
    <w:rsid w:val="001F3667"/>
    <w:pPr>
      <w:numPr>
        <w:ilvl w:val="2"/>
      </w:numPr>
      <w:tabs>
        <w:tab w:val="clear" w:pos="709"/>
        <w:tab w:val="left" w:pos="1418"/>
      </w:tabs>
      <w:spacing w:before="120"/>
      <w:ind w:left="1418" w:hanging="709"/>
    </w:pPr>
  </w:style>
  <w:style w:type="character" w:customStyle="1" w:styleId="H2S1AChar">
    <w:name w:val="H2 S1A Char"/>
    <w:basedOn w:val="DefaultParagraphFont"/>
    <w:link w:val="H2S1A"/>
    <w:rsid w:val="001F3667"/>
    <w:rPr>
      <w:rFonts w:ascii="Arial" w:hAnsi="Arial" w:cs="Arial"/>
      <w:sz w:val="20"/>
      <w:szCs w:val="20"/>
    </w:rPr>
  </w:style>
  <w:style w:type="paragraph" w:customStyle="1" w:styleId="H1S1B">
    <w:name w:val="H1 S1B"/>
    <w:basedOn w:val="Normal"/>
    <w:link w:val="H1S1BChar"/>
    <w:qFormat/>
    <w:rsid w:val="00226FDB"/>
    <w:pPr>
      <w:numPr>
        <w:numId w:val="1"/>
      </w:numPr>
      <w:spacing w:after="0" w:line="240" w:lineRule="auto"/>
      <w:contextualSpacing/>
    </w:pPr>
    <w:rPr>
      <w:rFonts w:ascii="Arial" w:eastAsia="Calibri" w:hAnsi="Arial" w:cs="Arial"/>
      <w:b/>
      <w:sz w:val="20"/>
      <w:szCs w:val="20"/>
      <w:lang w:eastAsia="en-US"/>
    </w:rPr>
  </w:style>
  <w:style w:type="character" w:customStyle="1" w:styleId="H3S1AChar">
    <w:name w:val="H3 S1A Char"/>
    <w:basedOn w:val="H2S1AChar"/>
    <w:link w:val="H3S1A"/>
    <w:rsid w:val="001F3667"/>
    <w:rPr>
      <w:rFonts w:ascii="Arial" w:hAnsi="Arial" w:cs="Arial"/>
      <w:sz w:val="20"/>
      <w:szCs w:val="20"/>
    </w:rPr>
  </w:style>
  <w:style w:type="paragraph" w:customStyle="1" w:styleId="H2S1B">
    <w:name w:val="H2 S1B"/>
    <w:basedOn w:val="ListParagraph"/>
    <w:link w:val="H2S1BChar"/>
    <w:qFormat/>
    <w:rsid w:val="00FA5FA8"/>
    <w:pPr>
      <w:numPr>
        <w:ilvl w:val="1"/>
        <w:numId w:val="1"/>
      </w:numPr>
      <w:spacing w:before="120" w:after="120" w:line="240" w:lineRule="auto"/>
      <w:contextualSpacing w:val="0"/>
    </w:pPr>
    <w:rPr>
      <w:rFonts w:ascii="Arial" w:eastAsia="Calibri" w:hAnsi="Arial" w:cs="Arial"/>
      <w:sz w:val="20"/>
      <w:szCs w:val="20"/>
      <w:lang w:eastAsia="en-US"/>
    </w:rPr>
  </w:style>
  <w:style w:type="character" w:customStyle="1" w:styleId="H1S1BChar">
    <w:name w:val="H1 S1B Char"/>
    <w:basedOn w:val="DefaultParagraphFont"/>
    <w:link w:val="H1S1B"/>
    <w:rsid w:val="00226FDB"/>
    <w:rPr>
      <w:rFonts w:ascii="Arial" w:eastAsia="Calibri" w:hAnsi="Arial" w:cs="Arial"/>
      <w:b/>
      <w:sz w:val="20"/>
      <w:szCs w:val="20"/>
      <w:lang w:eastAsia="en-US"/>
    </w:rPr>
  </w:style>
  <w:style w:type="paragraph" w:customStyle="1" w:styleId="H1S1C">
    <w:name w:val="H1 S1C"/>
    <w:basedOn w:val="Normal"/>
    <w:link w:val="H1S1CChar"/>
    <w:qFormat/>
    <w:rsid w:val="00FA5FA8"/>
    <w:pPr>
      <w:numPr>
        <w:numId w:val="11"/>
      </w:numPr>
      <w:spacing w:before="120" w:after="120" w:line="240" w:lineRule="auto"/>
      <w:ind w:left="709" w:hanging="709"/>
      <w:contextualSpacing/>
      <w:jc w:val="both"/>
    </w:pPr>
    <w:rPr>
      <w:rFonts w:ascii="Arial" w:eastAsia="Calibri" w:hAnsi="Arial" w:cs="Arial"/>
      <w:b/>
      <w:sz w:val="20"/>
      <w:szCs w:val="20"/>
      <w:lang w:eastAsia="en-US"/>
    </w:rPr>
  </w:style>
  <w:style w:type="character" w:customStyle="1" w:styleId="H2S1BChar">
    <w:name w:val="H2 S1B Char"/>
    <w:basedOn w:val="ListParagraphChar"/>
    <w:link w:val="H2S1B"/>
    <w:rsid w:val="00FA5FA8"/>
    <w:rPr>
      <w:rFonts w:ascii="Arial" w:eastAsia="Calibri" w:hAnsi="Arial" w:cs="Arial"/>
      <w:sz w:val="20"/>
      <w:szCs w:val="20"/>
      <w:lang w:eastAsia="en-US"/>
    </w:rPr>
  </w:style>
  <w:style w:type="paragraph" w:customStyle="1" w:styleId="H2S1C">
    <w:name w:val="H2 S1C"/>
    <w:basedOn w:val="ListParagraph"/>
    <w:link w:val="H2S1CChar"/>
    <w:qFormat/>
    <w:rsid w:val="00FA5FA8"/>
    <w:pPr>
      <w:numPr>
        <w:ilvl w:val="1"/>
        <w:numId w:val="11"/>
      </w:numPr>
      <w:spacing w:before="120" w:after="120" w:line="240" w:lineRule="auto"/>
      <w:ind w:left="709" w:hanging="709"/>
      <w:contextualSpacing w:val="0"/>
      <w:jc w:val="both"/>
    </w:pPr>
    <w:rPr>
      <w:rFonts w:ascii="Arial" w:eastAsia="Calibri" w:hAnsi="Arial" w:cs="Arial"/>
      <w:sz w:val="20"/>
      <w:szCs w:val="20"/>
      <w:lang w:eastAsia="en-US"/>
    </w:rPr>
  </w:style>
  <w:style w:type="character" w:customStyle="1" w:styleId="H1S1CChar">
    <w:name w:val="H1 S1C Char"/>
    <w:basedOn w:val="DefaultParagraphFont"/>
    <w:link w:val="H1S1C"/>
    <w:rsid w:val="00FA5FA8"/>
    <w:rPr>
      <w:rFonts w:ascii="Arial" w:eastAsia="Calibri" w:hAnsi="Arial" w:cs="Arial"/>
      <w:b/>
      <w:sz w:val="20"/>
      <w:szCs w:val="20"/>
      <w:lang w:eastAsia="en-US"/>
    </w:rPr>
  </w:style>
  <w:style w:type="paragraph" w:customStyle="1" w:styleId="H3S1C">
    <w:name w:val="H3 S1C"/>
    <w:basedOn w:val="H2S1C"/>
    <w:link w:val="H3S1CChar"/>
    <w:qFormat/>
    <w:rsid w:val="00FA5FA8"/>
    <w:pPr>
      <w:numPr>
        <w:ilvl w:val="2"/>
      </w:numPr>
      <w:ind w:left="1418" w:hanging="709"/>
    </w:pPr>
  </w:style>
  <w:style w:type="character" w:customStyle="1" w:styleId="H2S1CChar">
    <w:name w:val="H2 S1C Char"/>
    <w:basedOn w:val="ListParagraphChar"/>
    <w:link w:val="H2S1C"/>
    <w:rsid w:val="00FA5FA8"/>
    <w:rPr>
      <w:rFonts w:ascii="Arial" w:eastAsia="Calibri" w:hAnsi="Arial" w:cs="Arial"/>
      <w:sz w:val="20"/>
      <w:szCs w:val="20"/>
      <w:lang w:eastAsia="en-US"/>
    </w:rPr>
  </w:style>
  <w:style w:type="paragraph" w:customStyle="1" w:styleId="H1S1D">
    <w:name w:val="H1 S1D"/>
    <w:basedOn w:val="ListParagraph"/>
    <w:link w:val="H1S1DChar"/>
    <w:qFormat/>
    <w:rsid w:val="00CF0D66"/>
    <w:pPr>
      <w:numPr>
        <w:numId w:val="12"/>
      </w:numPr>
      <w:ind w:left="709" w:hanging="709"/>
    </w:pPr>
    <w:rPr>
      <w:rFonts w:ascii="Arial" w:hAnsi="Arial" w:cs="Arial"/>
      <w:b/>
      <w:sz w:val="20"/>
      <w:szCs w:val="20"/>
    </w:rPr>
  </w:style>
  <w:style w:type="character" w:customStyle="1" w:styleId="H3S1CChar">
    <w:name w:val="H3 S1C Char"/>
    <w:basedOn w:val="H2S1CChar"/>
    <w:link w:val="H3S1C"/>
    <w:rsid w:val="00FA5FA8"/>
    <w:rPr>
      <w:rFonts w:ascii="Arial" w:eastAsia="Calibri" w:hAnsi="Arial" w:cs="Arial"/>
      <w:sz w:val="20"/>
      <w:szCs w:val="20"/>
      <w:lang w:eastAsia="en-US"/>
    </w:rPr>
  </w:style>
  <w:style w:type="paragraph" w:customStyle="1" w:styleId="H2S1D">
    <w:name w:val="H2 S1D"/>
    <w:basedOn w:val="ListParagraph"/>
    <w:link w:val="H2S1DChar"/>
    <w:qFormat/>
    <w:rsid w:val="00CF0D66"/>
    <w:pPr>
      <w:widowControl w:val="0"/>
      <w:numPr>
        <w:ilvl w:val="1"/>
        <w:numId w:val="12"/>
      </w:numPr>
      <w:adjustRightInd w:val="0"/>
      <w:spacing w:before="120" w:after="120" w:line="240" w:lineRule="auto"/>
      <w:ind w:left="709" w:hanging="709"/>
      <w:contextualSpacing w:val="0"/>
      <w:jc w:val="both"/>
    </w:pPr>
    <w:rPr>
      <w:rFonts w:ascii="Arial" w:eastAsia="STZhongsong" w:hAnsi="Arial" w:cs="Arial"/>
      <w:sz w:val="20"/>
      <w:szCs w:val="20"/>
      <w:lang w:eastAsia="zh-CN"/>
    </w:rPr>
  </w:style>
  <w:style w:type="character" w:customStyle="1" w:styleId="H1S1DChar">
    <w:name w:val="H1 S1D Char"/>
    <w:basedOn w:val="ListParagraphChar"/>
    <w:link w:val="H1S1D"/>
    <w:rsid w:val="00CF0D66"/>
    <w:rPr>
      <w:rFonts w:ascii="Arial" w:hAnsi="Arial" w:cs="Arial"/>
      <w:b/>
      <w:sz w:val="20"/>
      <w:szCs w:val="20"/>
    </w:rPr>
  </w:style>
  <w:style w:type="paragraph" w:customStyle="1" w:styleId="H1S1F">
    <w:name w:val="H1 S1F"/>
    <w:basedOn w:val="ListParagraph"/>
    <w:link w:val="H1S1FChar"/>
    <w:qFormat/>
    <w:rsid w:val="00D85EFC"/>
    <w:pPr>
      <w:numPr>
        <w:numId w:val="13"/>
      </w:numPr>
      <w:spacing w:before="120" w:after="120"/>
      <w:ind w:left="709" w:hanging="709"/>
      <w:contextualSpacing w:val="0"/>
    </w:pPr>
    <w:rPr>
      <w:rFonts w:ascii="Arial" w:hAnsi="Arial" w:cs="Arial"/>
      <w:b/>
      <w:sz w:val="20"/>
      <w:szCs w:val="20"/>
    </w:rPr>
  </w:style>
  <w:style w:type="character" w:customStyle="1" w:styleId="H2S1DChar">
    <w:name w:val="H2 S1D Char"/>
    <w:basedOn w:val="ListParagraphChar"/>
    <w:link w:val="H2S1D"/>
    <w:rsid w:val="00CF0D66"/>
    <w:rPr>
      <w:rFonts w:ascii="Arial" w:eastAsia="STZhongsong" w:hAnsi="Arial" w:cs="Arial"/>
      <w:sz w:val="20"/>
      <w:szCs w:val="20"/>
      <w:lang w:eastAsia="zh-CN"/>
    </w:rPr>
  </w:style>
  <w:style w:type="paragraph" w:customStyle="1" w:styleId="H2S1F">
    <w:name w:val="H2 S1F"/>
    <w:basedOn w:val="ListParagraph"/>
    <w:link w:val="H2S1FChar"/>
    <w:qFormat/>
    <w:rsid w:val="00D85EFC"/>
    <w:pPr>
      <w:numPr>
        <w:ilvl w:val="1"/>
        <w:numId w:val="13"/>
      </w:numPr>
      <w:spacing w:before="120" w:after="120"/>
      <w:ind w:left="709" w:hanging="709"/>
      <w:contextualSpacing w:val="0"/>
      <w:jc w:val="both"/>
    </w:pPr>
    <w:rPr>
      <w:rFonts w:ascii="Arial" w:hAnsi="Arial" w:cs="Arial"/>
      <w:sz w:val="20"/>
      <w:szCs w:val="20"/>
    </w:rPr>
  </w:style>
  <w:style w:type="character" w:customStyle="1" w:styleId="H1S1FChar">
    <w:name w:val="H1 S1F Char"/>
    <w:basedOn w:val="ListParagraphChar"/>
    <w:link w:val="H1S1F"/>
    <w:rsid w:val="00D85EFC"/>
    <w:rPr>
      <w:rFonts w:ascii="Arial" w:hAnsi="Arial" w:cs="Arial"/>
      <w:b/>
      <w:sz w:val="20"/>
      <w:szCs w:val="20"/>
    </w:rPr>
  </w:style>
  <w:style w:type="paragraph" w:customStyle="1" w:styleId="H1S1G">
    <w:name w:val="H1 S1G"/>
    <w:basedOn w:val="ListParagraph"/>
    <w:link w:val="H1S1GChar"/>
    <w:qFormat/>
    <w:rsid w:val="00D85EFC"/>
    <w:pPr>
      <w:numPr>
        <w:numId w:val="14"/>
      </w:numPr>
      <w:autoSpaceDN w:val="0"/>
      <w:spacing w:after="0" w:line="240" w:lineRule="auto"/>
      <w:ind w:left="709" w:hanging="709"/>
      <w:jc w:val="both"/>
    </w:pPr>
    <w:rPr>
      <w:rFonts w:ascii="Arial" w:hAnsi="Arial" w:cs="Arial"/>
      <w:b/>
      <w:sz w:val="20"/>
      <w:szCs w:val="20"/>
    </w:rPr>
  </w:style>
  <w:style w:type="character" w:customStyle="1" w:styleId="H2S1FChar">
    <w:name w:val="H2 S1F Char"/>
    <w:basedOn w:val="ListParagraphChar"/>
    <w:link w:val="H2S1F"/>
    <w:rsid w:val="00D85EFC"/>
    <w:rPr>
      <w:rFonts w:ascii="Arial" w:hAnsi="Arial" w:cs="Arial"/>
      <w:sz w:val="20"/>
      <w:szCs w:val="20"/>
    </w:rPr>
  </w:style>
  <w:style w:type="paragraph" w:customStyle="1" w:styleId="H2S1G">
    <w:name w:val="H2 S1G"/>
    <w:basedOn w:val="H1S1G"/>
    <w:link w:val="H2S1GChar"/>
    <w:qFormat/>
    <w:rsid w:val="00D85EFC"/>
    <w:pPr>
      <w:numPr>
        <w:ilvl w:val="1"/>
      </w:numPr>
      <w:spacing w:before="120" w:after="120"/>
      <w:ind w:left="709" w:hanging="709"/>
      <w:contextualSpacing w:val="0"/>
    </w:pPr>
    <w:rPr>
      <w:rFonts w:eastAsia="Calibri"/>
      <w:b w:val="0"/>
      <w:lang w:eastAsia="en-US"/>
    </w:rPr>
  </w:style>
  <w:style w:type="character" w:customStyle="1" w:styleId="H1S1GChar">
    <w:name w:val="H1 S1G Char"/>
    <w:basedOn w:val="ListParagraphChar"/>
    <w:link w:val="H1S1G"/>
    <w:rsid w:val="00D85EFC"/>
    <w:rPr>
      <w:rFonts w:ascii="Arial" w:hAnsi="Arial" w:cs="Arial"/>
      <w:b/>
      <w:sz w:val="20"/>
      <w:szCs w:val="20"/>
    </w:rPr>
  </w:style>
  <w:style w:type="paragraph" w:customStyle="1" w:styleId="H3S1G">
    <w:name w:val="H3 S1G"/>
    <w:basedOn w:val="H2S1G"/>
    <w:link w:val="H3S1GChar"/>
    <w:qFormat/>
    <w:rsid w:val="00D85EFC"/>
    <w:pPr>
      <w:numPr>
        <w:ilvl w:val="2"/>
      </w:numPr>
      <w:ind w:left="1418" w:hanging="709"/>
    </w:pPr>
  </w:style>
  <w:style w:type="character" w:customStyle="1" w:styleId="H2S1GChar">
    <w:name w:val="H2 S1G Char"/>
    <w:basedOn w:val="H1S1GChar"/>
    <w:link w:val="H2S1G"/>
    <w:rsid w:val="00D85EFC"/>
    <w:rPr>
      <w:rFonts w:ascii="Arial" w:eastAsia="Calibri" w:hAnsi="Arial" w:cs="Arial"/>
      <w:b w:val="0"/>
      <w:sz w:val="20"/>
      <w:szCs w:val="20"/>
      <w:lang w:eastAsia="en-US"/>
    </w:rPr>
  </w:style>
  <w:style w:type="paragraph" w:customStyle="1" w:styleId="H1S3">
    <w:name w:val="H1 S3"/>
    <w:basedOn w:val="Style1"/>
    <w:link w:val="H1S3Char"/>
    <w:qFormat/>
    <w:rsid w:val="00E67004"/>
    <w:pPr>
      <w:numPr>
        <w:numId w:val="5"/>
      </w:numPr>
    </w:pPr>
    <w:rPr>
      <w:szCs w:val="20"/>
    </w:rPr>
  </w:style>
  <w:style w:type="character" w:customStyle="1" w:styleId="H3S1GChar">
    <w:name w:val="H3 S1G Char"/>
    <w:basedOn w:val="H2S1GChar"/>
    <w:link w:val="H3S1G"/>
    <w:rsid w:val="00D85EFC"/>
    <w:rPr>
      <w:rFonts w:ascii="Arial" w:eastAsia="Calibri" w:hAnsi="Arial" w:cs="Arial"/>
      <w:b w:val="0"/>
      <w:sz w:val="20"/>
      <w:szCs w:val="20"/>
      <w:lang w:eastAsia="en-US"/>
    </w:rPr>
  </w:style>
  <w:style w:type="paragraph" w:customStyle="1" w:styleId="H2S3">
    <w:name w:val="H2 S3"/>
    <w:basedOn w:val="Style2"/>
    <w:link w:val="H2S3Char"/>
    <w:qFormat/>
    <w:rsid w:val="00A74913"/>
    <w:pPr>
      <w:numPr>
        <w:ilvl w:val="1"/>
        <w:numId w:val="5"/>
      </w:numPr>
    </w:pPr>
    <w:rPr>
      <w:szCs w:val="20"/>
    </w:rPr>
  </w:style>
  <w:style w:type="character" w:customStyle="1" w:styleId="H1S3Char">
    <w:name w:val="H1 S3 Char"/>
    <w:basedOn w:val="Style1Char"/>
    <w:link w:val="H1S3"/>
    <w:rsid w:val="00E67004"/>
    <w:rPr>
      <w:rFonts w:ascii="Arial" w:eastAsia="Arial" w:hAnsi="Arial" w:cs="Arial"/>
      <w:b/>
      <w:color w:val="000000"/>
      <w:sz w:val="20"/>
      <w:szCs w:val="20"/>
    </w:rPr>
  </w:style>
  <w:style w:type="paragraph" w:customStyle="1" w:styleId="H3S3">
    <w:name w:val="H3 S3"/>
    <w:basedOn w:val="PartC3"/>
    <w:link w:val="H3S3Char"/>
    <w:qFormat/>
    <w:rsid w:val="00E67004"/>
    <w:pPr>
      <w:numPr>
        <w:ilvl w:val="2"/>
        <w:numId w:val="5"/>
      </w:numPr>
    </w:pPr>
  </w:style>
  <w:style w:type="character" w:customStyle="1" w:styleId="H2S3Char">
    <w:name w:val="H2 S3 Char"/>
    <w:basedOn w:val="Style2Char"/>
    <w:link w:val="H2S3"/>
    <w:rsid w:val="00A74913"/>
    <w:rPr>
      <w:rFonts w:ascii="Arial" w:eastAsia="Arial" w:hAnsi="Arial" w:cs="Arial"/>
      <w:color w:val="000000"/>
      <w:sz w:val="20"/>
      <w:szCs w:val="20"/>
    </w:rPr>
  </w:style>
  <w:style w:type="paragraph" w:customStyle="1" w:styleId="List1">
    <w:name w:val="List1"/>
    <w:basedOn w:val="PartC2"/>
    <w:link w:val="listChar"/>
    <w:qFormat/>
    <w:rsid w:val="004A523A"/>
    <w:pPr>
      <w:numPr>
        <w:numId w:val="7"/>
      </w:numPr>
      <w:spacing w:line="276" w:lineRule="auto"/>
      <w:ind w:left="1418" w:hanging="709"/>
    </w:pPr>
    <w:rPr>
      <w:color w:val="000000" w:themeColor="text1"/>
      <w:szCs w:val="20"/>
    </w:rPr>
  </w:style>
  <w:style w:type="character" w:customStyle="1" w:styleId="H3S3Char">
    <w:name w:val="H3 S3 Char"/>
    <w:basedOn w:val="PartC3Char"/>
    <w:link w:val="H3S3"/>
    <w:rsid w:val="00E67004"/>
    <w:rPr>
      <w:rFonts w:ascii="Arial" w:eastAsia="Arial" w:hAnsi="Arial" w:cs="Arial"/>
      <w:color w:val="000000"/>
      <w:sz w:val="20"/>
      <w:szCs w:val="24"/>
    </w:rPr>
  </w:style>
  <w:style w:type="paragraph" w:customStyle="1" w:styleId="H0S3">
    <w:name w:val="H0 S3"/>
    <w:basedOn w:val="PartC2"/>
    <w:link w:val="H0S3Char"/>
    <w:qFormat/>
    <w:rsid w:val="004A523A"/>
    <w:pPr>
      <w:spacing w:line="276" w:lineRule="auto"/>
    </w:pPr>
    <w:rPr>
      <w:b/>
      <w:szCs w:val="20"/>
    </w:rPr>
  </w:style>
  <w:style w:type="character" w:customStyle="1" w:styleId="listChar">
    <w:name w:val="list Char"/>
    <w:basedOn w:val="PartC2Char"/>
    <w:link w:val="List1"/>
    <w:rsid w:val="004A523A"/>
    <w:rPr>
      <w:rFonts w:ascii="Arial" w:eastAsia="Arial" w:hAnsi="Arial" w:cs="Arial"/>
      <w:color w:val="000000" w:themeColor="text1"/>
      <w:sz w:val="20"/>
      <w:szCs w:val="20"/>
    </w:rPr>
  </w:style>
  <w:style w:type="paragraph" w:customStyle="1" w:styleId="H1S8PC">
    <w:name w:val="H1 S8PC"/>
    <w:basedOn w:val="Normal"/>
    <w:link w:val="H1S8PCChar"/>
    <w:qFormat/>
    <w:rsid w:val="004A523A"/>
    <w:pPr>
      <w:numPr>
        <w:numId w:val="15"/>
      </w:numPr>
      <w:tabs>
        <w:tab w:val="left" w:pos="709"/>
      </w:tabs>
      <w:ind w:left="709" w:hanging="709"/>
      <w:jc w:val="both"/>
    </w:pPr>
    <w:rPr>
      <w:rFonts w:ascii="Arial" w:hAnsi="Arial" w:cs="Arial"/>
      <w:b/>
      <w:color w:val="000000"/>
      <w:sz w:val="20"/>
      <w:szCs w:val="20"/>
    </w:rPr>
  </w:style>
  <w:style w:type="character" w:customStyle="1" w:styleId="H0S3Char">
    <w:name w:val="H0 S3 Char"/>
    <w:basedOn w:val="PartC2Char"/>
    <w:link w:val="H0S3"/>
    <w:rsid w:val="004A523A"/>
    <w:rPr>
      <w:rFonts w:ascii="Arial" w:eastAsia="Arial" w:hAnsi="Arial" w:cs="Arial"/>
      <w:b/>
      <w:color w:val="000000"/>
      <w:sz w:val="20"/>
      <w:szCs w:val="20"/>
    </w:rPr>
  </w:style>
  <w:style w:type="paragraph" w:customStyle="1" w:styleId="H2S8PC">
    <w:name w:val="H2 S8PC"/>
    <w:basedOn w:val="ListParagraph"/>
    <w:link w:val="H2S8PCChar"/>
    <w:qFormat/>
    <w:rsid w:val="004A523A"/>
    <w:pPr>
      <w:numPr>
        <w:ilvl w:val="1"/>
        <w:numId w:val="15"/>
      </w:numPr>
      <w:spacing w:before="120" w:after="120"/>
      <w:ind w:left="709" w:hanging="709"/>
      <w:contextualSpacing w:val="0"/>
      <w:jc w:val="both"/>
    </w:pPr>
    <w:rPr>
      <w:rFonts w:ascii="Arial" w:hAnsi="Arial" w:cs="Arial"/>
      <w:color w:val="000000"/>
      <w:sz w:val="20"/>
      <w:szCs w:val="20"/>
    </w:rPr>
  </w:style>
  <w:style w:type="character" w:customStyle="1" w:styleId="H1S8PCChar">
    <w:name w:val="H1 S8PC Char"/>
    <w:basedOn w:val="DefaultParagraphFont"/>
    <w:link w:val="H1S8PC"/>
    <w:rsid w:val="004A523A"/>
    <w:rPr>
      <w:rFonts w:ascii="Arial" w:hAnsi="Arial" w:cs="Arial"/>
      <w:b/>
      <w:color w:val="000000"/>
      <w:sz w:val="20"/>
      <w:szCs w:val="20"/>
    </w:rPr>
  </w:style>
  <w:style w:type="paragraph" w:customStyle="1" w:styleId="bulletS8PC">
    <w:name w:val="bullet S8PC"/>
    <w:basedOn w:val="ListParagraph"/>
    <w:link w:val="bulletS8PCChar"/>
    <w:qFormat/>
    <w:rsid w:val="004A523A"/>
    <w:pPr>
      <w:numPr>
        <w:numId w:val="3"/>
      </w:numPr>
      <w:spacing w:before="60"/>
      <w:ind w:left="1418" w:hanging="709"/>
      <w:jc w:val="both"/>
    </w:pPr>
    <w:rPr>
      <w:rFonts w:ascii="Arial" w:hAnsi="Arial" w:cs="Arial"/>
      <w:color w:val="000000"/>
      <w:sz w:val="20"/>
      <w:szCs w:val="20"/>
    </w:rPr>
  </w:style>
  <w:style w:type="character" w:customStyle="1" w:styleId="H2S8PCChar">
    <w:name w:val="H2 S8PC Char"/>
    <w:basedOn w:val="ListParagraphChar"/>
    <w:link w:val="H2S8PC"/>
    <w:rsid w:val="004A523A"/>
    <w:rPr>
      <w:rFonts w:ascii="Arial" w:hAnsi="Arial" w:cs="Arial"/>
      <w:color w:val="000000"/>
      <w:sz w:val="20"/>
      <w:szCs w:val="20"/>
    </w:rPr>
  </w:style>
  <w:style w:type="paragraph" w:customStyle="1" w:styleId="H3S8PC">
    <w:name w:val="H3 S8PC"/>
    <w:basedOn w:val="H2S8PC"/>
    <w:link w:val="H3S8PCChar"/>
    <w:qFormat/>
    <w:rsid w:val="004A523A"/>
    <w:pPr>
      <w:numPr>
        <w:ilvl w:val="2"/>
      </w:numPr>
      <w:ind w:left="1418" w:hanging="709"/>
    </w:pPr>
  </w:style>
  <w:style w:type="character" w:customStyle="1" w:styleId="bulletS8PCChar">
    <w:name w:val="bullet S8PC Char"/>
    <w:basedOn w:val="ListParagraphChar"/>
    <w:link w:val="bulletS8PC"/>
    <w:rsid w:val="004A523A"/>
    <w:rPr>
      <w:rFonts w:ascii="Arial" w:hAnsi="Arial" w:cs="Arial"/>
      <w:color w:val="000000"/>
      <w:sz w:val="20"/>
      <w:szCs w:val="20"/>
    </w:rPr>
  </w:style>
  <w:style w:type="paragraph" w:customStyle="1" w:styleId="BulletH4">
    <w:name w:val="Bullet H4"/>
    <w:basedOn w:val="bulletS8PC"/>
    <w:link w:val="BulletH4Char"/>
    <w:qFormat/>
    <w:rsid w:val="00A74913"/>
    <w:pPr>
      <w:ind w:left="2127"/>
    </w:pPr>
  </w:style>
  <w:style w:type="character" w:customStyle="1" w:styleId="H3S8PCChar">
    <w:name w:val="H3 S8PC Char"/>
    <w:basedOn w:val="H2S8PCChar"/>
    <w:link w:val="H3S8PC"/>
    <w:rsid w:val="004A523A"/>
    <w:rPr>
      <w:rFonts w:ascii="Arial" w:hAnsi="Arial" w:cs="Arial"/>
      <w:color w:val="000000"/>
      <w:sz w:val="20"/>
      <w:szCs w:val="20"/>
    </w:rPr>
  </w:style>
  <w:style w:type="paragraph" w:customStyle="1" w:styleId="bulletindentS8PC">
    <w:name w:val="bullet indent S8PC"/>
    <w:basedOn w:val="bulletS8PC"/>
    <w:link w:val="bulletindentS8PCChar"/>
    <w:qFormat/>
    <w:rsid w:val="00A3399C"/>
    <w:pPr>
      <w:numPr>
        <w:ilvl w:val="1"/>
      </w:numPr>
      <w:ind w:left="2268" w:hanging="850"/>
    </w:pPr>
  </w:style>
  <w:style w:type="character" w:customStyle="1" w:styleId="BulletH4Char">
    <w:name w:val="Bullet H4 Char"/>
    <w:basedOn w:val="bulletS8PCChar"/>
    <w:link w:val="BulletH4"/>
    <w:rsid w:val="00A74913"/>
    <w:rPr>
      <w:rFonts w:ascii="Arial" w:hAnsi="Arial" w:cs="Arial"/>
      <w:color w:val="000000"/>
      <w:sz w:val="20"/>
      <w:szCs w:val="20"/>
    </w:rPr>
  </w:style>
  <w:style w:type="character" w:customStyle="1" w:styleId="bulletindentS8PCChar">
    <w:name w:val="bullet indent S8PC Char"/>
    <w:basedOn w:val="bulletS8PCChar"/>
    <w:link w:val="bulletindentS8PC"/>
    <w:rsid w:val="00A3399C"/>
    <w:rPr>
      <w:rFonts w:ascii="Arial" w:hAnsi="Arial" w:cs="Arial"/>
      <w:color w:val="000000"/>
      <w:sz w:val="20"/>
      <w:szCs w:val="20"/>
    </w:rPr>
  </w:style>
  <w:style w:type="paragraph" w:customStyle="1" w:styleId="MarginText">
    <w:name w:val="Margin Text"/>
    <w:basedOn w:val="Normal"/>
    <w:link w:val="MarginTextChar"/>
    <w:rsid w:val="00F35EB2"/>
    <w:pPr>
      <w:adjustRightInd w:val="0"/>
      <w:spacing w:after="240" w:line="240" w:lineRule="auto"/>
      <w:jc w:val="both"/>
    </w:pPr>
    <w:rPr>
      <w:rFonts w:ascii="Times New Roman" w:eastAsia="STZhongsong" w:hAnsi="Times New Roman" w:cs="Times New Roman"/>
      <w:szCs w:val="20"/>
      <w:lang w:eastAsia="zh-CN"/>
    </w:rPr>
  </w:style>
  <w:style w:type="paragraph" w:customStyle="1" w:styleId="SchHead">
    <w:name w:val="SchHead"/>
    <w:basedOn w:val="Normal"/>
    <w:next w:val="SchPart"/>
    <w:rsid w:val="00F35EB2"/>
    <w:pPr>
      <w:keepNext/>
      <w:numPr>
        <w:numId w:val="16"/>
      </w:numPr>
      <w:adjustRightInd w:val="0"/>
      <w:spacing w:after="240" w:line="240" w:lineRule="auto"/>
      <w:jc w:val="center"/>
      <w:outlineLvl w:val="0"/>
    </w:pPr>
    <w:rPr>
      <w:rFonts w:ascii="Times New Roman" w:eastAsia="STZhongsong" w:hAnsi="Times New Roman" w:cs="Times New Roman"/>
      <w:b/>
      <w:caps/>
      <w:szCs w:val="20"/>
      <w:lang w:eastAsia="zh-CN"/>
    </w:rPr>
  </w:style>
  <w:style w:type="character" w:customStyle="1" w:styleId="MarginTextChar">
    <w:name w:val="Margin Text Char"/>
    <w:link w:val="MarginText"/>
    <w:rsid w:val="00F35EB2"/>
    <w:rPr>
      <w:rFonts w:ascii="Times New Roman" w:eastAsia="STZhongsong" w:hAnsi="Times New Roman" w:cs="Times New Roman"/>
      <w:szCs w:val="20"/>
      <w:lang w:eastAsia="zh-CN"/>
    </w:rPr>
  </w:style>
  <w:style w:type="paragraph" w:customStyle="1" w:styleId="SchPart">
    <w:name w:val="SchPart"/>
    <w:basedOn w:val="Normal"/>
    <w:next w:val="MarginText"/>
    <w:rsid w:val="00F35EB2"/>
    <w:pPr>
      <w:keepNext/>
      <w:numPr>
        <w:ilvl w:val="1"/>
        <w:numId w:val="16"/>
      </w:numPr>
      <w:adjustRightInd w:val="0"/>
      <w:spacing w:after="240" w:line="240" w:lineRule="auto"/>
      <w:jc w:val="center"/>
      <w:outlineLvl w:val="1"/>
    </w:pPr>
    <w:rPr>
      <w:rFonts w:ascii="Times New Roman" w:eastAsia="STZhongsong" w:hAnsi="Times New Roman" w:cs="Times New Roman"/>
      <w:b/>
      <w:szCs w:val="20"/>
      <w:lang w:eastAsia="zh-CN"/>
    </w:rPr>
  </w:style>
  <w:style w:type="paragraph" w:customStyle="1" w:styleId="SchSection">
    <w:name w:val="SchSection"/>
    <w:basedOn w:val="Normal"/>
    <w:next w:val="MarginText"/>
    <w:rsid w:val="00F35EB2"/>
    <w:pPr>
      <w:keepNext/>
      <w:numPr>
        <w:ilvl w:val="2"/>
        <w:numId w:val="16"/>
      </w:numPr>
      <w:adjustRightInd w:val="0"/>
      <w:spacing w:after="240" w:line="240" w:lineRule="auto"/>
      <w:jc w:val="center"/>
      <w:outlineLvl w:val="2"/>
    </w:pPr>
    <w:rPr>
      <w:rFonts w:ascii="Times New Roman" w:eastAsia="STZhongsong" w:hAnsi="Times New Roman" w:cs="Times New Roman"/>
      <w:b/>
      <w:szCs w:val="20"/>
      <w:lang w:eastAsia="zh-CN"/>
    </w:rPr>
  </w:style>
  <w:style w:type="paragraph" w:customStyle="1" w:styleId="ScheduleL1">
    <w:name w:val="Schedule L1"/>
    <w:basedOn w:val="Normal"/>
    <w:rsid w:val="003A53D6"/>
    <w:pPr>
      <w:numPr>
        <w:numId w:val="17"/>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rsid w:val="003A53D6"/>
    <w:pPr>
      <w:numPr>
        <w:ilvl w:val="1"/>
        <w:numId w:val="17"/>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rsid w:val="003A53D6"/>
    <w:pPr>
      <w:numPr>
        <w:ilvl w:val="2"/>
        <w:numId w:val="17"/>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rsid w:val="003A53D6"/>
    <w:pPr>
      <w:numPr>
        <w:ilvl w:val="3"/>
        <w:numId w:val="17"/>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rsid w:val="003A53D6"/>
    <w:pPr>
      <w:numPr>
        <w:ilvl w:val="4"/>
        <w:numId w:val="17"/>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3A53D6"/>
    <w:pPr>
      <w:numPr>
        <w:ilvl w:val="5"/>
        <w:numId w:val="17"/>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rsid w:val="003A53D6"/>
    <w:pPr>
      <w:numPr>
        <w:ilvl w:val="6"/>
        <w:numId w:val="17"/>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rsid w:val="003A53D6"/>
    <w:pPr>
      <w:numPr>
        <w:ilvl w:val="7"/>
        <w:numId w:val="17"/>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rsid w:val="003A53D6"/>
    <w:pPr>
      <w:numPr>
        <w:ilvl w:val="8"/>
        <w:numId w:val="17"/>
      </w:numPr>
      <w:adjustRightInd w:val="0"/>
      <w:spacing w:after="240" w:line="240" w:lineRule="auto"/>
      <w:jc w:val="both"/>
      <w:outlineLvl w:val="8"/>
    </w:pPr>
    <w:rPr>
      <w:rFonts w:ascii="Times New Roman" w:eastAsia="STZhongsong" w:hAnsi="Times New Roman" w:cs="Times New Roman"/>
      <w:szCs w:val="20"/>
      <w:lang w:eastAsia="zh-CN"/>
    </w:rPr>
  </w:style>
  <w:style w:type="paragraph" w:styleId="NormalWeb">
    <w:name w:val="Normal (Web)"/>
    <w:basedOn w:val="Normal"/>
    <w:uiPriority w:val="99"/>
    <w:unhideWhenUsed/>
    <w:rsid w:val="007F75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87473">
      <w:bodyDiv w:val="1"/>
      <w:marLeft w:val="0"/>
      <w:marRight w:val="0"/>
      <w:marTop w:val="0"/>
      <w:marBottom w:val="0"/>
      <w:divBdr>
        <w:top w:val="none" w:sz="0" w:space="0" w:color="auto"/>
        <w:left w:val="none" w:sz="0" w:space="0" w:color="auto"/>
        <w:bottom w:val="none" w:sz="0" w:space="0" w:color="auto"/>
        <w:right w:val="none" w:sz="0" w:space="0" w:color="auto"/>
      </w:divBdr>
    </w:div>
    <w:div w:id="452331112">
      <w:bodyDiv w:val="1"/>
      <w:marLeft w:val="0"/>
      <w:marRight w:val="0"/>
      <w:marTop w:val="0"/>
      <w:marBottom w:val="0"/>
      <w:divBdr>
        <w:top w:val="none" w:sz="0" w:space="0" w:color="auto"/>
        <w:left w:val="none" w:sz="0" w:space="0" w:color="auto"/>
        <w:bottom w:val="none" w:sz="0" w:space="0" w:color="auto"/>
        <w:right w:val="none" w:sz="0" w:space="0" w:color="auto"/>
      </w:divBdr>
    </w:div>
    <w:div w:id="645743294">
      <w:bodyDiv w:val="1"/>
      <w:marLeft w:val="0"/>
      <w:marRight w:val="0"/>
      <w:marTop w:val="0"/>
      <w:marBottom w:val="0"/>
      <w:divBdr>
        <w:top w:val="none" w:sz="0" w:space="0" w:color="auto"/>
        <w:left w:val="none" w:sz="0" w:space="0" w:color="auto"/>
        <w:bottom w:val="none" w:sz="0" w:space="0" w:color="auto"/>
        <w:right w:val="none" w:sz="0" w:space="0" w:color="auto"/>
      </w:divBdr>
    </w:div>
    <w:div w:id="697045103">
      <w:bodyDiv w:val="1"/>
      <w:marLeft w:val="0"/>
      <w:marRight w:val="0"/>
      <w:marTop w:val="0"/>
      <w:marBottom w:val="0"/>
      <w:divBdr>
        <w:top w:val="none" w:sz="0" w:space="0" w:color="auto"/>
        <w:left w:val="none" w:sz="0" w:space="0" w:color="auto"/>
        <w:bottom w:val="none" w:sz="0" w:space="0" w:color="auto"/>
        <w:right w:val="none" w:sz="0" w:space="0" w:color="auto"/>
      </w:divBdr>
    </w:div>
    <w:div w:id="720246934">
      <w:bodyDiv w:val="1"/>
      <w:marLeft w:val="0"/>
      <w:marRight w:val="0"/>
      <w:marTop w:val="0"/>
      <w:marBottom w:val="0"/>
      <w:divBdr>
        <w:top w:val="none" w:sz="0" w:space="0" w:color="auto"/>
        <w:left w:val="none" w:sz="0" w:space="0" w:color="auto"/>
        <w:bottom w:val="none" w:sz="0" w:space="0" w:color="auto"/>
        <w:right w:val="none" w:sz="0" w:space="0" w:color="auto"/>
      </w:divBdr>
    </w:div>
    <w:div w:id="832649870">
      <w:bodyDiv w:val="1"/>
      <w:marLeft w:val="0"/>
      <w:marRight w:val="0"/>
      <w:marTop w:val="0"/>
      <w:marBottom w:val="0"/>
      <w:divBdr>
        <w:top w:val="none" w:sz="0" w:space="0" w:color="auto"/>
        <w:left w:val="none" w:sz="0" w:space="0" w:color="auto"/>
        <w:bottom w:val="none" w:sz="0" w:space="0" w:color="auto"/>
        <w:right w:val="none" w:sz="0" w:space="0" w:color="auto"/>
      </w:divBdr>
    </w:div>
    <w:div w:id="927083729">
      <w:bodyDiv w:val="1"/>
      <w:marLeft w:val="0"/>
      <w:marRight w:val="0"/>
      <w:marTop w:val="0"/>
      <w:marBottom w:val="0"/>
      <w:divBdr>
        <w:top w:val="none" w:sz="0" w:space="0" w:color="auto"/>
        <w:left w:val="none" w:sz="0" w:space="0" w:color="auto"/>
        <w:bottom w:val="none" w:sz="0" w:space="0" w:color="auto"/>
        <w:right w:val="none" w:sz="0" w:space="0" w:color="auto"/>
      </w:divBdr>
    </w:div>
    <w:div w:id="1717313640">
      <w:bodyDiv w:val="1"/>
      <w:marLeft w:val="0"/>
      <w:marRight w:val="0"/>
      <w:marTop w:val="0"/>
      <w:marBottom w:val="0"/>
      <w:divBdr>
        <w:top w:val="none" w:sz="0" w:space="0" w:color="auto"/>
        <w:left w:val="none" w:sz="0" w:space="0" w:color="auto"/>
        <w:bottom w:val="none" w:sz="0" w:space="0" w:color="auto"/>
        <w:right w:val="none" w:sz="0" w:space="0" w:color="auto"/>
      </w:divBdr>
    </w:div>
    <w:div w:id="1957758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rs.org.uk/standards/code_of_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ps.org.uk/news-and-policy/bps-code-human-research-ethics-2nd-edition-201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service-manual/service-standard"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planning-and-improving-research/policies-standards-legislation/uk-policy-framework-health-social-care-research"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2E37C18373E043B61928AB3A15D683" ma:contentTypeVersion="0" ma:contentTypeDescription="Create a new document." ma:contentTypeScope="" ma:versionID="ec1814db3783c284ee08818ae2dc3f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 xmlns="http://schemas.apple.com/cocoa/2006/metadata">
  <generator>CocoaOOXMLWriter/1348.17</generator>
</me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9CB0A-08AE-478F-922B-60E0D2059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A8283E-F925-425B-813F-59538592A6BB}">
  <ds:schemaRefs>
    <ds:schemaRef ds:uri="http://schemas.microsoft.com/sharepoint/v3/contenttype/forms"/>
  </ds:schemaRefs>
</ds:datastoreItem>
</file>

<file path=customXml/itemProps3.xml><?xml version="1.0" encoding="utf-8"?>
<ds:datastoreItem xmlns:ds="http://schemas.openxmlformats.org/officeDocument/2006/customXml" ds:itemID="{A8C582F3-CD4F-4BA7-8B7D-6482C36C0B24}">
  <ds:schemaRefs>
    <ds:schemaRef ds:uri="http://schemas.apple.com/cocoa/2006/metadata"/>
  </ds:schemaRefs>
</ds:datastoreItem>
</file>

<file path=customXml/itemProps4.xml><?xml version="1.0" encoding="utf-8"?>
<ds:datastoreItem xmlns:ds="http://schemas.openxmlformats.org/officeDocument/2006/customXml" ds:itemID="{11892D75-5C2D-45FC-B07B-8C5BBEA3ACCC}">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518D9576-CE8F-4DD1-AFF9-07E0B0AA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2075</Words>
  <Characters>11832</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STATEMENT OF WORK (SOW) including pricing arrangements and Key Staff</vt:lpstr>
      <vt:lpstr/>
      <vt:lpstr/>
      <vt:lpstr/>
      <vt:lpstr/>
      <vt:lpstr/>
      <vt:lpstr/>
      <vt:lpstr/>
      <vt:lpstr/>
      <vt:lpstr>Agreement of this Statement of Work</vt:lpstr>
    </vt:vector>
  </TitlesOfParts>
  <Company>Health &amp; Social Care Information Centre</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Wainwright</dc:creator>
  <cp:lastModifiedBy>James Owens</cp:lastModifiedBy>
  <cp:revision>3</cp:revision>
  <cp:lastPrinted>2016-07-07T15:17:00Z</cp:lastPrinted>
  <dcterms:created xsi:type="dcterms:W3CDTF">2018-06-07T13:40:00Z</dcterms:created>
  <dcterms:modified xsi:type="dcterms:W3CDTF">2018-06-07T13:42:00Z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b58154d4-ecf3-4032-85aa-9bbe1fdf8f24</vt:lpwstr>
  </property>
  <property fmtid="{D5CDD505-2E9C-101B-9397-08002B2CF9AE}" pid="3" name="ContentTypeId">
    <vt:lpwstr>0x010100E82E37C18373E043B61928AB3A15D683</vt:lpwstr>
  </property>
</Properties>
</file>