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CF16F" w14:textId="77777777" w:rsidR="007053A3" w:rsidRDefault="007053A3">
      <w:pPr>
        <w:keepNext/>
        <w:pBdr>
          <w:top w:val="nil"/>
          <w:left w:val="nil"/>
          <w:bottom w:val="nil"/>
          <w:right w:val="nil"/>
          <w:between w:val="nil"/>
        </w:pBdr>
        <w:spacing w:after="240" w:line="240" w:lineRule="auto"/>
        <w:rPr>
          <w:rFonts w:ascii="Arial" w:eastAsia="Arial" w:hAnsi="Arial" w:cs="Arial"/>
          <w:b/>
          <w:color w:val="000000"/>
          <w:sz w:val="36"/>
          <w:szCs w:val="36"/>
        </w:rPr>
      </w:pPr>
      <w:bookmarkStart w:id="0" w:name="_GoBack"/>
      <w:bookmarkEnd w:id="0"/>
    </w:p>
    <w:p w14:paraId="675CF170" w14:textId="77777777" w:rsidR="007053A3" w:rsidRDefault="007A5C1C">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Call-Off Schedule 14 (Service Levels)</w:t>
      </w:r>
    </w:p>
    <w:p w14:paraId="675CF171" w14:textId="77777777" w:rsidR="007053A3" w:rsidRDefault="007A5C1C">
      <w:pPr>
        <w:numPr>
          <w:ilvl w:val="0"/>
          <w:numId w:val="2"/>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675CF172" w14:textId="77777777" w:rsidR="007053A3" w:rsidRDefault="007A5C1C">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363" w:type="dxa"/>
        <w:tblInd w:w="959" w:type="dxa"/>
        <w:tblLayout w:type="fixed"/>
        <w:tblLook w:val="0400" w:firstRow="0" w:lastRow="0" w:firstColumn="0" w:lastColumn="0" w:noHBand="0" w:noVBand="1"/>
      </w:tblPr>
      <w:tblGrid>
        <w:gridCol w:w="2410"/>
        <w:gridCol w:w="5953"/>
      </w:tblGrid>
      <w:tr w:rsidR="007053A3" w14:paraId="675CF178" w14:textId="77777777">
        <w:tc>
          <w:tcPr>
            <w:tcW w:w="2410" w:type="dxa"/>
            <w:shd w:val="clear" w:color="auto" w:fill="auto"/>
          </w:tcPr>
          <w:p w14:paraId="675CF173" w14:textId="77777777" w:rsidR="007053A3" w:rsidRDefault="007053A3">
            <w:pPr>
              <w:pBdr>
                <w:top w:val="nil"/>
                <w:left w:val="nil"/>
                <w:bottom w:val="nil"/>
                <w:right w:val="nil"/>
                <w:between w:val="nil"/>
              </w:pBdr>
              <w:spacing w:after="120" w:line="240" w:lineRule="auto"/>
              <w:ind w:left="-108"/>
              <w:rPr>
                <w:rFonts w:ascii="Arial" w:eastAsia="Arial" w:hAnsi="Arial" w:cs="Arial"/>
                <w:b/>
                <w:color w:val="000000"/>
                <w:sz w:val="24"/>
                <w:szCs w:val="24"/>
              </w:rPr>
            </w:pPr>
          </w:p>
          <w:p w14:paraId="675CF174" w14:textId="77777777" w:rsidR="007053A3" w:rsidRDefault="007A5C1C">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“Critical Service Level Failure”</w:t>
            </w:r>
          </w:p>
          <w:p w14:paraId="675CF175" w14:textId="77777777" w:rsidR="007053A3" w:rsidRDefault="007053A3">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14:paraId="675CF176" w14:textId="77777777" w:rsidR="007053A3" w:rsidRDefault="007053A3">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p>
          <w:p w14:paraId="675CF177" w14:textId="77777777" w:rsidR="007053A3" w:rsidRDefault="007A5C1C">
            <w:pPr>
              <w:pBdr>
                <w:top w:val="nil"/>
                <w:left w:val="nil"/>
                <w:bottom w:val="nil"/>
                <w:right w:val="nil"/>
                <w:between w:val="nil"/>
              </w:pBdr>
              <w:tabs>
                <w:tab w:val="left" w:pos="-9"/>
                <w:tab w:val="left" w:pos="-179"/>
              </w:tabs>
              <w:spacing w:after="120" w:line="240" w:lineRule="auto"/>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7053A3" w14:paraId="675CF17B" w14:textId="77777777">
        <w:tc>
          <w:tcPr>
            <w:tcW w:w="2410" w:type="dxa"/>
            <w:shd w:val="clear" w:color="auto" w:fill="auto"/>
          </w:tcPr>
          <w:p w14:paraId="675CF179" w14:textId="77777777" w:rsidR="007053A3" w:rsidRDefault="007A5C1C">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shd w:val="clear" w:color="auto" w:fill="auto"/>
          </w:tcPr>
          <w:p w14:paraId="675CF17A" w14:textId="77777777" w:rsidR="007053A3" w:rsidRDefault="007A5C1C">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7053A3" w14:paraId="675CF17E" w14:textId="77777777">
        <w:trPr>
          <w:trHeight w:val="359"/>
        </w:trPr>
        <w:tc>
          <w:tcPr>
            <w:tcW w:w="2410" w:type="dxa"/>
            <w:shd w:val="clear" w:color="auto" w:fill="auto"/>
          </w:tcPr>
          <w:p w14:paraId="675CF17C" w14:textId="77777777" w:rsidR="007053A3" w:rsidRDefault="007A5C1C">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Credit Cap"</w:t>
            </w:r>
          </w:p>
        </w:tc>
        <w:tc>
          <w:tcPr>
            <w:tcW w:w="5953" w:type="dxa"/>
            <w:shd w:val="clear" w:color="auto" w:fill="auto"/>
          </w:tcPr>
          <w:p w14:paraId="675CF17D" w14:textId="77777777" w:rsidR="007053A3" w:rsidRDefault="007A5C1C">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7053A3" w14:paraId="675CF181" w14:textId="77777777">
        <w:tc>
          <w:tcPr>
            <w:tcW w:w="2410" w:type="dxa"/>
            <w:shd w:val="clear" w:color="auto" w:fill="auto"/>
          </w:tcPr>
          <w:p w14:paraId="675CF17F" w14:textId="77777777" w:rsidR="007053A3" w:rsidRDefault="007053A3">
            <w:pPr>
              <w:pBdr>
                <w:top w:val="nil"/>
                <w:left w:val="nil"/>
                <w:bottom w:val="nil"/>
                <w:right w:val="nil"/>
                <w:between w:val="nil"/>
              </w:pBdr>
              <w:spacing w:after="120" w:line="240" w:lineRule="auto"/>
              <w:ind w:left="-108"/>
              <w:rPr>
                <w:rFonts w:ascii="Arial" w:eastAsia="Arial" w:hAnsi="Arial" w:cs="Arial"/>
                <w:b/>
                <w:color w:val="000000"/>
                <w:sz w:val="24"/>
                <w:szCs w:val="24"/>
              </w:rPr>
            </w:pPr>
          </w:p>
        </w:tc>
        <w:tc>
          <w:tcPr>
            <w:tcW w:w="5953" w:type="dxa"/>
            <w:shd w:val="clear" w:color="auto" w:fill="auto"/>
          </w:tcPr>
          <w:p w14:paraId="675CF180" w14:textId="77777777" w:rsidR="007053A3" w:rsidRDefault="007053A3">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p>
        </w:tc>
      </w:tr>
      <w:tr w:rsidR="007053A3" w14:paraId="675CF184" w14:textId="77777777">
        <w:tc>
          <w:tcPr>
            <w:tcW w:w="2410" w:type="dxa"/>
            <w:shd w:val="clear" w:color="auto" w:fill="auto"/>
          </w:tcPr>
          <w:p w14:paraId="675CF182" w14:textId="77777777" w:rsidR="007053A3" w:rsidRDefault="007A5C1C">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shd w:val="clear" w:color="auto" w:fill="auto"/>
          </w:tcPr>
          <w:p w14:paraId="675CF183" w14:textId="77777777" w:rsidR="007053A3" w:rsidRDefault="007A5C1C">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7053A3" w14:paraId="675CF187" w14:textId="77777777">
        <w:tc>
          <w:tcPr>
            <w:tcW w:w="2410" w:type="dxa"/>
            <w:shd w:val="clear" w:color="auto" w:fill="auto"/>
          </w:tcPr>
          <w:p w14:paraId="675CF185" w14:textId="77777777" w:rsidR="007053A3" w:rsidRDefault="007A5C1C">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shd w:val="clear" w:color="auto" w:fill="auto"/>
          </w:tcPr>
          <w:p w14:paraId="675CF186" w14:textId="77777777" w:rsidR="007053A3" w:rsidRDefault="007A5C1C">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7053A3" w14:paraId="675CF18A" w14:textId="77777777">
        <w:tc>
          <w:tcPr>
            <w:tcW w:w="2410" w:type="dxa"/>
            <w:shd w:val="clear" w:color="auto" w:fill="auto"/>
          </w:tcPr>
          <w:p w14:paraId="675CF188" w14:textId="77777777" w:rsidR="007053A3" w:rsidRDefault="007A5C1C">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 Threshold"</w:t>
            </w:r>
          </w:p>
        </w:tc>
        <w:tc>
          <w:tcPr>
            <w:tcW w:w="5953" w:type="dxa"/>
            <w:shd w:val="clear" w:color="auto" w:fill="auto"/>
          </w:tcPr>
          <w:p w14:paraId="675CF189" w14:textId="77777777" w:rsidR="007053A3" w:rsidRDefault="007A5C1C">
            <w:pPr>
              <w:numPr>
                <w:ilvl w:val="0"/>
                <w:numId w:val="3"/>
              </w:numPr>
              <w:pBdr>
                <w:top w:val="nil"/>
                <w:left w:val="nil"/>
                <w:bottom w:val="nil"/>
                <w:right w:val="nil"/>
                <w:between w:val="nil"/>
              </w:pBdr>
              <w:tabs>
                <w:tab w:val="left" w:pos="-9"/>
                <w:tab w:val="left" w:pos="-179"/>
              </w:tabs>
              <w:spacing w:after="120" w:line="240" w:lineRule="auto"/>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w:t>
            </w:r>
          </w:p>
        </w:tc>
      </w:tr>
    </w:tbl>
    <w:p w14:paraId="675CF18B" w14:textId="77777777" w:rsidR="007053A3" w:rsidRDefault="007A5C1C">
      <w:pPr>
        <w:numPr>
          <w:ilvl w:val="0"/>
          <w:numId w:val="2"/>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Bold" w:eastAsia="Arial Bold" w:hAnsi="Arial Bold" w:cs="Arial Bold"/>
          <w:b/>
          <w:color w:val="000000"/>
          <w:sz w:val="24"/>
          <w:szCs w:val="24"/>
        </w:rPr>
        <w:t>What happens if you don’t meet the Service Levels</w:t>
      </w:r>
    </w:p>
    <w:p w14:paraId="675CF18C" w14:textId="77777777" w:rsidR="007053A3" w:rsidRDefault="007A5C1C">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shall at all times provide the Deliverables to meet or exceed the Service Level Performance Measure for each Service Level.</w:t>
      </w:r>
    </w:p>
    <w:p w14:paraId="675CF18D" w14:textId="77777777" w:rsidR="007053A3" w:rsidRDefault="007A5C1C">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675CF18E" w14:textId="77777777" w:rsidR="007053A3" w:rsidRDefault="007A5C1C">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675CF18F" w14:textId="77777777" w:rsidR="007053A3" w:rsidRDefault="007A5C1C">
      <w:pPr>
        <w:numPr>
          <w:ilvl w:val="1"/>
          <w:numId w:val="2"/>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 Service Credit shall be the Buyer’s exclusive financial remedy for a Service Level Failure except where:</w:t>
      </w:r>
    </w:p>
    <w:p w14:paraId="675CF190" w14:textId="77777777" w:rsidR="007053A3" w:rsidRDefault="007A5C1C">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Supplier has over the previous (twelve) 12 Month period exceeded the Service Credit Cap; and/or</w:t>
      </w:r>
    </w:p>
    <w:p w14:paraId="675CF191" w14:textId="77777777" w:rsidR="007053A3" w:rsidRDefault="007A5C1C">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Level Failure:</w:t>
      </w:r>
    </w:p>
    <w:p w14:paraId="675CF192" w14:textId="77777777" w:rsidR="007053A3" w:rsidRDefault="007A5C1C">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exceeds the relevant Service Level Threshold;</w:t>
      </w:r>
    </w:p>
    <w:p w14:paraId="675CF193" w14:textId="77777777" w:rsidR="007053A3" w:rsidRDefault="007A5C1C">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Supplier; </w:t>
      </w:r>
    </w:p>
    <w:p w14:paraId="675CF194" w14:textId="77777777" w:rsidR="007053A3" w:rsidRDefault="007A5C1C">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14:paraId="675CF195" w14:textId="77777777" w:rsidR="007053A3" w:rsidRDefault="007A5C1C">
      <w:pPr>
        <w:numPr>
          <w:ilvl w:val="3"/>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Buyer being required to make a compensation payment to one or more third parties; and/or</w:t>
      </w:r>
    </w:p>
    <w:p w14:paraId="675CF196" w14:textId="77777777" w:rsidR="007053A3" w:rsidRDefault="007A5C1C">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is entitled to or does terminate this Contract pursuant to Clause 10.4 (CCS and Buyer Termination Rights).</w:t>
      </w:r>
    </w:p>
    <w:p w14:paraId="675CF197" w14:textId="77777777" w:rsidR="007053A3" w:rsidRDefault="007A5C1C">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675CF198" w14:textId="77777777" w:rsidR="007053A3" w:rsidRDefault="007A5C1C">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675CF199" w14:textId="77777777" w:rsidR="007053A3" w:rsidRDefault="007A5C1C">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675CF19A" w14:textId="77777777" w:rsidR="007053A3" w:rsidRDefault="007A5C1C">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there is no change to the Service Credit Cap.</w:t>
      </w:r>
    </w:p>
    <w:p w14:paraId="675CF19B" w14:textId="77777777" w:rsidR="007053A3" w:rsidRDefault="007A5C1C">
      <w:pPr>
        <w:numPr>
          <w:ilvl w:val="0"/>
          <w:numId w:val="2"/>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14:paraId="675CF19C" w14:textId="77777777" w:rsidR="007053A3" w:rsidRDefault="007A5C1C">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14:paraId="675CF19D" w14:textId="77777777" w:rsidR="007053A3" w:rsidRDefault="007A5C1C">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Service Credits that would otherwise have accrued during the relevant Service Period shall not accrue; and</w:t>
      </w:r>
    </w:p>
    <w:p w14:paraId="675CF19E" w14:textId="77777777" w:rsidR="007053A3" w:rsidRDefault="007A5C1C">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14:paraId="675CF19F" w14:textId="77777777" w:rsidR="007053A3" w:rsidRDefault="007A5C1C">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675CF1A0" w14:textId="77777777" w:rsidR="007053A3" w:rsidRDefault="007053A3">
      <w:pPr>
        <w:pBdr>
          <w:top w:val="nil"/>
          <w:left w:val="nil"/>
          <w:bottom w:val="nil"/>
          <w:right w:val="nil"/>
          <w:between w:val="nil"/>
        </w:pBdr>
        <w:tabs>
          <w:tab w:val="left" w:pos="142"/>
        </w:tabs>
        <w:spacing w:before="240" w:after="120" w:line="240" w:lineRule="auto"/>
        <w:ind w:left="426" w:hanging="360"/>
        <w:rPr>
          <w:rFonts w:ascii="Arial" w:eastAsia="Arial" w:hAnsi="Arial" w:cs="Arial"/>
          <w:b/>
          <w:smallCaps/>
          <w:color w:val="000000"/>
          <w:sz w:val="24"/>
          <w:szCs w:val="24"/>
        </w:rPr>
      </w:pPr>
    </w:p>
    <w:p w14:paraId="675CF1A1" w14:textId="77777777" w:rsidR="007053A3" w:rsidRDefault="007A5C1C">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A: Service Levels and Service Credits </w:t>
      </w:r>
    </w:p>
    <w:p w14:paraId="675CF1A2" w14:textId="77777777" w:rsidR="007053A3" w:rsidRDefault="007A5C1C">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14:paraId="675CF1A3" w14:textId="77777777" w:rsidR="007053A3" w:rsidRDefault="007A5C1C">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14:paraId="675CF1A4" w14:textId="77777777" w:rsidR="007053A3" w:rsidRDefault="007A5C1C">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or fails to meet any Service Level Performance Measure; or</w:t>
      </w:r>
    </w:p>
    <w:p w14:paraId="675CF1A5" w14:textId="77777777" w:rsidR="007053A3" w:rsidRDefault="007A5C1C">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14:paraId="675CF1A6" w14:textId="77777777" w:rsidR="007053A3" w:rsidRDefault="007A5C1C">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675CF1A7" w14:textId="77777777" w:rsidR="007053A3" w:rsidRDefault="007A5C1C">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675CF1A8" w14:textId="77777777" w:rsidR="007053A3" w:rsidRDefault="007A5C1C">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Process; </w:t>
      </w:r>
    </w:p>
    <w:p w14:paraId="675CF1A9" w14:textId="77777777" w:rsidR="007053A3" w:rsidRDefault="007A5C1C">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14:paraId="675CF1AA" w14:textId="77777777" w:rsidR="007053A3" w:rsidRDefault="007A5C1C">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675CF1AB" w14:textId="77777777" w:rsidR="007053A3" w:rsidRDefault="007A5C1C">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Credits</w:t>
      </w:r>
    </w:p>
    <w:p w14:paraId="675CF1AC" w14:textId="77777777" w:rsidR="007053A3" w:rsidRDefault="007A5C1C">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675CF1AD" w14:textId="77777777" w:rsidR="007053A3" w:rsidRDefault="007A5C1C">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2DCCCB58" w14:textId="77777777" w:rsidR="00D3699F" w:rsidRDefault="00D3699F">
      <w:pPr>
        <w:keepNext/>
        <w:pBdr>
          <w:top w:val="nil"/>
          <w:left w:val="nil"/>
          <w:bottom w:val="nil"/>
          <w:right w:val="nil"/>
          <w:between w:val="nil"/>
        </w:pBdr>
        <w:spacing w:after="240" w:line="240" w:lineRule="auto"/>
        <w:rPr>
          <w:rFonts w:ascii="Arial Bold" w:eastAsia="Arial Bold" w:hAnsi="Arial Bold" w:cs="Arial Bold"/>
          <w:b/>
          <w:color w:val="000000"/>
          <w:sz w:val="36"/>
          <w:szCs w:val="36"/>
        </w:rPr>
        <w:sectPr w:rsidR="00D3699F">
          <w:headerReference w:type="default" r:id="rId12"/>
          <w:footerReference w:type="default" r:id="rId13"/>
          <w:footerReference w:type="first" r:id="rId14"/>
          <w:pgSz w:w="11906" w:h="16838"/>
          <w:pgMar w:top="1440" w:right="1440" w:bottom="1440" w:left="1440" w:header="709" w:footer="709" w:gutter="0"/>
          <w:pgNumType w:start="1"/>
          <w:cols w:space="720"/>
        </w:sectPr>
      </w:pPr>
    </w:p>
    <w:p w14:paraId="675CF1AE" w14:textId="494657EE" w:rsidR="007053A3" w:rsidRDefault="007A5C1C">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Annex A to Part A: Services Levels and Service Credits Table</w:t>
      </w:r>
    </w:p>
    <w:tbl>
      <w:tblPr>
        <w:tblStyle w:val="TableGrid"/>
        <w:tblW w:w="13950" w:type="dxa"/>
        <w:tblLook w:val="04A0" w:firstRow="1" w:lastRow="0" w:firstColumn="1" w:lastColumn="0" w:noHBand="0" w:noVBand="1"/>
      </w:tblPr>
      <w:tblGrid>
        <w:gridCol w:w="2753"/>
        <w:gridCol w:w="1637"/>
        <w:gridCol w:w="5604"/>
        <w:gridCol w:w="1284"/>
        <w:gridCol w:w="2672"/>
      </w:tblGrid>
      <w:tr w:rsidR="00440A23" w14:paraId="2979468F" w14:textId="77777777" w:rsidTr="00440A23">
        <w:tc>
          <w:tcPr>
            <w:tcW w:w="13950" w:type="dxa"/>
            <w:gridSpan w:val="5"/>
            <w:shd w:val="clear" w:color="auto" w:fill="BFBFBF" w:themeFill="background1" w:themeFillShade="BF"/>
          </w:tcPr>
          <w:p w14:paraId="3C412019" w14:textId="767CAFE9" w:rsidR="00440A23" w:rsidRDefault="00440A23" w:rsidP="00440A23">
            <w:pPr>
              <w:spacing w:before="120" w:after="120" w:line="276" w:lineRule="auto"/>
              <w:jc w:val="both"/>
              <w:rPr>
                <w:rFonts w:ascii="Arial" w:eastAsia="Arial Bold" w:hAnsi="Arial" w:cs="Arial"/>
                <w:bCs/>
                <w:color w:val="000000"/>
                <w:sz w:val="24"/>
                <w:szCs w:val="24"/>
              </w:rPr>
            </w:pPr>
            <w:r w:rsidRPr="00D3699F">
              <w:rPr>
                <w:rFonts w:ascii="Arial" w:eastAsia="Arial Bold" w:hAnsi="Arial" w:cs="Arial"/>
                <w:b/>
                <w:color w:val="000000"/>
                <w:sz w:val="28"/>
                <w:szCs w:val="28"/>
              </w:rPr>
              <w:t>Service Levels</w:t>
            </w:r>
          </w:p>
        </w:tc>
      </w:tr>
      <w:tr w:rsidR="00440A23" w14:paraId="5A45F367" w14:textId="77777777" w:rsidTr="00440A23">
        <w:tc>
          <w:tcPr>
            <w:tcW w:w="2753" w:type="dxa"/>
            <w:shd w:val="clear" w:color="auto" w:fill="BFBFBF" w:themeFill="background1" w:themeFillShade="BF"/>
            <w:vAlign w:val="center"/>
          </w:tcPr>
          <w:p w14:paraId="2C94AFDF" w14:textId="4AEFD500" w:rsidR="00440A23" w:rsidRDefault="00440A23" w:rsidP="00440A23">
            <w:pPr>
              <w:spacing w:before="120" w:after="120" w:line="276" w:lineRule="auto"/>
              <w:jc w:val="center"/>
              <w:rPr>
                <w:rFonts w:ascii="Arial" w:eastAsia="Arial Bold" w:hAnsi="Arial" w:cs="Arial"/>
                <w:bCs/>
                <w:color w:val="000000"/>
                <w:sz w:val="24"/>
                <w:szCs w:val="24"/>
              </w:rPr>
            </w:pPr>
            <w:r w:rsidRPr="00D3699F">
              <w:rPr>
                <w:rFonts w:ascii="Arial" w:eastAsia="Arial Bold" w:hAnsi="Arial" w:cs="Arial"/>
                <w:bCs/>
                <w:color w:val="000000"/>
                <w:sz w:val="24"/>
                <w:szCs w:val="24"/>
              </w:rPr>
              <w:t>Service Level Performance Criterion</w:t>
            </w:r>
          </w:p>
        </w:tc>
        <w:tc>
          <w:tcPr>
            <w:tcW w:w="1637" w:type="dxa"/>
            <w:shd w:val="clear" w:color="auto" w:fill="BFBFBF" w:themeFill="background1" w:themeFillShade="BF"/>
            <w:vAlign w:val="center"/>
          </w:tcPr>
          <w:p w14:paraId="5F2BC245" w14:textId="6DCB325F" w:rsidR="00440A23" w:rsidRDefault="00440A23" w:rsidP="00440A23">
            <w:pPr>
              <w:spacing w:before="120" w:after="120" w:line="276" w:lineRule="auto"/>
              <w:jc w:val="center"/>
              <w:rPr>
                <w:rFonts w:ascii="Arial" w:eastAsia="Arial Bold" w:hAnsi="Arial" w:cs="Arial"/>
                <w:bCs/>
                <w:color w:val="000000"/>
                <w:sz w:val="24"/>
                <w:szCs w:val="24"/>
              </w:rPr>
            </w:pPr>
            <w:r>
              <w:rPr>
                <w:rFonts w:ascii="Arial" w:eastAsia="Arial Bold" w:hAnsi="Arial" w:cs="Arial"/>
                <w:bCs/>
                <w:color w:val="000000"/>
                <w:sz w:val="24"/>
                <w:szCs w:val="24"/>
              </w:rPr>
              <w:t>Key Indicator</w:t>
            </w:r>
          </w:p>
        </w:tc>
        <w:tc>
          <w:tcPr>
            <w:tcW w:w="5604" w:type="dxa"/>
            <w:shd w:val="clear" w:color="auto" w:fill="BFBFBF" w:themeFill="background1" w:themeFillShade="BF"/>
            <w:vAlign w:val="center"/>
          </w:tcPr>
          <w:p w14:paraId="2CC8BD1D" w14:textId="27584A65" w:rsidR="00440A23" w:rsidRDefault="00440A23" w:rsidP="00440A23">
            <w:pPr>
              <w:spacing w:before="120" w:after="120" w:line="276" w:lineRule="auto"/>
              <w:jc w:val="center"/>
              <w:rPr>
                <w:rFonts w:ascii="Arial" w:eastAsia="Arial Bold" w:hAnsi="Arial" w:cs="Arial"/>
                <w:bCs/>
                <w:color w:val="000000"/>
                <w:sz w:val="24"/>
                <w:szCs w:val="24"/>
              </w:rPr>
            </w:pPr>
            <w:r>
              <w:rPr>
                <w:rFonts w:ascii="Arial" w:eastAsia="Arial Bold" w:hAnsi="Arial" w:cs="Arial"/>
                <w:bCs/>
                <w:color w:val="000000"/>
                <w:sz w:val="24"/>
                <w:szCs w:val="24"/>
              </w:rPr>
              <w:t>Service Level Performance Measure</w:t>
            </w:r>
          </w:p>
        </w:tc>
        <w:tc>
          <w:tcPr>
            <w:tcW w:w="1284" w:type="dxa"/>
            <w:shd w:val="clear" w:color="auto" w:fill="BFBFBF" w:themeFill="background1" w:themeFillShade="BF"/>
            <w:vAlign w:val="center"/>
          </w:tcPr>
          <w:p w14:paraId="2C0BD887" w14:textId="012ABD1E" w:rsidR="00440A23" w:rsidRDefault="00440A23" w:rsidP="00440A23">
            <w:pPr>
              <w:spacing w:before="120" w:after="120" w:line="276" w:lineRule="auto"/>
              <w:jc w:val="center"/>
              <w:rPr>
                <w:rFonts w:ascii="Arial" w:eastAsia="Arial Bold" w:hAnsi="Arial" w:cs="Arial"/>
                <w:bCs/>
                <w:color w:val="000000"/>
                <w:sz w:val="24"/>
                <w:szCs w:val="24"/>
              </w:rPr>
            </w:pPr>
            <w:r>
              <w:rPr>
                <w:rFonts w:ascii="Arial" w:eastAsia="Arial Bold" w:hAnsi="Arial" w:cs="Arial"/>
                <w:bCs/>
                <w:color w:val="000000"/>
                <w:sz w:val="24"/>
                <w:szCs w:val="24"/>
              </w:rPr>
              <w:t>Service Level Threshold</w:t>
            </w:r>
          </w:p>
        </w:tc>
        <w:tc>
          <w:tcPr>
            <w:tcW w:w="2672" w:type="dxa"/>
            <w:shd w:val="clear" w:color="auto" w:fill="BFBFBF" w:themeFill="background1" w:themeFillShade="BF"/>
            <w:vAlign w:val="center"/>
          </w:tcPr>
          <w:p w14:paraId="5D7E8876" w14:textId="5FA5D2C1" w:rsidR="00440A23" w:rsidRDefault="00440A23" w:rsidP="00440A23">
            <w:pPr>
              <w:spacing w:before="120" w:after="120" w:line="276" w:lineRule="auto"/>
              <w:jc w:val="center"/>
              <w:rPr>
                <w:rFonts w:ascii="Arial" w:eastAsia="Arial Bold" w:hAnsi="Arial" w:cs="Arial"/>
                <w:bCs/>
                <w:color w:val="000000"/>
                <w:sz w:val="24"/>
                <w:szCs w:val="24"/>
              </w:rPr>
            </w:pPr>
            <w:r>
              <w:rPr>
                <w:rFonts w:ascii="Arial" w:eastAsia="Arial Bold" w:hAnsi="Arial" w:cs="Arial"/>
                <w:bCs/>
                <w:color w:val="000000"/>
                <w:sz w:val="24"/>
                <w:szCs w:val="24"/>
              </w:rPr>
              <w:t>Service Credit for each Service Period</w:t>
            </w:r>
          </w:p>
        </w:tc>
      </w:tr>
      <w:tr w:rsidR="00440A23" w14:paraId="692E9F7B" w14:textId="77777777" w:rsidTr="00440A23">
        <w:tc>
          <w:tcPr>
            <w:tcW w:w="2753" w:type="dxa"/>
            <w:vAlign w:val="center"/>
          </w:tcPr>
          <w:p w14:paraId="48979CC5" w14:textId="79BCC9E5" w:rsidR="00440A23" w:rsidRDefault="00440A23" w:rsidP="00440A23">
            <w:pPr>
              <w:spacing w:before="120" w:after="120" w:line="276" w:lineRule="auto"/>
              <w:rPr>
                <w:rFonts w:ascii="Arial" w:eastAsia="Arial Bold" w:hAnsi="Arial" w:cs="Arial"/>
                <w:bCs/>
                <w:color w:val="000000"/>
                <w:sz w:val="24"/>
                <w:szCs w:val="24"/>
              </w:rPr>
            </w:pPr>
            <w:r w:rsidRPr="00D3699F">
              <w:rPr>
                <w:rFonts w:ascii="Arial" w:eastAsia="Arial Bold" w:hAnsi="Arial" w:cs="Arial"/>
                <w:bCs/>
                <w:color w:val="000000"/>
                <w:sz w:val="24"/>
                <w:szCs w:val="24"/>
              </w:rPr>
              <w:t>Communications - general</w:t>
            </w:r>
          </w:p>
        </w:tc>
        <w:tc>
          <w:tcPr>
            <w:tcW w:w="1637" w:type="dxa"/>
            <w:vAlign w:val="center"/>
          </w:tcPr>
          <w:p w14:paraId="7B66100C" w14:textId="5A9A4E13" w:rsidR="00440A23" w:rsidRDefault="00440A23" w:rsidP="00440A23">
            <w:pPr>
              <w:spacing w:before="120" w:after="120" w:line="276" w:lineRule="auto"/>
              <w:rPr>
                <w:rFonts w:ascii="Arial" w:eastAsia="Arial Bold" w:hAnsi="Arial" w:cs="Arial"/>
                <w:bCs/>
                <w:color w:val="000000"/>
                <w:sz w:val="24"/>
                <w:szCs w:val="24"/>
              </w:rPr>
            </w:pPr>
            <w:r>
              <w:rPr>
                <w:rFonts w:ascii="Arial" w:eastAsia="Arial Bold" w:hAnsi="Arial" w:cs="Arial"/>
                <w:bCs/>
                <w:color w:val="000000"/>
                <w:sz w:val="24"/>
                <w:szCs w:val="24"/>
              </w:rPr>
              <w:t>Timelines</w:t>
            </w:r>
          </w:p>
        </w:tc>
        <w:tc>
          <w:tcPr>
            <w:tcW w:w="5604" w:type="dxa"/>
            <w:vAlign w:val="center"/>
          </w:tcPr>
          <w:p w14:paraId="6CB220B7" w14:textId="77777777" w:rsidR="00440A23" w:rsidRPr="00D3699F" w:rsidRDefault="00440A23" w:rsidP="00440A23">
            <w:pPr>
              <w:spacing w:before="120" w:after="120"/>
              <w:jc w:val="both"/>
              <w:rPr>
                <w:rFonts w:ascii="Arial" w:eastAsia="Arial Bold" w:hAnsi="Arial" w:cs="Arial"/>
                <w:bCs/>
                <w:color w:val="000000"/>
                <w:sz w:val="24"/>
                <w:szCs w:val="24"/>
              </w:rPr>
            </w:pPr>
            <w:r w:rsidRPr="00D3699F">
              <w:rPr>
                <w:rFonts w:ascii="Arial" w:eastAsia="Arial Bold" w:hAnsi="Arial" w:cs="Arial"/>
                <w:bCs/>
                <w:color w:val="000000"/>
                <w:sz w:val="24"/>
                <w:szCs w:val="24"/>
              </w:rPr>
              <w:t xml:space="preserve">Response to requests and queries, not flagged as urgent or high importance, from Defra within 2-working days </w:t>
            </w:r>
          </w:p>
          <w:p w14:paraId="15829E70" w14:textId="089E0951" w:rsidR="00440A23" w:rsidRDefault="00440A23" w:rsidP="00440A23">
            <w:pPr>
              <w:spacing w:before="120" w:after="120" w:line="276" w:lineRule="auto"/>
              <w:rPr>
                <w:rFonts w:ascii="Arial" w:eastAsia="Arial Bold" w:hAnsi="Arial" w:cs="Arial"/>
                <w:bCs/>
                <w:color w:val="000000"/>
                <w:sz w:val="24"/>
                <w:szCs w:val="24"/>
              </w:rPr>
            </w:pPr>
            <w:r w:rsidRPr="00D3699F">
              <w:rPr>
                <w:rFonts w:ascii="Arial" w:eastAsia="Arial Bold" w:hAnsi="Arial" w:cs="Arial"/>
                <w:bCs/>
                <w:color w:val="000000"/>
                <w:sz w:val="24"/>
                <w:szCs w:val="24"/>
              </w:rPr>
              <w:t>This includes requests via email, telephone, face-to-face and any other communication method used by Defra</w:t>
            </w:r>
          </w:p>
        </w:tc>
        <w:tc>
          <w:tcPr>
            <w:tcW w:w="1284" w:type="dxa"/>
            <w:vAlign w:val="center"/>
          </w:tcPr>
          <w:p w14:paraId="4F04EEC0" w14:textId="31D80D37" w:rsidR="00440A23" w:rsidRDefault="00440A23" w:rsidP="00440A23">
            <w:pPr>
              <w:spacing w:before="120" w:after="120" w:line="276" w:lineRule="auto"/>
              <w:jc w:val="center"/>
              <w:rPr>
                <w:rFonts w:ascii="Arial" w:eastAsia="Arial Bold" w:hAnsi="Arial" w:cs="Arial"/>
                <w:bCs/>
                <w:color w:val="000000"/>
                <w:sz w:val="24"/>
                <w:szCs w:val="24"/>
              </w:rPr>
            </w:pPr>
            <w:r>
              <w:rPr>
                <w:rFonts w:ascii="Arial" w:eastAsia="Arial Bold" w:hAnsi="Arial" w:cs="Arial"/>
                <w:bCs/>
                <w:color w:val="000000"/>
                <w:sz w:val="24"/>
                <w:szCs w:val="24"/>
              </w:rPr>
              <w:t>100%</w:t>
            </w:r>
          </w:p>
        </w:tc>
        <w:tc>
          <w:tcPr>
            <w:tcW w:w="2672" w:type="dxa"/>
            <w:vAlign w:val="center"/>
          </w:tcPr>
          <w:p w14:paraId="0B482135" w14:textId="487FD7F0" w:rsidR="00440A23" w:rsidRDefault="00440A23" w:rsidP="00440A23">
            <w:pPr>
              <w:spacing w:before="120" w:after="120" w:line="276" w:lineRule="auto"/>
              <w:rPr>
                <w:rFonts w:ascii="Arial" w:eastAsia="Arial Bold" w:hAnsi="Arial" w:cs="Arial"/>
                <w:bCs/>
                <w:color w:val="000000"/>
                <w:sz w:val="24"/>
                <w:szCs w:val="24"/>
              </w:rPr>
            </w:pPr>
            <w:r>
              <w:rPr>
                <w:rFonts w:ascii="Arial" w:eastAsia="Arial" w:hAnsi="Arial" w:cs="Arial"/>
                <w:sz w:val="24"/>
                <w:szCs w:val="24"/>
              </w:rPr>
              <w:t>0.5% Service Credit gained for each percentage under the specified Service Level Performance Measure</w:t>
            </w:r>
          </w:p>
        </w:tc>
      </w:tr>
      <w:tr w:rsidR="00440A23" w14:paraId="72814A5F" w14:textId="77777777" w:rsidTr="00440A23">
        <w:tc>
          <w:tcPr>
            <w:tcW w:w="2753" w:type="dxa"/>
            <w:vAlign w:val="center"/>
          </w:tcPr>
          <w:p w14:paraId="3CA9187C" w14:textId="38AB189E" w:rsidR="00440A23" w:rsidRDefault="00440A23" w:rsidP="00440A23">
            <w:pPr>
              <w:spacing w:before="120" w:after="120" w:line="276" w:lineRule="auto"/>
              <w:rPr>
                <w:rFonts w:ascii="Arial" w:eastAsia="Arial Bold" w:hAnsi="Arial" w:cs="Arial"/>
                <w:bCs/>
                <w:color w:val="000000"/>
                <w:sz w:val="24"/>
                <w:szCs w:val="24"/>
              </w:rPr>
            </w:pPr>
            <w:r w:rsidRPr="00D3699F">
              <w:rPr>
                <w:rFonts w:ascii="Arial" w:eastAsia="Arial Bold" w:hAnsi="Arial" w:cs="Arial"/>
                <w:bCs/>
                <w:color w:val="000000"/>
                <w:sz w:val="24"/>
                <w:szCs w:val="24"/>
              </w:rPr>
              <w:t>Communications – urgent</w:t>
            </w:r>
          </w:p>
        </w:tc>
        <w:tc>
          <w:tcPr>
            <w:tcW w:w="1637" w:type="dxa"/>
            <w:vAlign w:val="center"/>
          </w:tcPr>
          <w:p w14:paraId="3E1D2EFB" w14:textId="16DC40BD" w:rsidR="00440A23" w:rsidRDefault="00440A23" w:rsidP="00440A23">
            <w:pPr>
              <w:spacing w:before="120" w:after="120" w:line="276" w:lineRule="auto"/>
              <w:rPr>
                <w:rFonts w:ascii="Arial" w:eastAsia="Arial Bold" w:hAnsi="Arial" w:cs="Arial"/>
                <w:bCs/>
                <w:color w:val="000000"/>
                <w:sz w:val="24"/>
                <w:szCs w:val="24"/>
              </w:rPr>
            </w:pPr>
            <w:r>
              <w:rPr>
                <w:rFonts w:ascii="Arial" w:eastAsia="Arial Bold" w:hAnsi="Arial" w:cs="Arial"/>
                <w:bCs/>
                <w:color w:val="000000"/>
                <w:sz w:val="24"/>
                <w:szCs w:val="24"/>
              </w:rPr>
              <w:t>Timelines</w:t>
            </w:r>
          </w:p>
        </w:tc>
        <w:tc>
          <w:tcPr>
            <w:tcW w:w="5604" w:type="dxa"/>
            <w:vAlign w:val="center"/>
          </w:tcPr>
          <w:p w14:paraId="00A0162C" w14:textId="1AAC5640" w:rsidR="00440A23" w:rsidRDefault="00440A23" w:rsidP="00440A23">
            <w:pPr>
              <w:spacing w:before="120" w:after="120" w:line="276" w:lineRule="auto"/>
              <w:rPr>
                <w:rFonts w:ascii="Arial" w:eastAsia="Arial Bold" w:hAnsi="Arial" w:cs="Arial"/>
                <w:bCs/>
                <w:color w:val="000000"/>
                <w:sz w:val="24"/>
                <w:szCs w:val="24"/>
              </w:rPr>
            </w:pPr>
            <w:r w:rsidRPr="00D3699F">
              <w:rPr>
                <w:rFonts w:ascii="Arial" w:eastAsia="Arial Bold" w:hAnsi="Arial" w:cs="Arial"/>
                <w:bCs/>
                <w:color w:val="000000"/>
                <w:sz w:val="24"/>
                <w:szCs w:val="24"/>
              </w:rPr>
              <w:t>Response to requests and queries, flagged as urgent or high importance within 2-hours.</w:t>
            </w:r>
          </w:p>
        </w:tc>
        <w:tc>
          <w:tcPr>
            <w:tcW w:w="1284" w:type="dxa"/>
            <w:vAlign w:val="center"/>
          </w:tcPr>
          <w:p w14:paraId="187F584C" w14:textId="60758294" w:rsidR="00440A23" w:rsidRDefault="00440A23" w:rsidP="00440A23">
            <w:pPr>
              <w:spacing w:before="120" w:after="120" w:line="276" w:lineRule="auto"/>
              <w:jc w:val="center"/>
              <w:rPr>
                <w:rFonts w:ascii="Arial" w:eastAsia="Arial Bold" w:hAnsi="Arial" w:cs="Arial"/>
                <w:bCs/>
                <w:color w:val="000000"/>
                <w:sz w:val="24"/>
                <w:szCs w:val="24"/>
              </w:rPr>
            </w:pPr>
            <w:r>
              <w:rPr>
                <w:rFonts w:ascii="Arial" w:eastAsia="Arial Bold" w:hAnsi="Arial" w:cs="Arial"/>
                <w:bCs/>
                <w:color w:val="000000"/>
                <w:sz w:val="24"/>
                <w:szCs w:val="24"/>
              </w:rPr>
              <w:t>95%</w:t>
            </w:r>
          </w:p>
        </w:tc>
        <w:tc>
          <w:tcPr>
            <w:tcW w:w="2672" w:type="dxa"/>
            <w:vAlign w:val="center"/>
          </w:tcPr>
          <w:p w14:paraId="686B2BEE" w14:textId="171F63DA" w:rsidR="00440A23" w:rsidRDefault="00440A23" w:rsidP="00440A23">
            <w:pPr>
              <w:spacing w:before="120" w:after="120" w:line="276" w:lineRule="auto"/>
              <w:rPr>
                <w:rFonts w:ascii="Arial" w:eastAsia="Arial Bold" w:hAnsi="Arial" w:cs="Arial"/>
                <w:bCs/>
                <w:color w:val="000000"/>
                <w:sz w:val="24"/>
                <w:szCs w:val="24"/>
              </w:rPr>
            </w:pPr>
            <w:r>
              <w:rPr>
                <w:rFonts w:ascii="Arial" w:eastAsia="Arial" w:hAnsi="Arial" w:cs="Arial"/>
                <w:sz w:val="24"/>
                <w:szCs w:val="24"/>
              </w:rPr>
              <w:t>0.5% Service Credit gained for each percentage under the specified Service Level Performance Measure</w:t>
            </w:r>
          </w:p>
        </w:tc>
      </w:tr>
      <w:tr w:rsidR="00440A23" w14:paraId="66594B81" w14:textId="77777777" w:rsidTr="00440A23">
        <w:tc>
          <w:tcPr>
            <w:tcW w:w="2753" w:type="dxa"/>
          </w:tcPr>
          <w:p w14:paraId="650F1F3D" w14:textId="129D08C1" w:rsidR="00440A23" w:rsidRDefault="00440A23" w:rsidP="00440A23">
            <w:pPr>
              <w:spacing w:before="120" w:after="120" w:line="276" w:lineRule="auto"/>
              <w:rPr>
                <w:rFonts w:ascii="Arial" w:eastAsia="Arial Bold" w:hAnsi="Arial" w:cs="Arial"/>
                <w:bCs/>
                <w:color w:val="000000"/>
                <w:sz w:val="24"/>
                <w:szCs w:val="24"/>
              </w:rPr>
            </w:pPr>
            <w:r>
              <w:rPr>
                <w:rFonts w:ascii="Arial" w:eastAsia="Arial Bold" w:hAnsi="Arial" w:cs="Arial"/>
                <w:bCs/>
                <w:color w:val="000000"/>
                <w:sz w:val="24"/>
                <w:szCs w:val="24"/>
              </w:rPr>
              <w:t>Candidates – post-sift</w:t>
            </w:r>
          </w:p>
        </w:tc>
        <w:tc>
          <w:tcPr>
            <w:tcW w:w="1637" w:type="dxa"/>
          </w:tcPr>
          <w:p w14:paraId="102E4366" w14:textId="3C40D380" w:rsidR="00440A23" w:rsidRDefault="00440A23" w:rsidP="00440A23">
            <w:pPr>
              <w:spacing w:before="120" w:after="120" w:line="276" w:lineRule="auto"/>
              <w:rPr>
                <w:rFonts w:ascii="Arial" w:eastAsia="Arial Bold" w:hAnsi="Arial" w:cs="Arial"/>
                <w:bCs/>
                <w:color w:val="000000"/>
                <w:sz w:val="24"/>
                <w:szCs w:val="24"/>
              </w:rPr>
            </w:pPr>
            <w:r>
              <w:rPr>
                <w:rFonts w:ascii="Arial" w:eastAsia="Arial Bold" w:hAnsi="Arial" w:cs="Arial"/>
                <w:bCs/>
                <w:color w:val="000000"/>
                <w:sz w:val="24"/>
                <w:szCs w:val="24"/>
              </w:rPr>
              <w:t>Delivery / Performance</w:t>
            </w:r>
          </w:p>
        </w:tc>
        <w:tc>
          <w:tcPr>
            <w:tcW w:w="5604" w:type="dxa"/>
          </w:tcPr>
          <w:p w14:paraId="59DC6A88" w14:textId="77777777" w:rsidR="00440A23" w:rsidRDefault="00440A23" w:rsidP="00440A23">
            <w:pPr>
              <w:spacing w:before="120" w:after="120" w:line="276" w:lineRule="auto"/>
              <w:rPr>
                <w:rFonts w:ascii="Arial" w:eastAsia="Arial Bold" w:hAnsi="Arial" w:cs="Arial"/>
                <w:bCs/>
                <w:color w:val="000000"/>
                <w:sz w:val="24"/>
                <w:szCs w:val="24"/>
              </w:rPr>
            </w:pPr>
          </w:p>
        </w:tc>
        <w:tc>
          <w:tcPr>
            <w:tcW w:w="1284" w:type="dxa"/>
            <w:vAlign w:val="center"/>
          </w:tcPr>
          <w:p w14:paraId="77EFD25F" w14:textId="59A114F2" w:rsidR="00440A23" w:rsidRDefault="00440A23" w:rsidP="00440A23">
            <w:pPr>
              <w:spacing w:before="120" w:after="120" w:line="276" w:lineRule="auto"/>
              <w:jc w:val="center"/>
              <w:rPr>
                <w:rFonts w:ascii="Arial" w:eastAsia="Arial Bold" w:hAnsi="Arial" w:cs="Arial"/>
                <w:bCs/>
                <w:color w:val="000000"/>
                <w:sz w:val="24"/>
                <w:szCs w:val="24"/>
              </w:rPr>
            </w:pPr>
            <w:r>
              <w:rPr>
                <w:rFonts w:ascii="Arial" w:eastAsia="Arial Bold" w:hAnsi="Arial" w:cs="Arial"/>
                <w:bCs/>
                <w:color w:val="000000"/>
                <w:sz w:val="24"/>
                <w:szCs w:val="24"/>
              </w:rPr>
              <w:t>90%</w:t>
            </w:r>
          </w:p>
        </w:tc>
        <w:tc>
          <w:tcPr>
            <w:tcW w:w="2672" w:type="dxa"/>
          </w:tcPr>
          <w:p w14:paraId="46668717" w14:textId="53878766" w:rsidR="00440A23" w:rsidRDefault="00440A23" w:rsidP="00440A23">
            <w:pPr>
              <w:spacing w:before="120" w:after="120" w:line="276" w:lineRule="auto"/>
              <w:rPr>
                <w:rFonts w:ascii="Arial" w:eastAsia="Arial Bold" w:hAnsi="Arial" w:cs="Arial"/>
                <w:bCs/>
                <w:color w:val="000000"/>
                <w:sz w:val="24"/>
                <w:szCs w:val="24"/>
              </w:rPr>
            </w:pPr>
            <w:r>
              <w:rPr>
                <w:rFonts w:ascii="Arial" w:eastAsia="Arial" w:hAnsi="Arial" w:cs="Arial"/>
                <w:sz w:val="24"/>
                <w:szCs w:val="24"/>
              </w:rPr>
              <w:t>0.5% Service Credit gained for each percentage under the specified Service Level Performance Measure</w:t>
            </w:r>
          </w:p>
        </w:tc>
      </w:tr>
      <w:tr w:rsidR="00440A23" w14:paraId="112EEB50" w14:textId="77777777" w:rsidTr="00440A23">
        <w:tc>
          <w:tcPr>
            <w:tcW w:w="2753" w:type="dxa"/>
            <w:vAlign w:val="center"/>
          </w:tcPr>
          <w:p w14:paraId="7577EC30" w14:textId="4CB86009" w:rsidR="00D3699F" w:rsidRPr="00D3699F" w:rsidRDefault="00D3699F" w:rsidP="00D3699F">
            <w:pPr>
              <w:keepNext/>
              <w:spacing w:before="120" w:after="120"/>
              <w:jc w:val="both"/>
              <w:rPr>
                <w:rFonts w:ascii="Arial" w:eastAsia="Arial Bold" w:hAnsi="Arial" w:cs="Arial"/>
                <w:bCs/>
                <w:color w:val="000000"/>
                <w:sz w:val="24"/>
                <w:szCs w:val="24"/>
              </w:rPr>
            </w:pPr>
            <w:r>
              <w:rPr>
                <w:rFonts w:ascii="Arial" w:eastAsia="Arial" w:hAnsi="Arial" w:cs="Arial"/>
                <w:sz w:val="24"/>
                <w:szCs w:val="24"/>
              </w:rPr>
              <w:lastRenderedPageBreak/>
              <w:t>Accurate and timely billing of Buyer</w:t>
            </w:r>
          </w:p>
        </w:tc>
        <w:tc>
          <w:tcPr>
            <w:tcW w:w="1637" w:type="dxa"/>
            <w:vAlign w:val="center"/>
          </w:tcPr>
          <w:p w14:paraId="14ACF3A3" w14:textId="49437263" w:rsidR="00D3699F" w:rsidRPr="00D3699F" w:rsidRDefault="00D3699F" w:rsidP="00D3699F">
            <w:pPr>
              <w:spacing w:after="120"/>
              <w:ind w:left="95"/>
              <w:rPr>
                <w:rFonts w:ascii="Arial" w:eastAsia="Arial" w:hAnsi="Arial" w:cs="Arial"/>
                <w:sz w:val="24"/>
                <w:szCs w:val="24"/>
              </w:rPr>
            </w:pPr>
            <w:r>
              <w:rPr>
                <w:rFonts w:ascii="Arial" w:eastAsia="Arial" w:hAnsi="Arial" w:cs="Arial"/>
                <w:sz w:val="24"/>
                <w:szCs w:val="24"/>
              </w:rPr>
              <w:t>Accuracy /</w:t>
            </w:r>
            <w:r w:rsidR="00110E86">
              <w:rPr>
                <w:rFonts w:ascii="Arial" w:eastAsia="Arial" w:hAnsi="Arial" w:cs="Arial"/>
                <w:sz w:val="24"/>
                <w:szCs w:val="24"/>
              </w:rPr>
              <w:t xml:space="preserve"> </w:t>
            </w:r>
            <w:r>
              <w:rPr>
                <w:rFonts w:ascii="Arial" w:eastAsia="Arial" w:hAnsi="Arial" w:cs="Arial"/>
                <w:sz w:val="24"/>
                <w:szCs w:val="24"/>
              </w:rPr>
              <w:t>Timelines</w:t>
            </w:r>
          </w:p>
        </w:tc>
        <w:tc>
          <w:tcPr>
            <w:tcW w:w="5604" w:type="dxa"/>
            <w:vAlign w:val="center"/>
          </w:tcPr>
          <w:p w14:paraId="69FD3007" w14:textId="7EBBF8D3" w:rsidR="00D3699F" w:rsidRDefault="001725F4" w:rsidP="00D3699F">
            <w:pPr>
              <w:keepNext/>
              <w:spacing w:before="120" w:after="120"/>
              <w:jc w:val="both"/>
              <w:rPr>
                <w:rFonts w:ascii="Arial" w:eastAsia="Arial Bold" w:hAnsi="Arial" w:cs="Arial"/>
                <w:bCs/>
                <w:color w:val="000000"/>
                <w:sz w:val="24"/>
                <w:szCs w:val="24"/>
              </w:rPr>
            </w:pPr>
            <w:r>
              <w:rPr>
                <w:rFonts w:ascii="Arial" w:eastAsia="Arial Bold" w:hAnsi="Arial" w:cs="Arial"/>
                <w:bCs/>
                <w:color w:val="000000"/>
                <w:sz w:val="24"/>
                <w:szCs w:val="24"/>
              </w:rPr>
              <w:t xml:space="preserve">Invoices to the Buyer are accurate and received within </w:t>
            </w:r>
            <w:r w:rsidR="007A5C1C">
              <w:rPr>
                <w:rFonts w:ascii="Arial" w:eastAsia="Arial Bold" w:hAnsi="Arial" w:cs="Arial"/>
                <w:bCs/>
                <w:color w:val="000000"/>
                <w:sz w:val="24"/>
                <w:szCs w:val="24"/>
              </w:rPr>
              <w:t>7</w:t>
            </w:r>
            <w:r>
              <w:rPr>
                <w:rFonts w:ascii="Arial" w:eastAsia="Arial Bold" w:hAnsi="Arial" w:cs="Arial"/>
                <w:bCs/>
                <w:color w:val="000000"/>
                <w:sz w:val="24"/>
                <w:szCs w:val="24"/>
              </w:rPr>
              <w:t xml:space="preserve"> days</w:t>
            </w:r>
            <w:r w:rsidR="007A5C1C">
              <w:rPr>
                <w:rFonts w:ascii="Arial" w:eastAsia="Arial Bold" w:hAnsi="Arial" w:cs="Arial"/>
                <w:bCs/>
                <w:color w:val="000000"/>
                <w:sz w:val="24"/>
                <w:szCs w:val="24"/>
              </w:rPr>
              <w:t>.</w:t>
            </w:r>
          </w:p>
          <w:p w14:paraId="4A0B73FB" w14:textId="430A3DBB" w:rsidR="001725F4" w:rsidRPr="00D3699F" w:rsidRDefault="001725F4" w:rsidP="00D3699F">
            <w:pPr>
              <w:keepNext/>
              <w:spacing w:before="120" w:after="120"/>
              <w:jc w:val="both"/>
              <w:rPr>
                <w:rFonts w:ascii="Arial" w:eastAsia="Arial Bold" w:hAnsi="Arial" w:cs="Arial"/>
                <w:bCs/>
                <w:color w:val="000000"/>
                <w:sz w:val="24"/>
                <w:szCs w:val="24"/>
              </w:rPr>
            </w:pPr>
            <w:r>
              <w:rPr>
                <w:rFonts w:ascii="Arial" w:eastAsia="Arial Bold" w:hAnsi="Arial" w:cs="Arial"/>
                <w:bCs/>
                <w:color w:val="000000"/>
                <w:sz w:val="24"/>
                <w:szCs w:val="24"/>
              </w:rPr>
              <w:t>1% of error is 1 working day or the error in the invoice of the amount up to £100</w:t>
            </w:r>
          </w:p>
        </w:tc>
        <w:tc>
          <w:tcPr>
            <w:tcW w:w="1284" w:type="dxa"/>
            <w:vAlign w:val="center"/>
          </w:tcPr>
          <w:p w14:paraId="346D2DC4" w14:textId="47F06951" w:rsidR="00D3699F" w:rsidRDefault="00D3699F" w:rsidP="00440A23">
            <w:pPr>
              <w:keepNext/>
              <w:spacing w:before="120" w:after="120"/>
              <w:jc w:val="center"/>
              <w:rPr>
                <w:rFonts w:ascii="Arial" w:eastAsia="Arial Bold" w:hAnsi="Arial" w:cs="Arial"/>
                <w:bCs/>
                <w:color w:val="000000"/>
                <w:sz w:val="24"/>
                <w:szCs w:val="24"/>
              </w:rPr>
            </w:pPr>
            <w:r>
              <w:rPr>
                <w:rFonts w:ascii="Arial" w:eastAsia="Arial Bold" w:hAnsi="Arial" w:cs="Arial"/>
                <w:bCs/>
                <w:color w:val="000000"/>
                <w:sz w:val="24"/>
                <w:szCs w:val="24"/>
              </w:rPr>
              <w:t>98%</w:t>
            </w:r>
          </w:p>
        </w:tc>
        <w:tc>
          <w:tcPr>
            <w:tcW w:w="2672" w:type="dxa"/>
            <w:vAlign w:val="center"/>
          </w:tcPr>
          <w:p w14:paraId="5B8179EA" w14:textId="7BB7FD13" w:rsidR="00D3699F" w:rsidRDefault="00D3699F" w:rsidP="00D3699F">
            <w:pPr>
              <w:keepNext/>
              <w:spacing w:before="120" w:after="120"/>
              <w:jc w:val="both"/>
              <w:rPr>
                <w:rFonts w:ascii="Arial" w:eastAsia="Arial Bold" w:hAnsi="Arial" w:cs="Arial"/>
                <w:bCs/>
                <w:color w:val="000000"/>
                <w:sz w:val="24"/>
                <w:szCs w:val="24"/>
              </w:rPr>
            </w:pPr>
            <w:r>
              <w:rPr>
                <w:rFonts w:ascii="Arial" w:eastAsia="Arial" w:hAnsi="Arial" w:cs="Arial"/>
                <w:sz w:val="24"/>
                <w:szCs w:val="24"/>
              </w:rPr>
              <w:t>0.5% Service Credit gained for each percentage under the specified Service Level Performance Measure</w:t>
            </w:r>
          </w:p>
        </w:tc>
      </w:tr>
    </w:tbl>
    <w:p w14:paraId="675CF1D4" w14:textId="0A37668E" w:rsidR="007053A3" w:rsidRDefault="007A5C1C" w:rsidP="00110E86">
      <w:pPr>
        <w:rPr>
          <w:rFonts w:ascii="Arial" w:eastAsia="Arial" w:hAnsi="Arial" w:cs="Arial"/>
          <w:sz w:val="24"/>
          <w:szCs w:val="24"/>
        </w:rPr>
      </w:pPr>
      <w:r>
        <w:rPr>
          <w:rFonts w:ascii="Arial" w:eastAsia="Arial" w:hAnsi="Arial" w:cs="Arial"/>
          <w:sz w:val="24"/>
          <w:szCs w:val="24"/>
        </w:rPr>
        <w:t xml:space="preserve">The Service Credits shall be calculated </w:t>
      </w:r>
      <w:r w:rsidR="00110E86">
        <w:rPr>
          <w:rFonts w:ascii="Arial" w:eastAsia="Arial" w:hAnsi="Arial" w:cs="Arial"/>
          <w:sz w:val="24"/>
          <w:szCs w:val="24"/>
        </w:rPr>
        <w:t>based on</w:t>
      </w:r>
      <w:r>
        <w:rPr>
          <w:rFonts w:ascii="Arial" w:eastAsia="Arial" w:hAnsi="Arial" w:cs="Arial"/>
          <w:sz w:val="24"/>
          <w:szCs w:val="24"/>
        </w:rPr>
        <w:t xml:space="preserve"> the following formula:</w:t>
      </w:r>
    </w:p>
    <w:p w14:paraId="0A65FEBA" w14:textId="0888DB06" w:rsidR="00110E86" w:rsidRDefault="00110E86" w:rsidP="00110E86">
      <w:pPr>
        <w:rPr>
          <w:rFonts w:ascii="Arial" w:eastAsia="Arial" w:hAnsi="Arial" w:cs="Arial"/>
          <w:sz w:val="24"/>
          <w:szCs w:val="24"/>
        </w:rPr>
      </w:pPr>
      <w:r>
        <w:rPr>
          <w:rFonts w:ascii="Arial" w:eastAsia="Arial" w:hAnsi="Arial" w:cs="Arial"/>
          <w:sz w:val="24"/>
          <w:szCs w:val="24"/>
        </w:rPr>
        <w:t>Service Level Threshold (as a percentage) – Service Level Received (as a percentage) * 0.5 = Service Credit (as a percentage)</w:t>
      </w:r>
    </w:p>
    <w:p w14:paraId="390AEA8D" w14:textId="12447298" w:rsidR="00110E86" w:rsidRDefault="00110E86" w:rsidP="00110E86">
      <w:pPr>
        <w:rPr>
          <w:rFonts w:ascii="Arial" w:eastAsia="Arial" w:hAnsi="Arial" w:cs="Arial"/>
          <w:sz w:val="24"/>
          <w:szCs w:val="24"/>
        </w:rPr>
      </w:pPr>
      <w:r>
        <w:rPr>
          <w:rFonts w:ascii="Arial" w:eastAsia="Arial" w:hAnsi="Arial" w:cs="Arial"/>
          <w:sz w:val="24"/>
          <w:szCs w:val="24"/>
        </w:rPr>
        <w:t xml:space="preserve">Service credits to be used as a deduction from the next Invoice payable by the Buyer. </w:t>
      </w:r>
    </w:p>
    <w:p w14:paraId="66ECD9C1" w14:textId="0EA7CF27" w:rsidR="00110E86" w:rsidRPr="00110E86" w:rsidRDefault="00110E86" w:rsidP="00110E86">
      <w:pPr>
        <w:pBdr>
          <w:top w:val="single" w:sz="4" w:space="1" w:color="auto"/>
          <w:left w:val="single" w:sz="4" w:space="4" w:color="auto"/>
          <w:bottom w:val="single" w:sz="4" w:space="1" w:color="auto"/>
          <w:right w:val="single" w:sz="4" w:space="4" w:color="auto"/>
        </w:pBdr>
        <w:rPr>
          <w:rFonts w:ascii="Arial" w:eastAsia="Arial" w:hAnsi="Arial" w:cs="Arial"/>
          <w:i/>
          <w:iCs/>
          <w:sz w:val="24"/>
          <w:szCs w:val="24"/>
        </w:rPr>
      </w:pPr>
      <w:r w:rsidRPr="00110E86">
        <w:rPr>
          <w:rFonts w:ascii="Arial" w:eastAsia="Arial" w:hAnsi="Arial" w:cs="Arial"/>
          <w:i/>
          <w:iCs/>
          <w:sz w:val="24"/>
          <w:szCs w:val="24"/>
        </w:rPr>
        <w:t>For example:</w:t>
      </w:r>
    </w:p>
    <w:p w14:paraId="4FD37604" w14:textId="66A940EA" w:rsidR="001725F4" w:rsidRDefault="001725F4" w:rsidP="00110E86">
      <w:pPr>
        <w:pBdr>
          <w:top w:val="single" w:sz="4" w:space="1" w:color="auto"/>
          <w:left w:val="single" w:sz="4" w:space="4" w:color="auto"/>
          <w:bottom w:val="single" w:sz="4" w:space="1" w:color="auto"/>
          <w:right w:val="single" w:sz="4" w:space="4" w:color="auto"/>
        </w:pBdr>
        <w:rPr>
          <w:rFonts w:ascii="Arial" w:eastAsia="Arial" w:hAnsi="Arial" w:cs="Arial"/>
          <w:i/>
          <w:iCs/>
          <w:sz w:val="24"/>
          <w:szCs w:val="24"/>
        </w:rPr>
      </w:pPr>
      <w:r>
        <w:rPr>
          <w:rFonts w:ascii="Arial" w:eastAsia="Arial" w:hAnsi="Arial" w:cs="Arial"/>
          <w:i/>
          <w:iCs/>
          <w:sz w:val="24"/>
          <w:szCs w:val="24"/>
        </w:rPr>
        <w:t xml:space="preserve">The latest invoice received as </w:t>
      </w:r>
      <w:r w:rsidR="00835DD3">
        <w:rPr>
          <w:rFonts w:ascii="Arial" w:eastAsia="Arial" w:hAnsi="Arial" w:cs="Arial"/>
          <w:i/>
          <w:iCs/>
          <w:sz w:val="24"/>
          <w:szCs w:val="24"/>
        </w:rPr>
        <w:t>9</w:t>
      </w:r>
      <w:r>
        <w:rPr>
          <w:rFonts w:ascii="Arial" w:eastAsia="Arial" w:hAnsi="Arial" w:cs="Arial"/>
          <w:i/>
          <w:iCs/>
          <w:sz w:val="24"/>
          <w:szCs w:val="24"/>
        </w:rPr>
        <w:t xml:space="preserve"> days late and £1,050 off the correct amount. This translates to</w:t>
      </w:r>
      <w:r w:rsidR="00835DD3">
        <w:rPr>
          <w:rFonts w:ascii="Arial" w:eastAsia="Arial" w:hAnsi="Arial" w:cs="Arial"/>
          <w:i/>
          <w:iCs/>
          <w:sz w:val="24"/>
          <w:szCs w:val="24"/>
        </w:rPr>
        <w:t xml:space="preserve"> a 80% level of accuracy.</w:t>
      </w:r>
      <w:r>
        <w:rPr>
          <w:rFonts w:ascii="Arial" w:eastAsia="Arial" w:hAnsi="Arial" w:cs="Arial"/>
          <w:i/>
          <w:iCs/>
          <w:sz w:val="24"/>
          <w:szCs w:val="24"/>
        </w:rPr>
        <w:t xml:space="preserve"> </w:t>
      </w:r>
    </w:p>
    <w:p w14:paraId="2856C8F3" w14:textId="5E03B8C0" w:rsidR="00110E86" w:rsidRPr="00110E86" w:rsidRDefault="00110E86" w:rsidP="00110E86">
      <w:pPr>
        <w:pBdr>
          <w:top w:val="single" w:sz="4" w:space="1" w:color="auto"/>
          <w:left w:val="single" w:sz="4" w:space="4" w:color="auto"/>
          <w:bottom w:val="single" w:sz="4" w:space="1" w:color="auto"/>
          <w:right w:val="single" w:sz="4" w:space="4" w:color="auto"/>
        </w:pBdr>
        <w:rPr>
          <w:rFonts w:ascii="Arial" w:eastAsia="Arial" w:hAnsi="Arial" w:cs="Arial"/>
          <w:i/>
          <w:iCs/>
          <w:sz w:val="24"/>
          <w:szCs w:val="24"/>
        </w:rPr>
      </w:pPr>
      <w:r w:rsidRPr="00110E86">
        <w:rPr>
          <w:rFonts w:ascii="Arial" w:eastAsia="Arial" w:hAnsi="Arial" w:cs="Arial"/>
          <w:i/>
          <w:iCs/>
          <w:sz w:val="24"/>
          <w:szCs w:val="24"/>
        </w:rPr>
        <w:t xml:space="preserve">98% (billing to be accurate and timely) – 80% (actual billing that was accurate and timely) * 0.5 </w:t>
      </w:r>
    </w:p>
    <w:p w14:paraId="56C2B880" w14:textId="2467E6F3" w:rsidR="00110E86" w:rsidRPr="00110E86" w:rsidRDefault="00110E86" w:rsidP="00110E86">
      <w:pPr>
        <w:pBdr>
          <w:top w:val="single" w:sz="4" w:space="1" w:color="auto"/>
          <w:left w:val="single" w:sz="4" w:space="4" w:color="auto"/>
          <w:bottom w:val="single" w:sz="4" w:space="1" w:color="auto"/>
          <w:right w:val="single" w:sz="4" w:space="4" w:color="auto"/>
        </w:pBdr>
        <w:rPr>
          <w:rFonts w:ascii="Arial" w:eastAsia="Arial" w:hAnsi="Arial" w:cs="Arial"/>
          <w:i/>
          <w:iCs/>
          <w:sz w:val="24"/>
          <w:szCs w:val="24"/>
        </w:rPr>
      </w:pPr>
      <w:r w:rsidRPr="00110E86">
        <w:rPr>
          <w:rFonts w:ascii="Arial" w:eastAsia="Arial" w:hAnsi="Arial" w:cs="Arial"/>
          <w:i/>
          <w:iCs/>
          <w:sz w:val="24"/>
          <w:szCs w:val="24"/>
        </w:rPr>
        <w:t>= 18% * 0.5</w:t>
      </w:r>
    </w:p>
    <w:p w14:paraId="4113B57E" w14:textId="65726804" w:rsidR="00110E86" w:rsidRPr="00110E86" w:rsidRDefault="00110E86" w:rsidP="00110E86">
      <w:pPr>
        <w:pBdr>
          <w:top w:val="single" w:sz="4" w:space="1" w:color="auto"/>
          <w:left w:val="single" w:sz="4" w:space="4" w:color="auto"/>
          <w:bottom w:val="single" w:sz="4" w:space="1" w:color="auto"/>
          <w:right w:val="single" w:sz="4" w:space="4" w:color="auto"/>
        </w:pBdr>
        <w:rPr>
          <w:rFonts w:ascii="Arial" w:eastAsia="Arial" w:hAnsi="Arial" w:cs="Arial"/>
          <w:i/>
          <w:iCs/>
          <w:sz w:val="24"/>
          <w:szCs w:val="24"/>
        </w:rPr>
      </w:pPr>
      <w:r w:rsidRPr="00110E86">
        <w:rPr>
          <w:rFonts w:ascii="Arial" w:eastAsia="Arial" w:hAnsi="Arial" w:cs="Arial"/>
          <w:i/>
          <w:iCs/>
          <w:sz w:val="24"/>
          <w:szCs w:val="24"/>
        </w:rPr>
        <w:t>= 9% Service Credit to be deducted from the next invoice received by the Buyer</w:t>
      </w:r>
    </w:p>
    <w:p w14:paraId="675CF1D5" w14:textId="493BDCCF" w:rsidR="007053A3" w:rsidRDefault="007053A3">
      <w:pPr>
        <w:ind w:left="709"/>
        <w:rPr>
          <w:rFonts w:ascii="Arial" w:eastAsia="Arial" w:hAnsi="Arial" w:cs="Arial"/>
          <w:sz w:val="24"/>
          <w:szCs w:val="24"/>
          <w:highlight w:val="yellow"/>
        </w:rPr>
      </w:pPr>
    </w:p>
    <w:p w14:paraId="6A9961C9" w14:textId="77777777" w:rsidR="00D3699F" w:rsidRDefault="00D3699F">
      <w:pPr>
        <w:keepNext/>
        <w:pBdr>
          <w:top w:val="nil"/>
          <w:left w:val="nil"/>
          <w:bottom w:val="nil"/>
          <w:right w:val="nil"/>
          <w:between w:val="nil"/>
        </w:pBdr>
        <w:spacing w:after="240" w:line="240" w:lineRule="auto"/>
        <w:rPr>
          <w:rFonts w:ascii="Arial Bold" w:eastAsia="Arial Bold" w:hAnsi="Arial Bold" w:cs="Arial Bold"/>
          <w:b/>
          <w:color w:val="000000"/>
          <w:sz w:val="36"/>
          <w:szCs w:val="36"/>
        </w:rPr>
        <w:sectPr w:rsidR="00D3699F" w:rsidSect="00D3699F">
          <w:pgSz w:w="16838" w:h="11906" w:orient="landscape"/>
          <w:pgMar w:top="1440" w:right="1440" w:bottom="1440" w:left="1440" w:header="709" w:footer="709" w:gutter="0"/>
          <w:pgNumType w:start="1"/>
          <w:cols w:space="720"/>
          <w:docGrid w:linePitch="299"/>
        </w:sectPr>
      </w:pPr>
    </w:p>
    <w:p w14:paraId="675CF1E0" w14:textId="24A1B494" w:rsidR="007053A3" w:rsidRDefault="007A5C1C">
      <w:pPr>
        <w:keepNext/>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 xml:space="preserve">Part B: Performance Monitoring </w:t>
      </w:r>
    </w:p>
    <w:p w14:paraId="675CF1E1" w14:textId="77777777" w:rsidR="007053A3" w:rsidRDefault="007A5C1C">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14:paraId="675CF1E2" w14:textId="77777777" w:rsidR="007053A3" w:rsidRDefault="007A5C1C">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675CF1E3" w14:textId="77777777" w:rsidR="007053A3" w:rsidRDefault="007A5C1C">
      <w:pPr>
        <w:keepNext/>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675CF1E4" w14:textId="77777777" w:rsidR="007053A3" w:rsidRDefault="007A5C1C">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each Service Level, the actual performance achieved over the Service Level for the relevant Service Period;</w:t>
      </w:r>
    </w:p>
    <w:p w14:paraId="675CF1E5" w14:textId="77777777" w:rsidR="007053A3" w:rsidRDefault="007A5C1C">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summary of all failures to achieve Service Levels that occurred during that Service Period;</w:t>
      </w:r>
    </w:p>
    <w:p w14:paraId="675CF1E6" w14:textId="77777777" w:rsidR="007053A3" w:rsidRDefault="007A5C1C">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Critical Service Level Failures;</w:t>
      </w:r>
    </w:p>
    <w:p w14:paraId="675CF1E7" w14:textId="77777777" w:rsidR="007053A3" w:rsidRDefault="007A5C1C">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any repeat failures, actions taken to resolve the underlying cause and prevent recurrence;</w:t>
      </w:r>
    </w:p>
    <w:p w14:paraId="675CF1E8" w14:textId="77777777" w:rsidR="007053A3" w:rsidRDefault="007A5C1C">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675CF1E9" w14:textId="77777777" w:rsidR="007053A3" w:rsidRDefault="007A5C1C">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details as the Buyer may reasonably require from time to time.</w:t>
      </w:r>
    </w:p>
    <w:p w14:paraId="675CF1EA" w14:textId="77777777" w:rsidR="007053A3" w:rsidRDefault="007A5C1C">
      <w:pPr>
        <w:keepNext/>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675CF1EB" w14:textId="77777777" w:rsidR="007053A3" w:rsidRDefault="007A5C1C">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675CF1EC" w14:textId="77777777" w:rsidR="007053A3" w:rsidRDefault="007A5C1C">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be attended by the Supplier's Representative and the Buyer’s Representative; and</w:t>
      </w:r>
    </w:p>
    <w:p w14:paraId="675CF1ED" w14:textId="77777777" w:rsidR="007053A3" w:rsidRDefault="007A5C1C">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675CF1EE" w14:textId="77777777" w:rsidR="007053A3" w:rsidRDefault="007A5C1C">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14:paraId="675CF1EF" w14:textId="77777777" w:rsidR="007053A3" w:rsidRDefault="007A5C1C">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675CF1F0" w14:textId="77777777" w:rsidR="007053A3" w:rsidRDefault="007053A3">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14:paraId="675CF1F1" w14:textId="77777777" w:rsidR="007053A3" w:rsidRDefault="007A5C1C">
      <w:pPr>
        <w:numPr>
          <w:ilvl w:val="0"/>
          <w:numId w:val="4"/>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14:paraId="675CF1F2" w14:textId="77777777" w:rsidR="007053A3" w:rsidRDefault="007A5C1C">
      <w:pPr>
        <w:numPr>
          <w:ilvl w:val="1"/>
          <w:numId w:val="4"/>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675CF1F3" w14:textId="77777777" w:rsidR="007053A3" w:rsidRDefault="007053A3">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bookmarkStart w:id="2" w:name="_heading=h.30j0zll" w:colFirst="0" w:colLast="0"/>
      <w:bookmarkEnd w:id="2"/>
    </w:p>
    <w:sectPr w:rsidR="007053A3" w:rsidSect="00D3699F">
      <w:pgSz w:w="11906" w:h="16838"/>
      <w:pgMar w:top="1440" w:right="1440" w:bottom="1440"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69EF3" w14:textId="77777777" w:rsidR="00892BE3" w:rsidRDefault="00892BE3">
      <w:pPr>
        <w:spacing w:after="0" w:line="240" w:lineRule="auto"/>
      </w:pPr>
      <w:r>
        <w:separator/>
      </w:r>
    </w:p>
  </w:endnote>
  <w:endnote w:type="continuationSeparator" w:id="0">
    <w:p w14:paraId="10F57654" w14:textId="77777777" w:rsidR="00892BE3" w:rsidRDefault="0089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CF1F8" w14:textId="77777777" w:rsidR="007053A3" w:rsidRDefault="007053A3">
    <w:pPr>
      <w:tabs>
        <w:tab w:val="center" w:pos="4513"/>
        <w:tab w:val="right" w:pos="9026"/>
      </w:tabs>
      <w:spacing w:after="0" w:line="240" w:lineRule="auto"/>
      <w:jc w:val="both"/>
    </w:pPr>
  </w:p>
  <w:p w14:paraId="675CF1F9" w14:textId="77777777" w:rsidR="007053A3" w:rsidRDefault="007A5C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RM6229</w:t>
    </w:r>
  </w:p>
  <w:p w14:paraId="675CF1FA" w14:textId="7976FBF0" w:rsidR="007053A3" w:rsidRDefault="007A5C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C6063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75CF1FB" w14:textId="77777777" w:rsidR="007053A3" w:rsidRDefault="007A5C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CF1FC" w14:textId="77777777" w:rsidR="007053A3" w:rsidRDefault="007053A3">
    <w:pPr>
      <w:tabs>
        <w:tab w:val="center" w:pos="4513"/>
        <w:tab w:val="right" w:pos="9026"/>
      </w:tabs>
      <w:spacing w:after="0" w:line="240" w:lineRule="auto"/>
      <w:jc w:val="both"/>
    </w:pPr>
  </w:p>
  <w:p w14:paraId="675CF1FD" w14:textId="77777777" w:rsidR="007053A3" w:rsidRDefault="007A5C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t xml:space="preserve">                                           </w:t>
    </w:r>
  </w:p>
  <w:p w14:paraId="675CF1FE" w14:textId="77777777" w:rsidR="007053A3" w:rsidRDefault="007A5C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75CF1FF" w14:textId="77777777" w:rsidR="007053A3" w:rsidRDefault="007A5C1C">
    <w:pPr>
      <w:pBdr>
        <w:top w:val="nil"/>
        <w:left w:val="nil"/>
        <w:bottom w:val="nil"/>
        <w:right w:val="nil"/>
        <w:between w:val="nil"/>
      </w:pBdr>
      <w:tabs>
        <w:tab w:val="center" w:pos="4513"/>
        <w:tab w:val="right" w:pos="9026"/>
      </w:tabs>
      <w:spacing w:after="0" w:line="240" w:lineRule="auto"/>
      <w:rPr>
        <w:rFonts w:cs="Calibri"/>
        <w:color w:val="000000"/>
      </w:rPr>
    </w:pPr>
    <w:r>
      <w:rPr>
        <w:rFonts w:ascii="Arial" w:eastAsia="Arial" w:hAnsi="Arial" w:cs="Arial"/>
        <w:color w:val="000000"/>
        <w:sz w:val="20"/>
        <w:szCs w:val="20"/>
      </w:rPr>
      <w:t>Model Version : v2.9</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FD5A4" w14:textId="77777777" w:rsidR="00892BE3" w:rsidRDefault="00892BE3">
      <w:pPr>
        <w:spacing w:after="0" w:line="240" w:lineRule="auto"/>
      </w:pPr>
      <w:r>
        <w:separator/>
      </w:r>
    </w:p>
  </w:footnote>
  <w:footnote w:type="continuationSeparator" w:id="0">
    <w:p w14:paraId="53F3C442" w14:textId="77777777" w:rsidR="00892BE3" w:rsidRDefault="00892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CF1F4" w14:textId="77777777" w:rsidR="007053A3" w:rsidRDefault="007A5C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14 (Service Levels)</w:t>
    </w:r>
  </w:p>
  <w:p w14:paraId="675CF1F5" w14:textId="7C39CCD7" w:rsidR="007053A3" w:rsidRDefault="007A5C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r w:rsidR="00D37A81">
      <w:rPr>
        <w:rFonts w:ascii="Arial" w:eastAsia="Arial" w:hAnsi="Arial" w:cs="Arial"/>
        <w:color w:val="000000"/>
        <w:sz w:val="20"/>
        <w:szCs w:val="20"/>
      </w:rPr>
      <w:t xml:space="preserve"> </w:t>
    </w:r>
    <w:r w:rsidR="00D37A81" w:rsidRPr="00D37A81">
      <w:rPr>
        <w:rFonts w:ascii="Arial" w:eastAsia="Arial" w:hAnsi="Arial" w:cs="Arial"/>
        <w:color w:val="000000"/>
        <w:sz w:val="20"/>
        <w:szCs w:val="20"/>
      </w:rPr>
      <w:t>CCIT23A27</w:t>
    </w:r>
  </w:p>
  <w:p w14:paraId="675CF1F6" w14:textId="77777777" w:rsidR="007053A3" w:rsidRDefault="007A5C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675CF1F7" w14:textId="77777777" w:rsidR="007053A3" w:rsidRDefault="007053A3">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A3A22"/>
    <w:multiLevelType w:val="multilevel"/>
    <w:tmpl w:val="DA80FFB8"/>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AA617FD"/>
    <w:multiLevelType w:val="multilevel"/>
    <w:tmpl w:val="0D689C48"/>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A786583"/>
    <w:multiLevelType w:val="multilevel"/>
    <w:tmpl w:val="5D8679A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EDB2679"/>
    <w:multiLevelType w:val="multilevel"/>
    <w:tmpl w:val="4F34F5F6"/>
    <w:lvl w:ilvl="0">
      <w:start w:val="1"/>
      <w:numFmt w:val="decimal"/>
      <w:pStyle w:val="GPsDefinition"/>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3A66B44"/>
    <w:multiLevelType w:val="multilevel"/>
    <w:tmpl w:val="B1EAEF0C"/>
    <w:lvl w:ilvl="0">
      <w:start w:val="1"/>
      <w:numFmt w:val="decimal"/>
      <w:pStyle w:val="GPSL1CLAUSEHEADING"/>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pStyle w:val="GPSL2NumberedBoldHeading"/>
      <w:lvlText w:val="%2)"/>
      <w:lvlJc w:val="left"/>
      <w:pPr>
        <w:ind w:left="1440" w:hanging="720"/>
      </w:pPr>
      <w:rPr>
        <w:b w:val="0"/>
        <w:i w:val="0"/>
        <w:smallCaps w:val="0"/>
        <w:strike w:val="0"/>
        <w:color w:val="000000"/>
        <w:sz w:val="22"/>
        <w:szCs w:val="22"/>
        <w:u w:val="none"/>
        <w:vertAlign w:val="baseline"/>
      </w:rPr>
    </w:lvl>
    <w:lvl w:ilvl="2">
      <w:start w:val="1"/>
      <w:numFmt w:val="decimal"/>
      <w:pStyle w:val="GPSL3numberedclause"/>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3A3"/>
    <w:rsid w:val="00110E86"/>
    <w:rsid w:val="001725F4"/>
    <w:rsid w:val="00440A23"/>
    <w:rsid w:val="007053A3"/>
    <w:rsid w:val="007A5C1C"/>
    <w:rsid w:val="00835DD3"/>
    <w:rsid w:val="0088570C"/>
    <w:rsid w:val="00892BE3"/>
    <w:rsid w:val="00C60633"/>
    <w:rsid w:val="00D3699F"/>
    <w:rsid w:val="00D3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F16F"/>
  <w15:docId w15:val="{EEE17365-DC9D-4E61-A9C3-E5F6857E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hqFy/hSxsLzAXvQpRoUBrXNwWkA==">AMUW2mX1HH73zLBOiS1ZHm0Jy1j+QZRLS30DrR3pB8uyxmrjEv+icnxsWxj2uSzX/wEzST+d5/pz9riZq2HKhkBqT434rdyudTtm5nWE7HDQ3ays2H1WVVFSKQR8YOKr8qmPVmR6Mi/7</go:docsCustomData>
</go:gDocsCustomXmlDataStorage>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92B796B53676C4592BC09CCA894A029" ma:contentTypeVersion="18" ma:contentTypeDescription="Create a new document." ma:contentTypeScope="" ma:versionID="d5453730b1df67a20f6083b5076f65d5">
  <xsd:schema xmlns:xsd="http://www.w3.org/2001/XMLSchema" xmlns:xs="http://www.w3.org/2001/XMLSchema" xmlns:p="http://schemas.microsoft.com/office/2006/metadata/properties" xmlns:ns2="662745e8-e224-48e8-a2e3-254862b8c2f5" xmlns:ns3="7b2619d5-7f3d-4dbd-9d3e-09d81efd0ee9" xmlns:ns4="4b53291a-6acd-4c59-b7a8-eb8035a8b46d" targetNamespace="http://schemas.microsoft.com/office/2006/metadata/properties" ma:root="true" ma:fieldsID="d5fbdc56f6f3e698410d0f9810d30e68" ns2:_="" ns3:_="" ns4:_="">
    <xsd:import namespace="662745e8-e224-48e8-a2e3-254862b8c2f5"/>
    <xsd:import namespace="7b2619d5-7f3d-4dbd-9d3e-09d81efd0ee9"/>
    <xsd:import namespace="4b53291a-6acd-4c59-b7a8-eb8035a8b46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ead2222-f748-4408-9f95-980fc71ec1d3}" ma:internalName="TaxCatchAll" ma:showField="CatchAllData"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ead2222-f748-4408-9f95-980fc71ec1d3}" ma:internalName="TaxCatchAllLabel" ma:readOnly="true" ma:showField="CatchAllDataLabel"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Architecture" ma:internalName="Team">
      <xsd:simpleType>
        <xsd:restriction base="dms:Text"/>
      </xsd:simpleType>
    </xsd:element>
    <xsd:element name="Topic" ma:index="20" nillable="true" ma:displayName="Topic" ma:default="ADII Business Manage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DTS|4b496496-8422-4e09-ae59-802e7f67f771"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2619d5-7f3d-4dbd-9d3e-09d81efd0ee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ADII Business Management</Topic>
    <HOMigrated xmlns="662745e8-e224-48e8-a2e3-254862b8c2f5">false</HOMigrated>
    <lcf76f155ced4ddcb4097134ff3c332f xmlns="7b2619d5-7f3d-4dbd-9d3e-09d81efd0ee9">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DDTS</TermName>
          <TermId xmlns="http://schemas.microsoft.com/office/infopath/2007/PartnerControls">4b496496-8422-4e09-ae59-802e7f67f771</TermId>
        </TermInfo>
      </Terms>
    </fe59e9859d6a491389c5b03567f5dda5>
    <Team xmlns="662745e8-e224-48e8-a2e3-254862b8c2f5">Defra Architecture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D4CD6114-80BB-4680-83B8-80A7B217E21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1B557B3-2D31-4F1F-9B22-7735C9200963}">
  <ds:schemaRefs>
    <ds:schemaRef ds:uri="Microsoft.SharePoint.Taxonomy.ContentTypeSync"/>
  </ds:schemaRefs>
</ds:datastoreItem>
</file>

<file path=customXml/itemProps4.xml><?xml version="1.0" encoding="utf-8"?>
<ds:datastoreItem xmlns:ds="http://schemas.openxmlformats.org/officeDocument/2006/customXml" ds:itemID="{2153FEEA-3D2E-4A49-8BB6-724CE2C5D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b2619d5-7f3d-4dbd-9d3e-09d81efd0ee9"/>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8F6DD8-8276-49C2-AC6A-1EE5AE2BBE99}">
  <ds:schemaRefs>
    <ds:schemaRef ds:uri="http://schemas.microsoft.com/office/2006/metadata/properties"/>
    <ds:schemaRef ds:uri="http://schemas.microsoft.com/office/infopath/2007/PartnerControls"/>
    <ds:schemaRef ds:uri="662745e8-e224-48e8-a2e3-254862b8c2f5"/>
    <ds:schemaRef ds:uri="7b2619d5-7f3d-4dbd-9d3e-09d81efd0ee9"/>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Adam Cureton</cp:lastModifiedBy>
  <cp:revision>7</cp:revision>
  <dcterms:created xsi:type="dcterms:W3CDTF">2023-03-09T13:09:00Z</dcterms:created>
  <dcterms:modified xsi:type="dcterms:W3CDTF">2023-03-21T13:12:00Z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0x010100A5BF1C78D9F64B679A5EBDE1C6598EBC0100C92B796B53676C4592BC09CCA894A029</vt:lpwstr>
  </property>
  <property fmtid="{D5CDD505-2E9C-101B-9397-08002B2CF9AE}" pid="4" name="InformationType">
    <vt:lpwstr/>
  </property>
  <property fmtid="{D5CDD505-2E9C-101B-9397-08002B2CF9AE}" pid="5" name="Distribution">
    <vt:lpwstr>9;#External|1104eb68-55d8-494f-b6ba-c5473579de73</vt:lpwstr>
  </property>
  <property fmtid="{D5CDD505-2E9C-101B-9397-08002B2CF9AE}" pid="6" name="MediaServiceImageTags">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10;#Team|ff0485df-0575-416f-802f-e999165821b7</vt:lpwstr>
  </property>
  <property fmtid="{D5CDD505-2E9C-101B-9397-08002B2CF9AE}" pid="10" name="OrganisationalUnit">
    <vt:lpwstr>8;#DDTS|4b496496-8422-4e09-ae59-802e7f67f771</vt:lpwstr>
  </property>
</Properties>
</file>