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CF16F" w14:textId="77777777" w:rsidR="007053A3" w:rsidRDefault="007053A3">
      <w:pPr>
        <w:keepNext/>
        <w:pBdr>
          <w:top w:val="nil"/>
          <w:left w:val="nil"/>
          <w:bottom w:val="nil"/>
          <w:right w:val="nil"/>
          <w:between w:val="nil"/>
        </w:pBdr>
        <w:spacing w:after="240" w:line="240" w:lineRule="auto"/>
        <w:rPr>
          <w:rFonts w:ascii="Arial" w:eastAsia="Arial" w:hAnsi="Arial" w:cs="Arial"/>
          <w:b/>
          <w:color w:val="000000"/>
          <w:sz w:val="36"/>
          <w:szCs w:val="36"/>
        </w:rPr>
      </w:pPr>
      <w:bookmarkStart w:id="0" w:name="_GoBack"/>
      <w:bookmarkEnd w:id="0"/>
    </w:p>
    <w:p w14:paraId="675CF170" w14:textId="77777777" w:rsidR="007053A3" w:rsidRDefault="007A5C1C">
      <w:pPr>
        <w:keepNext/>
        <w:pBdr>
          <w:top w:val="nil"/>
          <w:left w:val="nil"/>
          <w:bottom w:val="nil"/>
          <w:right w:val="nil"/>
          <w:between w:val="nil"/>
        </w:pBdr>
        <w:spacing w:after="240" w:line="240" w:lineRule="auto"/>
        <w:rPr>
          <w:rFonts w:ascii="Arial" w:eastAsia="Arial" w:hAnsi="Arial" w:cs="Arial"/>
          <w:b/>
          <w:color w:val="000000"/>
          <w:sz w:val="36"/>
          <w:szCs w:val="36"/>
        </w:rPr>
      </w:pPr>
      <w:r>
        <w:rPr>
          <w:rFonts w:ascii="Arial" w:eastAsia="Arial" w:hAnsi="Arial" w:cs="Arial"/>
          <w:b/>
          <w:color w:val="000000"/>
          <w:sz w:val="36"/>
          <w:szCs w:val="36"/>
        </w:rPr>
        <w:t>Call-Off Schedule 14 (Service Levels)</w:t>
      </w:r>
    </w:p>
    <w:p w14:paraId="675CF171" w14:textId="77777777" w:rsidR="007053A3" w:rsidRDefault="007A5C1C">
      <w:pPr>
        <w:numPr>
          <w:ilvl w:val="0"/>
          <w:numId w:val="2"/>
        </w:numPr>
        <w:pBdr>
          <w:top w:val="nil"/>
          <w:left w:val="nil"/>
          <w:bottom w:val="nil"/>
          <w:right w:val="nil"/>
          <w:between w:val="nil"/>
        </w:pBdr>
        <w:tabs>
          <w:tab w:val="left" w:pos="142"/>
        </w:tabs>
        <w:spacing w:before="240" w:after="120" w:line="240" w:lineRule="auto"/>
        <w:rPr>
          <w:rFonts w:ascii="Arial Bold" w:eastAsia="Arial Bold" w:hAnsi="Arial Bold" w:cs="Arial Bold"/>
          <w:b/>
          <w:color w:val="000000"/>
          <w:sz w:val="24"/>
          <w:szCs w:val="24"/>
        </w:rPr>
      </w:pPr>
      <w:r>
        <w:rPr>
          <w:rFonts w:ascii="Arial Bold" w:eastAsia="Arial Bold" w:hAnsi="Arial Bold" w:cs="Arial Bold"/>
          <w:b/>
          <w:color w:val="000000"/>
          <w:sz w:val="24"/>
          <w:szCs w:val="24"/>
        </w:rPr>
        <w:t>Definitions</w:t>
      </w:r>
    </w:p>
    <w:p w14:paraId="675CF172" w14:textId="77777777" w:rsidR="007053A3" w:rsidRDefault="007A5C1C">
      <w:pPr>
        <w:numPr>
          <w:ilvl w:val="1"/>
          <w:numId w:val="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In this Schedule, the following words shall have the following meanings and they shall supplement Joint Schedule 1 (Definitions):</w:t>
      </w:r>
    </w:p>
    <w:tbl>
      <w:tblPr>
        <w:tblStyle w:val="a"/>
        <w:tblW w:w="8363" w:type="dxa"/>
        <w:tblInd w:w="959" w:type="dxa"/>
        <w:tblLayout w:type="fixed"/>
        <w:tblLook w:val="0400" w:firstRow="0" w:lastRow="0" w:firstColumn="0" w:lastColumn="0" w:noHBand="0" w:noVBand="1"/>
      </w:tblPr>
      <w:tblGrid>
        <w:gridCol w:w="2410"/>
        <w:gridCol w:w="5953"/>
      </w:tblGrid>
      <w:tr w:rsidR="007053A3" w14:paraId="675CF178" w14:textId="77777777">
        <w:tc>
          <w:tcPr>
            <w:tcW w:w="2410" w:type="dxa"/>
            <w:shd w:val="clear" w:color="auto" w:fill="auto"/>
          </w:tcPr>
          <w:p w14:paraId="675CF173" w14:textId="77777777" w:rsidR="007053A3" w:rsidRDefault="007053A3">
            <w:pPr>
              <w:pBdr>
                <w:top w:val="nil"/>
                <w:left w:val="nil"/>
                <w:bottom w:val="nil"/>
                <w:right w:val="nil"/>
                <w:between w:val="nil"/>
              </w:pBdr>
              <w:spacing w:after="120" w:line="240" w:lineRule="auto"/>
              <w:ind w:left="-108"/>
              <w:rPr>
                <w:rFonts w:ascii="Arial" w:eastAsia="Arial" w:hAnsi="Arial" w:cs="Arial"/>
                <w:b/>
                <w:color w:val="000000"/>
                <w:sz w:val="24"/>
                <w:szCs w:val="24"/>
              </w:rPr>
            </w:pPr>
          </w:p>
          <w:p w14:paraId="675CF174" w14:textId="77777777" w:rsidR="007053A3" w:rsidRDefault="007A5C1C">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“Critical Service Level Failure”</w:t>
            </w:r>
          </w:p>
          <w:p w14:paraId="675CF175" w14:textId="77777777" w:rsidR="007053A3" w:rsidRDefault="007053A3">
            <w:pPr>
              <w:pBdr>
                <w:top w:val="nil"/>
                <w:left w:val="nil"/>
                <w:bottom w:val="nil"/>
                <w:right w:val="nil"/>
                <w:between w:val="nil"/>
              </w:pBdr>
              <w:spacing w:after="120" w:line="240" w:lineRule="auto"/>
              <w:ind w:left="-108"/>
              <w:rPr>
                <w:rFonts w:ascii="Arial" w:eastAsia="Arial" w:hAnsi="Arial" w:cs="Arial"/>
                <w:b/>
                <w:color w:val="000000"/>
                <w:sz w:val="24"/>
                <w:szCs w:val="24"/>
              </w:rPr>
            </w:pPr>
          </w:p>
        </w:tc>
        <w:tc>
          <w:tcPr>
            <w:tcW w:w="5953" w:type="dxa"/>
            <w:shd w:val="clear" w:color="auto" w:fill="auto"/>
          </w:tcPr>
          <w:p w14:paraId="675CF176" w14:textId="77777777" w:rsidR="007053A3" w:rsidRDefault="007053A3">
            <w:pPr>
              <w:pBdr>
                <w:top w:val="nil"/>
                <w:left w:val="nil"/>
                <w:bottom w:val="nil"/>
                <w:right w:val="nil"/>
                <w:between w:val="nil"/>
              </w:pBdr>
              <w:tabs>
                <w:tab w:val="left" w:pos="-9"/>
                <w:tab w:val="left" w:pos="-179"/>
              </w:tabs>
              <w:spacing w:after="120" w:line="240" w:lineRule="auto"/>
              <w:ind w:left="170" w:hanging="170"/>
              <w:rPr>
                <w:rFonts w:ascii="Arial" w:eastAsia="Arial" w:hAnsi="Arial" w:cs="Arial"/>
                <w:color w:val="000000"/>
                <w:sz w:val="24"/>
                <w:szCs w:val="24"/>
              </w:rPr>
            </w:pPr>
          </w:p>
          <w:p w14:paraId="675CF177" w14:textId="77777777" w:rsidR="007053A3" w:rsidRDefault="007A5C1C">
            <w:pPr>
              <w:pBdr>
                <w:top w:val="nil"/>
                <w:left w:val="nil"/>
                <w:bottom w:val="nil"/>
                <w:right w:val="nil"/>
                <w:between w:val="nil"/>
              </w:pBdr>
              <w:tabs>
                <w:tab w:val="left" w:pos="-9"/>
                <w:tab w:val="left" w:pos="-179"/>
              </w:tabs>
              <w:spacing w:after="120" w:line="240" w:lineRule="auto"/>
              <w:ind w:left="170" w:hanging="170"/>
              <w:rPr>
                <w:rFonts w:ascii="Arial" w:eastAsia="Arial" w:hAnsi="Arial" w:cs="Arial"/>
                <w:color w:val="000000"/>
                <w:sz w:val="24"/>
                <w:szCs w:val="24"/>
              </w:rPr>
            </w:pPr>
            <w:r>
              <w:rPr>
                <w:rFonts w:ascii="Arial" w:eastAsia="Arial" w:hAnsi="Arial" w:cs="Arial"/>
                <w:color w:val="000000"/>
                <w:sz w:val="24"/>
                <w:szCs w:val="24"/>
              </w:rPr>
              <w:t>has the meaning given to it in the Order Form;</w:t>
            </w:r>
          </w:p>
        </w:tc>
      </w:tr>
      <w:tr w:rsidR="007053A3" w14:paraId="675CF17B" w14:textId="77777777">
        <w:tc>
          <w:tcPr>
            <w:tcW w:w="2410" w:type="dxa"/>
            <w:shd w:val="clear" w:color="auto" w:fill="auto"/>
          </w:tcPr>
          <w:p w14:paraId="675CF179" w14:textId="77777777" w:rsidR="007053A3" w:rsidRDefault="007A5C1C">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"Service Credits"</w:t>
            </w:r>
          </w:p>
        </w:tc>
        <w:tc>
          <w:tcPr>
            <w:tcW w:w="5953" w:type="dxa"/>
            <w:shd w:val="clear" w:color="auto" w:fill="auto"/>
          </w:tcPr>
          <w:p w14:paraId="675CF17A" w14:textId="77777777" w:rsidR="007053A3" w:rsidRDefault="007A5C1C">
            <w:pPr>
              <w:numPr>
                <w:ilvl w:val="0"/>
                <w:numId w:val="3"/>
              </w:numPr>
              <w:pBdr>
                <w:top w:val="nil"/>
                <w:left w:val="nil"/>
                <w:bottom w:val="nil"/>
                <w:right w:val="nil"/>
                <w:between w:val="nil"/>
              </w:pBdr>
              <w:tabs>
                <w:tab w:val="left" w:pos="-9"/>
                <w:tab w:val="left" w:pos="-179"/>
              </w:tabs>
              <w:spacing w:after="120" w:line="240" w:lineRule="auto"/>
              <w:rPr>
                <w:rFonts w:ascii="Arial" w:eastAsia="Arial" w:hAnsi="Arial" w:cs="Arial"/>
                <w:color w:val="000000"/>
                <w:sz w:val="24"/>
                <w:szCs w:val="24"/>
              </w:rPr>
            </w:pPr>
            <w:r>
              <w:rPr>
                <w:rFonts w:ascii="Arial" w:eastAsia="Arial" w:hAnsi="Arial" w:cs="Arial"/>
                <w:color w:val="000000"/>
                <w:sz w:val="24"/>
                <w:szCs w:val="24"/>
              </w:rPr>
              <w:t>any service credits specified in the Annex to Part A of this Schedule being payable by the Supplier to the Buyer in respect of any failure by the Supplier to meet one or more Service Levels;</w:t>
            </w:r>
          </w:p>
        </w:tc>
      </w:tr>
      <w:tr w:rsidR="007053A3" w14:paraId="675CF17E" w14:textId="77777777">
        <w:trPr>
          <w:trHeight w:val="359"/>
        </w:trPr>
        <w:tc>
          <w:tcPr>
            <w:tcW w:w="2410" w:type="dxa"/>
            <w:shd w:val="clear" w:color="auto" w:fill="auto"/>
          </w:tcPr>
          <w:p w14:paraId="675CF17C" w14:textId="77777777" w:rsidR="007053A3" w:rsidRDefault="007A5C1C">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"Service Credit Cap"</w:t>
            </w:r>
          </w:p>
        </w:tc>
        <w:tc>
          <w:tcPr>
            <w:tcW w:w="5953" w:type="dxa"/>
            <w:shd w:val="clear" w:color="auto" w:fill="auto"/>
          </w:tcPr>
          <w:p w14:paraId="675CF17D" w14:textId="77777777" w:rsidR="007053A3" w:rsidRDefault="007A5C1C">
            <w:pPr>
              <w:numPr>
                <w:ilvl w:val="0"/>
                <w:numId w:val="3"/>
              </w:numPr>
              <w:pBdr>
                <w:top w:val="nil"/>
                <w:left w:val="nil"/>
                <w:bottom w:val="nil"/>
                <w:right w:val="nil"/>
                <w:between w:val="nil"/>
              </w:pBdr>
              <w:tabs>
                <w:tab w:val="left" w:pos="-9"/>
                <w:tab w:val="left" w:pos="-179"/>
              </w:tabs>
              <w:spacing w:after="120" w:line="240" w:lineRule="auto"/>
              <w:rPr>
                <w:rFonts w:ascii="Arial" w:eastAsia="Arial" w:hAnsi="Arial" w:cs="Arial"/>
                <w:color w:val="000000"/>
                <w:sz w:val="24"/>
                <w:szCs w:val="24"/>
              </w:rPr>
            </w:pPr>
            <w:r>
              <w:rPr>
                <w:rFonts w:ascii="Arial" w:eastAsia="Arial" w:hAnsi="Arial" w:cs="Arial"/>
                <w:color w:val="000000"/>
                <w:sz w:val="24"/>
                <w:szCs w:val="24"/>
              </w:rPr>
              <w:t>has the meaning given to it in the Order Form;</w:t>
            </w:r>
          </w:p>
        </w:tc>
      </w:tr>
      <w:tr w:rsidR="007053A3" w14:paraId="675CF181" w14:textId="77777777">
        <w:tc>
          <w:tcPr>
            <w:tcW w:w="2410" w:type="dxa"/>
            <w:shd w:val="clear" w:color="auto" w:fill="auto"/>
          </w:tcPr>
          <w:p w14:paraId="675CF17F" w14:textId="77777777" w:rsidR="007053A3" w:rsidRDefault="007053A3">
            <w:pPr>
              <w:pBdr>
                <w:top w:val="nil"/>
                <w:left w:val="nil"/>
                <w:bottom w:val="nil"/>
                <w:right w:val="nil"/>
                <w:between w:val="nil"/>
              </w:pBdr>
              <w:spacing w:after="120" w:line="240" w:lineRule="auto"/>
              <w:ind w:left="-108"/>
              <w:rPr>
                <w:rFonts w:ascii="Arial" w:eastAsia="Arial" w:hAnsi="Arial" w:cs="Arial"/>
                <w:b/>
                <w:color w:val="000000"/>
                <w:sz w:val="24"/>
                <w:szCs w:val="24"/>
              </w:rPr>
            </w:pPr>
          </w:p>
        </w:tc>
        <w:tc>
          <w:tcPr>
            <w:tcW w:w="5953" w:type="dxa"/>
            <w:shd w:val="clear" w:color="auto" w:fill="auto"/>
          </w:tcPr>
          <w:p w14:paraId="675CF180" w14:textId="77777777" w:rsidR="007053A3" w:rsidRDefault="007053A3">
            <w:pPr>
              <w:numPr>
                <w:ilvl w:val="0"/>
                <w:numId w:val="3"/>
              </w:numPr>
              <w:pBdr>
                <w:top w:val="nil"/>
                <w:left w:val="nil"/>
                <w:bottom w:val="nil"/>
                <w:right w:val="nil"/>
                <w:between w:val="nil"/>
              </w:pBdr>
              <w:tabs>
                <w:tab w:val="left" w:pos="-9"/>
                <w:tab w:val="left" w:pos="-179"/>
              </w:tabs>
              <w:spacing w:after="120" w:line="240" w:lineRule="auto"/>
              <w:rPr>
                <w:rFonts w:ascii="Arial" w:eastAsia="Arial" w:hAnsi="Arial" w:cs="Arial"/>
                <w:color w:val="000000"/>
                <w:sz w:val="24"/>
                <w:szCs w:val="24"/>
              </w:rPr>
            </w:pPr>
          </w:p>
        </w:tc>
      </w:tr>
      <w:tr w:rsidR="007053A3" w14:paraId="675CF184" w14:textId="77777777">
        <w:tc>
          <w:tcPr>
            <w:tcW w:w="2410" w:type="dxa"/>
            <w:shd w:val="clear" w:color="auto" w:fill="auto"/>
          </w:tcPr>
          <w:p w14:paraId="675CF182" w14:textId="77777777" w:rsidR="007053A3" w:rsidRDefault="007A5C1C">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"Service Level Failure"</w:t>
            </w:r>
          </w:p>
        </w:tc>
        <w:tc>
          <w:tcPr>
            <w:tcW w:w="5953" w:type="dxa"/>
            <w:shd w:val="clear" w:color="auto" w:fill="auto"/>
          </w:tcPr>
          <w:p w14:paraId="675CF183" w14:textId="77777777" w:rsidR="007053A3" w:rsidRDefault="007A5C1C">
            <w:pPr>
              <w:numPr>
                <w:ilvl w:val="0"/>
                <w:numId w:val="3"/>
              </w:numPr>
              <w:pBdr>
                <w:top w:val="nil"/>
                <w:left w:val="nil"/>
                <w:bottom w:val="nil"/>
                <w:right w:val="nil"/>
                <w:between w:val="nil"/>
              </w:pBdr>
              <w:tabs>
                <w:tab w:val="left" w:pos="-9"/>
                <w:tab w:val="left" w:pos="-179"/>
              </w:tabs>
              <w:spacing w:after="120" w:line="240" w:lineRule="auto"/>
              <w:rPr>
                <w:rFonts w:ascii="Arial" w:eastAsia="Arial" w:hAnsi="Arial" w:cs="Arial"/>
                <w:color w:val="000000"/>
                <w:sz w:val="24"/>
                <w:szCs w:val="24"/>
              </w:rPr>
            </w:pPr>
            <w:r>
              <w:rPr>
                <w:rFonts w:ascii="Arial" w:eastAsia="Arial" w:hAnsi="Arial" w:cs="Arial"/>
                <w:color w:val="000000"/>
                <w:sz w:val="24"/>
                <w:szCs w:val="24"/>
              </w:rPr>
              <w:t>means a failure to meet the Service Level Performance Measure in respect of a Service Level;</w:t>
            </w:r>
          </w:p>
        </w:tc>
      </w:tr>
      <w:tr w:rsidR="007053A3" w14:paraId="675CF187" w14:textId="77777777">
        <w:tc>
          <w:tcPr>
            <w:tcW w:w="2410" w:type="dxa"/>
            <w:shd w:val="clear" w:color="auto" w:fill="auto"/>
          </w:tcPr>
          <w:p w14:paraId="675CF185" w14:textId="77777777" w:rsidR="007053A3" w:rsidRDefault="007A5C1C">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"Service Level Performance Measure"</w:t>
            </w:r>
          </w:p>
        </w:tc>
        <w:tc>
          <w:tcPr>
            <w:tcW w:w="5953" w:type="dxa"/>
            <w:shd w:val="clear" w:color="auto" w:fill="auto"/>
          </w:tcPr>
          <w:p w14:paraId="675CF186" w14:textId="77777777" w:rsidR="007053A3" w:rsidRDefault="007A5C1C">
            <w:pPr>
              <w:numPr>
                <w:ilvl w:val="0"/>
                <w:numId w:val="3"/>
              </w:numPr>
              <w:pBdr>
                <w:top w:val="nil"/>
                <w:left w:val="nil"/>
                <w:bottom w:val="nil"/>
                <w:right w:val="nil"/>
                <w:between w:val="nil"/>
              </w:pBdr>
              <w:tabs>
                <w:tab w:val="left" w:pos="-9"/>
                <w:tab w:val="left" w:pos="-179"/>
              </w:tabs>
              <w:spacing w:after="120" w:line="240" w:lineRule="auto"/>
              <w:rPr>
                <w:rFonts w:ascii="Arial" w:eastAsia="Arial" w:hAnsi="Arial" w:cs="Arial"/>
                <w:color w:val="000000"/>
                <w:sz w:val="24"/>
                <w:szCs w:val="24"/>
              </w:rPr>
            </w:pPr>
            <w:r>
              <w:rPr>
                <w:rFonts w:ascii="Arial" w:eastAsia="Arial" w:hAnsi="Arial" w:cs="Arial"/>
                <w:color w:val="000000"/>
                <w:sz w:val="24"/>
                <w:szCs w:val="24"/>
              </w:rPr>
              <w:t>shall be as set out against the relevant Service Level in the Annex to Part A of this Schedule; and</w:t>
            </w:r>
          </w:p>
        </w:tc>
      </w:tr>
      <w:tr w:rsidR="007053A3" w14:paraId="675CF18A" w14:textId="77777777">
        <w:tc>
          <w:tcPr>
            <w:tcW w:w="2410" w:type="dxa"/>
            <w:shd w:val="clear" w:color="auto" w:fill="auto"/>
          </w:tcPr>
          <w:p w14:paraId="675CF188" w14:textId="77777777" w:rsidR="007053A3" w:rsidRDefault="007A5C1C">
            <w:pPr>
              <w:pBdr>
                <w:top w:val="nil"/>
                <w:left w:val="nil"/>
                <w:bottom w:val="nil"/>
                <w:right w:val="nil"/>
                <w:between w:val="nil"/>
              </w:pBd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"Service Level Threshold"</w:t>
            </w:r>
          </w:p>
        </w:tc>
        <w:tc>
          <w:tcPr>
            <w:tcW w:w="5953" w:type="dxa"/>
            <w:shd w:val="clear" w:color="auto" w:fill="auto"/>
          </w:tcPr>
          <w:p w14:paraId="675CF189" w14:textId="77777777" w:rsidR="007053A3" w:rsidRDefault="007A5C1C">
            <w:pPr>
              <w:numPr>
                <w:ilvl w:val="0"/>
                <w:numId w:val="3"/>
              </w:numPr>
              <w:pBdr>
                <w:top w:val="nil"/>
                <w:left w:val="nil"/>
                <w:bottom w:val="nil"/>
                <w:right w:val="nil"/>
                <w:between w:val="nil"/>
              </w:pBdr>
              <w:tabs>
                <w:tab w:val="left" w:pos="-9"/>
                <w:tab w:val="left" w:pos="-179"/>
              </w:tabs>
              <w:spacing w:after="120" w:line="240" w:lineRule="auto"/>
              <w:rPr>
                <w:rFonts w:ascii="Arial" w:eastAsia="Arial" w:hAnsi="Arial" w:cs="Arial"/>
                <w:color w:val="000000"/>
                <w:sz w:val="24"/>
                <w:szCs w:val="24"/>
              </w:rPr>
            </w:pPr>
            <w:r>
              <w:rPr>
                <w:rFonts w:ascii="Arial" w:eastAsia="Arial" w:hAnsi="Arial" w:cs="Arial"/>
                <w:color w:val="000000"/>
                <w:sz w:val="24"/>
                <w:szCs w:val="24"/>
              </w:rPr>
              <w:t>shall be as set out against the relevant Service Level in the Annex to Part A of this Schedule.</w:t>
            </w:r>
          </w:p>
        </w:tc>
      </w:tr>
    </w:tbl>
    <w:p w14:paraId="675CF18B" w14:textId="77777777" w:rsidR="007053A3" w:rsidRDefault="007A5C1C">
      <w:pPr>
        <w:numPr>
          <w:ilvl w:val="0"/>
          <w:numId w:val="2"/>
        </w:numPr>
        <w:pBdr>
          <w:top w:val="nil"/>
          <w:left w:val="nil"/>
          <w:bottom w:val="nil"/>
          <w:right w:val="nil"/>
          <w:between w:val="nil"/>
        </w:pBdr>
        <w:tabs>
          <w:tab w:val="left" w:pos="142"/>
        </w:tabs>
        <w:spacing w:before="240" w:after="120" w:line="240" w:lineRule="auto"/>
        <w:rPr>
          <w:rFonts w:ascii="Arial" w:eastAsia="Arial" w:hAnsi="Arial" w:cs="Arial"/>
          <w:b/>
          <w:smallCaps/>
          <w:color w:val="000000"/>
          <w:sz w:val="24"/>
          <w:szCs w:val="24"/>
        </w:rPr>
      </w:pPr>
      <w:r>
        <w:rPr>
          <w:rFonts w:ascii="Arial Bold" w:eastAsia="Arial Bold" w:hAnsi="Arial Bold" w:cs="Arial Bold"/>
          <w:b/>
          <w:color w:val="000000"/>
          <w:sz w:val="24"/>
          <w:szCs w:val="24"/>
        </w:rPr>
        <w:t>What happens if you don’t meet the Service Levels</w:t>
      </w:r>
    </w:p>
    <w:p w14:paraId="675CF18C" w14:textId="77777777" w:rsidR="007053A3" w:rsidRDefault="007A5C1C">
      <w:pPr>
        <w:numPr>
          <w:ilvl w:val="1"/>
          <w:numId w:val="2"/>
        </w:numPr>
        <w:pBdr>
          <w:top w:val="nil"/>
          <w:left w:val="nil"/>
          <w:bottom w:val="nil"/>
          <w:right w:val="nil"/>
          <w:between w:val="nil"/>
        </w:pBdr>
        <w:spacing w:before="120" w:after="120" w:line="240" w:lineRule="auto"/>
        <w:rPr>
          <w:rFonts w:ascii="Arial" w:eastAsia="Arial" w:hAnsi="Arial" w:cs="Arial"/>
          <w:b/>
          <w:color w:val="000000"/>
          <w:sz w:val="24"/>
          <w:szCs w:val="24"/>
        </w:rPr>
      </w:pPr>
      <w:r>
        <w:rPr>
          <w:rFonts w:ascii="Arial" w:eastAsia="Arial" w:hAnsi="Arial" w:cs="Arial"/>
          <w:color w:val="000000"/>
          <w:sz w:val="24"/>
          <w:szCs w:val="24"/>
        </w:rPr>
        <w:t>The Supplier shall at all times provide the Deliverables to meet or exceed the Service Level Performance Measure for each Service Level.</w:t>
      </w:r>
    </w:p>
    <w:p w14:paraId="675CF18D" w14:textId="77777777" w:rsidR="007053A3" w:rsidRDefault="007A5C1C">
      <w:pPr>
        <w:numPr>
          <w:ilvl w:val="1"/>
          <w:numId w:val="2"/>
        </w:numPr>
        <w:pBdr>
          <w:top w:val="nil"/>
          <w:left w:val="nil"/>
          <w:bottom w:val="nil"/>
          <w:right w:val="nil"/>
          <w:between w:val="nil"/>
        </w:pBdr>
        <w:spacing w:before="120" w:after="120" w:line="240" w:lineRule="auto"/>
        <w:rPr>
          <w:rFonts w:ascii="Arial" w:eastAsia="Arial" w:hAnsi="Arial" w:cs="Arial"/>
          <w:b/>
          <w:color w:val="000000"/>
          <w:sz w:val="24"/>
          <w:szCs w:val="24"/>
        </w:rPr>
      </w:pPr>
      <w:r>
        <w:rPr>
          <w:rFonts w:ascii="Arial" w:eastAsia="Arial" w:hAnsi="Arial" w:cs="Arial"/>
          <w:color w:val="000000"/>
          <w:sz w:val="24"/>
          <w:szCs w:val="24"/>
        </w:rPr>
        <w:t>The Supplier acknowledges that any Service Level Failure shall entitle the Buyer to the rights set out in Part A of this Schedule including the right to any Service Credits and that any Service Credit is a price adjustment and not an estimate of the Loss that may be suffered by the Buyer as a result of the Supplier’s failure to meet any Service Level Performance Measure.</w:t>
      </w:r>
    </w:p>
    <w:p w14:paraId="675CF18E" w14:textId="77777777" w:rsidR="007053A3" w:rsidRDefault="007A5C1C">
      <w:pPr>
        <w:numPr>
          <w:ilvl w:val="1"/>
          <w:numId w:val="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Supplier shall send Performance Monitoring Reports to the Buyer detailing the level of service which was achieved in accordance with the provisions of Part B (Performance Monitoring) of this Schedule.</w:t>
      </w:r>
    </w:p>
    <w:p w14:paraId="675CF18F" w14:textId="77777777" w:rsidR="007053A3" w:rsidRDefault="007A5C1C">
      <w:pPr>
        <w:numPr>
          <w:ilvl w:val="1"/>
          <w:numId w:val="2"/>
        </w:numPr>
        <w:pBdr>
          <w:top w:val="nil"/>
          <w:left w:val="nil"/>
          <w:bottom w:val="nil"/>
          <w:right w:val="nil"/>
          <w:between w:val="nil"/>
        </w:pBdr>
        <w:spacing w:before="120" w:after="120" w:line="240" w:lineRule="auto"/>
        <w:rPr>
          <w:rFonts w:ascii="Arial" w:eastAsia="Arial" w:hAnsi="Arial" w:cs="Arial"/>
          <w:b/>
          <w:color w:val="000000"/>
          <w:sz w:val="24"/>
          <w:szCs w:val="24"/>
        </w:rPr>
      </w:pPr>
      <w:r>
        <w:rPr>
          <w:rFonts w:ascii="Arial" w:eastAsia="Arial" w:hAnsi="Arial" w:cs="Arial"/>
          <w:color w:val="000000"/>
          <w:sz w:val="24"/>
          <w:szCs w:val="24"/>
        </w:rPr>
        <w:t>A Service Credit shall be the Buyer’s exclusive financial remedy for a Service Level Failure except where:</w:t>
      </w:r>
    </w:p>
    <w:p w14:paraId="675CF190" w14:textId="77777777" w:rsidR="007053A3" w:rsidRDefault="007A5C1C">
      <w:pPr>
        <w:numPr>
          <w:ilvl w:val="2"/>
          <w:numId w:val="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lastRenderedPageBreak/>
        <w:t>the Supplier has over the previous (twelve) 12 Month period exceeded the Service Credit Cap; and/or</w:t>
      </w:r>
    </w:p>
    <w:p w14:paraId="675CF191" w14:textId="77777777" w:rsidR="007053A3" w:rsidRDefault="007A5C1C">
      <w:pPr>
        <w:numPr>
          <w:ilvl w:val="2"/>
          <w:numId w:val="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Service Level Failure:</w:t>
      </w:r>
    </w:p>
    <w:p w14:paraId="675CF192" w14:textId="77777777" w:rsidR="007053A3" w:rsidRDefault="007A5C1C">
      <w:pPr>
        <w:numPr>
          <w:ilvl w:val="3"/>
          <w:numId w:val="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exceeds the relevant Service Level Threshold;</w:t>
      </w:r>
    </w:p>
    <w:p w14:paraId="675CF193" w14:textId="77777777" w:rsidR="007053A3" w:rsidRDefault="007A5C1C">
      <w:pPr>
        <w:numPr>
          <w:ilvl w:val="3"/>
          <w:numId w:val="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has arisen due to a Prohibited Act or wilful Default by the Supplier; </w:t>
      </w:r>
    </w:p>
    <w:p w14:paraId="675CF194" w14:textId="77777777" w:rsidR="007053A3" w:rsidRDefault="007A5C1C">
      <w:pPr>
        <w:numPr>
          <w:ilvl w:val="3"/>
          <w:numId w:val="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results in the corruption or loss of any Government Data; and/or</w:t>
      </w:r>
    </w:p>
    <w:p w14:paraId="675CF195" w14:textId="77777777" w:rsidR="007053A3" w:rsidRDefault="007A5C1C">
      <w:pPr>
        <w:numPr>
          <w:ilvl w:val="3"/>
          <w:numId w:val="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results in the Buyer being required to make a compensation payment to one or more third parties; and/or</w:t>
      </w:r>
    </w:p>
    <w:p w14:paraId="675CF196" w14:textId="77777777" w:rsidR="007053A3" w:rsidRDefault="007A5C1C">
      <w:pPr>
        <w:numPr>
          <w:ilvl w:val="2"/>
          <w:numId w:val="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Buyer is entitled to or does terminate this Contract pursuant to Clause 10.4 (CCS and Buyer Termination Rights).</w:t>
      </w:r>
    </w:p>
    <w:p w14:paraId="675CF197" w14:textId="77777777" w:rsidR="007053A3" w:rsidRDefault="007A5C1C">
      <w:pPr>
        <w:numPr>
          <w:ilvl w:val="1"/>
          <w:numId w:val="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Not more than once in each Contract Year, the Buyer may, on giving the Supplier at least three (3) Months’ notice, change the weighting of Service Level Performance Measure in respect of one or more Service Levels and the Supplier shall not be entitled to object to, or increase the Charges as a result of such changes, provided that:</w:t>
      </w:r>
    </w:p>
    <w:p w14:paraId="675CF198" w14:textId="77777777" w:rsidR="007053A3" w:rsidRDefault="007A5C1C">
      <w:pPr>
        <w:numPr>
          <w:ilvl w:val="2"/>
          <w:numId w:val="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the total number of Service Levels for which the weighting is to be changed does not exceed the number applicable as at the Start Date; </w:t>
      </w:r>
    </w:p>
    <w:p w14:paraId="675CF199" w14:textId="77777777" w:rsidR="007053A3" w:rsidRDefault="007A5C1C">
      <w:pPr>
        <w:numPr>
          <w:ilvl w:val="2"/>
          <w:numId w:val="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principal purpose of the change is to reflect changes in the Buyer's business requirements and/or priorities or to reflect changing industry standards; and</w:t>
      </w:r>
    </w:p>
    <w:p w14:paraId="675CF19A" w14:textId="77777777" w:rsidR="007053A3" w:rsidRDefault="007A5C1C">
      <w:pPr>
        <w:numPr>
          <w:ilvl w:val="2"/>
          <w:numId w:val="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there is no change to the Service Credit Cap.</w:t>
      </w:r>
    </w:p>
    <w:p w14:paraId="675CF19B" w14:textId="77777777" w:rsidR="007053A3" w:rsidRDefault="007A5C1C">
      <w:pPr>
        <w:numPr>
          <w:ilvl w:val="0"/>
          <w:numId w:val="2"/>
        </w:numPr>
        <w:pBdr>
          <w:top w:val="nil"/>
          <w:left w:val="nil"/>
          <w:bottom w:val="nil"/>
          <w:right w:val="nil"/>
          <w:between w:val="nil"/>
        </w:pBdr>
        <w:tabs>
          <w:tab w:val="left" w:pos="142"/>
        </w:tabs>
        <w:spacing w:before="240" w:after="120" w:line="240" w:lineRule="auto"/>
        <w:rPr>
          <w:rFonts w:ascii="Arial Bold" w:eastAsia="Arial Bold" w:hAnsi="Arial Bold" w:cs="Arial Bold"/>
          <w:b/>
          <w:color w:val="000000"/>
          <w:sz w:val="24"/>
          <w:szCs w:val="24"/>
        </w:rPr>
      </w:pPr>
      <w:r>
        <w:rPr>
          <w:rFonts w:ascii="Arial Bold" w:eastAsia="Arial Bold" w:hAnsi="Arial Bold" w:cs="Arial Bold"/>
          <w:b/>
          <w:color w:val="000000"/>
          <w:sz w:val="24"/>
          <w:szCs w:val="24"/>
        </w:rPr>
        <w:t>Critical Service Level Failure</w:t>
      </w:r>
    </w:p>
    <w:p w14:paraId="675CF19C" w14:textId="77777777" w:rsidR="007053A3" w:rsidRDefault="007A5C1C">
      <w:pPr>
        <w:pBdr>
          <w:top w:val="nil"/>
          <w:left w:val="nil"/>
          <w:bottom w:val="nil"/>
          <w:right w:val="nil"/>
          <w:between w:val="nil"/>
        </w:pBdr>
        <w:spacing w:before="120" w:after="120" w:line="240" w:lineRule="auto"/>
        <w:ind w:left="936" w:hanging="576"/>
        <w:rPr>
          <w:rFonts w:ascii="Arial" w:eastAsia="Arial" w:hAnsi="Arial" w:cs="Arial"/>
          <w:color w:val="000000"/>
          <w:sz w:val="24"/>
          <w:szCs w:val="24"/>
        </w:rPr>
      </w:pPr>
      <w:r>
        <w:rPr>
          <w:rFonts w:ascii="Arial" w:eastAsia="Arial" w:hAnsi="Arial" w:cs="Arial"/>
          <w:color w:val="000000"/>
          <w:sz w:val="24"/>
          <w:szCs w:val="24"/>
        </w:rPr>
        <w:t>On the occurrence of a Critical Service Level Failure:</w:t>
      </w:r>
    </w:p>
    <w:p w14:paraId="675CF19D" w14:textId="77777777" w:rsidR="007053A3" w:rsidRDefault="007A5C1C">
      <w:pPr>
        <w:numPr>
          <w:ilvl w:val="1"/>
          <w:numId w:val="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any Service Credits that would otherwise have accrued during the relevant Service Period shall not accrue; and</w:t>
      </w:r>
    </w:p>
    <w:p w14:paraId="675CF19E" w14:textId="77777777" w:rsidR="007053A3" w:rsidRDefault="007A5C1C">
      <w:pPr>
        <w:numPr>
          <w:ilvl w:val="1"/>
          <w:numId w:val="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Buyer shall (subject to the Service Credit Cap) be entitled to withhold and retain as compensation a sum equal to any Charges which would otherwise have been due to the Supplier in respect of that Service Period ("</w:t>
      </w:r>
      <w:r>
        <w:rPr>
          <w:rFonts w:ascii="Arial" w:eastAsia="Arial" w:hAnsi="Arial" w:cs="Arial"/>
          <w:b/>
          <w:color w:val="000000"/>
          <w:sz w:val="24"/>
          <w:szCs w:val="24"/>
        </w:rPr>
        <w:t>Compensation for Critical Service Level Failure</w:t>
      </w:r>
      <w:r>
        <w:rPr>
          <w:rFonts w:ascii="Arial" w:eastAsia="Arial" w:hAnsi="Arial" w:cs="Arial"/>
          <w:color w:val="000000"/>
          <w:sz w:val="24"/>
          <w:szCs w:val="24"/>
        </w:rPr>
        <w:t>"),</w:t>
      </w:r>
    </w:p>
    <w:p w14:paraId="675CF19F" w14:textId="77777777" w:rsidR="007053A3" w:rsidRDefault="007A5C1C">
      <w:pPr>
        <w:pBdr>
          <w:top w:val="nil"/>
          <w:left w:val="nil"/>
          <w:bottom w:val="nil"/>
          <w:right w:val="nil"/>
          <w:between w:val="nil"/>
        </w:pBdr>
        <w:tabs>
          <w:tab w:val="left" w:pos="3402"/>
        </w:tabs>
        <w:spacing w:after="220" w:line="240" w:lineRule="auto"/>
        <w:ind w:left="720"/>
        <w:rPr>
          <w:rFonts w:ascii="Arial" w:eastAsia="Arial" w:hAnsi="Arial" w:cs="Arial"/>
          <w:color w:val="000000"/>
          <w:sz w:val="24"/>
          <w:szCs w:val="24"/>
        </w:rPr>
      </w:pPr>
      <w:r>
        <w:rPr>
          <w:rFonts w:ascii="Arial" w:eastAsia="Arial" w:hAnsi="Arial" w:cs="Arial"/>
          <w:color w:val="000000"/>
          <w:sz w:val="24"/>
          <w:szCs w:val="24"/>
        </w:rPr>
        <w:t>provided that the operation of this paragraph 3 shall be without prejudice to the right of the Buyer to terminate this Contract and/or to claim damages from the Supplier for material Default.</w:t>
      </w:r>
    </w:p>
    <w:p w14:paraId="675CF1A0" w14:textId="77777777" w:rsidR="007053A3" w:rsidRDefault="007053A3">
      <w:pPr>
        <w:pBdr>
          <w:top w:val="nil"/>
          <w:left w:val="nil"/>
          <w:bottom w:val="nil"/>
          <w:right w:val="nil"/>
          <w:between w:val="nil"/>
        </w:pBdr>
        <w:tabs>
          <w:tab w:val="left" w:pos="142"/>
        </w:tabs>
        <w:spacing w:before="240" w:after="120" w:line="240" w:lineRule="auto"/>
        <w:ind w:left="426" w:hanging="360"/>
        <w:rPr>
          <w:rFonts w:ascii="Arial" w:eastAsia="Arial" w:hAnsi="Arial" w:cs="Arial"/>
          <w:b/>
          <w:smallCaps/>
          <w:color w:val="000000"/>
          <w:sz w:val="24"/>
          <w:szCs w:val="24"/>
        </w:rPr>
      </w:pPr>
    </w:p>
    <w:p w14:paraId="675CF1A1" w14:textId="77777777" w:rsidR="007053A3" w:rsidRDefault="007A5C1C">
      <w:pPr>
        <w:keepNext/>
        <w:pBdr>
          <w:top w:val="nil"/>
          <w:left w:val="nil"/>
          <w:bottom w:val="nil"/>
          <w:right w:val="nil"/>
          <w:between w:val="nil"/>
        </w:pBdr>
        <w:spacing w:after="240" w:line="240" w:lineRule="auto"/>
        <w:rPr>
          <w:rFonts w:ascii="Arial Bold" w:eastAsia="Arial Bold" w:hAnsi="Arial Bold" w:cs="Arial Bold"/>
          <w:b/>
          <w:color w:val="000000"/>
          <w:sz w:val="36"/>
          <w:szCs w:val="36"/>
        </w:rPr>
      </w:pPr>
      <w:r>
        <w:br w:type="page"/>
      </w:r>
      <w:r>
        <w:rPr>
          <w:rFonts w:ascii="Arial Bold" w:eastAsia="Arial Bold" w:hAnsi="Arial Bold" w:cs="Arial Bold"/>
          <w:b/>
          <w:color w:val="000000"/>
          <w:sz w:val="36"/>
          <w:szCs w:val="36"/>
        </w:rPr>
        <w:lastRenderedPageBreak/>
        <w:t xml:space="preserve">Part A: Service Levels and Service Credits </w:t>
      </w:r>
    </w:p>
    <w:p w14:paraId="675CF1A2" w14:textId="77777777" w:rsidR="007053A3" w:rsidRDefault="007A5C1C">
      <w:pPr>
        <w:numPr>
          <w:ilvl w:val="0"/>
          <w:numId w:val="4"/>
        </w:numPr>
        <w:pBdr>
          <w:top w:val="nil"/>
          <w:left w:val="nil"/>
          <w:bottom w:val="nil"/>
          <w:right w:val="nil"/>
          <w:between w:val="nil"/>
        </w:pBdr>
        <w:tabs>
          <w:tab w:val="left" w:pos="142"/>
        </w:tabs>
        <w:spacing w:before="240" w:after="120" w:line="240" w:lineRule="auto"/>
        <w:rPr>
          <w:rFonts w:ascii="Arial Bold" w:eastAsia="Arial Bold" w:hAnsi="Arial Bold" w:cs="Arial Bold"/>
          <w:b/>
          <w:color w:val="000000"/>
          <w:sz w:val="24"/>
          <w:szCs w:val="24"/>
        </w:rPr>
      </w:pPr>
      <w:r>
        <w:rPr>
          <w:rFonts w:ascii="Arial Bold" w:eastAsia="Arial Bold" w:hAnsi="Arial Bold" w:cs="Arial Bold"/>
          <w:b/>
          <w:color w:val="000000"/>
          <w:sz w:val="24"/>
          <w:szCs w:val="24"/>
        </w:rPr>
        <w:t>Service Levels</w:t>
      </w:r>
    </w:p>
    <w:p w14:paraId="675CF1A3" w14:textId="77777777" w:rsidR="007053A3" w:rsidRDefault="007A5C1C">
      <w:pPr>
        <w:pBdr>
          <w:top w:val="nil"/>
          <w:left w:val="nil"/>
          <w:bottom w:val="nil"/>
          <w:right w:val="nil"/>
          <w:between w:val="nil"/>
        </w:pBdr>
        <w:spacing w:before="120" w:after="120" w:line="240" w:lineRule="auto"/>
        <w:ind w:left="720" w:hanging="576"/>
        <w:rPr>
          <w:rFonts w:ascii="Arial" w:eastAsia="Arial" w:hAnsi="Arial" w:cs="Arial"/>
          <w:color w:val="000000"/>
          <w:sz w:val="24"/>
          <w:szCs w:val="24"/>
        </w:rPr>
      </w:pPr>
      <w:r>
        <w:rPr>
          <w:rFonts w:ascii="Arial" w:eastAsia="Arial" w:hAnsi="Arial" w:cs="Arial"/>
          <w:color w:val="000000"/>
          <w:sz w:val="24"/>
          <w:szCs w:val="24"/>
        </w:rPr>
        <w:t>If the level of performance of the Supplier:</w:t>
      </w:r>
    </w:p>
    <w:p w14:paraId="675CF1A4" w14:textId="77777777" w:rsidR="007053A3" w:rsidRDefault="007A5C1C">
      <w:pPr>
        <w:numPr>
          <w:ilvl w:val="1"/>
          <w:numId w:val="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is likely to or fails to meet any Service Level Performance Measure; or</w:t>
      </w:r>
    </w:p>
    <w:p w14:paraId="675CF1A5" w14:textId="77777777" w:rsidR="007053A3" w:rsidRDefault="007A5C1C">
      <w:pPr>
        <w:numPr>
          <w:ilvl w:val="1"/>
          <w:numId w:val="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is likely to cause or causes a Critical Service Failure to occur, </w:t>
      </w:r>
    </w:p>
    <w:p w14:paraId="675CF1A6" w14:textId="77777777" w:rsidR="007053A3" w:rsidRDefault="007A5C1C">
      <w:pPr>
        <w:pBdr>
          <w:top w:val="nil"/>
          <w:left w:val="nil"/>
          <w:bottom w:val="nil"/>
          <w:right w:val="nil"/>
          <w:between w:val="nil"/>
        </w:pBdr>
        <w:spacing w:before="120" w:after="120" w:line="240" w:lineRule="auto"/>
        <w:ind w:left="720" w:hanging="576"/>
        <w:rPr>
          <w:rFonts w:ascii="Arial" w:eastAsia="Arial" w:hAnsi="Arial" w:cs="Arial"/>
          <w:color w:val="000000"/>
          <w:sz w:val="24"/>
          <w:szCs w:val="24"/>
        </w:rPr>
      </w:pPr>
      <w:r>
        <w:rPr>
          <w:rFonts w:ascii="Arial" w:eastAsia="Arial" w:hAnsi="Arial" w:cs="Arial"/>
          <w:color w:val="000000"/>
          <w:sz w:val="24"/>
          <w:szCs w:val="24"/>
        </w:rPr>
        <w:t>the Supplier shall immediately notify the Buyer in writing and the Buyer, in its absolute discretion and without limiting any other of its rights, may:</w:t>
      </w:r>
    </w:p>
    <w:p w14:paraId="675CF1A7" w14:textId="77777777" w:rsidR="007053A3" w:rsidRDefault="007A5C1C">
      <w:pPr>
        <w:numPr>
          <w:ilvl w:val="2"/>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require the Supplier to immediately take all remedial action that is reasonable to mitigate the impact on the Buyer and to rectify or prevent a Service Level Failure or Critical Service Level Failure from taking place or recurring; </w:t>
      </w:r>
    </w:p>
    <w:p w14:paraId="675CF1A8" w14:textId="77777777" w:rsidR="007053A3" w:rsidRDefault="007A5C1C">
      <w:pPr>
        <w:numPr>
          <w:ilvl w:val="2"/>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instruct the Supplier to comply with the Rectification Plan Process; </w:t>
      </w:r>
    </w:p>
    <w:p w14:paraId="675CF1A9" w14:textId="77777777" w:rsidR="007053A3" w:rsidRDefault="007A5C1C">
      <w:pPr>
        <w:numPr>
          <w:ilvl w:val="2"/>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if a Service Level Failure has occurred, deduct the applicable Service Level Credits payable by the Supplier to the Buyer; and/or</w:t>
      </w:r>
    </w:p>
    <w:p w14:paraId="675CF1AA" w14:textId="77777777" w:rsidR="007053A3" w:rsidRDefault="007A5C1C">
      <w:pPr>
        <w:numPr>
          <w:ilvl w:val="2"/>
          <w:numId w:val="1"/>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if a Critical Service Level Failure has occurred, exercise its right to Compensation for Critical Service Level Failure (including the right to terminate for material Default).</w:t>
      </w:r>
    </w:p>
    <w:p w14:paraId="675CF1AB" w14:textId="77777777" w:rsidR="007053A3" w:rsidRDefault="007A5C1C">
      <w:pPr>
        <w:numPr>
          <w:ilvl w:val="0"/>
          <w:numId w:val="4"/>
        </w:numPr>
        <w:pBdr>
          <w:top w:val="nil"/>
          <w:left w:val="nil"/>
          <w:bottom w:val="nil"/>
          <w:right w:val="nil"/>
          <w:between w:val="nil"/>
        </w:pBdr>
        <w:tabs>
          <w:tab w:val="left" w:pos="142"/>
        </w:tabs>
        <w:spacing w:before="240" w:after="120" w:line="240" w:lineRule="auto"/>
        <w:rPr>
          <w:rFonts w:ascii="Arial Bold" w:eastAsia="Arial Bold" w:hAnsi="Arial Bold" w:cs="Arial Bold"/>
          <w:b/>
          <w:color w:val="000000"/>
          <w:sz w:val="24"/>
          <w:szCs w:val="24"/>
        </w:rPr>
      </w:pPr>
      <w:r>
        <w:rPr>
          <w:rFonts w:ascii="Arial Bold" w:eastAsia="Arial Bold" w:hAnsi="Arial Bold" w:cs="Arial Bold"/>
          <w:b/>
          <w:color w:val="000000"/>
          <w:sz w:val="24"/>
          <w:szCs w:val="24"/>
        </w:rPr>
        <w:t>Service Credits</w:t>
      </w:r>
    </w:p>
    <w:p w14:paraId="675CF1AC" w14:textId="77777777" w:rsidR="007053A3" w:rsidRDefault="007A5C1C">
      <w:pPr>
        <w:numPr>
          <w:ilvl w:val="1"/>
          <w:numId w:val="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Buyer shall use the Performance Monitoring Reports supplied by the Supplier to verify the calculation and accuracy of the Service Credits, if any, applicable to each Service Period.</w:t>
      </w:r>
    </w:p>
    <w:p w14:paraId="675CF1AD" w14:textId="77777777" w:rsidR="007053A3" w:rsidRDefault="007A5C1C">
      <w:pPr>
        <w:numPr>
          <w:ilvl w:val="1"/>
          <w:numId w:val="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Service Credits are a reduction of the amounts payable in respect of the Deliverables and do not include VAT. The Supplier shall set-off the value of any Service Credits against the appropriate invoice in accordance with calculation formula in the Annex to Part A of this Schedule. </w:t>
      </w:r>
    </w:p>
    <w:p w14:paraId="2DCCCB58" w14:textId="77777777" w:rsidR="00D3699F" w:rsidRDefault="00D3699F">
      <w:pPr>
        <w:keepNext/>
        <w:pBdr>
          <w:top w:val="nil"/>
          <w:left w:val="nil"/>
          <w:bottom w:val="nil"/>
          <w:right w:val="nil"/>
          <w:between w:val="nil"/>
        </w:pBdr>
        <w:spacing w:after="240" w:line="240" w:lineRule="auto"/>
        <w:rPr>
          <w:rFonts w:ascii="Arial Bold" w:eastAsia="Arial Bold" w:hAnsi="Arial Bold" w:cs="Arial Bold"/>
          <w:b/>
          <w:color w:val="000000"/>
          <w:sz w:val="36"/>
          <w:szCs w:val="36"/>
        </w:rPr>
        <w:sectPr w:rsidR="00D3699F">
          <w:headerReference w:type="default" r:id="rId12"/>
          <w:footerReference w:type="default" r:id="rId13"/>
          <w:footerReference w:type="first" r:id="rId14"/>
          <w:pgSz w:w="11906" w:h="16838"/>
          <w:pgMar w:top="1440" w:right="1440" w:bottom="1440" w:left="1440" w:header="709" w:footer="709" w:gutter="0"/>
          <w:pgNumType w:start="1"/>
          <w:cols w:space="720"/>
        </w:sectPr>
      </w:pPr>
    </w:p>
    <w:p w14:paraId="675CF1AE" w14:textId="494657EE" w:rsidR="007053A3" w:rsidRDefault="007A5C1C">
      <w:pPr>
        <w:keepNext/>
        <w:pBdr>
          <w:top w:val="nil"/>
          <w:left w:val="nil"/>
          <w:bottom w:val="nil"/>
          <w:right w:val="nil"/>
          <w:between w:val="nil"/>
        </w:pBdr>
        <w:spacing w:after="240" w:line="240" w:lineRule="auto"/>
        <w:rPr>
          <w:rFonts w:ascii="Arial Bold" w:eastAsia="Arial Bold" w:hAnsi="Arial Bold" w:cs="Arial Bold"/>
          <w:b/>
          <w:color w:val="000000"/>
          <w:sz w:val="36"/>
          <w:szCs w:val="36"/>
        </w:rPr>
      </w:pPr>
      <w:r>
        <w:rPr>
          <w:rFonts w:ascii="Arial Bold" w:eastAsia="Arial Bold" w:hAnsi="Arial Bold" w:cs="Arial Bold"/>
          <w:b/>
          <w:color w:val="000000"/>
          <w:sz w:val="36"/>
          <w:szCs w:val="36"/>
        </w:rPr>
        <w:lastRenderedPageBreak/>
        <w:t>Annex A to Part A: Services Levels and Service Credits Table</w:t>
      </w:r>
    </w:p>
    <w:tbl>
      <w:tblPr>
        <w:tblStyle w:val="TableGrid"/>
        <w:tblW w:w="13950" w:type="dxa"/>
        <w:tblLook w:val="04A0" w:firstRow="1" w:lastRow="0" w:firstColumn="1" w:lastColumn="0" w:noHBand="0" w:noVBand="1"/>
      </w:tblPr>
      <w:tblGrid>
        <w:gridCol w:w="2753"/>
        <w:gridCol w:w="1637"/>
        <w:gridCol w:w="5604"/>
        <w:gridCol w:w="1284"/>
        <w:gridCol w:w="2672"/>
      </w:tblGrid>
      <w:tr w:rsidR="00440A23" w14:paraId="2979468F" w14:textId="77777777" w:rsidTr="00440A23">
        <w:tc>
          <w:tcPr>
            <w:tcW w:w="13950" w:type="dxa"/>
            <w:gridSpan w:val="5"/>
            <w:shd w:val="clear" w:color="auto" w:fill="BFBFBF" w:themeFill="background1" w:themeFillShade="BF"/>
          </w:tcPr>
          <w:p w14:paraId="3C412019" w14:textId="767CAFE9" w:rsidR="00440A23" w:rsidRDefault="00440A23" w:rsidP="00440A23">
            <w:pPr>
              <w:spacing w:before="120" w:after="120" w:line="276" w:lineRule="auto"/>
              <w:jc w:val="both"/>
              <w:rPr>
                <w:rFonts w:ascii="Arial" w:eastAsia="Arial Bold" w:hAnsi="Arial" w:cs="Arial"/>
                <w:bCs/>
                <w:color w:val="000000"/>
                <w:sz w:val="24"/>
                <w:szCs w:val="24"/>
              </w:rPr>
            </w:pPr>
            <w:r w:rsidRPr="00D3699F">
              <w:rPr>
                <w:rFonts w:ascii="Arial" w:eastAsia="Arial Bold" w:hAnsi="Arial" w:cs="Arial"/>
                <w:b/>
                <w:color w:val="000000"/>
                <w:sz w:val="28"/>
                <w:szCs w:val="28"/>
              </w:rPr>
              <w:t>Service Levels</w:t>
            </w:r>
          </w:p>
        </w:tc>
      </w:tr>
      <w:tr w:rsidR="00440A23" w14:paraId="5A45F367" w14:textId="77777777" w:rsidTr="00440A23">
        <w:tc>
          <w:tcPr>
            <w:tcW w:w="2753" w:type="dxa"/>
            <w:shd w:val="clear" w:color="auto" w:fill="BFBFBF" w:themeFill="background1" w:themeFillShade="BF"/>
            <w:vAlign w:val="center"/>
          </w:tcPr>
          <w:p w14:paraId="2C94AFDF" w14:textId="4AEFD500" w:rsidR="00440A23" w:rsidRDefault="00440A23" w:rsidP="00440A23">
            <w:pPr>
              <w:spacing w:before="120" w:after="120" w:line="276" w:lineRule="auto"/>
              <w:jc w:val="center"/>
              <w:rPr>
                <w:rFonts w:ascii="Arial" w:eastAsia="Arial Bold" w:hAnsi="Arial" w:cs="Arial"/>
                <w:bCs/>
                <w:color w:val="000000"/>
                <w:sz w:val="24"/>
                <w:szCs w:val="24"/>
              </w:rPr>
            </w:pPr>
            <w:r w:rsidRPr="00D3699F">
              <w:rPr>
                <w:rFonts w:ascii="Arial" w:eastAsia="Arial Bold" w:hAnsi="Arial" w:cs="Arial"/>
                <w:bCs/>
                <w:color w:val="000000"/>
                <w:sz w:val="24"/>
                <w:szCs w:val="24"/>
              </w:rPr>
              <w:t>Service Level Performance Criterion</w:t>
            </w:r>
          </w:p>
        </w:tc>
        <w:tc>
          <w:tcPr>
            <w:tcW w:w="1637" w:type="dxa"/>
            <w:shd w:val="clear" w:color="auto" w:fill="BFBFBF" w:themeFill="background1" w:themeFillShade="BF"/>
            <w:vAlign w:val="center"/>
          </w:tcPr>
          <w:p w14:paraId="5F2BC245" w14:textId="6DCB325F" w:rsidR="00440A23" w:rsidRDefault="00440A23" w:rsidP="00440A23">
            <w:pPr>
              <w:spacing w:before="120" w:after="120" w:line="276" w:lineRule="auto"/>
              <w:jc w:val="center"/>
              <w:rPr>
                <w:rFonts w:ascii="Arial" w:eastAsia="Arial Bold" w:hAnsi="Arial" w:cs="Arial"/>
                <w:bCs/>
                <w:color w:val="000000"/>
                <w:sz w:val="24"/>
                <w:szCs w:val="24"/>
              </w:rPr>
            </w:pPr>
            <w:r>
              <w:rPr>
                <w:rFonts w:ascii="Arial" w:eastAsia="Arial Bold" w:hAnsi="Arial" w:cs="Arial"/>
                <w:bCs/>
                <w:color w:val="000000"/>
                <w:sz w:val="24"/>
                <w:szCs w:val="24"/>
              </w:rPr>
              <w:t>Key Indicator</w:t>
            </w:r>
          </w:p>
        </w:tc>
        <w:tc>
          <w:tcPr>
            <w:tcW w:w="5604" w:type="dxa"/>
            <w:shd w:val="clear" w:color="auto" w:fill="BFBFBF" w:themeFill="background1" w:themeFillShade="BF"/>
            <w:vAlign w:val="center"/>
          </w:tcPr>
          <w:p w14:paraId="2CC8BD1D" w14:textId="27584A65" w:rsidR="00440A23" w:rsidRDefault="00440A23" w:rsidP="00440A23">
            <w:pPr>
              <w:spacing w:before="120" w:after="120" w:line="276" w:lineRule="auto"/>
              <w:jc w:val="center"/>
              <w:rPr>
                <w:rFonts w:ascii="Arial" w:eastAsia="Arial Bold" w:hAnsi="Arial" w:cs="Arial"/>
                <w:bCs/>
                <w:color w:val="000000"/>
                <w:sz w:val="24"/>
                <w:szCs w:val="24"/>
              </w:rPr>
            </w:pPr>
            <w:r>
              <w:rPr>
                <w:rFonts w:ascii="Arial" w:eastAsia="Arial Bold" w:hAnsi="Arial" w:cs="Arial"/>
                <w:bCs/>
                <w:color w:val="000000"/>
                <w:sz w:val="24"/>
                <w:szCs w:val="24"/>
              </w:rPr>
              <w:t>Service Level Performance Measure</w:t>
            </w:r>
          </w:p>
        </w:tc>
        <w:tc>
          <w:tcPr>
            <w:tcW w:w="1284" w:type="dxa"/>
            <w:shd w:val="clear" w:color="auto" w:fill="BFBFBF" w:themeFill="background1" w:themeFillShade="BF"/>
            <w:vAlign w:val="center"/>
          </w:tcPr>
          <w:p w14:paraId="2C0BD887" w14:textId="012ABD1E" w:rsidR="00440A23" w:rsidRDefault="00440A23" w:rsidP="00440A23">
            <w:pPr>
              <w:spacing w:before="120" w:after="120" w:line="276" w:lineRule="auto"/>
              <w:jc w:val="center"/>
              <w:rPr>
                <w:rFonts w:ascii="Arial" w:eastAsia="Arial Bold" w:hAnsi="Arial" w:cs="Arial"/>
                <w:bCs/>
                <w:color w:val="000000"/>
                <w:sz w:val="24"/>
                <w:szCs w:val="24"/>
              </w:rPr>
            </w:pPr>
            <w:r>
              <w:rPr>
                <w:rFonts w:ascii="Arial" w:eastAsia="Arial Bold" w:hAnsi="Arial" w:cs="Arial"/>
                <w:bCs/>
                <w:color w:val="000000"/>
                <w:sz w:val="24"/>
                <w:szCs w:val="24"/>
              </w:rPr>
              <w:t>Service Level Threshold</w:t>
            </w:r>
          </w:p>
        </w:tc>
        <w:tc>
          <w:tcPr>
            <w:tcW w:w="2672" w:type="dxa"/>
            <w:shd w:val="clear" w:color="auto" w:fill="BFBFBF" w:themeFill="background1" w:themeFillShade="BF"/>
            <w:vAlign w:val="center"/>
          </w:tcPr>
          <w:p w14:paraId="5D7E8876" w14:textId="5FA5D2C1" w:rsidR="00440A23" w:rsidRDefault="00440A23" w:rsidP="00440A23">
            <w:pPr>
              <w:spacing w:before="120" w:after="120" w:line="276" w:lineRule="auto"/>
              <w:jc w:val="center"/>
              <w:rPr>
                <w:rFonts w:ascii="Arial" w:eastAsia="Arial Bold" w:hAnsi="Arial" w:cs="Arial"/>
                <w:bCs/>
                <w:color w:val="000000"/>
                <w:sz w:val="24"/>
                <w:szCs w:val="24"/>
              </w:rPr>
            </w:pPr>
            <w:r>
              <w:rPr>
                <w:rFonts w:ascii="Arial" w:eastAsia="Arial Bold" w:hAnsi="Arial" w:cs="Arial"/>
                <w:bCs/>
                <w:color w:val="000000"/>
                <w:sz w:val="24"/>
                <w:szCs w:val="24"/>
              </w:rPr>
              <w:t>Service Credit for each Service Period</w:t>
            </w:r>
          </w:p>
        </w:tc>
      </w:tr>
      <w:tr w:rsidR="00440A23" w14:paraId="692E9F7B" w14:textId="77777777" w:rsidTr="00440A23">
        <w:tc>
          <w:tcPr>
            <w:tcW w:w="2753" w:type="dxa"/>
            <w:vAlign w:val="center"/>
          </w:tcPr>
          <w:p w14:paraId="48979CC5" w14:textId="79BCC9E5" w:rsidR="00440A23" w:rsidRDefault="00440A23" w:rsidP="00440A23">
            <w:pPr>
              <w:spacing w:before="120" w:after="120" w:line="276" w:lineRule="auto"/>
              <w:rPr>
                <w:rFonts w:ascii="Arial" w:eastAsia="Arial Bold" w:hAnsi="Arial" w:cs="Arial"/>
                <w:bCs/>
                <w:color w:val="000000"/>
                <w:sz w:val="24"/>
                <w:szCs w:val="24"/>
              </w:rPr>
            </w:pPr>
            <w:r w:rsidRPr="00D3699F">
              <w:rPr>
                <w:rFonts w:ascii="Arial" w:eastAsia="Arial Bold" w:hAnsi="Arial" w:cs="Arial"/>
                <w:bCs/>
                <w:color w:val="000000"/>
                <w:sz w:val="24"/>
                <w:szCs w:val="24"/>
              </w:rPr>
              <w:t>Communications - general</w:t>
            </w:r>
          </w:p>
        </w:tc>
        <w:tc>
          <w:tcPr>
            <w:tcW w:w="1637" w:type="dxa"/>
            <w:vAlign w:val="center"/>
          </w:tcPr>
          <w:p w14:paraId="7B66100C" w14:textId="5A9A4E13" w:rsidR="00440A23" w:rsidRDefault="00440A23" w:rsidP="00440A23">
            <w:pPr>
              <w:spacing w:before="120" w:after="120" w:line="276" w:lineRule="auto"/>
              <w:rPr>
                <w:rFonts w:ascii="Arial" w:eastAsia="Arial Bold" w:hAnsi="Arial" w:cs="Arial"/>
                <w:bCs/>
                <w:color w:val="000000"/>
                <w:sz w:val="24"/>
                <w:szCs w:val="24"/>
              </w:rPr>
            </w:pPr>
            <w:r>
              <w:rPr>
                <w:rFonts w:ascii="Arial" w:eastAsia="Arial Bold" w:hAnsi="Arial" w:cs="Arial"/>
                <w:bCs/>
                <w:color w:val="000000"/>
                <w:sz w:val="24"/>
                <w:szCs w:val="24"/>
              </w:rPr>
              <w:t>Timelines</w:t>
            </w:r>
          </w:p>
        </w:tc>
        <w:tc>
          <w:tcPr>
            <w:tcW w:w="5604" w:type="dxa"/>
            <w:vAlign w:val="center"/>
          </w:tcPr>
          <w:p w14:paraId="6CB220B7" w14:textId="77777777" w:rsidR="00440A23" w:rsidRPr="00D3699F" w:rsidRDefault="00440A23" w:rsidP="00440A23">
            <w:pPr>
              <w:spacing w:before="120" w:after="120"/>
              <w:jc w:val="both"/>
              <w:rPr>
                <w:rFonts w:ascii="Arial" w:eastAsia="Arial Bold" w:hAnsi="Arial" w:cs="Arial"/>
                <w:bCs/>
                <w:color w:val="000000"/>
                <w:sz w:val="24"/>
                <w:szCs w:val="24"/>
              </w:rPr>
            </w:pPr>
            <w:r w:rsidRPr="00D3699F">
              <w:rPr>
                <w:rFonts w:ascii="Arial" w:eastAsia="Arial Bold" w:hAnsi="Arial" w:cs="Arial"/>
                <w:bCs/>
                <w:color w:val="000000"/>
                <w:sz w:val="24"/>
                <w:szCs w:val="24"/>
              </w:rPr>
              <w:t xml:space="preserve">Response to requests and queries, not flagged as urgent or high importance, from Defra within 2-working days </w:t>
            </w:r>
          </w:p>
          <w:p w14:paraId="15829E70" w14:textId="089E0951" w:rsidR="00440A23" w:rsidRDefault="00440A23" w:rsidP="00440A23">
            <w:pPr>
              <w:spacing w:before="120" w:after="120" w:line="276" w:lineRule="auto"/>
              <w:rPr>
                <w:rFonts w:ascii="Arial" w:eastAsia="Arial Bold" w:hAnsi="Arial" w:cs="Arial"/>
                <w:bCs/>
                <w:color w:val="000000"/>
                <w:sz w:val="24"/>
                <w:szCs w:val="24"/>
              </w:rPr>
            </w:pPr>
            <w:r w:rsidRPr="00D3699F">
              <w:rPr>
                <w:rFonts w:ascii="Arial" w:eastAsia="Arial Bold" w:hAnsi="Arial" w:cs="Arial"/>
                <w:bCs/>
                <w:color w:val="000000"/>
                <w:sz w:val="24"/>
                <w:szCs w:val="24"/>
              </w:rPr>
              <w:t>This includes requests via email, telephone, face-to-face and any other communication method used by Defra</w:t>
            </w:r>
          </w:p>
        </w:tc>
        <w:tc>
          <w:tcPr>
            <w:tcW w:w="1284" w:type="dxa"/>
            <w:vAlign w:val="center"/>
          </w:tcPr>
          <w:p w14:paraId="4F04EEC0" w14:textId="31D80D37" w:rsidR="00440A23" w:rsidRDefault="00440A23" w:rsidP="00440A23">
            <w:pPr>
              <w:spacing w:before="120" w:after="120" w:line="276" w:lineRule="auto"/>
              <w:jc w:val="center"/>
              <w:rPr>
                <w:rFonts w:ascii="Arial" w:eastAsia="Arial Bold" w:hAnsi="Arial" w:cs="Arial"/>
                <w:bCs/>
                <w:color w:val="000000"/>
                <w:sz w:val="24"/>
                <w:szCs w:val="24"/>
              </w:rPr>
            </w:pPr>
            <w:r>
              <w:rPr>
                <w:rFonts w:ascii="Arial" w:eastAsia="Arial Bold" w:hAnsi="Arial" w:cs="Arial"/>
                <w:bCs/>
                <w:color w:val="000000"/>
                <w:sz w:val="24"/>
                <w:szCs w:val="24"/>
              </w:rPr>
              <w:t>100%</w:t>
            </w:r>
          </w:p>
        </w:tc>
        <w:tc>
          <w:tcPr>
            <w:tcW w:w="2672" w:type="dxa"/>
            <w:vAlign w:val="center"/>
          </w:tcPr>
          <w:p w14:paraId="0B482135" w14:textId="487FD7F0" w:rsidR="00440A23" w:rsidRDefault="00440A23" w:rsidP="00440A23">
            <w:pPr>
              <w:spacing w:before="120" w:after="120" w:line="276" w:lineRule="auto"/>
              <w:rPr>
                <w:rFonts w:ascii="Arial" w:eastAsia="Arial Bold" w:hAnsi="Arial" w:cs="Arial"/>
                <w:bCs/>
                <w:color w:val="000000"/>
                <w:sz w:val="24"/>
                <w:szCs w:val="24"/>
              </w:rPr>
            </w:pPr>
            <w:r>
              <w:rPr>
                <w:rFonts w:ascii="Arial" w:eastAsia="Arial" w:hAnsi="Arial" w:cs="Arial"/>
                <w:sz w:val="24"/>
                <w:szCs w:val="24"/>
              </w:rPr>
              <w:t>0.5% Service Credit gained for each percentage under the specified Service Level Performance Measure</w:t>
            </w:r>
          </w:p>
        </w:tc>
      </w:tr>
      <w:tr w:rsidR="00440A23" w14:paraId="72814A5F" w14:textId="77777777" w:rsidTr="00440A23">
        <w:tc>
          <w:tcPr>
            <w:tcW w:w="2753" w:type="dxa"/>
            <w:vAlign w:val="center"/>
          </w:tcPr>
          <w:p w14:paraId="3CA9187C" w14:textId="38AB189E" w:rsidR="00440A23" w:rsidRDefault="00440A23" w:rsidP="00440A23">
            <w:pPr>
              <w:spacing w:before="120" w:after="120" w:line="276" w:lineRule="auto"/>
              <w:rPr>
                <w:rFonts w:ascii="Arial" w:eastAsia="Arial Bold" w:hAnsi="Arial" w:cs="Arial"/>
                <w:bCs/>
                <w:color w:val="000000"/>
                <w:sz w:val="24"/>
                <w:szCs w:val="24"/>
              </w:rPr>
            </w:pPr>
            <w:r w:rsidRPr="00D3699F">
              <w:rPr>
                <w:rFonts w:ascii="Arial" w:eastAsia="Arial Bold" w:hAnsi="Arial" w:cs="Arial"/>
                <w:bCs/>
                <w:color w:val="000000"/>
                <w:sz w:val="24"/>
                <w:szCs w:val="24"/>
              </w:rPr>
              <w:t>Communications – urgent</w:t>
            </w:r>
          </w:p>
        </w:tc>
        <w:tc>
          <w:tcPr>
            <w:tcW w:w="1637" w:type="dxa"/>
            <w:vAlign w:val="center"/>
          </w:tcPr>
          <w:p w14:paraId="3E1D2EFB" w14:textId="16DC40BD" w:rsidR="00440A23" w:rsidRDefault="00440A23" w:rsidP="00440A23">
            <w:pPr>
              <w:spacing w:before="120" w:after="120" w:line="276" w:lineRule="auto"/>
              <w:rPr>
                <w:rFonts w:ascii="Arial" w:eastAsia="Arial Bold" w:hAnsi="Arial" w:cs="Arial"/>
                <w:bCs/>
                <w:color w:val="000000"/>
                <w:sz w:val="24"/>
                <w:szCs w:val="24"/>
              </w:rPr>
            </w:pPr>
            <w:r>
              <w:rPr>
                <w:rFonts w:ascii="Arial" w:eastAsia="Arial Bold" w:hAnsi="Arial" w:cs="Arial"/>
                <w:bCs/>
                <w:color w:val="000000"/>
                <w:sz w:val="24"/>
                <w:szCs w:val="24"/>
              </w:rPr>
              <w:t>Timelines</w:t>
            </w:r>
          </w:p>
        </w:tc>
        <w:tc>
          <w:tcPr>
            <w:tcW w:w="5604" w:type="dxa"/>
            <w:vAlign w:val="center"/>
          </w:tcPr>
          <w:p w14:paraId="00A0162C" w14:textId="1AAC5640" w:rsidR="00440A23" w:rsidRDefault="00440A23" w:rsidP="00440A23">
            <w:pPr>
              <w:spacing w:before="120" w:after="120" w:line="276" w:lineRule="auto"/>
              <w:rPr>
                <w:rFonts w:ascii="Arial" w:eastAsia="Arial Bold" w:hAnsi="Arial" w:cs="Arial"/>
                <w:bCs/>
                <w:color w:val="000000"/>
                <w:sz w:val="24"/>
                <w:szCs w:val="24"/>
              </w:rPr>
            </w:pPr>
            <w:r w:rsidRPr="00D3699F">
              <w:rPr>
                <w:rFonts w:ascii="Arial" w:eastAsia="Arial Bold" w:hAnsi="Arial" w:cs="Arial"/>
                <w:bCs/>
                <w:color w:val="000000"/>
                <w:sz w:val="24"/>
                <w:szCs w:val="24"/>
              </w:rPr>
              <w:t>Response to requests and queries, flagged as urgent or high importance within 2-hours.</w:t>
            </w:r>
          </w:p>
        </w:tc>
        <w:tc>
          <w:tcPr>
            <w:tcW w:w="1284" w:type="dxa"/>
            <w:vAlign w:val="center"/>
          </w:tcPr>
          <w:p w14:paraId="187F584C" w14:textId="60758294" w:rsidR="00440A23" w:rsidRDefault="00440A23" w:rsidP="00440A23">
            <w:pPr>
              <w:spacing w:before="120" w:after="120" w:line="276" w:lineRule="auto"/>
              <w:jc w:val="center"/>
              <w:rPr>
                <w:rFonts w:ascii="Arial" w:eastAsia="Arial Bold" w:hAnsi="Arial" w:cs="Arial"/>
                <w:bCs/>
                <w:color w:val="000000"/>
                <w:sz w:val="24"/>
                <w:szCs w:val="24"/>
              </w:rPr>
            </w:pPr>
            <w:r>
              <w:rPr>
                <w:rFonts w:ascii="Arial" w:eastAsia="Arial Bold" w:hAnsi="Arial" w:cs="Arial"/>
                <w:bCs/>
                <w:color w:val="000000"/>
                <w:sz w:val="24"/>
                <w:szCs w:val="24"/>
              </w:rPr>
              <w:t>95%</w:t>
            </w:r>
          </w:p>
        </w:tc>
        <w:tc>
          <w:tcPr>
            <w:tcW w:w="2672" w:type="dxa"/>
            <w:vAlign w:val="center"/>
          </w:tcPr>
          <w:p w14:paraId="686B2BEE" w14:textId="171F63DA" w:rsidR="00440A23" w:rsidRDefault="00440A23" w:rsidP="00440A23">
            <w:pPr>
              <w:spacing w:before="120" w:after="120" w:line="276" w:lineRule="auto"/>
              <w:rPr>
                <w:rFonts w:ascii="Arial" w:eastAsia="Arial Bold" w:hAnsi="Arial" w:cs="Arial"/>
                <w:bCs/>
                <w:color w:val="000000"/>
                <w:sz w:val="24"/>
                <w:szCs w:val="24"/>
              </w:rPr>
            </w:pPr>
            <w:r>
              <w:rPr>
                <w:rFonts w:ascii="Arial" w:eastAsia="Arial" w:hAnsi="Arial" w:cs="Arial"/>
                <w:sz w:val="24"/>
                <w:szCs w:val="24"/>
              </w:rPr>
              <w:t>0.5% Service Credit gained for each percentage under the specified Service Level Performance Measure</w:t>
            </w:r>
          </w:p>
        </w:tc>
      </w:tr>
      <w:tr w:rsidR="00440A23" w14:paraId="66594B81" w14:textId="77777777" w:rsidTr="00440A23">
        <w:tc>
          <w:tcPr>
            <w:tcW w:w="2753" w:type="dxa"/>
          </w:tcPr>
          <w:p w14:paraId="650F1F3D" w14:textId="129D08C1" w:rsidR="00440A23" w:rsidRDefault="00440A23" w:rsidP="00440A23">
            <w:pPr>
              <w:spacing w:before="120" w:after="120" w:line="276" w:lineRule="auto"/>
              <w:rPr>
                <w:rFonts w:ascii="Arial" w:eastAsia="Arial Bold" w:hAnsi="Arial" w:cs="Arial"/>
                <w:bCs/>
                <w:color w:val="000000"/>
                <w:sz w:val="24"/>
                <w:szCs w:val="24"/>
              </w:rPr>
            </w:pPr>
            <w:r>
              <w:rPr>
                <w:rFonts w:ascii="Arial" w:eastAsia="Arial Bold" w:hAnsi="Arial" w:cs="Arial"/>
                <w:bCs/>
                <w:color w:val="000000"/>
                <w:sz w:val="24"/>
                <w:szCs w:val="24"/>
              </w:rPr>
              <w:t>Candidates – post-sift</w:t>
            </w:r>
          </w:p>
        </w:tc>
        <w:tc>
          <w:tcPr>
            <w:tcW w:w="1637" w:type="dxa"/>
          </w:tcPr>
          <w:p w14:paraId="102E4366" w14:textId="3C40D380" w:rsidR="00440A23" w:rsidRDefault="00440A23" w:rsidP="00440A23">
            <w:pPr>
              <w:spacing w:before="120" w:after="120" w:line="276" w:lineRule="auto"/>
              <w:rPr>
                <w:rFonts w:ascii="Arial" w:eastAsia="Arial Bold" w:hAnsi="Arial" w:cs="Arial"/>
                <w:bCs/>
                <w:color w:val="000000"/>
                <w:sz w:val="24"/>
                <w:szCs w:val="24"/>
              </w:rPr>
            </w:pPr>
            <w:r>
              <w:rPr>
                <w:rFonts w:ascii="Arial" w:eastAsia="Arial Bold" w:hAnsi="Arial" w:cs="Arial"/>
                <w:bCs/>
                <w:color w:val="000000"/>
                <w:sz w:val="24"/>
                <w:szCs w:val="24"/>
              </w:rPr>
              <w:t>Delivery / Performance</w:t>
            </w:r>
          </w:p>
        </w:tc>
        <w:tc>
          <w:tcPr>
            <w:tcW w:w="5604" w:type="dxa"/>
          </w:tcPr>
          <w:p w14:paraId="59DC6A88" w14:textId="77777777" w:rsidR="00440A23" w:rsidRDefault="00440A23" w:rsidP="00440A23">
            <w:pPr>
              <w:spacing w:before="120" w:after="120" w:line="276" w:lineRule="auto"/>
              <w:rPr>
                <w:rFonts w:ascii="Arial" w:eastAsia="Arial Bold" w:hAnsi="Arial" w:cs="Arial"/>
                <w:bCs/>
                <w:color w:val="000000"/>
                <w:sz w:val="24"/>
                <w:szCs w:val="24"/>
              </w:rPr>
            </w:pPr>
          </w:p>
        </w:tc>
        <w:tc>
          <w:tcPr>
            <w:tcW w:w="1284" w:type="dxa"/>
            <w:vAlign w:val="center"/>
          </w:tcPr>
          <w:p w14:paraId="77EFD25F" w14:textId="59A114F2" w:rsidR="00440A23" w:rsidRDefault="00440A23" w:rsidP="00440A23">
            <w:pPr>
              <w:spacing w:before="120" w:after="120" w:line="276" w:lineRule="auto"/>
              <w:jc w:val="center"/>
              <w:rPr>
                <w:rFonts w:ascii="Arial" w:eastAsia="Arial Bold" w:hAnsi="Arial" w:cs="Arial"/>
                <w:bCs/>
                <w:color w:val="000000"/>
                <w:sz w:val="24"/>
                <w:szCs w:val="24"/>
              </w:rPr>
            </w:pPr>
            <w:r>
              <w:rPr>
                <w:rFonts w:ascii="Arial" w:eastAsia="Arial Bold" w:hAnsi="Arial" w:cs="Arial"/>
                <w:bCs/>
                <w:color w:val="000000"/>
                <w:sz w:val="24"/>
                <w:szCs w:val="24"/>
              </w:rPr>
              <w:t>90%</w:t>
            </w:r>
          </w:p>
        </w:tc>
        <w:tc>
          <w:tcPr>
            <w:tcW w:w="2672" w:type="dxa"/>
          </w:tcPr>
          <w:p w14:paraId="46668717" w14:textId="53878766" w:rsidR="00440A23" w:rsidRDefault="00440A23" w:rsidP="00440A23">
            <w:pPr>
              <w:spacing w:before="120" w:after="120" w:line="276" w:lineRule="auto"/>
              <w:rPr>
                <w:rFonts w:ascii="Arial" w:eastAsia="Arial Bold" w:hAnsi="Arial" w:cs="Arial"/>
                <w:bCs/>
                <w:color w:val="000000"/>
                <w:sz w:val="24"/>
                <w:szCs w:val="24"/>
              </w:rPr>
            </w:pPr>
            <w:r>
              <w:rPr>
                <w:rFonts w:ascii="Arial" w:eastAsia="Arial" w:hAnsi="Arial" w:cs="Arial"/>
                <w:sz w:val="24"/>
                <w:szCs w:val="24"/>
              </w:rPr>
              <w:t>0.5% Service Credit gained for each percentage under the specified Service Level Performance Measure</w:t>
            </w:r>
          </w:p>
        </w:tc>
      </w:tr>
      <w:tr w:rsidR="00440A23" w14:paraId="112EEB50" w14:textId="77777777" w:rsidTr="00440A23">
        <w:tc>
          <w:tcPr>
            <w:tcW w:w="2753" w:type="dxa"/>
            <w:vAlign w:val="center"/>
          </w:tcPr>
          <w:p w14:paraId="7577EC30" w14:textId="4CB86009" w:rsidR="00D3699F" w:rsidRPr="00D3699F" w:rsidRDefault="00D3699F" w:rsidP="00D3699F">
            <w:pPr>
              <w:keepNext/>
              <w:spacing w:before="120" w:after="120"/>
              <w:jc w:val="both"/>
              <w:rPr>
                <w:rFonts w:ascii="Arial" w:eastAsia="Arial Bold" w:hAnsi="Arial" w:cs="Arial"/>
                <w:bCs/>
                <w:color w:val="000000"/>
                <w:sz w:val="24"/>
                <w:szCs w:val="24"/>
              </w:rPr>
            </w:pPr>
            <w:r>
              <w:rPr>
                <w:rFonts w:ascii="Arial" w:eastAsia="Arial" w:hAnsi="Arial" w:cs="Arial"/>
                <w:sz w:val="24"/>
                <w:szCs w:val="24"/>
              </w:rPr>
              <w:lastRenderedPageBreak/>
              <w:t>Accurate and timely billing of Buyer</w:t>
            </w:r>
          </w:p>
        </w:tc>
        <w:tc>
          <w:tcPr>
            <w:tcW w:w="1637" w:type="dxa"/>
            <w:vAlign w:val="center"/>
          </w:tcPr>
          <w:p w14:paraId="14ACF3A3" w14:textId="49437263" w:rsidR="00D3699F" w:rsidRPr="00D3699F" w:rsidRDefault="00D3699F" w:rsidP="00D3699F">
            <w:pPr>
              <w:spacing w:after="120"/>
              <w:ind w:left="95"/>
              <w:rPr>
                <w:rFonts w:ascii="Arial" w:eastAsia="Arial" w:hAnsi="Arial" w:cs="Arial"/>
                <w:sz w:val="24"/>
                <w:szCs w:val="24"/>
              </w:rPr>
            </w:pPr>
            <w:r>
              <w:rPr>
                <w:rFonts w:ascii="Arial" w:eastAsia="Arial" w:hAnsi="Arial" w:cs="Arial"/>
                <w:sz w:val="24"/>
                <w:szCs w:val="24"/>
              </w:rPr>
              <w:t>Accuracy /</w:t>
            </w:r>
            <w:r w:rsidR="00110E86">
              <w:rPr>
                <w:rFonts w:ascii="Arial" w:eastAsia="Arial" w:hAnsi="Arial" w:cs="Arial"/>
                <w:sz w:val="24"/>
                <w:szCs w:val="24"/>
              </w:rPr>
              <w:t xml:space="preserve"> </w:t>
            </w:r>
            <w:r>
              <w:rPr>
                <w:rFonts w:ascii="Arial" w:eastAsia="Arial" w:hAnsi="Arial" w:cs="Arial"/>
                <w:sz w:val="24"/>
                <w:szCs w:val="24"/>
              </w:rPr>
              <w:t>Timelines</w:t>
            </w:r>
          </w:p>
        </w:tc>
        <w:tc>
          <w:tcPr>
            <w:tcW w:w="5604" w:type="dxa"/>
            <w:vAlign w:val="center"/>
          </w:tcPr>
          <w:p w14:paraId="69FD3007" w14:textId="7EBBF8D3" w:rsidR="00D3699F" w:rsidRDefault="001725F4" w:rsidP="00D3699F">
            <w:pPr>
              <w:keepNext/>
              <w:spacing w:before="120" w:after="120"/>
              <w:jc w:val="both"/>
              <w:rPr>
                <w:rFonts w:ascii="Arial" w:eastAsia="Arial Bold" w:hAnsi="Arial" w:cs="Arial"/>
                <w:bCs/>
                <w:color w:val="000000"/>
                <w:sz w:val="24"/>
                <w:szCs w:val="24"/>
              </w:rPr>
            </w:pPr>
            <w:r>
              <w:rPr>
                <w:rFonts w:ascii="Arial" w:eastAsia="Arial Bold" w:hAnsi="Arial" w:cs="Arial"/>
                <w:bCs/>
                <w:color w:val="000000"/>
                <w:sz w:val="24"/>
                <w:szCs w:val="24"/>
              </w:rPr>
              <w:t xml:space="preserve">Invoices to the Buyer are accurate and received within </w:t>
            </w:r>
            <w:r w:rsidR="007A5C1C">
              <w:rPr>
                <w:rFonts w:ascii="Arial" w:eastAsia="Arial Bold" w:hAnsi="Arial" w:cs="Arial"/>
                <w:bCs/>
                <w:color w:val="000000"/>
                <w:sz w:val="24"/>
                <w:szCs w:val="24"/>
              </w:rPr>
              <w:t>7</w:t>
            </w:r>
            <w:r>
              <w:rPr>
                <w:rFonts w:ascii="Arial" w:eastAsia="Arial Bold" w:hAnsi="Arial" w:cs="Arial"/>
                <w:bCs/>
                <w:color w:val="000000"/>
                <w:sz w:val="24"/>
                <w:szCs w:val="24"/>
              </w:rPr>
              <w:t xml:space="preserve"> days</w:t>
            </w:r>
            <w:r w:rsidR="007A5C1C">
              <w:rPr>
                <w:rFonts w:ascii="Arial" w:eastAsia="Arial Bold" w:hAnsi="Arial" w:cs="Arial"/>
                <w:bCs/>
                <w:color w:val="000000"/>
                <w:sz w:val="24"/>
                <w:szCs w:val="24"/>
              </w:rPr>
              <w:t>.</w:t>
            </w:r>
          </w:p>
          <w:p w14:paraId="4A0B73FB" w14:textId="430A3DBB" w:rsidR="001725F4" w:rsidRPr="00D3699F" w:rsidRDefault="001725F4" w:rsidP="00D3699F">
            <w:pPr>
              <w:keepNext/>
              <w:spacing w:before="120" w:after="120"/>
              <w:jc w:val="both"/>
              <w:rPr>
                <w:rFonts w:ascii="Arial" w:eastAsia="Arial Bold" w:hAnsi="Arial" w:cs="Arial"/>
                <w:bCs/>
                <w:color w:val="000000"/>
                <w:sz w:val="24"/>
                <w:szCs w:val="24"/>
              </w:rPr>
            </w:pPr>
            <w:r>
              <w:rPr>
                <w:rFonts w:ascii="Arial" w:eastAsia="Arial Bold" w:hAnsi="Arial" w:cs="Arial"/>
                <w:bCs/>
                <w:color w:val="000000"/>
                <w:sz w:val="24"/>
                <w:szCs w:val="24"/>
              </w:rPr>
              <w:t>1% of error is 1 working day or the error in the invoice of the amount up to £100</w:t>
            </w:r>
          </w:p>
        </w:tc>
        <w:tc>
          <w:tcPr>
            <w:tcW w:w="1284" w:type="dxa"/>
            <w:vAlign w:val="center"/>
          </w:tcPr>
          <w:p w14:paraId="346D2DC4" w14:textId="47F06951" w:rsidR="00D3699F" w:rsidRDefault="00D3699F" w:rsidP="00440A23">
            <w:pPr>
              <w:keepNext/>
              <w:spacing w:before="120" w:after="120"/>
              <w:jc w:val="center"/>
              <w:rPr>
                <w:rFonts w:ascii="Arial" w:eastAsia="Arial Bold" w:hAnsi="Arial" w:cs="Arial"/>
                <w:bCs/>
                <w:color w:val="000000"/>
                <w:sz w:val="24"/>
                <w:szCs w:val="24"/>
              </w:rPr>
            </w:pPr>
            <w:r>
              <w:rPr>
                <w:rFonts w:ascii="Arial" w:eastAsia="Arial Bold" w:hAnsi="Arial" w:cs="Arial"/>
                <w:bCs/>
                <w:color w:val="000000"/>
                <w:sz w:val="24"/>
                <w:szCs w:val="24"/>
              </w:rPr>
              <w:t>98%</w:t>
            </w:r>
          </w:p>
        </w:tc>
        <w:tc>
          <w:tcPr>
            <w:tcW w:w="2672" w:type="dxa"/>
            <w:vAlign w:val="center"/>
          </w:tcPr>
          <w:p w14:paraId="5B8179EA" w14:textId="7BB7FD13" w:rsidR="00D3699F" w:rsidRDefault="00D3699F" w:rsidP="00D3699F">
            <w:pPr>
              <w:keepNext/>
              <w:spacing w:before="120" w:after="120"/>
              <w:jc w:val="both"/>
              <w:rPr>
                <w:rFonts w:ascii="Arial" w:eastAsia="Arial Bold" w:hAnsi="Arial" w:cs="Arial"/>
                <w:bCs/>
                <w:color w:val="000000"/>
                <w:sz w:val="24"/>
                <w:szCs w:val="24"/>
              </w:rPr>
            </w:pPr>
            <w:r>
              <w:rPr>
                <w:rFonts w:ascii="Arial" w:eastAsia="Arial" w:hAnsi="Arial" w:cs="Arial"/>
                <w:sz w:val="24"/>
                <w:szCs w:val="24"/>
              </w:rPr>
              <w:t>0.5% Service Credit gained for each percentage under the specified Service Level Performance Measure</w:t>
            </w:r>
          </w:p>
        </w:tc>
      </w:tr>
    </w:tbl>
    <w:p w14:paraId="675CF1D4" w14:textId="0A37668E" w:rsidR="007053A3" w:rsidRDefault="007A5C1C" w:rsidP="00110E86">
      <w:pPr>
        <w:rPr>
          <w:rFonts w:ascii="Arial" w:eastAsia="Arial" w:hAnsi="Arial" w:cs="Arial"/>
          <w:sz w:val="24"/>
          <w:szCs w:val="24"/>
        </w:rPr>
      </w:pPr>
      <w:r>
        <w:rPr>
          <w:rFonts w:ascii="Arial" w:eastAsia="Arial" w:hAnsi="Arial" w:cs="Arial"/>
          <w:sz w:val="24"/>
          <w:szCs w:val="24"/>
        </w:rPr>
        <w:t xml:space="preserve">The Service Credits shall be calculated </w:t>
      </w:r>
      <w:r w:rsidR="00110E86">
        <w:rPr>
          <w:rFonts w:ascii="Arial" w:eastAsia="Arial" w:hAnsi="Arial" w:cs="Arial"/>
          <w:sz w:val="24"/>
          <w:szCs w:val="24"/>
        </w:rPr>
        <w:t>based on</w:t>
      </w:r>
      <w:r>
        <w:rPr>
          <w:rFonts w:ascii="Arial" w:eastAsia="Arial" w:hAnsi="Arial" w:cs="Arial"/>
          <w:sz w:val="24"/>
          <w:szCs w:val="24"/>
        </w:rPr>
        <w:t xml:space="preserve"> the following formula:</w:t>
      </w:r>
    </w:p>
    <w:p w14:paraId="0A65FEBA" w14:textId="0888DB06" w:rsidR="00110E86" w:rsidRDefault="00110E86" w:rsidP="00110E86">
      <w:pPr>
        <w:rPr>
          <w:rFonts w:ascii="Arial" w:eastAsia="Arial" w:hAnsi="Arial" w:cs="Arial"/>
          <w:sz w:val="24"/>
          <w:szCs w:val="24"/>
        </w:rPr>
      </w:pPr>
      <w:r>
        <w:rPr>
          <w:rFonts w:ascii="Arial" w:eastAsia="Arial" w:hAnsi="Arial" w:cs="Arial"/>
          <w:sz w:val="24"/>
          <w:szCs w:val="24"/>
        </w:rPr>
        <w:t>Service Level Threshold (as a percentage) – Service Level Received (as a percentage) * 0.5 = Service Credit (as a percentage)</w:t>
      </w:r>
    </w:p>
    <w:p w14:paraId="390AEA8D" w14:textId="12447298" w:rsidR="00110E86" w:rsidRDefault="00110E86" w:rsidP="00110E86">
      <w:pPr>
        <w:rPr>
          <w:rFonts w:ascii="Arial" w:eastAsia="Arial" w:hAnsi="Arial" w:cs="Arial"/>
          <w:sz w:val="24"/>
          <w:szCs w:val="24"/>
        </w:rPr>
      </w:pPr>
      <w:r>
        <w:rPr>
          <w:rFonts w:ascii="Arial" w:eastAsia="Arial" w:hAnsi="Arial" w:cs="Arial"/>
          <w:sz w:val="24"/>
          <w:szCs w:val="24"/>
        </w:rPr>
        <w:t xml:space="preserve">Service credits to be used as a deduction from the next Invoice payable by the Buyer. </w:t>
      </w:r>
    </w:p>
    <w:p w14:paraId="66ECD9C1" w14:textId="0EA7CF27" w:rsidR="00110E86" w:rsidRPr="00110E86" w:rsidRDefault="00110E86" w:rsidP="00110E86">
      <w:pPr>
        <w:pBdr>
          <w:top w:val="single" w:sz="4" w:space="1" w:color="auto"/>
          <w:left w:val="single" w:sz="4" w:space="4" w:color="auto"/>
          <w:bottom w:val="single" w:sz="4" w:space="1" w:color="auto"/>
          <w:right w:val="single" w:sz="4" w:space="4" w:color="auto"/>
        </w:pBdr>
        <w:rPr>
          <w:rFonts w:ascii="Arial" w:eastAsia="Arial" w:hAnsi="Arial" w:cs="Arial"/>
          <w:i/>
          <w:iCs/>
          <w:sz w:val="24"/>
          <w:szCs w:val="24"/>
        </w:rPr>
      </w:pPr>
      <w:r w:rsidRPr="00110E86">
        <w:rPr>
          <w:rFonts w:ascii="Arial" w:eastAsia="Arial" w:hAnsi="Arial" w:cs="Arial"/>
          <w:i/>
          <w:iCs/>
          <w:sz w:val="24"/>
          <w:szCs w:val="24"/>
        </w:rPr>
        <w:t>For example:</w:t>
      </w:r>
    </w:p>
    <w:p w14:paraId="4FD37604" w14:textId="66A940EA" w:rsidR="001725F4" w:rsidRDefault="001725F4" w:rsidP="00110E86">
      <w:pPr>
        <w:pBdr>
          <w:top w:val="single" w:sz="4" w:space="1" w:color="auto"/>
          <w:left w:val="single" w:sz="4" w:space="4" w:color="auto"/>
          <w:bottom w:val="single" w:sz="4" w:space="1" w:color="auto"/>
          <w:right w:val="single" w:sz="4" w:space="4" w:color="auto"/>
        </w:pBdr>
        <w:rPr>
          <w:rFonts w:ascii="Arial" w:eastAsia="Arial" w:hAnsi="Arial" w:cs="Arial"/>
          <w:i/>
          <w:iCs/>
          <w:sz w:val="24"/>
          <w:szCs w:val="24"/>
        </w:rPr>
      </w:pPr>
      <w:r>
        <w:rPr>
          <w:rFonts w:ascii="Arial" w:eastAsia="Arial" w:hAnsi="Arial" w:cs="Arial"/>
          <w:i/>
          <w:iCs/>
          <w:sz w:val="24"/>
          <w:szCs w:val="24"/>
        </w:rPr>
        <w:t xml:space="preserve">The latest invoice received as </w:t>
      </w:r>
      <w:r w:rsidR="00835DD3">
        <w:rPr>
          <w:rFonts w:ascii="Arial" w:eastAsia="Arial" w:hAnsi="Arial" w:cs="Arial"/>
          <w:i/>
          <w:iCs/>
          <w:sz w:val="24"/>
          <w:szCs w:val="24"/>
        </w:rPr>
        <w:t>9</w:t>
      </w:r>
      <w:r>
        <w:rPr>
          <w:rFonts w:ascii="Arial" w:eastAsia="Arial" w:hAnsi="Arial" w:cs="Arial"/>
          <w:i/>
          <w:iCs/>
          <w:sz w:val="24"/>
          <w:szCs w:val="24"/>
        </w:rPr>
        <w:t xml:space="preserve"> days late and £1,050 off the correct amount. This translates to</w:t>
      </w:r>
      <w:r w:rsidR="00835DD3">
        <w:rPr>
          <w:rFonts w:ascii="Arial" w:eastAsia="Arial" w:hAnsi="Arial" w:cs="Arial"/>
          <w:i/>
          <w:iCs/>
          <w:sz w:val="24"/>
          <w:szCs w:val="24"/>
        </w:rPr>
        <w:t xml:space="preserve"> a 80% level of accuracy.</w:t>
      </w:r>
      <w:r>
        <w:rPr>
          <w:rFonts w:ascii="Arial" w:eastAsia="Arial" w:hAnsi="Arial" w:cs="Arial"/>
          <w:i/>
          <w:iCs/>
          <w:sz w:val="24"/>
          <w:szCs w:val="24"/>
        </w:rPr>
        <w:t xml:space="preserve"> </w:t>
      </w:r>
    </w:p>
    <w:p w14:paraId="2856C8F3" w14:textId="5E03B8C0" w:rsidR="00110E86" w:rsidRPr="00110E86" w:rsidRDefault="00110E86" w:rsidP="00110E86">
      <w:pPr>
        <w:pBdr>
          <w:top w:val="single" w:sz="4" w:space="1" w:color="auto"/>
          <w:left w:val="single" w:sz="4" w:space="4" w:color="auto"/>
          <w:bottom w:val="single" w:sz="4" w:space="1" w:color="auto"/>
          <w:right w:val="single" w:sz="4" w:space="4" w:color="auto"/>
        </w:pBdr>
        <w:rPr>
          <w:rFonts w:ascii="Arial" w:eastAsia="Arial" w:hAnsi="Arial" w:cs="Arial"/>
          <w:i/>
          <w:iCs/>
          <w:sz w:val="24"/>
          <w:szCs w:val="24"/>
        </w:rPr>
      </w:pPr>
      <w:r w:rsidRPr="00110E86">
        <w:rPr>
          <w:rFonts w:ascii="Arial" w:eastAsia="Arial" w:hAnsi="Arial" w:cs="Arial"/>
          <w:i/>
          <w:iCs/>
          <w:sz w:val="24"/>
          <w:szCs w:val="24"/>
        </w:rPr>
        <w:t xml:space="preserve">98% (billing to be accurate and timely) – 80% (actual billing that was accurate and timely) * 0.5 </w:t>
      </w:r>
    </w:p>
    <w:p w14:paraId="56C2B880" w14:textId="2467E6F3" w:rsidR="00110E86" w:rsidRPr="00110E86" w:rsidRDefault="00110E86" w:rsidP="00110E86">
      <w:pPr>
        <w:pBdr>
          <w:top w:val="single" w:sz="4" w:space="1" w:color="auto"/>
          <w:left w:val="single" w:sz="4" w:space="4" w:color="auto"/>
          <w:bottom w:val="single" w:sz="4" w:space="1" w:color="auto"/>
          <w:right w:val="single" w:sz="4" w:space="4" w:color="auto"/>
        </w:pBdr>
        <w:rPr>
          <w:rFonts w:ascii="Arial" w:eastAsia="Arial" w:hAnsi="Arial" w:cs="Arial"/>
          <w:i/>
          <w:iCs/>
          <w:sz w:val="24"/>
          <w:szCs w:val="24"/>
        </w:rPr>
      </w:pPr>
      <w:r w:rsidRPr="00110E86">
        <w:rPr>
          <w:rFonts w:ascii="Arial" w:eastAsia="Arial" w:hAnsi="Arial" w:cs="Arial"/>
          <w:i/>
          <w:iCs/>
          <w:sz w:val="24"/>
          <w:szCs w:val="24"/>
        </w:rPr>
        <w:t>= 18% * 0.5</w:t>
      </w:r>
    </w:p>
    <w:p w14:paraId="4113B57E" w14:textId="65726804" w:rsidR="00110E86" w:rsidRPr="00110E86" w:rsidRDefault="00110E86" w:rsidP="00110E86">
      <w:pPr>
        <w:pBdr>
          <w:top w:val="single" w:sz="4" w:space="1" w:color="auto"/>
          <w:left w:val="single" w:sz="4" w:space="4" w:color="auto"/>
          <w:bottom w:val="single" w:sz="4" w:space="1" w:color="auto"/>
          <w:right w:val="single" w:sz="4" w:space="4" w:color="auto"/>
        </w:pBdr>
        <w:rPr>
          <w:rFonts w:ascii="Arial" w:eastAsia="Arial" w:hAnsi="Arial" w:cs="Arial"/>
          <w:i/>
          <w:iCs/>
          <w:sz w:val="24"/>
          <w:szCs w:val="24"/>
        </w:rPr>
      </w:pPr>
      <w:r w:rsidRPr="00110E86">
        <w:rPr>
          <w:rFonts w:ascii="Arial" w:eastAsia="Arial" w:hAnsi="Arial" w:cs="Arial"/>
          <w:i/>
          <w:iCs/>
          <w:sz w:val="24"/>
          <w:szCs w:val="24"/>
        </w:rPr>
        <w:t>= 9% Service Credit to be deducted from the next invoice received by the Buyer</w:t>
      </w:r>
    </w:p>
    <w:p w14:paraId="675CF1D5" w14:textId="493BDCCF" w:rsidR="007053A3" w:rsidRDefault="007053A3">
      <w:pPr>
        <w:ind w:left="709"/>
        <w:rPr>
          <w:rFonts w:ascii="Arial" w:eastAsia="Arial" w:hAnsi="Arial" w:cs="Arial"/>
          <w:sz w:val="24"/>
          <w:szCs w:val="24"/>
          <w:highlight w:val="yellow"/>
        </w:rPr>
      </w:pPr>
    </w:p>
    <w:p w14:paraId="6A9961C9" w14:textId="77777777" w:rsidR="00D3699F" w:rsidRDefault="00D3699F">
      <w:pPr>
        <w:keepNext/>
        <w:pBdr>
          <w:top w:val="nil"/>
          <w:left w:val="nil"/>
          <w:bottom w:val="nil"/>
          <w:right w:val="nil"/>
          <w:between w:val="nil"/>
        </w:pBdr>
        <w:spacing w:after="240" w:line="240" w:lineRule="auto"/>
        <w:rPr>
          <w:rFonts w:ascii="Arial Bold" w:eastAsia="Arial Bold" w:hAnsi="Arial Bold" w:cs="Arial Bold"/>
          <w:b/>
          <w:color w:val="000000"/>
          <w:sz w:val="36"/>
          <w:szCs w:val="36"/>
        </w:rPr>
        <w:sectPr w:rsidR="00D3699F" w:rsidSect="00D3699F">
          <w:pgSz w:w="16838" w:h="11906" w:orient="landscape"/>
          <w:pgMar w:top="1440" w:right="1440" w:bottom="1440" w:left="1440" w:header="709" w:footer="709" w:gutter="0"/>
          <w:pgNumType w:start="1"/>
          <w:cols w:space="720"/>
          <w:docGrid w:linePitch="299"/>
        </w:sectPr>
      </w:pPr>
    </w:p>
    <w:p w14:paraId="675CF1E0" w14:textId="24A1B494" w:rsidR="007053A3" w:rsidRDefault="007A5C1C">
      <w:pPr>
        <w:keepNext/>
        <w:pBdr>
          <w:top w:val="nil"/>
          <w:left w:val="nil"/>
          <w:bottom w:val="nil"/>
          <w:right w:val="nil"/>
          <w:between w:val="nil"/>
        </w:pBdr>
        <w:spacing w:after="240" w:line="240" w:lineRule="auto"/>
        <w:rPr>
          <w:rFonts w:ascii="Arial Bold" w:eastAsia="Arial Bold" w:hAnsi="Arial Bold" w:cs="Arial Bold"/>
          <w:b/>
          <w:color w:val="000000"/>
          <w:sz w:val="36"/>
          <w:szCs w:val="36"/>
        </w:rPr>
      </w:pPr>
      <w:r>
        <w:rPr>
          <w:rFonts w:ascii="Arial Bold" w:eastAsia="Arial Bold" w:hAnsi="Arial Bold" w:cs="Arial Bold"/>
          <w:b/>
          <w:color w:val="000000"/>
          <w:sz w:val="36"/>
          <w:szCs w:val="36"/>
        </w:rPr>
        <w:lastRenderedPageBreak/>
        <w:t xml:space="preserve">Part B: Performance Monitoring </w:t>
      </w:r>
    </w:p>
    <w:p w14:paraId="675CF1E1" w14:textId="77777777" w:rsidR="007053A3" w:rsidRDefault="007A5C1C">
      <w:pPr>
        <w:numPr>
          <w:ilvl w:val="0"/>
          <w:numId w:val="4"/>
        </w:numPr>
        <w:pBdr>
          <w:top w:val="nil"/>
          <w:left w:val="nil"/>
          <w:bottom w:val="nil"/>
          <w:right w:val="nil"/>
          <w:between w:val="nil"/>
        </w:pBdr>
        <w:tabs>
          <w:tab w:val="left" w:pos="142"/>
        </w:tabs>
        <w:spacing w:before="240" w:after="120" w:line="240" w:lineRule="auto"/>
        <w:rPr>
          <w:rFonts w:ascii="Arial Bold" w:eastAsia="Arial Bold" w:hAnsi="Arial Bold" w:cs="Arial Bold"/>
          <w:b/>
          <w:color w:val="000000"/>
          <w:sz w:val="24"/>
          <w:szCs w:val="24"/>
        </w:rPr>
      </w:pPr>
      <w:r>
        <w:rPr>
          <w:rFonts w:ascii="Arial Bold" w:eastAsia="Arial Bold" w:hAnsi="Arial Bold" w:cs="Arial Bold"/>
          <w:b/>
          <w:color w:val="000000"/>
          <w:sz w:val="24"/>
          <w:szCs w:val="24"/>
        </w:rPr>
        <w:t>Performance Monitoring and Performance Review</w:t>
      </w:r>
    </w:p>
    <w:p w14:paraId="675CF1E2" w14:textId="77777777" w:rsidR="007053A3" w:rsidRDefault="007A5C1C">
      <w:pPr>
        <w:numPr>
          <w:ilvl w:val="1"/>
          <w:numId w:val="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Within twenty (20) Working Days of the Start Date the Supplier shall provide the Buyer with details of how the process in respect of the monitoring and reporting of Service Levels will operate between the Parties and the Parties will endeavour to agree such process as soon as reasonably possible.</w:t>
      </w:r>
    </w:p>
    <w:p w14:paraId="675CF1E3" w14:textId="77777777" w:rsidR="007053A3" w:rsidRDefault="007A5C1C">
      <w:pPr>
        <w:keepNext/>
        <w:numPr>
          <w:ilvl w:val="1"/>
          <w:numId w:val="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Supplier shall provide the Buyer with performance monitoring reports ("</w:t>
      </w:r>
      <w:r>
        <w:rPr>
          <w:rFonts w:ascii="Arial" w:eastAsia="Arial" w:hAnsi="Arial" w:cs="Arial"/>
          <w:b/>
          <w:color w:val="000000"/>
          <w:sz w:val="24"/>
          <w:szCs w:val="24"/>
        </w:rPr>
        <w:t>Performance Monitoring Reports</w:t>
      </w:r>
      <w:r>
        <w:rPr>
          <w:rFonts w:ascii="Arial" w:eastAsia="Arial" w:hAnsi="Arial" w:cs="Arial"/>
          <w:color w:val="000000"/>
          <w:sz w:val="24"/>
          <w:szCs w:val="24"/>
        </w:rPr>
        <w:t>") in accordance with the process and timescales agreed pursuant to paragraph 1.1 of Part B of this Schedule which shall contain, as a minimum, the following information in respect of the relevant Service Period just ended:</w:t>
      </w:r>
    </w:p>
    <w:p w14:paraId="675CF1E4" w14:textId="77777777" w:rsidR="007053A3" w:rsidRDefault="007A5C1C">
      <w:pPr>
        <w:numPr>
          <w:ilvl w:val="2"/>
          <w:numId w:val="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for each Service Level, the actual performance achieved over the Service Level for the relevant Service Period;</w:t>
      </w:r>
    </w:p>
    <w:p w14:paraId="675CF1E5" w14:textId="77777777" w:rsidR="007053A3" w:rsidRDefault="007A5C1C">
      <w:pPr>
        <w:numPr>
          <w:ilvl w:val="2"/>
          <w:numId w:val="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a summary of all failures to achieve Service Levels that occurred during that Service Period;</w:t>
      </w:r>
    </w:p>
    <w:p w14:paraId="675CF1E6" w14:textId="77777777" w:rsidR="007053A3" w:rsidRDefault="007A5C1C">
      <w:pPr>
        <w:numPr>
          <w:ilvl w:val="2"/>
          <w:numId w:val="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details of any Critical Service Level Failures;</w:t>
      </w:r>
    </w:p>
    <w:p w14:paraId="675CF1E7" w14:textId="77777777" w:rsidR="007053A3" w:rsidRDefault="007A5C1C">
      <w:pPr>
        <w:numPr>
          <w:ilvl w:val="2"/>
          <w:numId w:val="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for any repeat failures, actions taken to resolve the underlying cause and prevent recurrence;</w:t>
      </w:r>
    </w:p>
    <w:p w14:paraId="675CF1E8" w14:textId="77777777" w:rsidR="007053A3" w:rsidRDefault="007A5C1C">
      <w:pPr>
        <w:numPr>
          <w:ilvl w:val="2"/>
          <w:numId w:val="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Service Credits to be applied in respect of the relevant period indicating the failures and Service Levels to which the Service Credits relate; and</w:t>
      </w:r>
    </w:p>
    <w:p w14:paraId="675CF1E9" w14:textId="77777777" w:rsidR="007053A3" w:rsidRDefault="007A5C1C">
      <w:pPr>
        <w:numPr>
          <w:ilvl w:val="2"/>
          <w:numId w:val="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such other details as the Buyer may reasonably require from time to time.</w:t>
      </w:r>
    </w:p>
    <w:p w14:paraId="675CF1EA" w14:textId="77777777" w:rsidR="007053A3" w:rsidRDefault="007A5C1C">
      <w:pPr>
        <w:keepNext/>
        <w:numPr>
          <w:ilvl w:val="1"/>
          <w:numId w:val="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Parties shall attend meetings to discuss Performance Monitoring Reports ("</w:t>
      </w:r>
      <w:r>
        <w:rPr>
          <w:rFonts w:ascii="Arial" w:eastAsia="Arial" w:hAnsi="Arial" w:cs="Arial"/>
          <w:b/>
          <w:color w:val="000000"/>
          <w:sz w:val="24"/>
          <w:szCs w:val="24"/>
        </w:rPr>
        <w:t>Performance Review Meetings</w:t>
      </w:r>
      <w:r>
        <w:rPr>
          <w:rFonts w:ascii="Arial" w:eastAsia="Arial" w:hAnsi="Arial" w:cs="Arial"/>
          <w:color w:val="000000"/>
          <w:sz w:val="24"/>
          <w:szCs w:val="24"/>
        </w:rPr>
        <w:t>") on a Monthly basis. The Performance Review Meetings will be the forum for the review by the Supplier and the Buyer of the Performance Monitoring Reports.  The Performance Review Meetings shall:</w:t>
      </w:r>
    </w:p>
    <w:p w14:paraId="675CF1EB" w14:textId="77777777" w:rsidR="007053A3" w:rsidRDefault="007A5C1C">
      <w:pPr>
        <w:numPr>
          <w:ilvl w:val="2"/>
          <w:numId w:val="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take place within one (1) week of the Performance Monitoring Reports being issued by the Supplier at such location and time (within normal business hours) as the Buyer shall reasonably require;</w:t>
      </w:r>
    </w:p>
    <w:p w14:paraId="675CF1EC" w14:textId="77777777" w:rsidR="007053A3" w:rsidRDefault="007A5C1C">
      <w:pPr>
        <w:numPr>
          <w:ilvl w:val="2"/>
          <w:numId w:val="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be attended by the Supplier's Representative and the Buyer’s Representative; and</w:t>
      </w:r>
    </w:p>
    <w:p w14:paraId="675CF1ED" w14:textId="77777777" w:rsidR="007053A3" w:rsidRDefault="007A5C1C">
      <w:pPr>
        <w:numPr>
          <w:ilvl w:val="2"/>
          <w:numId w:val="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be fully minuted by the Supplier and the minutes will be circulated by the Supplier to all attendees at the relevant meeting and also to the Buyer’s Representative and any other recipients agreed at the relevant meeting.  </w:t>
      </w:r>
    </w:p>
    <w:p w14:paraId="675CF1EE" w14:textId="77777777" w:rsidR="007053A3" w:rsidRDefault="007A5C1C">
      <w:pPr>
        <w:numPr>
          <w:ilvl w:val="1"/>
          <w:numId w:val="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lastRenderedPageBreak/>
        <w:t>The minutes of the preceding Month's Performance Review Meeting will be agreed and signed by both the Supplier's Representative and the Buyer’s Representative at each meeting.</w:t>
      </w:r>
    </w:p>
    <w:p w14:paraId="675CF1EF" w14:textId="77777777" w:rsidR="007053A3" w:rsidRDefault="007A5C1C">
      <w:pPr>
        <w:numPr>
          <w:ilvl w:val="1"/>
          <w:numId w:val="4"/>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Supplier shall provide to the Buyer such documentation as the Buyer may reasonably require in order to verify the level of the performance by the Supplier and the calculations of the amount of Service Credits for any specified Service Period.</w:t>
      </w:r>
    </w:p>
    <w:p w14:paraId="675CF1F0" w14:textId="77777777" w:rsidR="007053A3" w:rsidRDefault="007053A3">
      <w:pPr>
        <w:pBdr>
          <w:top w:val="nil"/>
          <w:left w:val="nil"/>
          <w:bottom w:val="nil"/>
          <w:right w:val="nil"/>
          <w:between w:val="nil"/>
        </w:pBdr>
        <w:spacing w:before="120" w:after="120" w:line="240" w:lineRule="auto"/>
        <w:ind w:left="1440" w:hanging="576"/>
        <w:rPr>
          <w:rFonts w:ascii="Arial" w:eastAsia="Arial" w:hAnsi="Arial" w:cs="Arial"/>
          <w:color w:val="000000"/>
          <w:sz w:val="24"/>
          <w:szCs w:val="24"/>
        </w:rPr>
      </w:pPr>
    </w:p>
    <w:p w14:paraId="675CF1F1" w14:textId="77777777" w:rsidR="007053A3" w:rsidRDefault="007A5C1C">
      <w:pPr>
        <w:numPr>
          <w:ilvl w:val="0"/>
          <w:numId w:val="4"/>
        </w:numPr>
        <w:pBdr>
          <w:top w:val="nil"/>
          <w:left w:val="nil"/>
          <w:bottom w:val="nil"/>
          <w:right w:val="nil"/>
          <w:between w:val="nil"/>
        </w:pBdr>
        <w:tabs>
          <w:tab w:val="left" w:pos="142"/>
        </w:tabs>
        <w:spacing w:before="240" w:after="120" w:line="240" w:lineRule="auto"/>
        <w:rPr>
          <w:rFonts w:ascii="Arial Bold" w:eastAsia="Arial Bold" w:hAnsi="Arial Bold" w:cs="Arial Bold"/>
          <w:b/>
          <w:color w:val="000000"/>
          <w:sz w:val="24"/>
          <w:szCs w:val="24"/>
        </w:rPr>
      </w:pPr>
      <w:r>
        <w:rPr>
          <w:rFonts w:ascii="Arial Bold" w:eastAsia="Arial Bold" w:hAnsi="Arial Bold" w:cs="Arial Bold"/>
          <w:b/>
          <w:color w:val="000000"/>
          <w:sz w:val="24"/>
          <w:szCs w:val="24"/>
        </w:rPr>
        <w:t>Satisfaction Surveys</w:t>
      </w:r>
    </w:p>
    <w:p w14:paraId="675CF1F2" w14:textId="77777777" w:rsidR="007053A3" w:rsidRDefault="007A5C1C">
      <w:pPr>
        <w:numPr>
          <w:ilvl w:val="1"/>
          <w:numId w:val="4"/>
        </w:numPr>
        <w:pBdr>
          <w:top w:val="nil"/>
          <w:left w:val="nil"/>
          <w:bottom w:val="nil"/>
          <w:right w:val="nil"/>
          <w:between w:val="nil"/>
        </w:pBdr>
        <w:spacing w:before="120" w:after="120" w:line="240" w:lineRule="auto"/>
        <w:rPr>
          <w:rFonts w:ascii="Arial" w:eastAsia="Arial" w:hAnsi="Arial" w:cs="Arial"/>
          <w:color w:val="000000"/>
          <w:sz w:val="24"/>
          <w:szCs w:val="24"/>
        </w:rPr>
      </w:pPr>
      <w:bookmarkStart w:id="1" w:name="_heading=h.gjdgxs" w:colFirst="0" w:colLast="0"/>
      <w:bookmarkEnd w:id="1"/>
      <w:r>
        <w:rPr>
          <w:rFonts w:ascii="Arial" w:eastAsia="Arial" w:hAnsi="Arial" w:cs="Arial"/>
          <w:color w:val="000000"/>
          <w:sz w:val="24"/>
          <w:szCs w:val="24"/>
        </w:rPr>
        <w:t>The Buyer may undertake satisfaction surveys in respect of the Supplier's provision of the Deliverables. The Buyer shall be entitled to notify the Supplier of any aspects of their performance of the provision of the Deliverables which the responses to the Satisfaction Surveys reasonably suggest are not in accordance with this Contract.</w:t>
      </w:r>
    </w:p>
    <w:p w14:paraId="675CF1F3" w14:textId="77777777" w:rsidR="007053A3" w:rsidRDefault="007053A3">
      <w:pPr>
        <w:pBdr>
          <w:top w:val="nil"/>
          <w:left w:val="nil"/>
          <w:bottom w:val="nil"/>
          <w:right w:val="nil"/>
          <w:between w:val="nil"/>
        </w:pBdr>
        <w:spacing w:before="120" w:after="120" w:line="240" w:lineRule="auto"/>
        <w:ind w:left="936" w:hanging="576"/>
        <w:jc w:val="both"/>
        <w:rPr>
          <w:rFonts w:ascii="Arial" w:eastAsia="Arial" w:hAnsi="Arial" w:cs="Arial"/>
          <w:color w:val="000000"/>
          <w:sz w:val="24"/>
          <w:szCs w:val="24"/>
        </w:rPr>
      </w:pPr>
      <w:bookmarkStart w:id="2" w:name="_heading=h.30j0zll" w:colFirst="0" w:colLast="0"/>
      <w:bookmarkEnd w:id="2"/>
    </w:p>
    <w:sectPr w:rsidR="007053A3" w:rsidSect="00D3699F">
      <w:pgSz w:w="11906" w:h="16838"/>
      <w:pgMar w:top="1440" w:right="1440" w:bottom="1440" w:left="1440"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69EF3" w14:textId="77777777" w:rsidR="00892BE3" w:rsidRDefault="00892BE3">
      <w:pPr>
        <w:spacing w:after="0" w:line="240" w:lineRule="auto"/>
      </w:pPr>
      <w:r>
        <w:separator/>
      </w:r>
    </w:p>
  </w:endnote>
  <w:endnote w:type="continuationSeparator" w:id="0">
    <w:p w14:paraId="10F57654" w14:textId="77777777" w:rsidR="00892BE3" w:rsidRDefault="00892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TZhongsong">
    <w:altName w:val="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CF1F8" w14:textId="77777777" w:rsidR="007053A3" w:rsidRDefault="007053A3">
    <w:pPr>
      <w:tabs>
        <w:tab w:val="center" w:pos="4513"/>
        <w:tab w:val="right" w:pos="9026"/>
      </w:tabs>
      <w:spacing w:after="0" w:line="240" w:lineRule="auto"/>
      <w:jc w:val="both"/>
    </w:pPr>
  </w:p>
  <w:p w14:paraId="675CF1F9" w14:textId="77777777" w:rsidR="007053A3" w:rsidRDefault="007A5C1C">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Framework Ref: RM6229</w:t>
    </w:r>
  </w:p>
  <w:p w14:paraId="675CF1FA" w14:textId="7976FBF0" w:rsidR="007053A3" w:rsidRDefault="007A5C1C">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C60633">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675CF1FB" w14:textId="77777777" w:rsidR="007053A3" w:rsidRDefault="007A5C1C">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Model Version: v3.2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CF1FC" w14:textId="77777777" w:rsidR="007053A3" w:rsidRDefault="007053A3">
    <w:pPr>
      <w:tabs>
        <w:tab w:val="center" w:pos="4513"/>
        <w:tab w:val="right" w:pos="9026"/>
      </w:tabs>
      <w:spacing w:after="0" w:line="240" w:lineRule="auto"/>
      <w:jc w:val="both"/>
    </w:pPr>
  </w:p>
  <w:p w14:paraId="675CF1FD" w14:textId="77777777" w:rsidR="007053A3" w:rsidRDefault="007A5C1C">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Framework Ref: RM</w:t>
    </w:r>
    <w:r>
      <w:rPr>
        <w:rFonts w:ascii="Arial" w:eastAsia="Arial" w:hAnsi="Arial" w:cs="Arial"/>
        <w:color w:val="000000"/>
        <w:sz w:val="20"/>
        <w:szCs w:val="20"/>
      </w:rPr>
      <w:tab/>
      <w:t xml:space="preserve">                                           </w:t>
    </w:r>
  </w:p>
  <w:p w14:paraId="675CF1FE" w14:textId="77777777" w:rsidR="007053A3" w:rsidRDefault="007A5C1C">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14:paraId="675CF1FF" w14:textId="77777777" w:rsidR="007053A3" w:rsidRDefault="007A5C1C">
    <w:pPr>
      <w:pBdr>
        <w:top w:val="nil"/>
        <w:left w:val="nil"/>
        <w:bottom w:val="nil"/>
        <w:right w:val="nil"/>
        <w:between w:val="nil"/>
      </w:pBdr>
      <w:tabs>
        <w:tab w:val="center" w:pos="4513"/>
        <w:tab w:val="right" w:pos="9026"/>
      </w:tabs>
      <w:spacing w:after="0" w:line="240" w:lineRule="auto"/>
      <w:rPr>
        <w:rFonts w:cs="Calibri"/>
        <w:color w:val="000000"/>
      </w:rPr>
    </w:pPr>
    <w:r>
      <w:rPr>
        <w:rFonts w:ascii="Arial" w:eastAsia="Arial" w:hAnsi="Arial" w:cs="Arial"/>
        <w:color w:val="000000"/>
        <w:sz w:val="20"/>
        <w:szCs w:val="20"/>
      </w:rPr>
      <w:t>Model Version : v2.9</w:t>
    </w:r>
    <w:r>
      <w:rPr>
        <w:rFonts w:ascii="Arial" w:eastAsia="Arial" w:hAnsi="Arial" w:cs="Arial"/>
        <w:color w:val="000000"/>
        <w:sz w:val="20"/>
        <w:szCs w:val="20"/>
      </w:rPr>
      <w:tab/>
    </w:r>
    <w:r>
      <w:rPr>
        <w:rFonts w:ascii="Arial" w:eastAsia="Arial" w:hAnsi="Arial" w:cs="Arial"/>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FD5A4" w14:textId="77777777" w:rsidR="00892BE3" w:rsidRDefault="00892BE3">
      <w:pPr>
        <w:spacing w:after="0" w:line="240" w:lineRule="auto"/>
      </w:pPr>
      <w:r>
        <w:separator/>
      </w:r>
    </w:p>
  </w:footnote>
  <w:footnote w:type="continuationSeparator" w:id="0">
    <w:p w14:paraId="53F3C442" w14:textId="77777777" w:rsidR="00892BE3" w:rsidRDefault="00892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CF1F4" w14:textId="77777777" w:rsidR="007053A3" w:rsidRDefault="007A5C1C">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Call-Off Schedule 14 (Service Levels)</w:t>
    </w:r>
  </w:p>
  <w:p w14:paraId="675CF1F5" w14:textId="7C39CCD7" w:rsidR="007053A3" w:rsidRDefault="007A5C1C">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Call-Off Ref:</w:t>
    </w:r>
    <w:r w:rsidR="00D37A81">
      <w:rPr>
        <w:rFonts w:ascii="Arial" w:eastAsia="Arial" w:hAnsi="Arial" w:cs="Arial"/>
        <w:color w:val="000000"/>
        <w:sz w:val="20"/>
        <w:szCs w:val="20"/>
      </w:rPr>
      <w:t xml:space="preserve"> </w:t>
    </w:r>
    <w:r w:rsidR="00D37A81" w:rsidRPr="00D37A81">
      <w:rPr>
        <w:rFonts w:ascii="Arial" w:eastAsia="Arial" w:hAnsi="Arial" w:cs="Arial"/>
        <w:color w:val="000000"/>
        <w:sz w:val="20"/>
        <w:szCs w:val="20"/>
      </w:rPr>
      <w:t>CCIT23A27</w:t>
    </w:r>
  </w:p>
  <w:p w14:paraId="675CF1F6" w14:textId="77777777" w:rsidR="007053A3" w:rsidRDefault="007A5C1C">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 2018</w:t>
    </w:r>
  </w:p>
  <w:p w14:paraId="675CF1F7" w14:textId="77777777" w:rsidR="007053A3" w:rsidRDefault="007053A3">
    <w:pPr>
      <w:pBdr>
        <w:top w:val="nil"/>
        <w:left w:val="nil"/>
        <w:bottom w:val="nil"/>
        <w:right w:val="nil"/>
        <w:between w:val="nil"/>
      </w:pBdr>
      <w:tabs>
        <w:tab w:val="center" w:pos="4513"/>
        <w:tab w:val="right" w:pos="9026"/>
      </w:tabs>
      <w:spacing w:after="0" w:line="240" w:lineRule="auto"/>
      <w:rPr>
        <w:rFonts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A3A22"/>
    <w:multiLevelType w:val="multilevel"/>
    <w:tmpl w:val="DA80FFB8"/>
    <w:lvl w:ilvl="0">
      <w:start w:val="1"/>
      <w:numFmt w:val="decimal"/>
      <w:lvlText w:val="%1."/>
      <w:lvlJc w:val="left"/>
      <w:pPr>
        <w:ind w:left="720" w:hanging="72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1440" w:hanging="720"/>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160" w:hanging="720"/>
      </w:pPr>
      <w:rPr>
        <w:rFonts w:ascii="Calibri" w:eastAsia="Calibri" w:hAnsi="Calibri" w:cs="Calibri"/>
        <w:b w:val="0"/>
        <w:i w:val="0"/>
        <w:smallCaps w:val="0"/>
        <w:strike w:val="0"/>
        <w:color w:val="000000"/>
        <w:sz w:val="22"/>
        <w:szCs w:val="22"/>
        <w:u w:val="none"/>
        <w:vertAlign w:val="baseline"/>
      </w:rPr>
    </w:lvl>
    <w:lvl w:ilvl="3">
      <w:start w:val="1"/>
      <w:numFmt w:val="lowerLetter"/>
      <w:lvlText w:val="(%4)"/>
      <w:lvlJc w:val="left"/>
      <w:pPr>
        <w:ind w:left="2880"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3600" w:hanging="72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4AA617FD"/>
    <w:multiLevelType w:val="multilevel"/>
    <w:tmpl w:val="0D689C48"/>
    <w:lvl w:ilvl="0">
      <w:start w:val="1"/>
      <w:numFmt w:val="decimal"/>
      <w:pStyle w:val="BodyTextInd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A786583"/>
    <w:multiLevelType w:val="multilevel"/>
    <w:tmpl w:val="5D8679A0"/>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720" w:hanging="360"/>
      </w:pPr>
      <w:rPr>
        <w:rFonts w:ascii="Calibri" w:eastAsia="Calibri" w:hAnsi="Calibri" w:cs="Calibri"/>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EDB2679"/>
    <w:multiLevelType w:val="multilevel"/>
    <w:tmpl w:val="4F34F5F6"/>
    <w:lvl w:ilvl="0">
      <w:start w:val="1"/>
      <w:numFmt w:val="decimal"/>
      <w:pStyle w:val="GPsDefinition"/>
      <w:lvlText w:val="%1."/>
      <w:lvlJc w:val="left"/>
      <w:pPr>
        <w:ind w:left="720" w:hanging="720"/>
      </w:pPr>
      <w:rPr>
        <w:rFonts w:ascii="Arial" w:eastAsia="Arial" w:hAnsi="Arial" w:cs="Arial"/>
        <w:b/>
        <w:i w:val="0"/>
        <w:smallCaps w:val="0"/>
        <w:strike w:val="0"/>
        <w:color w:val="000000"/>
        <w:sz w:val="24"/>
        <w:szCs w:val="24"/>
        <w:u w:val="none"/>
        <w:vertAlign w:val="baseline"/>
      </w:rPr>
    </w:lvl>
    <w:lvl w:ilvl="1">
      <w:start w:val="1"/>
      <w:numFmt w:val="decimal"/>
      <w:pStyle w:val="GPSDefinitionL2"/>
      <w:lvlText w:val="%1.%2"/>
      <w:lvlJc w:val="left"/>
      <w:pPr>
        <w:ind w:left="1440" w:hanging="720"/>
      </w:pPr>
      <w:rPr>
        <w:rFonts w:ascii="Arial" w:eastAsia="Arial" w:hAnsi="Arial" w:cs="Arial"/>
        <w:b w:val="0"/>
        <w:i w:val="0"/>
        <w:smallCaps w:val="0"/>
        <w:strike w:val="0"/>
        <w:color w:val="000000"/>
        <w:sz w:val="24"/>
        <w:szCs w:val="24"/>
        <w:u w:val="none"/>
        <w:vertAlign w:val="baseline"/>
      </w:rPr>
    </w:lvl>
    <w:lvl w:ilvl="2">
      <w:start w:val="1"/>
      <w:numFmt w:val="decimal"/>
      <w:pStyle w:val="GPSDefinitionL3"/>
      <w:lvlText w:val="%1.%2.%3"/>
      <w:lvlJc w:val="left"/>
      <w:pPr>
        <w:ind w:left="2160" w:hanging="720"/>
      </w:pPr>
      <w:rPr>
        <w:rFonts w:ascii="Calibri" w:eastAsia="Calibri" w:hAnsi="Calibri" w:cs="Calibri"/>
        <w:b w:val="0"/>
        <w:i w:val="0"/>
        <w:smallCaps w:val="0"/>
        <w:strike w:val="0"/>
        <w:color w:val="000000"/>
        <w:sz w:val="22"/>
        <w:szCs w:val="22"/>
        <w:u w:val="none"/>
        <w:vertAlign w:val="baseline"/>
      </w:rPr>
    </w:lvl>
    <w:lvl w:ilvl="3">
      <w:start w:val="1"/>
      <w:numFmt w:val="lowerLetter"/>
      <w:pStyle w:val="GPSDefinitionL4"/>
      <w:lvlText w:val="(%4)"/>
      <w:lvlJc w:val="left"/>
      <w:pPr>
        <w:ind w:left="2880"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3600" w:hanging="72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73A66B44"/>
    <w:multiLevelType w:val="multilevel"/>
    <w:tmpl w:val="B1EAEF0C"/>
    <w:lvl w:ilvl="0">
      <w:start w:val="1"/>
      <w:numFmt w:val="decimal"/>
      <w:pStyle w:val="GPSL1CLAUSEHEADING"/>
      <w:lvlText w:val="%1."/>
      <w:lvlJc w:val="left"/>
      <w:pPr>
        <w:ind w:left="720" w:hanging="720"/>
      </w:pPr>
      <w:rPr>
        <w:rFonts w:ascii="Calibri" w:eastAsia="Calibri" w:hAnsi="Calibri" w:cs="Calibri"/>
        <w:b/>
        <w:i w:val="0"/>
        <w:smallCaps w:val="0"/>
        <w:strike w:val="0"/>
        <w:color w:val="000000"/>
        <w:sz w:val="22"/>
        <w:szCs w:val="22"/>
        <w:u w:val="none"/>
        <w:vertAlign w:val="baseline"/>
      </w:rPr>
    </w:lvl>
    <w:lvl w:ilvl="1">
      <w:start w:val="1"/>
      <w:numFmt w:val="lowerLetter"/>
      <w:pStyle w:val="GPSL2NumberedBoldHeading"/>
      <w:lvlText w:val="%2)"/>
      <w:lvlJc w:val="left"/>
      <w:pPr>
        <w:ind w:left="1440" w:hanging="720"/>
      </w:pPr>
      <w:rPr>
        <w:b w:val="0"/>
        <w:i w:val="0"/>
        <w:smallCaps w:val="0"/>
        <w:strike w:val="0"/>
        <w:color w:val="000000"/>
        <w:sz w:val="22"/>
        <w:szCs w:val="22"/>
        <w:u w:val="none"/>
        <w:vertAlign w:val="baseline"/>
      </w:rPr>
    </w:lvl>
    <w:lvl w:ilvl="2">
      <w:start w:val="1"/>
      <w:numFmt w:val="decimal"/>
      <w:pStyle w:val="GPSL3numberedclause"/>
      <w:lvlText w:val="%1.2.%3"/>
      <w:lvlJc w:val="left"/>
      <w:pPr>
        <w:ind w:left="2160" w:hanging="720"/>
      </w:pPr>
      <w:rPr>
        <w:rFonts w:ascii="Arial" w:eastAsia="Arial" w:hAnsi="Arial" w:cs="Arial"/>
        <w:b w:val="0"/>
        <w:i w:val="0"/>
        <w:smallCaps w:val="0"/>
        <w:strike w:val="0"/>
        <w:color w:val="000000"/>
        <w:sz w:val="24"/>
        <w:szCs w:val="24"/>
        <w:u w:val="none"/>
        <w:vertAlign w:val="baseline"/>
      </w:rPr>
    </w:lvl>
    <w:lvl w:ilvl="3">
      <w:start w:val="1"/>
      <w:numFmt w:val="lowerLetter"/>
      <w:pStyle w:val="GPSL4numberedclause"/>
      <w:lvlText w:val="(%4)"/>
      <w:lvlJc w:val="left"/>
      <w:pPr>
        <w:ind w:left="2880" w:hanging="720"/>
      </w:pPr>
      <w:rPr>
        <w:rFonts w:ascii="Calibri" w:eastAsia="Calibri" w:hAnsi="Calibri" w:cs="Calibri"/>
        <w:b w:val="0"/>
        <w:i w:val="0"/>
        <w:smallCaps w:val="0"/>
        <w:strike w:val="0"/>
        <w:color w:val="000000"/>
        <w:sz w:val="22"/>
        <w:szCs w:val="22"/>
        <w:u w:val="none"/>
        <w:vertAlign w:val="baseline"/>
      </w:rPr>
    </w:lvl>
    <w:lvl w:ilvl="4">
      <w:start w:val="1"/>
      <w:numFmt w:val="lowerRoman"/>
      <w:pStyle w:val="GPSL5numberedclause"/>
      <w:lvlText w:val="(%5)"/>
      <w:lvlJc w:val="left"/>
      <w:pPr>
        <w:ind w:left="3600" w:hanging="720"/>
      </w:pPr>
      <w:rPr>
        <w:b w:val="0"/>
        <w:i w:val="0"/>
        <w:smallCaps w:val="0"/>
        <w:strike w:val="0"/>
        <w:color w:val="000000"/>
        <w:u w:val="none"/>
        <w:vertAlign w:val="baseline"/>
      </w:rPr>
    </w:lvl>
    <w:lvl w:ilvl="5">
      <w:start w:val="1"/>
      <w:numFmt w:val="upperLetter"/>
      <w:pStyle w:val="GPSL6numbered"/>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3A3"/>
    <w:rsid w:val="00110E86"/>
    <w:rsid w:val="001725F4"/>
    <w:rsid w:val="00440A23"/>
    <w:rsid w:val="007053A3"/>
    <w:rsid w:val="007A5C1C"/>
    <w:rsid w:val="00835DD3"/>
    <w:rsid w:val="0088570C"/>
    <w:rsid w:val="00892BE3"/>
    <w:rsid w:val="00C60633"/>
    <w:rsid w:val="00D3699F"/>
    <w:rsid w:val="00D37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CF16F"/>
  <w15:docId w15:val="{EEE17365-DC9D-4E61-A9C3-E5F6857E2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link w:val="GPSL1CLAUSEHEADINGChar"/>
    <w:qFormat/>
    <w:pPr>
      <w:numPr>
        <w:numId w:val="1"/>
      </w:numPr>
      <w:tabs>
        <w:tab w:val="left" w:pos="142"/>
      </w:tabs>
      <w:adjustRightInd w:val="0"/>
      <w:spacing w:before="240" w:after="120" w:line="240" w:lineRule="auto"/>
      <w:ind w:left="360" w:hanging="360"/>
      <w:jc w:val="both"/>
      <w:outlineLvl w:val="1"/>
    </w:pPr>
    <w:rPr>
      <w:rFonts w:eastAsia="STZhongsong" w:cs="Arial"/>
      <w:b/>
      <w:caps/>
      <w:lang w:eastAsia="zh-CN"/>
    </w:rPr>
  </w:style>
  <w:style w:type="paragraph" w:customStyle="1" w:styleId="GPSL3numberedclause">
    <w:name w:val="GPS L3 numbered clause"/>
    <w:basedOn w:val="Normal"/>
    <w:link w:val="GPSL3numberedclauseChar"/>
    <w:qFormat/>
    <w:pPr>
      <w:numPr>
        <w:ilvl w:val="2"/>
        <w:numId w:val="1"/>
      </w:numPr>
      <w:adjustRightInd w:val="0"/>
      <w:spacing w:before="120" w:after="120" w:line="240" w:lineRule="auto"/>
      <w:jc w:val="both"/>
    </w:pPr>
    <w:rPr>
      <w:rFonts w:eastAsia="Times New Roman" w:cs="Arial"/>
      <w:lang w:eastAsia="zh-CN"/>
    </w:rPr>
  </w:style>
  <w:style w:type="paragraph" w:customStyle="1" w:styleId="GPSL4numberedclause">
    <w:name w:val="GPS L4 numbered clause"/>
    <w:basedOn w:val="GPSL3numberedclause"/>
    <w:link w:val="GPSL4numberedclauseChar"/>
    <w:qFormat/>
    <w:pPr>
      <w:numPr>
        <w:ilvl w:val="3"/>
      </w:numPr>
      <w:ind w:left="2592" w:hanging="936"/>
    </w:pPr>
  </w:style>
  <w:style w:type="paragraph" w:customStyle="1" w:styleId="GPSL5numberedclause">
    <w:name w:val="GPS L5 numbered clause"/>
    <w:basedOn w:val="GPSL4numberedclause"/>
    <w:link w:val="GPSL5numberedclauseChar"/>
    <w:qFormat/>
    <w:pPr>
      <w:numPr>
        <w:ilvl w:val="4"/>
      </w:numPr>
    </w:pPr>
  </w:style>
  <w:style w:type="paragraph" w:customStyle="1" w:styleId="GPSL2NumberedBoldHeading">
    <w:name w:val="GPS L2 Numbered Bold Heading"/>
    <w:basedOn w:val="Normal"/>
    <w:qFormat/>
    <w:pPr>
      <w:numPr>
        <w:ilvl w:val="1"/>
        <w:numId w:val="1"/>
      </w:numPr>
      <w:adjustRightInd w:val="0"/>
      <w:spacing w:before="120" w:after="120" w:line="240" w:lineRule="auto"/>
      <w:ind w:left="936" w:hanging="576"/>
      <w:jc w:val="both"/>
    </w:pPr>
    <w:rPr>
      <w:rFonts w:eastAsia="Times New Roman" w:cs="Arial"/>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2numberedclause">
    <w:name w:val="GPS L2 numbered clause"/>
    <w:basedOn w:val="Normal"/>
    <w:link w:val="GPSL2numberedclauseChar1"/>
    <w:qFormat/>
    <w:pPr>
      <w:tabs>
        <w:tab w:val="left" w:pos="1134"/>
      </w:tabs>
      <w:adjustRightInd w:val="0"/>
      <w:spacing w:before="120" w:after="120" w:line="240" w:lineRule="auto"/>
      <w:ind w:left="1134" w:hanging="567"/>
      <w:jc w:val="both"/>
    </w:pPr>
    <w:rPr>
      <w:rFonts w:eastAsia="Times New Roman" w:cs="Arial"/>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ascii="Arial" w:eastAsia="Times New Roman" w:hAnsi="Arial" w:cs="Arial"/>
      <w:color w:val="FFFFFF"/>
      <w:sz w:val="16"/>
      <w:szCs w:val="16"/>
    </w:rPr>
  </w:style>
  <w:style w:type="character" w:customStyle="1" w:styleId="GPSL1CLAUSEHEADINGChar">
    <w:name w:val="GPS L1 CLAUSE HEADING Char"/>
    <w:link w:val="GPSL1CLAUSEHEADING"/>
    <w:rPr>
      <w:rFonts w:ascii="Calibri" w:eastAsia="STZhongsong" w:hAnsi="Calibri" w:cs="Arial"/>
      <w:b/>
      <w:caps/>
      <w:lang w:eastAsia="zh-CN"/>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GPsDefinition">
    <w:name w:val="GPs Definition"/>
    <w:basedOn w:val="Normal"/>
    <w:qFormat/>
    <w:pPr>
      <w:numPr>
        <w:numId w:val="2"/>
      </w:numPr>
      <w:tabs>
        <w:tab w:val="left" w:pos="-9"/>
      </w:tabs>
      <w:overflowPunct w:val="0"/>
      <w:autoSpaceDE w:val="0"/>
      <w:autoSpaceDN w:val="0"/>
      <w:adjustRightInd w:val="0"/>
      <w:spacing w:after="120" w:line="240" w:lineRule="auto"/>
      <w:jc w:val="both"/>
      <w:textAlignment w:val="baseline"/>
    </w:pPr>
    <w:rPr>
      <w:rFonts w:ascii="Arial" w:eastAsia="Times New Roman" w:hAnsi="Arial" w:cs="Arial"/>
    </w:rPr>
  </w:style>
  <w:style w:type="paragraph" w:customStyle="1" w:styleId="GPSDefinitionL2">
    <w:name w:val="GPS Definition L2"/>
    <w:basedOn w:val="GPsDefinition"/>
    <w:qFormat/>
    <w:pPr>
      <w:numPr>
        <w:ilvl w:val="1"/>
      </w:numPr>
      <w:tabs>
        <w:tab w:val="clear" w:pos="-9"/>
        <w:tab w:val="left" w:pos="144"/>
      </w:tabs>
      <w:ind w:hanging="545"/>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SchAnnexname">
    <w:name w:val="GPS Sch Annex name"/>
    <w:basedOn w:val="GPSSchTitleandNumber"/>
    <w:link w:val="GPSSchAnnexnameChar"/>
    <w:qFormat/>
    <w:pPr>
      <w:outlineLvl w:val="1"/>
    </w:pPr>
    <w:rPr>
      <w:rFonts w:ascii="Calibri" w:hAnsi="Calibri"/>
      <w:sz w:val="20"/>
    </w:rPr>
  </w:style>
  <w:style w:type="paragraph" w:customStyle="1" w:styleId="GPSL1SCHEDULEHeading">
    <w:name w:val="GPS L1 SCHEDULE Heading"/>
    <w:basedOn w:val="GPSL1CLAUSEHEADING"/>
    <w:link w:val="GPSL1SCHEDULEHeadingChar"/>
    <w:qFormat/>
    <w:pPr>
      <w:numPr>
        <w:numId w:val="0"/>
      </w:numPr>
      <w:tabs>
        <w:tab w:val="clear" w:pos="142"/>
        <w:tab w:val="left" w:pos="0"/>
      </w:tabs>
      <w:ind w:left="360" w:hanging="360"/>
      <w:outlineLvl w:val="9"/>
    </w:pPr>
  </w:style>
  <w:style w:type="character" w:customStyle="1" w:styleId="GPSSchAnnexnameChar">
    <w:name w:val="GPS Sch Annex name Char"/>
    <w:link w:val="GPSSchAnnexname"/>
    <w:rPr>
      <w:rFonts w:ascii="Calibri" w:eastAsia="STZhongsong" w:hAnsi="Calibri" w:cs="Times New Roman"/>
      <w:b/>
      <w:caps/>
      <w:sz w:val="20"/>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Calibri" w:eastAsia="STZhongsong" w:hAnsi="Calibri" w:cs="Arial"/>
      <w:b/>
      <w:caps/>
      <w:lang w:eastAsia="zh-CN"/>
    </w:rPr>
  </w:style>
  <w:style w:type="character" w:customStyle="1" w:styleId="GPSSchPartChar">
    <w:name w:val="GPS Sch Part Char"/>
    <w:link w:val="GPSSchPart"/>
    <w:rPr>
      <w:rFonts w:ascii="Calibri" w:eastAsia="STZhongsong" w:hAnsi="Calibri" w:cs="Times New Roman"/>
      <w:b/>
      <w:caps/>
      <w:sz w:val="20"/>
      <w:lang w:eastAsia="zh-CN"/>
    </w:rPr>
  </w:style>
  <w:style w:type="paragraph" w:styleId="BodyTextIndent">
    <w:name w:val="Body Text Indent"/>
    <w:basedOn w:val="Normal"/>
    <w:link w:val="BodyTextIndentChar"/>
    <w:pPr>
      <w:numPr>
        <w:numId w:val="5"/>
      </w:numPr>
      <w:adjustRightInd w:val="0"/>
      <w:spacing w:after="240" w:line="240" w:lineRule="auto"/>
      <w:jc w:val="both"/>
    </w:pPr>
    <w:rPr>
      <w:rFonts w:eastAsia="Times New Roman"/>
      <w:lang w:eastAsia="zh-CN"/>
    </w:rPr>
  </w:style>
  <w:style w:type="character" w:customStyle="1" w:styleId="BodyTextIndentChar">
    <w:name w:val="Body Text Indent Char"/>
    <w:basedOn w:val="DefaultParagraphFont"/>
    <w:link w:val="BodyTextIndent"/>
    <w:rPr>
      <w:rFonts w:ascii="Calibri" w:eastAsia="Times New Roman" w:hAnsi="Calibri" w:cs="Times New Roman"/>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paragraph" w:customStyle="1" w:styleId="GPSL2Indent">
    <w:name w:val="GPS L2 Indent"/>
    <w:basedOn w:val="Normal"/>
    <w:link w:val="GPSL2IndentChar"/>
    <w:qFormat/>
    <w:pPr>
      <w:tabs>
        <w:tab w:val="left" w:pos="3402"/>
      </w:tabs>
      <w:overflowPunct w:val="0"/>
      <w:autoSpaceDE w:val="0"/>
      <w:autoSpaceDN w:val="0"/>
      <w:adjustRightInd w:val="0"/>
      <w:spacing w:after="220" w:line="240" w:lineRule="auto"/>
      <w:ind w:left="1134"/>
      <w:jc w:val="both"/>
      <w:textAlignment w:val="baseline"/>
    </w:pPr>
    <w:rPr>
      <w:rFonts w:eastAsia="Times New Roman" w:cs="Arial"/>
      <w:szCs w:val="24"/>
    </w:rPr>
  </w:style>
  <w:style w:type="character" w:customStyle="1" w:styleId="GPSL2IndentChar">
    <w:name w:val="GPS L2 Indent Char"/>
    <w:link w:val="GPSL2Indent"/>
    <w:rPr>
      <w:rFonts w:ascii="Calibri" w:eastAsia="Times New Roman" w:hAnsi="Calibri" w:cs="Arial"/>
      <w:szCs w:val="24"/>
    </w:rPr>
  </w:style>
  <w:style w:type="paragraph" w:customStyle="1" w:styleId="GPSDefinitionTerm">
    <w:name w:val="GPS Definition Term"/>
    <w:basedOn w:val="Normal"/>
    <w:qFormat/>
    <w:pPr>
      <w:overflowPunct w:val="0"/>
      <w:autoSpaceDE w:val="0"/>
      <w:autoSpaceDN w:val="0"/>
      <w:adjustRightInd w:val="0"/>
      <w:spacing w:after="120" w:line="240" w:lineRule="auto"/>
      <w:ind w:left="-108"/>
      <w:textAlignment w:val="baseline"/>
    </w:pPr>
    <w:rPr>
      <w:rFonts w:ascii="Arial" w:eastAsia="Times New Roman" w:hAnsi="Arial" w:cs="Arial"/>
      <w:b/>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ascii="Calibri" w:eastAsia="Calibri" w:hAnsi="Calibri" w:cs="Times New Roman"/>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DefinitionNumbering1">
    <w:name w:val="Definition Numbering 1"/>
    <w:basedOn w:val="Normal"/>
    <w:pPr>
      <w:adjustRightInd w:val="0"/>
      <w:spacing w:after="240" w:line="240" w:lineRule="auto"/>
      <w:jc w:val="both"/>
      <w:outlineLvl w:val="0"/>
    </w:pPr>
    <w:rPr>
      <w:rFonts w:ascii="Times New Roman" w:eastAsia="STZhongsong" w:hAnsi="Times New Roman"/>
      <w:szCs w:val="20"/>
      <w:lang w:eastAsia="zh-CN"/>
    </w:rPr>
  </w:style>
  <w:style w:type="paragraph" w:styleId="Revision">
    <w:name w:val="Revision"/>
    <w:hidden/>
    <w:uiPriority w:val="99"/>
    <w:semiHidden/>
    <w:rsid w:val="00CB349E"/>
    <w:pPr>
      <w:spacing w:after="0" w:line="240" w:lineRule="auto"/>
    </w:pPr>
    <w:rPr>
      <w:rFonts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ghqFy/hSxsLzAXvQpRoUBrXNwWkA==">AMUW2mX1HH73zLBOiS1ZHm0Jy1j+QZRLS30DrR3pB8uyxmrjEv+icnxsWxj2uSzX/wEzST+d5/pz9riZq2HKhkBqT434rdyudTtm5nWE7HDQ3ays2H1WVVFSKQR8YOKr8qmPVmR6Mi/7</go:docsCustomData>
</go:gDocsCustomXmlDataStorage>
</file>

<file path=customXml/item3.xml><?xml version="1.0" encoding="utf-8"?>
<?mso-contentType ?>
<SharedContentType xmlns="Microsoft.SharePoint.Taxonomy.ContentTypeSync" SourceId="d1117845-93f6-4da3-abaa-fcb4fa669c78" ContentTypeId="0x010100A5BF1C78D9F64B679A5EBDE1C6598EBC01" PreviousValue="false"/>
</file>

<file path=customXml/item4.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C92B796B53676C4592BC09CCA894A029" ma:contentTypeVersion="18" ma:contentTypeDescription="Create a new document." ma:contentTypeScope="" ma:versionID="d5453730b1df67a20f6083b5076f65d5">
  <xsd:schema xmlns:xsd="http://www.w3.org/2001/XMLSchema" xmlns:xs="http://www.w3.org/2001/XMLSchema" xmlns:p="http://schemas.microsoft.com/office/2006/metadata/properties" xmlns:ns2="662745e8-e224-48e8-a2e3-254862b8c2f5" xmlns:ns3="7b2619d5-7f3d-4dbd-9d3e-09d81efd0ee9" xmlns:ns4="4b53291a-6acd-4c59-b7a8-eb8035a8b46d" targetNamespace="http://schemas.microsoft.com/office/2006/metadata/properties" ma:root="true" ma:fieldsID="d5fbdc56f6f3e698410d0f9810d30e68" ns2:_="" ns3:_="" ns4:_="">
    <xsd:import namespace="662745e8-e224-48e8-a2e3-254862b8c2f5"/>
    <xsd:import namespace="7b2619d5-7f3d-4dbd-9d3e-09d81efd0ee9"/>
    <xsd:import namespace="4b53291a-6acd-4c59-b7a8-eb8035a8b46d"/>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ead2222-f748-4408-9f95-980fc71ec1d3}" ma:internalName="TaxCatchAll" ma:showField="CatchAllData" ma:web="4b53291a-6acd-4c59-b7a8-eb8035a8b46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ead2222-f748-4408-9f95-980fc71ec1d3}" ma:internalName="TaxCatchAllLabel" ma:readOnly="true" ma:showField="CatchAllDataLabel" ma:web="4b53291a-6acd-4c59-b7a8-eb8035a8b46d">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Defra Architecture" ma:internalName="Team">
      <xsd:simpleType>
        <xsd:restriction base="dms:Text"/>
      </xsd:simpleType>
    </xsd:element>
    <xsd:element name="Topic" ma:index="20" nillable="true" ma:displayName="Topic" ma:default="ADII Business Management"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External|1104eb68-55d8-494f-b6ba-c5473579de73"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DDTS|4b496496-8422-4e09-ae59-802e7f67f771"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2619d5-7f3d-4dbd-9d3e-09d81efd0ee9"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53291a-6acd-4c59-b7a8-eb8035a8b46d"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k85d23755b3a46b5a51451cf336b2e9b xmlns="662745e8-e224-48e8-a2e3-254862b8c2f5">
      <Terms xmlns="http://schemas.microsoft.com/office/infopath/2007/PartnerControls"/>
    </k85d23755b3a46b5a51451cf336b2e9b>
    <Topic xmlns="662745e8-e224-48e8-a2e3-254862b8c2f5">ADII Business Management</Topic>
    <HOMigrated xmlns="662745e8-e224-48e8-a2e3-254862b8c2f5">false</HOMigrated>
    <lcf76f155ced4ddcb4097134ff3c332f xmlns="7b2619d5-7f3d-4dbd-9d3e-09d81efd0ee9">
      <Terms xmlns="http://schemas.microsoft.com/office/infopath/2007/PartnerControls"/>
    </lcf76f155ced4ddcb4097134ff3c332f>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External</TermName>
          <TermId xmlns="http://schemas.microsoft.com/office/infopath/2007/PartnerControls">1104eb68-55d8-494f-b6ba-c5473579de73</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DDTS</TermName>
          <TermId xmlns="http://schemas.microsoft.com/office/infopath/2007/PartnerControls">4b496496-8422-4e09-ae59-802e7f67f771</TermId>
        </TermInfo>
      </Terms>
    </fe59e9859d6a491389c5b03567f5dda5>
    <Team xmlns="662745e8-e224-48e8-a2e3-254862b8c2f5">Defra Architecture</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Props1.xml><?xml version="1.0" encoding="utf-8"?>
<ds:datastoreItem xmlns:ds="http://schemas.openxmlformats.org/officeDocument/2006/customXml" ds:itemID="{D4CD6114-80BB-4680-83B8-80A7B217E218}">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91B557B3-2D31-4F1F-9B22-7735C9200963}">
  <ds:schemaRefs>
    <ds:schemaRef ds:uri="Microsoft.SharePoint.Taxonomy.ContentTypeSync"/>
  </ds:schemaRefs>
</ds:datastoreItem>
</file>

<file path=customXml/itemProps4.xml><?xml version="1.0" encoding="utf-8"?>
<ds:datastoreItem xmlns:ds="http://schemas.openxmlformats.org/officeDocument/2006/customXml" ds:itemID="{2153FEEA-3D2E-4A49-8BB6-724CE2C5D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2745e8-e224-48e8-a2e3-254862b8c2f5"/>
    <ds:schemaRef ds:uri="7b2619d5-7f3d-4dbd-9d3e-09d81efd0ee9"/>
    <ds:schemaRef ds:uri="4b53291a-6acd-4c59-b7a8-eb8035a8b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8F6DD8-8276-49C2-AC6A-1EE5AE2BBE99}">
  <ds:schemaRefs>
    <ds:schemaRef ds:uri="http://schemas.microsoft.com/office/2006/metadata/properties"/>
    <ds:schemaRef ds:uri="http://schemas.microsoft.com/office/infopath/2007/PartnerControls"/>
    <ds:schemaRef ds:uri="662745e8-e224-48e8-a2e3-254862b8c2f5"/>
    <ds:schemaRef ds:uri="7b2619d5-7f3d-4dbd-9d3e-09d81efd0ee9"/>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Adam Cureton</cp:lastModifiedBy>
  <cp:revision>7</cp:revision>
  <dcterms:created xsi:type="dcterms:W3CDTF">2023-03-09T13:09:00Z</dcterms:created>
  <dcterms:modified xsi:type="dcterms:W3CDTF">2023-03-21T13:12:00Z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y fmtid="{D5CDD505-2E9C-101B-9397-08002B2CF9AE}" pid="3" name="ContentTypeId">
    <vt:lpwstr>0x010100A5BF1C78D9F64B679A5EBDE1C6598EBC0100C92B796B53676C4592BC09CCA894A029</vt:lpwstr>
  </property>
  <property fmtid="{D5CDD505-2E9C-101B-9397-08002B2CF9AE}" pid="4" name="InformationType">
    <vt:lpwstr/>
  </property>
  <property fmtid="{D5CDD505-2E9C-101B-9397-08002B2CF9AE}" pid="5" name="Distribution">
    <vt:lpwstr>9;#External|1104eb68-55d8-494f-b6ba-c5473579de73</vt:lpwstr>
  </property>
  <property fmtid="{D5CDD505-2E9C-101B-9397-08002B2CF9AE}" pid="6" name="MediaServiceImageTags">
    <vt:lpwstr/>
  </property>
  <property fmtid="{D5CDD505-2E9C-101B-9397-08002B2CF9AE}" pid="7" name="HOCopyrightLevel">
    <vt:lpwstr>7;#Crown|69589897-2828-4761-976e-717fd8e631c9</vt:lpwstr>
  </property>
  <property fmtid="{D5CDD505-2E9C-101B-9397-08002B2CF9AE}" pid="8" name="HOGovernmentSecurityClassification">
    <vt:lpwstr>6;#Official|14c80daa-741b-422c-9722-f71693c9ede4</vt:lpwstr>
  </property>
  <property fmtid="{D5CDD505-2E9C-101B-9397-08002B2CF9AE}" pid="9" name="HOSiteType">
    <vt:lpwstr>10;#Team|ff0485df-0575-416f-802f-e999165821b7</vt:lpwstr>
  </property>
  <property fmtid="{D5CDD505-2E9C-101B-9397-08002B2CF9AE}" pid="10" name="OrganisationalUnit">
    <vt:lpwstr>8;#DDTS|4b496496-8422-4e09-ae59-802e7f67f771</vt:lpwstr>
  </property>
</Properties>
</file>