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711C24C5" w:rsidR="00B327EC" w:rsidRPr="00021B0E" w:rsidRDefault="00091A81" w:rsidP="00B327EC">
      <w:pPr>
        <w:widowControl w:val="0"/>
        <w:tabs>
          <w:tab w:val="center" w:pos="4513"/>
        </w:tabs>
        <w:spacing w:before="120" w:after="120"/>
        <w:jc w:val="center"/>
        <w:rPr>
          <w:b/>
          <w:color w:val="000000"/>
          <w:sz w:val="36"/>
          <w:szCs w:val="36"/>
        </w:rPr>
      </w:pPr>
      <w:r>
        <w:rPr>
          <w:b/>
          <w:color w:val="000000"/>
          <w:sz w:val="36"/>
          <w:szCs w:val="36"/>
        </w:rPr>
        <w:t>NATIONAL INFRASTRUCTURE COMMISSION TRANSPORT</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644BA064" w:rsidR="00B327EC" w:rsidRPr="00021B0E" w:rsidRDefault="00091A81" w:rsidP="00B327EC">
      <w:pPr>
        <w:widowControl w:val="0"/>
        <w:tabs>
          <w:tab w:val="center" w:pos="4513"/>
        </w:tabs>
        <w:spacing w:before="120" w:after="120"/>
        <w:jc w:val="center"/>
        <w:rPr>
          <w:color w:val="000000"/>
          <w:sz w:val="36"/>
          <w:szCs w:val="36"/>
        </w:rPr>
      </w:pPr>
      <w:r>
        <w:rPr>
          <w:b/>
          <w:color w:val="000000"/>
          <w:sz w:val="36"/>
          <w:szCs w:val="36"/>
        </w:rPr>
        <w:t>PROSPECTIVE LABS LTD</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2626EF4E" w14:textId="77777777" w:rsidR="00091A81" w:rsidRPr="00021B0E" w:rsidRDefault="00091A81" w:rsidP="00B327EC">
      <w:pPr>
        <w:widowControl w:val="0"/>
        <w:tabs>
          <w:tab w:val="center" w:pos="4513"/>
        </w:tabs>
        <w:spacing w:before="120" w:after="120"/>
        <w:jc w:val="center"/>
        <w:rPr>
          <w:b/>
          <w:color w:val="000000"/>
          <w:sz w:val="36"/>
          <w:szCs w:val="36"/>
        </w:rPr>
      </w:pPr>
    </w:p>
    <w:p w14:paraId="6EACBD19" w14:textId="77777777" w:rsidR="00B327EC"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3EB73A8F" w14:textId="77777777" w:rsidR="00091A81" w:rsidRPr="00021B0E" w:rsidRDefault="00091A81" w:rsidP="00B327EC">
      <w:pPr>
        <w:widowControl w:val="0"/>
        <w:tabs>
          <w:tab w:val="left" w:pos="-720"/>
        </w:tabs>
        <w:spacing w:before="120" w:after="120"/>
        <w:jc w:val="center"/>
        <w:rPr>
          <w:b/>
          <w:bCs/>
          <w:color w:val="000000"/>
          <w:sz w:val="36"/>
          <w:szCs w:val="36"/>
        </w:rPr>
      </w:pPr>
    </w:p>
    <w:p w14:paraId="73DF4AFC" w14:textId="3A68F039" w:rsidR="00B327EC" w:rsidRDefault="00091A81" w:rsidP="00B327EC">
      <w:pPr>
        <w:widowControl w:val="0"/>
        <w:tabs>
          <w:tab w:val="center" w:pos="4513"/>
        </w:tabs>
        <w:spacing w:before="120" w:after="120"/>
        <w:jc w:val="center"/>
        <w:rPr>
          <w:b/>
          <w:color w:val="000000"/>
          <w:sz w:val="36"/>
          <w:szCs w:val="36"/>
        </w:rPr>
      </w:pPr>
      <w:r>
        <w:rPr>
          <w:b/>
          <w:color w:val="000000"/>
          <w:sz w:val="36"/>
          <w:szCs w:val="36"/>
        </w:rPr>
        <w:t>NIC TRANSPORT CONNECTIVITY INDICATOR RESEARCH</w:t>
      </w:r>
    </w:p>
    <w:p w14:paraId="584C9CC2" w14:textId="77161B6C" w:rsidR="00F42D71" w:rsidRDefault="00091A81" w:rsidP="00B327EC">
      <w:pPr>
        <w:widowControl w:val="0"/>
        <w:tabs>
          <w:tab w:val="center" w:pos="4513"/>
        </w:tabs>
        <w:spacing w:before="120" w:after="120"/>
        <w:jc w:val="center"/>
        <w:rPr>
          <w:b/>
          <w:color w:val="000000"/>
          <w:sz w:val="36"/>
          <w:szCs w:val="36"/>
        </w:rPr>
      </w:pPr>
      <w:r>
        <w:rPr>
          <w:b/>
          <w:color w:val="000000"/>
          <w:sz w:val="36"/>
          <w:szCs w:val="36"/>
        </w:rPr>
        <w:t>CCSN17A30</w:t>
      </w:r>
    </w:p>
    <w:p w14:paraId="0E269805" w14:textId="77777777" w:rsidR="000B47A6" w:rsidRDefault="000B47A6" w:rsidP="00B327EC">
      <w:pPr>
        <w:widowControl w:val="0"/>
        <w:tabs>
          <w:tab w:val="center" w:pos="4513"/>
        </w:tabs>
        <w:spacing w:before="120" w:after="120"/>
        <w:jc w:val="center"/>
        <w:rPr>
          <w:b/>
          <w:color w:val="000000"/>
          <w:sz w:val="36"/>
          <w:szCs w:val="36"/>
        </w:rPr>
      </w:pPr>
      <w:bookmarkStart w:id="2" w:name="_GoBack"/>
      <w:bookmarkEnd w:id="2"/>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lastRenderedPageBreak/>
        <w:t>CONTENTS</w:t>
      </w:r>
    </w:p>
    <w:p w14:paraId="653EC24B" w14:textId="77777777" w:rsidR="001167A3" w:rsidRDefault="001167A3">
      <w:pPr>
        <w:pStyle w:val="TOC1"/>
        <w:rPr>
          <w:rFonts w:cs="Arial"/>
          <w:caps w:val="0"/>
          <w:szCs w:val="22"/>
        </w:rPr>
      </w:pPr>
    </w:p>
    <w:p w14:paraId="321CB7E2" w14:textId="56EC6789" w:rsidR="003645E4"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503448325" w:history="1">
        <w:r w:rsidR="003645E4" w:rsidRPr="00FF6095">
          <w:rPr>
            <w:rStyle w:val="Hyperlink"/>
            <w:rFonts w:eastAsia="Times New Roman"/>
            <w:b/>
            <w:noProof/>
            <w:lang w:eastAsia="en-US"/>
          </w:rPr>
          <w:t>ANNEX 1 – TERMS AND CONDITIONS</w:t>
        </w:r>
        <w:r w:rsidR="003645E4">
          <w:rPr>
            <w:noProof/>
            <w:webHidden/>
          </w:rPr>
          <w:tab/>
        </w:r>
        <w:r w:rsidR="003645E4">
          <w:rPr>
            <w:noProof/>
            <w:webHidden/>
          </w:rPr>
          <w:fldChar w:fldCharType="begin"/>
        </w:r>
        <w:r w:rsidR="003645E4">
          <w:rPr>
            <w:noProof/>
            <w:webHidden/>
          </w:rPr>
          <w:instrText xml:space="preserve"> PAGEREF _Toc503448325 \h </w:instrText>
        </w:r>
        <w:r w:rsidR="003645E4">
          <w:rPr>
            <w:noProof/>
            <w:webHidden/>
          </w:rPr>
        </w:r>
        <w:r w:rsidR="003645E4">
          <w:rPr>
            <w:noProof/>
            <w:webHidden/>
          </w:rPr>
          <w:fldChar w:fldCharType="separate"/>
        </w:r>
        <w:r w:rsidR="003645E4">
          <w:rPr>
            <w:noProof/>
            <w:webHidden/>
          </w:rPr>
          <w:t>3</w:t>
        </w:r>
        <w:r w:rsidR="003645E4">
          <w:rPr>
            <w:noProof/>
            <w:webHidden/>
          </w:rPr>
          <w:fldChar w:fldCharType="end"/>
        </w:r>
      </w:hyperlink>
    </w:p>
    <w:p w14:paraId="12C71E30" w14:textId="464CC62A" w:rsidR="003645E4" w:rsidRDefault="008236AF">
      <w:pPr>
        <w:pStyle w:val="TOC1"/>
        <w:rPr>
          <w:rFonts w:asciiTheme="minorHAnsi" w:eastAsiaTheme="minorEastAsia" w:hAnsiTheme="minorHAnsi" w:cstheme="minorBidi"/>
          <w:caps w:val="0"/>
          <w:noProof/>
          <w:szCs w:val="22"/>
          <w:lang w:eastAsia="en-GB"/>
        </w:rPr>
      </w:pPr>
      <w:hyperlink w:anchor="_Toc503448326" w:history="1">
        <w:r w:rsidR="003645E4" w:rsidRPr="00FF6095">
          <w:rPr>
            <w:rStyle w:val="Hyperlink"/>
            <w:rFonts w:cs="Arial"/>
            <w:noProof/>
          </w:rPr>
          <w:t>1</w:t>
        </w:r>
        <w:r w:rsidR="003645E4">
          <w:rPr>
            <w:rFonts w:asciiTheme="minorHAnsi" w:eastAsiaTheme="minorEastAsia" w:hAnsiTheme="minorHAnsi" w:cstheme="minorBidi"/>
            <w:caps w:val="0"/>
            <w:noProof/>
            <w:szCs w:val="22"/>
            <w:lang w:eastAsia="en-GB"/>
          </w:rPr>
          <w:tab/>
        </w:r>
        <w:r w:rsidR="003645E4" w:rsidRPr="00FF6095">
          <w:rPr>
            <w:rStyle w:val="Hyperlink"/>
            <w:rFonts w:cs="Arial"/>
            <w:noProof/>
          </w:rPr>
          <w:t>Interpretation</w:t>
        </w:r>
        <w:r w:rsidR="003645E4">
          <w:rPr>
            <w:noProof/>
            <w:webHidden/>
          </w:rPr>
          <w:tab/>
        </w:r>
        <w:r w:rsidR="003645E4">
          <w:rPr>
            <w:noProof/>
            <w:webHidden/>
          </w:rPr>
          <w:fldChar w:fldCharType="begin"/>
        </w:r>
        <w:r w:rsidR="003645E4">
          <w:rPr>
            <w:noProof/>
            <w:webHidden/>
          </w:rPr>
          <w:instrText xml:space="preserve"> PAGEREF _Toc503448326 \h </w:instrText>
        </w:r>
        <w:r w:rsidR="003645E4">
          <w:rPr>
            <w:noProof/>
            <w:webHidden/>
          </w:rPr>
        </w:r>
        <w:r w:rsidR="003645E4">
          <w:rPr>
            <w:noProof/>
            <w:webHidden/>
          </w:rPr>
          <w:fldChar w:fldCharType="separate"/>
        </w:r>
        <w:r w:rsidR="003645E4">
          <w:rPr>
            <w:noProof/>
            <w:webHidden/>
          </w:rPr>
          <w:t>3</w:t>
        </w:r>
        <w:r w:rsidR="003645E4">
          <w:rPr>
            <w:noProof/>
            <w:webHidden/>
          </w:rPr>
          <w:fldChar w:fldCharType="end"/>
        </w:r>
      </w:hyperlink>
    </w:p>
    <w:p w14:paraId="7BDDDD0B" w14:textId="0A5B1978" w:rsidR="003645E4" w:rsidRDefault="008236AF">
      <w:pPr>
        <w:pStyle w:val="TOC1"/>
        <w:rPr>
          <w:rFonts w:asciiTheme="minorHAnsi" w:eastAsiaTheme="minorEastAsia" w:hAnsiTheme="minorHAnsi" w:cstheme="minorBidi"/>
          <w:caps w:val="0"/>
          <w:noProof/>
          <w:szCs w:val="22"/>
          <w:lang w:eastAsia="en-GB"/>
        </w:rPr>
      </w:pPr>
      <w:hyperlink w:anchor="_Toc503448327" w:history="1">
        <w:r w:rsidR="003645E4" w:rsidRPr="00FF6095">
          <w:rPr>
            <w:rStyle w:val="Hyperlink"/>
            <w:rFonts w:cs="Arial"/>
            <w:noProof/>
          </w:rPr>
          <w:t>2</w:t>
        </w:r>
        <w:r w:rsidR="003645E4">
          <w:rPr>
            <w:rFonts w:asciiTheme="minorHAnsi" w:eastAsiaTheme="minorEastAsia" w:hAnsiTheme="minorHAnsi" w:cstheme="minorBidi"/>
            <w:caps w:val="0"/>
            <w:noProof/>
            <w:szCs w:val="22"/>
            <w:lang w:eastAsia="en-GB"/>
          </w:rPr>
          <w:tab/>
        </w:r>
        <w:r w:rsidR="003645E4" w:rsidRPr="00FF6095">
          <w:rPr>
            <w:rStyle w:val="Hyperlink"/>
            <w:rFonts w:cs="Arial"/>
            <w:noProof/>
          </w:rPr>
          <w:t>Basis of Agreement</w:t>
        </w:r>
        <w:r w:rsidR="003645E4">
          <w:rPr>
            <w:noProof/>
            <w:webHidden/>
          </w:rPr>
          <w:tab/>
        </w:r>
        <w:r w:rsidR="003645E4">
          <w:rPr>
            <w:noProof/>
            <w:webHidden/>
          </w:rPr>
          <w:fldChar w:fldCharType="begin"/>
        </w:r>
        <w:r w:rsidR="003645E4">
          <w:rPr>
            <w:noProof/>
            <w:webHidden/>
          </w:rPr>
          <w:instrText xml:space="preserve"> PAGEREF _Toc503448327 \h </w:instrText>
        </w:r>
        <w:r w:rsidR="003645E4">
          <w:rPr>
            <w:noProof/>
            <w:webHidden/>
          </w:rPr>
        </w:r>
        <w:r w:rsidR="003645E4">
          <w:rPr>
            <w:noProof/>
            <w:webHidden/>
          </w:rPr>
          <w:fldChar w:fldCharType="separate"/>
        </w:r>
        <w:r w:rsidR="003645E4">
          <w:rPr>
            <w:noProof/>
            <w:webHidden/>
          </w:rPr>
          <w:t>4</w:t>
        </w:r>
        <w:r w:rsidR="003645E4">
          <w:rPr>
            <w:noProof/>
            <w:webHidden/>
          </w:rPr>
          <w:fldChar w:fldCharType="end"/>
        </w:r>
      </w:hyperlink>
    </w:p>
    <w:p w14:paraId="0975E563" w14:textId="63ECCCC2" w:rsidR="003645E4" w:rsidRDefault="008236AF">
      <w:pPr>
        <w:pStyle w:val="TOC1"/>
        <w:rPr>
          <w:rFonts w:asciiTheme="minorHAnsi" w:eastAsiaTheme="minorEastAsia" w:hAnsiTheme="minorHAnsi" w:cstheme="minorBidi"/>
          <w:caps w:val="0"/>
          <w:noProof/>
          <w:szCs w:val="22"/>
          <w:lang w:eastAsia="en-GB"/>
        </w:rPr>
      </w:pPr>
      <w:hyperlink w:anchor="_Toc503448328" w:history="1">
        <w:r w:rsidR="003645E4" w:rsidRPr="00FF6095">
          <w:rPr>
            <w:rStyle w:val="Hyperlink"/>
            <w:rFonts w:cs="Arial"/>
            <w:noProof/>
          </w:rPr>
          <w:t>3</w:t>
        </w:r>
        <w:r w:rsidR="003645E4">
          <w:rPr>
            <w:rFonts w:asciiTheme="minorHAnsi" w:eastAsiaTheme="minorEastAsia" w:hAnsiTheme="minorHAnsi" w:cstheme="minorBidi"/>
            <w:caps w:val="0"/>
            <w:noProof/>
            <w:szCs w:val="22"/>
            <w:lang w:eastAsia="en-GB"/>
          </w:rPr>
          <w:tab/>
        </w:r>
        <w:r w:rsidR="003645E4" w:rsidRPr="00FF6095">
          <w:rPr>
            <w:rStyle w:val="Hyperlink"/>
            <w:rFonts w:cs="Arial"/>
            <w:noProof/>
          </w:rPr>
          <w:t>Supply of Services</w:t>
        </w:r>
        <w:r w:rsidR="003645E4">
          <w:rPr>
            <w:noProof/>
            <w:webHidden/>
          </w:rPr>
          <w:tab/>
        </w:r>
        <w:r w:rsidR="003645E4">
          <w:rPr>
            <w:noProof/>
            <w:webHidden/>
          </w:rPr>
          <w:fldChar w:fldCharType="begin"/>
        </w:r>
        <w:r w:rsidR="003645E4">
          <w:rPr>
            <w:noProof/>
            <w:webHidden/>
          </w:rPr>
          <w:instrText xml:space="preserve"> PAGEREF _Toc503448328 \h </w:instrText>
        </w:r>
        <w:r w:rsidR="003645E4">
          <w:rPr>
            <w:noProof/>
            <w:webHidden/>
          </w:rPr>
        </w:r>
        <w:r w:rsidR="003645E4">
          <w:rPr>
            <w:noProof/>
            <w:webHidden/>
          </w:rPr>
          <w:fldChar w:fldCharType="separate"/>
        </w:r>
        <w:r w:rsidR="003645E4">
          <w:rPr>
            <w:noProof/>
            <w:webHidden/>
          </w:rPr>
          <w:t>5</w:t>
        </w:r>
        <w:r w:rsidR="003645E4">
          <w:rPr>
            <w:noProof/>
            <w:webHidden/>
          </w:rPr>
          <w:fldChar w:fldCharType="end"/>
        </w:r>
      </w:hyperlink>
    </w:p>
    <w:p w14:paraId="0AEDBA25" w14:textId="0E782936" w:rsidR="003645E4" w:rsidRDefault="008236AF">
      <w:pPr>
        <w:pStyle w:val="TOC1"/>
        <w:rPr>
          <w:rFonts w:asciiTheme="minorHAnsi" w:eastAsiaTheme="minorEastAsia" w:hAnsiTheme="minorHAnsi" w:cstheme="minorBidi"/>
          <w:caps w:val="0"/>
          <w:noProof/>
          <w:szCs w:val="22"/>
          <w:lang w:eastAsia="en-GB"/>
        </w:rPr>
      </w:pPr>
      <w:hyperlink w:anchor="_Toc503448329" w:history="1">
        <w:r w:rsidR="003645E4" w:rsidRPr="00FF6095">
          <w:rPr>
            <w:rStyle w:val="Hyperlink"/>
            <w:rFonts w:cs="Arial"/>
            <w:noProof/>
          </w:rPr>
          <w:t>4</w:t>
        </w:r>
        <w:r w:rsidR="003645E4">
          <w:rPr>
            <w:rFonts w:asciiTheme="minorHAnsi" w:eastAsiaTheme="minorEastAsia" w:hAnsiTheme="minorHAnsi" w:cstheme="minorBidi"/>
            <w:caps w:val="0"/>
            <w:noProof/>
            <w:szCs w:val="22"/>
            <w:lang w:eastAsia="en-GB"/>
          </w:rPr>
          <w:tab/>
        </w:r>
        <w:r w:rsidR="003645E4" w:rsidRPr="00FF6095">
          <w:rPr>
            <w:rStyle w:val="Hyperlink"/>
            <w:rFonts w:cs="Arial"/>
            <w:noProof/>
          </w:rPr>
          <w:t>Term</w:t>
        </w:r>
        <w:r w:rsidR="003645E4">
          <w:rPr>
            <w:noProof/>
            <w:webHidden/>
          </w:rPr>
          <w:tab/>
        </w:r>
        <w:r w:rsidR="003645E4">
          <w:rPr>
            <w:noProof/>
            <w:webHidden/>
          </w:rPr>
          <w:fldChar w:fldCharType="begin"/>
        </w:r>
        <w:r w:rsidR="003645E4">
          <w:rPr>
            <w:noProof/>
            <w:webHidden/>
          </w:rPr>
          <w:instrText xml:space="preserve"> PAGEREF _Toc503448329 \h </w:instrText>
        </w:r>
        <w:r w:rsidR="003645E4">
          <w:rPr>
            <w:noProof/>
            <w:webHidden/>
          </w:rPr>
        </w:r>
        <w:r w:rsidR="003645E4">
          <w:rPr>
            <w:noProof/>
            <w:webHidden/>
          </w:rPr>
          <w:fldChar w:fldCharType="separate"/>
        </w:r>
        <w:r w:rsidR="003645E4">
          <w:rPr>
            <w:noProof/>
            <w:webHidden/>
          </w:rPr>
          <w:t>5</w:t>
        </w:r>
        <w:r w:rsidR="003645E4">
          <w:rPr>
            <w:noProof/>
            <w:webHidden/>
          </w:rPr>
          <w:fldChar w:fldCharType="end"/>
        </w:r>
      </w:hyperlink>
    </w:p>
    <w:p w14:paraId="5D0AD33D" w14:textId="32D1C453" w:rsidR="003645E4" w:rsidRDefault="008236AF">
      <w:pPr>
        <w:pStyle w:val="TOC1"/>
        <w:rPr>
          <w:rFonts w:asciiTheme="minorHAnsi" w:eastAsiaTheme="minorEastAsia" w:hAnsiTheme="minorHAnsi" w:cstheme="minorBidi"/>
          <w:caps w:val="0"/>
          <w:noProof/>
          <w:szCs w:val="22"/>
          <w:lang w:eastAsia="en-GB"/>
        </w:rPr>
      </w:pPr>
      <w:hyperlink w:anchor="_Toc503448330" w:history="1">
        <w:r w:rsidR="003645E4" w:rsidRPr="00FF6095">
          <w:rPr>
            <w:rStyle w:val="Hyperlink"/>
            <w:rFonts w:cs="Arial"/>
            <w:noProof/>
          </w:rPr>
          <w:t>5</w:t>
        </w:r>
        <w:r w:rsidR="003645E4">
          <w:rPr>
            <w:rFonts w:asciiTheme="minorHAnsi" w:eastAsiaTheme="minorEastAsia" w:hAnsiTheme="minorHAnsi" w:cstheme="minorBidi"/>
            <w:caps w:val="0"/>
            <w:noProof/>
            <w:szCs w:val="22"/>
            <w:lang w:eastAsia="en-GB"/>
          </w:rPr>
          <w:tab/>
        </w:r>
        <w:r w:rsidR="003645E4" w:rsidRPr="00FF6095">
          <w:rPr>
            <w:rStyle w:val="Hyperlink"/>
            <w:rFonts w:cs="Arial"/>
            <w:noProof/>
          </w:rPr>
          <w:t>Charges, Payment and Recovery of Sums Due</w:t>
        </w:r>
        <w:r w:rsidR="003645E4">
          <w:rPr>
            <w:noProof/>
            <w:webHidden/>
          </w:rPr>
          <w:tab/>
        </w:r>
        <w:r w:rsidR="003645E4">
          <w:rPr>
            <w:noProof/>
            <w:webHidden/>
          </w:rPr>
          <w:fldChar w:fldCharType="begin"/>
        </w:r>
        <w:r w:rsidR="003645E4">
          <w:rPr>
            <w:noProof/>
            <w:webHidden/>
          </w:rPr>
          <w:instrText xml:space="preserve"> PAGEREF _Toc503448330 \h </w:instrText>
        </w:r>
        <w:r w:rsidR="003645E4">
          <w:rPr>
            <w:noProof/>
            <w:webHidden/>
          </w:rPr>
        </w:r>
        <w:r w:rsidR="003645E4">
          <w:rPr>
            <w:noProof/>
            <w:webHidden/>
          </w:rPr>
          <w:fldChar w:fldCharType="separate"/>
        </w:r>
        <w:r w:rsidR="003645E4">
          <w:rPr>
            <w:noProof/>
            <w:webHidden/>
          </w:rPr>
          <w:t>5</w:t>
        </w:r>
        <w:r w:rsidR="003645E4">
          <w:rPr>
            <w:noProof/>
            <w:webHidden/>
          </w:rPr>
          <w:fldChar w:fldCharType="end"/>
        </w:r>
      </w:hyperlink>
    </w:p>
    <w:p w14:paraId="0356B50A" w14:textId="34657779" w:rsidR="003645E4" w:rsidRDefault="008236AF">
      <w:pPr>
        <w:pStyle w:val="TOC1"/>
        <w:rPr>
          <w:rFonts w:asciiTheme="minorHAnsi" w:eastAsiaTheme="minorEastAsia" w:hAnsiTheme="minorHAnsi" w:cstheme="minorBidi"/>
          <w:caps w:val="0"/>
          <w:noProof/>
          <w:szCs w:val="22"/>
          <w:lang w:eastAsia="en-GB"/>
        </w:rPr>
      </w:pPr>
      <w:hyperlink w:anchor="_Toc503448331" w:history="1">
        <w:r w:rsidR="003645E4" w:rsidRPr="00FF6095">
          <w:rPr>
            <w:rStyle w:val="Hyperlink"/>
            <w:rFonts w:cs="Arial"/>
            <w:noProof/>
          </w:rPr>
          <w:t>6</w:t>
        </w:r>
        <w:r w:rsidR="003645E4">
          <w:rPr>
            <w:rFonts w:asciiTheme="minorHAnsi" w:eastAsiaTheme="minorEastAsia" w:hAnsiTheme="minorHAnsi" w:cstheme="minorBidi"/>
            <w:caps w:val="0"/>
            <w:noProof/>
            <w:szCs w:val="22"/>
            <w:lang w:eastAsia="en-GB"/>
          </w:rPr>
          <w:tab/>
        </w:r>
        <w:r w:rsidR="003645E4" w:rsidRPr="00FF6095">
          <w:rPr>
            <w:rStyle w:val="Hyperlink"/>
            <w:rFonts w:cs="Arial"/>
            <w:noProof/>
          </w:rPr>
          <w:t>Premises and equipment</w:t>
        </w:r>
        <w:r w:rsidR="003645E4">
          <w:rPr>
            <w:noProof/>
            <w:webHidden/>
          </w:rPr>
          <w:tab/>
        </w:r>
        <w:r w:rsidR="003645E4">
          <w:rPr>
            <w:noProof/>
            <w:webHidden/>
          </w:rPr>
          <w:fldChar w:fldCharType="begin"/>
        </w:r>
        <w:r w:rsidR="003645E4">
          <w:rPr>
            <w:noProof/>
            <w:webHidden/>
          </w:rPr>
          <w:instrText xml:space="preserve"> PAGEREF _Toc503448331 \h </w:instrText>
        </w:r>
        <w:r w:rsidR="003645E4">
          <w:rPr>
            <w:noProof/>
            <w:webHidden/>
          </w:rPr>
        </w:r>
        <w:r w:rsidR="003645E4">
          <w:rPr>
            <w:noProof/>
            <w:webHidden/>
          </w:rPr>
          <w:fldChar w:fldCharType="separate"/>
        </w:r>
        <w:r w:rsidR="003645E4">
          <w:rPr>
            <w:noProof/>
            <w:webHidden/>
          </w:rPr>
          <w:t>6</w:t>
        </w:r>
        <w:r w:rsidR="003645E4">
          <w:rPr>
            <w:noProof/>
            <w:webHidden/>
          </w:rPr>
          <w:fldChar w:fldCharType="end"/>
        </w:r>
      </w:hyperlink>
    </w:p>
    <w:p w14:paraId="306BE6FF" w14:textId="33A53633" w:rsidR="003645E4" w:rsidRDefault="008236AF">
      <w:pPr>
        <w:pStyle w:val="TOC1"/>
        <w:rPr>
          <w:rFonts w:asciiTheme="minorHAnsi" w:eastAsiaTheme="minorEastAsia" w:hAnsiTheme="minorHAnsi" w:cstheme="minorBidi"/>
          <w:caps w:val="0"/>
          <w:noProof/>
          <w:szCs w:val="22"/>
          <w:lang w:eastAsia="en-GB"/>
        </w:rPr>
      </w:pPr>
      <w:hyperlink w:anchor="_Toc503448332" w:history="1">
        <w:r w:rsidR="003645E4" w:rsidRPr="00FF6095">
          <w:rPr>
            <w:rStyle w:val="Hyperlink"/>
            <w:rFonts w:cs="Arial"/>
            <w:bCs/>
            <w:noProof/>
          </w:rPr>
          <w:t>7</w:t>
        </w:r>
        <w:r w:rsidR="003645E4">
          <w:rPr>
            <w:rFonts w:asciiTheme="minorHAnsi" w:eastAsiaTheme="minorEastAsia" w:hAnsiTheme="minorHAnsi" w:cstheme="minorBidi"/>
            <w:caps w:val="0"/>
            <w:noProof/>
            <w:szCs w:val="22"/>
            <w:lang w:eastAsia="en-GB"/>
          </w:rPr>
          <w:tab/>
        </w:r>
        <w:r w:rsidR="003645E4" w:rsidRPr="00FF6095">
          <w:rPr>
            <w:rStyle w:val="Hyperlink"/>
            <w:rFonts w:cs="Arial"/>
            <w:noProof/>
          </w:rPr>
          <w:t>Staff and Key Personnel</w:t>
        </w:r>
        <w:r w:rsidR="003645E4">
          <w:rPr>
            <w:noProof/>
            <w:webHidden/>
          </w:rPr>
          <w:tab/>
        </w:r>
        <w:r w:rsidR="003645E4">
          <w:rPr>
            <w:noProof/>
            <w:webHidden/>
          </w:rPr>
          <w:fldChar w:fldCharType="begin"/>
        </w:r>
        <w:r w:rsidR="003645E4">
          <w:rPr>
            <w:noProof/>
            <w:webHidden/>
          </w:rPr>
          <w:instrText xml:space="preserve"> PAGEREF _Toc503448332 \h </w:instrText>
        </w:r>
        <w:r w:rsidR="003645E4">
          <w:rPr>
            <w:noProof/>
            <w:webHidden/>
          </w:rPr>
        </w:r>
        <w:r w:rsidR="003645E4">
          <w:rPr>
            <w:noProof/>
            <w:webHidden/>
          </w:rPr>
          <w:fldChar w:fldCharType="separate"/>
        </w:r>
        <w:r w:rsidR="003645E4">
          <w:rPr>
            <w:noProof/>
            <w:webHidden/>
          </w:rPr>
          <w:t>7</w:t>
        </w:r>
        <w:r w:rsidR="003645E4">
          <w:rPr>
            <w:noProof/>
            <w:webHidden/>
          </w:rPr>
          <w:fldChar w:fldCharType="end"/>
        </w:r>
      </w:hyperlink>
    </w:p>
    <w:p w14:paraId="36899E7A" w14:textId="641D02D0" w:rsidR="003645E4" w:rsidRDefault="008236AF">
      <w:pPr>
        <w:pStyle w:val="TOC1"/>
        <w:rPr>
          <w:rFonts w:asciiTheme="minorHAnsi" w:eastAsiaTheme="minorEastAsia" w:hAnsiTheme="minorHAnsi" w:cstheme="minorBidi"/>
          <w:caps w:val="0"/>
          <w:noProof/>
          <w:szCs w:val="22"/>
          <w:lang w:eastAsia="en-GB"/>
        </w:rPr>
      </w:pPr>
      <w:hyperlink w:anchor="_Toc503448333" w:history="1">
        <w:r w:rsidR="003645E4" w:rsidRPr="00FF6095">
          <w:rPr>
            <w:rStyle w:val="Hyperlink"/>
            <w:rFonts w:cs="Arial"/>
            <w:noProof/>
          </w:rPr>
          <w:t>8</w:t>
        </w:r>
        <w:r w:rsidR="003645E4">
          <w:rPr>
            <w:rFonts w:asciiTheme="minorHAnsi" w:eastAsiaTheme="minorEastAsia" w:hAnsiTheme="minorHAnsi" w:cstheme="minorBidi"/>
            <w:caps w:val="0"/>
            <w:noProof/>
            <w:szCs w:val="22"/>
            <w:lang w:eastAsia="en-GB"/>
          </w:rPr>
          <w:tab/>
        </w:r>
        <w:r w:rsidR="003645E4" w:rsidRPr="00FF6095">
          <w:rPr>
            <w:rStyle w:val="Hyperlink"/>
            <w:rFonts w:cs="Arial"/>
            <w:noProof/>
          </w:rPr>
          <w:t>Assignment and sub-contracting</w:t>
        </w:r>
        <w:r w:rsidR="003645E4">
          <w:rPr>
            <w:noProof/>
            <w:webHidden/>
          </w:rPr>
          <w:tab/>
        </w:r>
        <w:r w:rsidR="003645E4">
          <w:rPr>
            <w:noProof/>
            <w:webHidden/>
          </w:rPr>
          <w:fldChar w:fldCharType="begin"/>
        </w:r>
        <w:r w:rsidR="003645E4">
          <w:rPr>
            <w:noProof/>
            <w:webHidden/>
          </w:rPr>
          <w:instrText xml:space="preserve"> PAGEREF _Toc503448333 \h </w:instrText>
        </w:r>
        <w:r w:rsidR="003645E4">
          <w:rPr>
            <w:noProof/>
            <w:webHidden/>
          </w:rPr>
        </w:r>
        <w:r w:rsidR="003645E4">
          <w:rPr>
            <w:noProof/>
            <w:webHidden/>
          </w:rPr>
          <w:fldChar w:fldCharType="separate"/>
        </w:r>
        <w:r w:rsidR="003645E4">
          <w:rPr>
            <w:noProof/>
            <w:webHidden/>
          </w:rPr>
          <w:t>8</w:t>
        </w:r>
        <w:r w:rsidR="003645E4">
          <w:rPr>
            <w:noProof/>
            <w:webHidden/>
          </w:rPr>
          <w:fldChar w:fldCharType="end"/>
        </w:r>
      </w:hyperlink>
    </w:p>
    <w:p w14:paraId="58917FFE" w14:textId="4801DFEC" w:rsidR="003645E4" w:rsidRDefault="008236AF">
      <w:pPr>
        <w:pStyle w:val="TOC1"/>
        <w:rPr>
          <w:rFonts w:asciiTheme="minorHAnsi" w:eastAsiaTheme="minorEastAsia" w:hAnsiTheme="minorHAnsi" w:cstheme="minorBidi"/>
          <w:caps w:val="0"/>
          <w:noProof/>
          <w:szCs w:val="22"/>
          <w:lang w:eastAsia="en-GB"/>
        </w:rPr>
      </w:pPr>
      <w:hyperlink w:anchor="_Toc503448334" w:history="1">
        <w:r w:rsidR="003645E4" w:rsidRPr="00FF6095">
          <w:rPr>
            <w:rStyle w:val="Hyperlink"/>
            <w:rFonts w:cs="Arial"/>
            <w:noProof/>
          </w:rPr>
          <w:t>9</w:t>
        </w:r>
        <w:r w:rsidR="003645E4">
          <w:rPr>
            <w:rFonts w:asciiTheme="minorHAnsi" w:eastAsiaTheme="minorEastAsia" w:hAnsiTheme="minorHAnsi" w:cstheme="minorBidi"/>
            <w:caps w:val="0"/>
            <w:noProof/>
            <w:szCs w:val="22"/>
            <w:lang w:eastAsia="en-GB"/>
          </w:rPr>
          <w:tab/>
        </w:r>
        <w:r w:rsidR="003645E4" w:rsidRPr="00FF6095">
          <w:rPr>
            <w:rStyle w:val="Hyperlink"/>
            <w:rFonts w:cs="Arial"/>
            <w:noProof/>
          </w:rPr>
          <w:t>Intellectual Property Rights</w:t>
        </w:r>
        <w:r w:rsidR="003645E4">
          <w:rPr>
            <w:noProof/>
            <w:webHidden/>
          </w:rPr>
          <w:tab/>
        </w:r>
        <w:r w:rsidR="003645E4">
          <w:rPr>
            <w:noProof/>
            <w:webHidden/>
          </w:rPr>
          <w:fldChar w:fldCharType="begin"/>
        </w:r>
        <w:r w:rsidR="003645E4">
          <w:rPr>
            <w:noProof/>
            <w:webHidden/>
          </w:rPr>
          <w:instrText xml:space="preserve"> PAGEREF _Toc503448334 \h </w:instrText>
        </w:r>
        <w:r w:rsidR="003645E4">
          <w:rPr>
            <w:noProof/>
            <w:webHidden/>
          </w:rPr>
        </w:r>
        <w:r w:rsidR="003645E4">
          <w:rPr>
            <w:noProof/>
            <w:webHidden/>
          </w:rPr>
          <w:fldChar w:fldCharType="separate"/>
        </w:r>
        <w:r w:rsidR="003645E4">
          <w:rPr>
            <w:noProof/>
            <w:webHidden/>
          </w:rPr>
          <w:t>8</w:t>
        </w:r>
        <w:r w:rsidR="003645E4">
          <w:rPr>
            <w:noProof/>
            <w:webHidden/>
          </w:rPr>
          <w:fldChar w:fldCharType="end"/>
        </w:r>
      </w:hyperlink>
    </w:p>
    <w:p w14:paraId="60E80CA9" w14:textId="0AF82BF7" w:rsidR="003645E4" w:rsidRDefault="008236AF">
      <w:pPr>
        <w:pStyle w:val="TOC1"/>
        <w:rPr>
          <w:rFonts w:asciiTheme="minorHAnsi" w:eastAsiaTheme="minorEastAsia" w:hAnsiTheme="minorHAnsi" w:cstheme="minorBidi"/>
          <w:caps w:val="0"/>
          <w:noProof/>
          <w:szCs w:val="22"/>
          <w:lang w:eastAsia="en-GB"/>
        </w:rPr>
      </w:pPr>
      <w:hyperlink w:anchor="_Toc503448335" w:history="1">
        <w:r w:rsidR="003645E4" w:rsidRPr="00FF6095">
          <w:rPr>
            <w:rStyle w:val="Hyperlink"/>
            <w:rFonts w:cs="Arial"/>
            <w:noProof/>
          </w:rPr>
          <w:t>10</w:t>
        </w:r>
        <w:r w:rsidR="003645E4">
          <w:rPr>
            <w:rFonts w:asciiTheme="minorHAnsi" w:eastAsiaTheme="minorEastAsia" w:hAnsiTheme="minorHAnsi" w:cstheme="minorBidi"/>
            <w:caps w:val="0"/>
            <w:noProof/>
            <w:szCs w:val="22"/>
            <w:lang w:eastAsia="en-GB"/>
          </w:rPr>
          <w:tab/>
        </w:r>
        <w:r w:rsidR="003645E4" w:rsidRPr="00FF6095">
          <w:rPr>
            <w:rStyle w:val="Hyperlink"/>
            <w:rFonts w:cs="Arial"/>
            <w:noProof/>
          </w:rPr>
          <w:t>Governance and Records</w:t>
        </w:r>
        <w:r w:rsidR="003645E4">
          <w:rPr>
            <w:noProof/>
            <w:webHidden/>
          </w:rPr>
          <w:tab/>
        </w:r>
        <w:r w:rsidR="003645E4">
          <w:rPr>
            <w:noProof/>
            <w:webHidden/>
          </w:rPr>
          <w:fldChar w:fldCharType="begin"/>
        </w:r>
        <w:r w:rsidR="003645E4">
          <w:rPr>
            <w:noProof/>
            <w:webHidden/>
          </w:rPr>
          <w:instrText xml:space="preserve"> PAGEREF _Toc503448335 \h </w:instrText>
        </w:r>
        <w:r w:rsidR="003645E4">
          <w:rPr>
            <w:noProof/>
            <w:webHidden/>
          </w:rPr>
        </w:r>
        <w:r w:rsidR="003645E4">
          <w:rPr>
            <w:noProof/>
            <w:webHidden/>
          </w:rPr>
          <w:fldChar w:fldCharType="separate"/>
        </w:r>
        <w:r w:rsidR="003645E4">
          <w:rPr>
            <w:noProof/>
            <w:webHidden/>
          </w:rPr>
          <w:t>9</w:t>
        </w:r>
        <w:r w:rsidR="003645E4">
          <w:rPr>
            <w:noProof/>
            <w:webHidden/>
          </w:rPr>
          <w:fldChar w:fldCharType="end"/>
        </w:r>
      </w:hyperlink>
    </w:p>
    <w:p w14:paraId="413AA3FC" w14:textId="6DBB644A" w:rsidR="003645E4" w:rsidRDefault="008236AF">
      <w:pPr>
        <w:pStyle w:val="TOC1"/>
        <w:rPr>
          <w:rFonts w:asciiTheme="minorHAnsi" w:eastAsiaTheme="minorEastAsia" w:hAnsiTheme="minorHAnsi" w:cstheme="minorBidi"/>
          <w:caps w:val="0"/>
          <w:noProof/>
          <w:szCs w:val="22"/>
          <w:lang w:eastAsia="en-GB"/>
        </w:rPr>
      </w:pPr>
      <w:hyperlink w:anchor="_Toc503448336" w:history="1">
        <w:r w:rsidR="003645E4" w:rsidRPr="00FF6095">
          <w:rPr>
            <w:rStyle w:val="Hyperlink"/>
            <w:rFonts w:cs="Arial"/>
            <w:noProof/>
          </w:rPr>
          <w:t>11</w:t>
        </w:r>
        <w:r w:rsidR="003645E4">
          <w:rPr>
            <w:rFonts w:asciiTheme="minorHAnsi" w:eastAsiaTheme="minorEastAsia" w:hAnsiTheme="minorHAnsi" w:cstheme="minorBidi"/>
            <w:caps w:val="0"/>
            <w:noProof/>
            <w:szCs w:val="22"/>
            <w:lang w:eastAsia="en-GB"/>
          </w:rPr>
          <w:tab/>
        </w:r>
        <w:r w:rsidR="003645E4" w:rsidRPr="00FF6095">
          <w:rPr>
            <w:rStyle w:val="Hyperlink"/>
            <w:rFonts w:cs="Arial"/>
            <w:noProof/>
          </w:rPr>
          <w:t>Confidentiality, Transparency and Publicity</w:t>
        </w:r>
        <w:r w:rsidR="003645E4">
          <w:rPr>
            <w:noProof/>
            <w:webHidden/>
          </w:rPr>
          <w:tab/>
        </w:r>
        <w:r w:rsidR="003645E4">
          <w:rPr>
            <w:noProof/>
            <w:webHidden/>
          </w:rPr>
          <w:fldChar w:fldCharType="begin"/>
        </w:r>
        <w:r w:rsidR="003645E4">
          <w:rPr>
            <w:noProof/>
            <w:webHidden/>
          </w:rPr>
          <w:instrText xml:space="preserve"> PAGEREF _Toc503448336 \h </w:instrText>
        </w:r>
        <w:r w:rsidR="003645E4">
          <w:rPr>
            <w:noProof/>
            <w:webHidden/>
          </w:rPr>
        </w:r>
        <w:r w:rsidR="003645E4">
          <w:rPr>
            <w:noProof/>
            <w:webHidden/>
          </w:rPr>
          <w:fldChar w:fldCharType="separate"/>
        </w:r>
        <w:r w:rsidR="003645E4">
          <w:rPr>
            <w:noProof/>
            <w:webHidden/>
          </w:rPr>
          <w:t>9</w:t>
        </w:r>
        <w:r w:rsidR="003645E4">
          <w:rPr>
            <w:noProof/>
            <w:webHidden/>
          </w:rPr>
          <w:fldChar w:fldCharType="end"/>
        </w:r>
      </w:hyperlink>
    </w:p>
    <w:p w14:paraId="01B1C64E" w14:textId="4903689D" w:rsidR="003645E4" w:rsidRDefault="008236AF">
      <w:pPr>
        <w:pStyle w:val="TOC1"/>
        <w:rPr>
          <w:rFonts w:asciiTheme="minorHAnsi" w:eastAsiaTheme="minorEastAsia" w:hAnsiTheme="minorHAnsi" w:cstheme="minorBidi"/>
          <w:caps w:val="0"/>
          <w:noProof/>
          <w:szCs w:val="22"/>
          <w:lang w:eastAsia="en-GB"/>
        </w:rPr>
      </w:pPr>
      <w:hyperlink w:anchor="_Toc503448337" w:history="1">
        <w:r w:rsidR="003645E4" w:rsidRPr="00FF6095">
          <w:rPr>
            <w:rStyle w:val="Hyperlink"/>
            <w:rFonts w:cs="Arial"/>
            <w:noProof/>
          </w:rPr>
          <w:t>12</w:t>
        </w:r>
        <w:r w:rsidR="003645E4">
          <w:rPr>
            <w:rFonts w:asciiTheme="minorHAnsi" w:eastAsiaTheme="minorEastAsia" w:hAnsiTheme="minorHAnsi" w:cstheme="minorBidi"/>
            <w:caps w:val="0"/>
            <w:noProof/>
            <w:szCs w:val="22"/>
            <w:lang w:eastAsia="en-GB"/>
          </w:rPr>
          <w:tab/>
        </w:r>
        <w:r w:rsidR="003645E4" w:rsidRPr="00FF6095">
          <w:rPr>
            <w:rStyle w:val="Hyperlink"/>
            <w:rFonts w:cs="Arial"/>
            <w:noProof/>
          </w:rPr>
          <w:t>Freedom of Information</w:t>
        </w:r>
        <w:r w:rsidR="003645E4">
          <w:rPr>
            <w:noProof/>
            <w:webHidden/>
          </w:rPr>
          <w:tab/>
        </w:r>
        <w:r w:rsidR="003645E4">
          <w:rPr>
            <w:noProof/>
            <w:webHidden/>
          </w:rPr>
          <w:fldChar w:fldCharType="begin"/>
        </w:r>
        <w:r w:rsidR="003645E4">
          <w:rPr>
            <w:noProof/>
            <w:webHidden/>
          </w:rPr>
          <w:instrText xml:space="preserve"> PAGEREF _Toc503448337 \h </w:instrText>
        </w:r>
        <w:r w:rsidR="003645E4">
          <w:rPr>
            <w:noProof/>
            <w:webHidden/>
          </w:rPr>
        </w:r>
        <w:r w:rsidR="003645E4">
          <w:rPr>
            <w:noProof/>
            <w:webHidden/>
          </w:rPr>
          <w:fldChar w:fldCharType="separate"/>
        </w:r>
        <w:r w:rsidR="003645E4">
          <w:rPr>
            <w:noProof/>
            <w:webHidden/>
          </w:rPr>
          <w:t>10</w:t>
        </w:r>
        <w:r w:rsidR="003645E4">
          <w:rPr>
            <w:noProof/>
            <w:webHidden/>
          </w:rPr>
          <w:fldChar w:fldCharType="end"/>
        </w:r>
      </w:hyperlink>
    </w:p>
    <w:p w14:paraId="1C1143F4" w14:textId="22D12115" w:rsidR="003645E4" w:rsidRDefault="008236AF">
      <w:pPr>
        <w:pStyle w:val="TOC1"/>
        <w:rPr>
          <w:rFonts w:asciiTheme="minorHAnsi" w:eastAsiaTheme="minorEastAsia" w:hAnsiTheme="minorHAnsi" w:cstheme="minorBidi"/>
          <w:caps w:val="0"/>
          <w:noProof/>
          <w:szCs w:val="22"/>
          <w:lang w:eastAsia="en-GB"/>
        </w:rPr>
      </w:pPr>
      <w:hyperlink w:anchor="_Toc503448338" w:history="1">
        <w:r w:rsidR="003645E4" w:rsidRPr="00FF6095">
          <w:rPr>
            <w:rStyle w:val="Hyperlink"/>
            <w:rFonts w:cs="Arial"/>
            <w:noProof/>
          </w:rPr>
          <w:t>13</w:t>
        </w:r>
        <w:r w:rsidR="003645E4">
          <w:rPr>
            <w:rFonts w:asciiTheme="minorHAnsi" w:eastAsiaTheme="minorEastAsia" w:hAnsiTheme="minorHAnsi" w:cstheme="minorBidi"/>
            <w:caps w:val="0"/>
            <w:noProof/>
            <w:szCs w:val="22"/>
            <w:lang w:eastAsia="en-GB"/>
          </w:rPr>
          <w:tab/>
        </w:r>
        <w:r w:rsidR="003645E4" w:rsidRPr="00FF6095">
          <w:rPr>
            <w:rStyle w:val="Hyperlink"/>
            <w:rFonts w:cs="Arial"/>
            <w:noProof/>
          </w:rPr>
          <w:t>Protection of Personal Data and Security of Data</w:t>
        </w:r>
        <w:r w:rsidR="003645E4">
          <w:rPr>
            <w:noProof/>
            <w:webHidden/>
          </w:rPr>
          <w:tab/>
        </w:r>
        <w:r w:rsidR="003645E4">
          <w:rPr>
            <w:noProof/>
            <w:webHidden/>
          </w:rPr>
          <w:fldChar w:fldCharType="begin"/>
        </w:r>
        <w:r w:rsidR="003645E4">
          <w:rPr>
            <w:noProof/>
            <w:webHidden/>
          </w:rPr>
          <w:instrText xml:space="preserve"> PAGEREF _Toc503448338 \h </w:instrText>
        </w:r>
        <w:r w:rsidR="003645E4">
          <w:rPr>
            <w:noProof/>
            <w:webHidden/>
          </w:rPr>
        </w:r>
        <w:r w:rsidR="003645E4">
          <w:rPr>
            <w:noProof/>
            <w:webHidden/>
          </w:rPr>
          <w:fldChar w:fldCharType="separate"/>
        </w:r>
        <w:r w:rsidR="003645E4">
          <w:rPr>
            <w:noProof/>
            <w:webHidden/>
          </w:rPr>
          <w:t>11</w:t>
        </w:r>
        <w:r w:rsidR="003645E4">
          <w:rPr>
            <w:noProof/>
            <w:webHidden/>
          </w:rPr>
          <w:fldChar w:fldCharType="end"/>
        </w:r>
      </w:hyperlink>
    </w:p>
    <w:p w14:paraId="5D68A229" w14:textId="4BEEF87F" w:rsidR="003645E4" w:rsidRDefault="008236AF">
      <w:pPr>
        <w:pStyle w:val="TOC1"/>
        <w:rPr>
          <w:rFonts w:asciiTheme="minorHAnsi" w:eastAsiaTheme="minorEastAsia" w:hAnsiTheme="minorHAnsi" w:cstheme="minorBidi"/>
          <w:caps w:val="0"/>
          <w:noProof/>
          <w:szCs w:val="22"/>
          <w:lang w:eastAsia="en-GB"/>
        </w:rPr>
      </w:pPr>
      <w:hyperlink w:anchor="_Toc503448339" w:history="1">
        <w:r w:rsidR="003645E4" w:rsidRPr="00FF6095">
          <w:rPr>
            <w:rStyle w:val="Hyperlink"/>
            <w:rFonts w:cs="Arial"/>
            <w:noProof/>
          </w:rPr>
          <w:t>14</w:t>
        </w:r>
        <w:r w:rsidR="003645E4">
          <w:rPr>
            <w:rFonts w:asciiTheme="minorHAnsi" w:eastAsiaTheme="minorEastAsia" w:hAnsiTheme="minorHAnsi" w:cstheme="minorBidi"/>
            <w:caps w:val="0"/>
            <w:noProof/>
            <w:szCs w:val="22"/>
            <w:lang w:eastAsia="en-GB"/>
          </w:rPr>
          <w:tab/>
        </w:r>
        <w:r w:rsidR="003645E4" w:rsidRPr="00FF6095">
          <w:rPr>
            <w:rStyle w:val="Hyperlink"/>
            <w:rFonts w:cs="Arial"/>
            <w:noProof/>
          </w:rPr>
          <w:t>Liability</w:t>
        </w:r>
        <w:r w:rsidR="003645E4">
          <w:rPr>
            <w:noProof/>
            <w:webHidden/>
          </w:rPr>
          <w:tab/>
        </w:r>
        <w:r w:rsidR="003645E4">
          <w:rPr>
            <w:noProof/>
            <w:webHidden/>
          </w:rPr>
          <w:fldChar w:fldCharType="begin"/>
        </w:r>
        <w:r w:rsidR="003645E4">
          <w:rPr>
            <w:noProof/>
            <w:webHidden/>
          </w:rPr>
          <w:instrText xml:space="preserve"> PAGEREF _Toc503448339 \h </w:instrText>
        </w:r>
        <w:r w:rsidR="003645E4">
          <w:rPr>
            <w:noProof/>
            <w:webHidden/>
          </w:rPr>
        </w:r>
        <w:r w:rsidR="003645E4">
          <w:rPr>
            <w:noProof/>
            <w:webHidden/>
          </w:rPr>
          <w:fldChar w:fldCharType="separate"/>
        </w:r>
        <w:r w:rsidR="003645E4">
          <w:rPr>
            <w:noProof/>
            <w:webHidden/>
          </w:rPr>
          <w:t>11</w:t>
        </w:r>
        <w:r w:rsidR="003645E4">
          <w:rPr>
            <w:noProof/>
            <w:webHidden/>
          </w:rPr>
          <w:fldChar w:fldCharType="end"/>
        </w:r>
      </w:hyperlink>
    </w:p>
    <w:p w14:paraId="1221EA6B" w14:textId="29C0001F" w:rsidR="003645E4" w:rsidRDefault="008236AF">
      <w:pPr>
        <w:pStyle w:val="TOC1"/>
        <w:rPr>
          <w:rFonts w:asciiTheme="minorHAnsi" w:eastAsiaTheme="minorEastAsia" w:hAnsiTheme="minorHAnsi" w:cstheme="minorBidi"/>
          <w:caps w:val="0"/>
          <w:noProof/>
          <w:szCs w:val="22"/>
          <w:lang w:eastAsia="en-GB"/>
        </w:rPr>
      </w:pPr>
      <w:hyperlink w:anchor="_Toc503448340" w:history="1">
        <w:r w:rsidR="003645E4" w:rsidRPr="00FF6095">
          <w:rPr>
            <w:rStyle w:val="Hyperlink"/>
            <w:rFonts w:cs="Arial"/>
            <w:noProof/>
          </w:rPr>
          <w:t>15</w:t>
        </w:r>
        <w:r w:rsidR="003645E4">
          <w:rPr>
            <w:rFonts w:asciiTheme="minorHAnsi" w:eastAsiaTheme="minorEastAsia" w:hAnsiTheme="minorHAnsi" w:cstheme="minorBidi"/>
            <w:caps w:val="0"/>
            <w:noProof/>
            <w:szCs w:val="22"/>
            <w:lang w:eastAsia="en-GB"/>
          </w:rPr>
          <w:tab/>
        </w:r>
        <w:r w:rsidR="003645E4" w:rsidRPr="00FF6095">
          <w:rPr>
            <w:rStyle w:val="Hyperlink"/>
            <w:rFonts w:cs="Arial"/>
            <w:noProof/>
          </w:rPr>
          <w:t>Force Majeure</w:t>
        </w:r>
        <w:r w:rsidR="003645E4">
          <w:rPr>
            <w:noProof/>
            <w:webHidden/>
          </w:rPr>
          <w:tab/>
        </w:r>
        <w:r w:rsidR="003645E4">
          <w:rPr>
            <w:noProof/>
            <w:webHidden/>
          </w:rPr>
          <w:fldChar w:fldCharType="begin"/>
        </w:r>
        <w:r w:rsidR="003645E4">
          <w:rPr>
            <w:noProof/>
            <w:webHidden/>
          </w:rPr>
          <w:instrText xml:space="preserve"> PAGEREF _Toc503448340 \h </w:instrText>
        </w:r>
        <w:r w:rsidR="003645E4">
          <w:rPr>
            <w:noProof/>
            <w:webHidden/>
          </w:rPr>
        </w:r>
        <w:r w:rsidR="003645E4">
          <w:rPr>
            <w:noProof/>
            <w:webHidden/>
          </w:rPr>
          <w:fldChar w:fldCharType="separate"/>
        </w:r>
        <w:r w:rsidR="003645E4">
          <w:rPr>
            <w:noProof/>
            <w:webHidden/>
          </w:rPr>
          <w:t>12</w:t>
        </w:r>
        <w:r w:rsidR="003645E4">
          <w:rPr>
            <w:noProof/>
            <w:webHidden/>
          </w:rPr>
          <w:fldChar w:fldCharType="end"/>
        </w:r>
      </w:hyperlink>
    </w:p>
    <w:p w14:paraId="3A2AD773" w14:textId="45D172E3" w:rsidR="003645E4" w:rsidRDefault="008236AF">
      <w:pPr>
        <w:pStyle w:val="TOC1"/>
        <w:rPr>
          <w:rFonts w:asciiTheme="minorHAnsi" w:eastAsiaTheme="minorEastAsia" w:hAnsiTheme="minorHAnsi" w:cstheme="minorBidi"/>
          <w:caps w:val="0"/>
          <w:noProof/>
          <w:szCs w:val="22"/>
          <w:lang w:eastAsia="en-GB"/>
        </w:rPr>
      </w:pPr>
      <w:hyperlink w:anchor="_Toc503448341" w:history="1">
        <w:r w:rsidR="003645E4" w:rsidRPr="00FF6095">
          <w:rPr>
            <w:rStyle w:val="Hyperlink"/>
            <w:rFonts w:cs="Arial"/>
            <w:noProof/>
          </w:rPr>
          <w:t>16</w:t>
        </w:r>
        <w:r w:rsidR="003645E4">
          <w:rPr>
            <w:rFonts w:asciiTheme="minorHAnsi" w:eastAsiaTheme="minorEastAsia" w:hAnsiTheme="minorHAnsi" w:cstheme="minorBidi"/>
            <w:caps w:val="0"/>
            <w:noProof/>
            <w:szCs w:val="22"/>
            <w:lang w:eastAsia="en-GB"/>
          </w:rPr>
          <w:tab/>
        </w:r>
        <w:r w:rsidR="003645E4" w:rsidRPr="00FF6095">
          <w:rPr>
            <w:rStyle w:val="Hyperlink"/>
            <w:rFonts w:cs="Arial"/>
            <w:noProof/>
          </w:rPr>
          <w:t>Termination</w:t>
        </w:r>
        <w:r w:rsidR="003645E4">
          <w:rPr>
            <w:noProof/>
            <w:webHidden/>
          </w:rPr>
          <w:tab/>
        </w:r>
        <w:r w:rsidR="003645E4">
          <w:rPr>
            <w:noProof/>
            <w:webHidden/>
          </w:rPr>
          <w:fldChar w:fldCharType="begin"/>
        </w:r>
        <w:r w:rsidR="003645E4">
          <w:rPr>
            <w:noProof/>
            <w:webHidden/>
          </w:rPr>
          <w:instrText xml:space="preserve"> PAGEREF _Toc503448341 \h </w:instrText>
        </w:r>
        <w:r w:rsidR="003645E4">
          <w:rPr>
            <w:noProof/>
            <w:webHidden/>
          </w:rPr>
        </w:r>
        <w:r w:rsidR="003645E4">
          <w:rPr>
            <w:noProof/>
            <w:webHidden/>
          </w:rPr>
          <w:fldChar w:fldCharType="separate"/>
        </w:r>
        <w:r w:rsidR="003645E4">
          <w:rPr>
            <w:noProof/>
            <w:webHidden/>
          </w:rPr>
          <w:t>12</w:t>
        </w:r>
        <w:r w:rsidR="003645E4">
          <w:rPr>
            <w:noProof/>
            <w:webHidden/>
          </w:rPr>
          <w:fldChar w:fldCharType="end"/>
        </w:r>
      </w:hyperlink>
    </w:p>
    <w:p w14:paraId="189822AF" w14:textId="0F314F33" w:rsidR="003645E4" w:rsidRDefault="008236AF">
      <w:pPr>
        <w:pStyle w:val="TOC1"/>
        <w:rPr>
          <w:rFonts w:asciiTheme="minorHAnsi" w:eastAsiaTheme="minorEastAsia" w:hAnsiTheme="minorHAnsi" w:cstheme="minorBidi"/>
          <w:caps w:val="0"/>
          <w:noProof/>
          <w:szCs w:val="22"/>
          <w:lang w:eastAsia="en-GB"/>
        </w:rPr>
      </w:pPr>
      <w:hyperlink w:anchor="_Toc503448342" w:history="1">
        <w:r w:rsidR="003645E4" w:rsidRPr="00FF6095">
          <w:rPr>
            <w:rStyle w:val="Hyperlink"/>
            <w:rFonts w:cs="Arial"/>
            <w:noProof/>
          </w:rPr>
          <w:t>17</w:t>
        </w:r>
        <w:r w:rsidR="003645E4">
          <w:rPr>
            <w:rFonts w:asciiTheme="minorHAnsi" w:eastAsiaTheme="minorEastAsia" w:hAnsiTheme="minorHAnsi" w:cstheme="minorBidi"/>
            <w:caps w:val="0"/>
            <w:noProof/>
            <w:szCs w:val="22"/>
            <w:lang w:eastAsia="en-GB"/>
          </w:rPr>
          <w:tab/>
        </w:r>
        <w:r w:rsidR="003645E4" w:rsidRPr="00FF6095">
          <w:rPr>
            <w:rStyle w:val="Hyperlink"/>
            <w:rFonts w:cs="Arial"/>
            <w:noProof/>
          </w:rPr>
          <w:t>Compliance</w:t>
        </w:r>
        <w:r w:rsidR="003645E4">
          <w:rPr>
            <w:noProof/>
            <w:webHidden/>
          </w:rPr>
          <w:tab/>
        </w:r>
        <w:r w:rsidR="003645E4">
          <w:rPr>
            <w:noProof/>
            <w:webHidden/>
          </w:rPr>
          <w:fldChar w:fldCharType="begin"/>
        </w:r>
        <w:r w:rsidR="003645E4">
          <w:rPr>
            <w:noProof/>
            <w:webHidden/>
          </w:rPr>
          <w:instrText xml:space="preserve"> PAGEREF _Toc503448342 \h </w:instrText>
        </w:r>
        <w:r w:rsidR="003645E4">
          <w:rPr>
            <w:noProof/>
            <w:webHidden/>
          </w:rPr>
        </w:r>
        <w:r w:rsidR="003645E4">
          <w:rPr>
            <w:noProof/>
            <w:webHidden/>
          </w:rPr>
          <w:fldChar w:fldCharType="separate"/>
        </w:r>
        <w:r w:rsidR="003645E4">
          <w:rPr>
            <w:noProof/>
            <w:webHidden/>
          </w:rPr>
          <w:t>13</w:t>
        </w:r>
        <w:r w:rsidR="003645E4">
          <w:rPr>
            <w:noProof/>
            <w:webHidden/>
          </w:rPr>
          <w:fldChar w:fldCharType="end"/>
        </w:r>
      </w:hyperlink>
    </w:p>
    <w:p w14:paraId="1F774721" w14:textId="71B81E1B" w:rsidR="003645E4" w:rsidRDefault="008236AF">
      <w:pPr>
        <w:pStyle w:val="TOC1"/>
        <w:rPr>
          <w:rFonts w:asciiTheme="minorHAnsi" w:eastAsiaTheme="minorEastAsia" w:hAnsiTheme="minorHAnsi" w:cstheme="minorBidi"/>
          <w:caps w:val="0"/>
          <w:noProof/>
          <w:szCs w:val="22"/>
          <w:lang w:eastAsia="en-GB"/>
        </w:rPr>
      </w:pPr>
      <w:hyperlink w:anchor="_Toc503448343" w:history="1">
        <w:r w:rsidR="003645E4" w:rsidRPr="00FF6095">
          <w:rPr>
            <w:rStyle w:val="Hyperlink"/>
            <w:rFonts w:cs="Arial"/>
            <w:noProof/>
          </w:rPr>
          <w:t>18</w:t>
        </w:r>
        <w:r w:rsidR="003645E4">
          <w:rPr>
            <w:rFonts w:asciiTheme="minorHAnsi" w:eastAsiaTheme="minorEastAsia" w:hAnsiTheme="minorHAnsi" w:cstheme="minorBidi"/>
            <w:caps w:val="0"/>
            <w:noProof/>
            <w:szCs w:val="22"/>
            <w:lang w:eastAsia="en-GB"/>
          </w:rPr>
          <w:tab/>
        </w:r>
        <w:r w:rsidR="003645E4" w:rsidRPr="00FF6095">
          <w:rPr>
            <w:rStyle w:val="Hyperlink"/>
            <w:rFonts w:cs="Arial"/>
            <w:noProof/>
          </w:rPr>
          <w:t>Prevention of Fraud and Corruption</w:t>
        </w:r>
        <w:r w:rsidR="003645E4">
          <w:rPr>
            <w:noProof/>
            <w:webHidden/>
          </w:rPr>
          <w:tab/>
        </w:r>
        <w:r w:rsidR="003645E4">
          <w:rPr>
            <w:noProof/>
            <w:webHidden/>
          </w:rPr>
          <w:fldChar w:fldCharType="begin"/>
        </w:r>
        <w:r w:rsidR="003645E4">
          <w:rPr>
            <w:noProof/>
            <w:webHidden/>
          </w:rPr>
          <w:instrText xml:space="preserve"> PAGEREF _Toc503448343 \h </w:instrText>
        </w:r>
        <w:r w:rsidR="003645E4">
          <w:rPr>
            <w:noProof/>
            <w:webHidden/>
          </w:rPr>
        </w:r>
        <w:r w:rsidR="003645E4">
          <w:rPr>
            <w:noProof/>
            <w:webHidden/>
          </w:rPr>
          <w:fldChar w:fldCharType="separate"/>
        </w:r>
        <w:r w:rsidR="003645E4">
          <w:rPr>
            <w:noProof/>
            <w:webHidden/>
          </w:rPr>
          <w:t>14</w:t>
        </w:r>
        <w:r w:rsidR="003645E4">
          <w:rPr>
            <w:noProof/>
            <w:webHidden/>
          </w:rPr>
          <w:fldChar w:fldCharType="end"/>
        </w:r>
      </w:hyperlink>
    </w:p>
    <w:p w14:paraId="3DF06F44" w14:textId="3F67F60F" w:rsidR="003645E4" w:rsidRDefault="008236AF">
      <w:pPr>
        <w:pStyle w:val="TOC1"/>
        <w:rPr>
          <w:rFonts w:asciiTheme="minorHAnsi" w:eastAsiaTheme="minorEastAsia" w:hAnsiTheme="minorHAnsi" w:cstheme="minorBidi"/>
          <w:caps w:val="0"/>
          <w:noProof/>
          <w:szCs w:val="22"/>
          <w:lang w:eastAsia="en-GB"/>
        </w:rPr>
      </w:pPr>
      <w:hyperlink w:anchor="_Toc503448344" w:history="1">
        <w:r w:rsidR="003645E4" w:rsidRPr="00FF6095">
          <w:rPr>
            <w:rStyle w:val="Hyperlink"/>
            <w:rFonts w:cs="Arial"/>
            <w:noProof/>
          </w:rPr>
          <w:t>19</w:t>
        </w:r>
        <w:r w:rsidR="003645E4">
          <w:rPr>
            <w:rFonts w:asciiTheme="minorHAnsi" w:eastAsiaTheme="minorEastAsia" w:hAnsiTheme="minorHAnsi" w:cstheme="minorBidi"/>
            <w:caps w:val="0"/>
            <w:noProof/>
            <w:szCs w:val="22"/>
            <w:lang w:eastAsia="en-GB"/>
          </w:rPr>
          <w:tab/>
        </w:r>
        <w:r w:rsidR="003645E4" w:rsidRPr="00FF6095">
          <w:rPr>
            <w:rStyle w:val="Hyperlink"/>
            <w:rFonts w:cs="Arial"/>
            <w:noProof/>
          </w:rPr>
          <w:t>Dispute Resolution</w:t>
        </w:r>
        <w:r w:rsidR="003645E4">
          <w:rPr>
            <w:noProof/>
            <w:webHidden/>
          </w:rPr>
          <w:tab/>
        </w:r>
        <w:r w:rsidR="003645E4">
          <w:rPr>
            <w:noProof/>
            <w:webHidden/>
          </w:rPr>
          <w:fldChar w:fldCharType="begin"/>
        </w:r>
        <w:r w:rsidR="003645E4">
          <w:rPr>
            <w:noProof/>
            <w:webHidden/>
          </w:rPr>
          <w:instrText xml:space="preserve"> PAGEREF _Toc503448344 \h </w:instrText>
        </w:r>
        <w:r w:rsidR="003645E4">
          <w:rPr>
            <w:noProof/>
            <w:webHidden/>
          </w:rPr>
        </w:r>
        <w:r w:rsidR="003645E4">
          <w:rPr>
            <w:noProof/>
            <w:webHidden/>
          </w:rPr>
          <w:fldChar w:fldCharType="separate"/>
        </w:r>
        <w:r w:rsidR="003645E4">
          <w:rPr>
            <w:noProof/>
            <w:webHidden/>
          </w:rPr>
          <w:t>14</w:t>
        </w:r>
        <w:r w:rsidR="003645E4">
          <w:rPr>
            <w:noProof/>
            <w:webHidden/>
          </w:rPr>
          <w:fldChar w:fldCharType="end"/>
        </w:r>
      </w:hyperlink>
    </w:p>
    <w:p w14:paraId="4BE958F9" w14:textId="125767DB" w:rsidR="003645E4" w:rsidRDefault="008236AF">
      <w:pPr>
        <w:pStyle w:val="TOC1"/>
        <w:rPr>
          <w:rFonts w:asciiTheme="minorHAnsi" w:eastAsiaTheme="minorEastAsia" w:hAnsiTheme="minorHAnsi" w:cstheme="minorBidi"/>
          <w:caps w:val="0"/>
          <w:noProof/>
          <w:szCs w:val="22"/>
          <w:lang w:eastAsia="en-GB"/>
        </w:rPr>
      </w:pPr>
      <w:hyperlink w:anchor="_Toc503448345" w:history="1">
        <w:r w:rsidR="003645E4" w:rsidRPr="00FF6095">
          <w:rPr>
            <w:rStyle w:val="Hyperlink"/>
            <w:rFonts w:cs="Arial"/>
            <w:noProof/>
          </w:rPr>
          <w:t>20</w:t>
        </w:r>
        <w:r w:rsidR="003645E4">
          <w:rPr>
            <w:rFonts w:asciiTheme="minorHAnsi" w:eastAsiaTheme="minorEastAsia" w:hAnsiTheme="minorHAnsi" w:cstheme="minorBidi"/>
            <w:caps w:val="0"/>
            <w:noProof/>
            <w:szCs w:val="22"/>
            <w:lang w:eastAsia="en-GB"/>
          </w:rPr>
          <w:tab/>
        </w:r>
        <w:r w:rsidR="003645E4" w:rsidRPr="00FF6095">
          <w:rPr>
            <w:rStyle w:val="Hyperlink"/>
            <w:rFonts w:cs="Arial"/>
            <w:noProof/>
          </w:rPr>
          <w:t>General</w:t>
        </w:r>
        <w:r w:rsidR="003645E4">
          <w:rPr>
            <w:noProof/>
            <w:webHidden/>
          </w:rPr>
          <w:tab/>
        </w:r>
        <w:r w:rsidR="003645E4">
          <w:rPr>
            <w:noProof/>
            <w:webHidden/>
          </w:rPr>
          <w:fldChar w:fldCharType="begin"/>
        </w:r>
        <w:r w:rsidR="003645E4">
          <w:rPr>
            <w:noProof/>
            <w:webHidden/>
          </w:rPr>
          <w:instrText xml:space="preserve"> PAGEREF _Toc503448345 \h </w:instrText>
        </w:r>
        <w:r w:rsidR="003645E4">
          <w:rPr>
            <w:noProof/>
            <w:webHidden/>
          </w:rPr>
        </w:r>
        <w:r w:rsidR="003645E4">
          <w:rPr>
            <w:noProof/>
            <w:webHidden/>
          </w:rPr>
          <w:fldChar w:fldCharType="separate"/>
        </w:r>
        <w:r w:rsidR="003645E4">
          <w:rPr>
            <w:noProof/>
            <w:webHidden/>
          </w:rPr>
          <w:t>14</w:t>
        </w:r>
        <w:r w:rsidR="003645E4">
          <w:rPr>
            <w:noProof/>
            <w:webHidden/>
          </w:rPr>
          <w:fldChar w:fldCharType="end"/>
        </w:r>
      </w:hyperlink>
    </w:p>
    <w:p w14:paraId="5207170E" w14:textId="3E37FE32" w:rsidR="003645E4" w:rsidRDefault="008236AF">
      <w:pPr>
        <w:pStyle w:val="TOC1"/>
        <w:rPr>
          <w:rFonts w:asciiTheme="minorHAnsi" w:eastAsiaTheme="minorEastAsia" w:hAnsiTheme="minorHAnsi" w:cstheme="minorBidi"/>
          <w:caps w:val="0"/>
          <w:noProof/>
          <w:szCs w:val="22"/>
          <w:lang w:eastAsia="en-GB"/>
        </w:rPr>
      </w:pPr>
      <w:hyperlink w:anchor="_Toc503448346" w:history="1">
        <w:r w:rsidR="003645E4" w:rsidRPr="00FF6095">
          <w:rPr>
            <w:rStyle w:val="Hyperlink"/>
            <w:rFonts w:cs="Arial"/>
            <w:noProof/>
          </w:rPr>
          <w:t>21</w:t>
        </w:r>
        <w:r w:rsidR="003645E4">
          <w:rPr>
            <w:rFonts w:asciiTheme="minorHAnsi" w:eastAsiaTheme="minorEastAsia" w:hAnsiTheme="minorHAnsi" w:cstheme="minorBidi"/>
            <w:caps w:val="0"/>
            <w:noProof/>
            <w:szCs w:val="22"/>
            <w:lang w:eastAsia="en-GB"/>
          </w:rPr>
          <w:tab/>
        </w:r>
        <w:r w:rsidR="003645E4" w:rsidRPr="00FF6095">
          <w:rPr>
            <w:rStyle w:val="Hyperlink"/>
            <w:rFonts w:cs="Arial"/>
            <w:noProof/>
          </w:rPr>
          <w:t>Notices</w:t>
        </w:r>
        <w:r w:rsidR="003645E4">
          <w:rPr>
            <w:noProof/>
            <w:webHidden/>
          </w:rPr>
          <w:tab/>
        </w:r>
        <w:r w:rsidR="003645E4">
          <w:rPr>
            <w:noProof/>
            <w:webHidden/>
          </w:rPr>
          <w:fldChar w:fldCharType="begin"/>
        </w:r>
        <w:r w:rsidR="003645E4">
          <w:rPr>
            <w:noProof/>
            <w:webHidden/>
          </w:rPr>
          <w:instrText xml:space="preserve"> PAGEREF _Toc503448346 \h </w:instrText>
        </w:r>
        <w:r w:rsidR="003645E4">
          <w:rPr>
            <w:noProof/>
            <w:webHidden/>
          </w:rPr>
        </w:r>
        <w:r w:rsidR="003645E4">
          <w:rPr>
            <w:noProof/>
            <w:webHidden/>
          </w:rPr>
          <w:fldChar w:fldCharType="separate"/>
        </w:r>
        <w:r w:rsidR="003645E4">
          <w:rPr>
            <w:noProof/>
            <w:webHidden/>
          </w:rPr>
          <w:t>15</w:t>
        </w:r>
        <w:r w:rsidR="003645E4">
          <w:rPr>
            <w:noProof/>
            <w:webHidden/>
          </w:rPr>
          <w:fldChar w:fldCharType="end"/>
        </w:r>
      </w:hyperlink>
    </w:p>
    <w:p w14:paraId="750C62AD" w14:textId="051FA281" w:rsidR="003645E4" w:rsidRDefault="008236AF">
      <w:pPr>
        <w:pStyle w:val="TOC1"/>
        <w:rPr>
          <w:rFonts w:asciiTheme="minorHAnsi" w:eastAsiaTheme="minorEastAsia" w:hAnsiTheme="minorHAnsi" w:cstheme="minorBidi"/>
          <w:caps w:val="0"/>
          <w:noProof/>
          <w:szCs w:val="22"/>
          <w:lang w:eastAsia="en-GB"/>
        </w:rPr>
      </w:pPr>
      <w:hyperlink w:anchor="_Toc503448347" w:history="1">
        <w:r w:rsidR="003645E4" w:rsidRPr="00FF6095">
          <w:rPr>
            <w:rStyle w:val="Hyperlink"/>
            <w:rFonts w:cs="Arial"/>
            <w:noProof/>
          </w:rPr>
          <w:t>22</w:t>
        </w:r>
        <w:r w:rsidR="003645E4">
          <w:rPr>
            <w:rFonts w:asciiTheme="minorHAnsi" w:eastAsiaTheme="minorEastAsia" w:hAnsiTheme="minorHAnsi" w:cstheme="minorBidi"/>
            <w:caps w:val="0"/>
            <w:noProof/>
            <w:szCs w:val="22"/>
            <w:lang w:eastAsia="en-GB"/>
          </w:rPr>
          <w:tab/>
        </w:r>
        <w:r w:rsidR="003645E4" w:rsidRPr="00FF6095">
          <w:rPr>
            <w:rStyle w:val="Hyperlink"/>
            <w:rFonts w:cs="Arial"/>
            <w:noProof/>
          </w:rPr>
          <w:t>Governing Law and Jurisdiction</w:t>
        </w:r>
        <w:r w:rsidR="003645E4">
          <w:rPr>
            <w:noProof/>
            <w:webHidden/>
          </w:rPr>
          <w:tab/>
        </w:r>
        <w:r w:rsidR="003645E4">
          <w:rPr>
            <w:noProof/>
            <w:webHidden/>
          </w:rPr>
          <w:fldChar w:fldCharType="begin"/>
        </w:r>
        <w:r w:rsidR="003645E4">
          <w:rPr>
            <w:noProof/>
            <w:webHidden/>
          </w:rPr>
          <w:instrText xml:space="preserve"> PAGEREF _Toc503448347 \h </w:instrText>
        </w:r>
        <w:r w:rsidR="003645E4">
          <w:rPr>
            <w:noProof/>
            <w:webHidden/>
          </w:rPr>
        </w:r>
        <w:r w:rsidR="003645E4">
          <w:rPr>
            <w:noProof/>
            <w:webHidden/>
          </w:rPr>
          <w:fldChar w:fldCharType="separate"/>
        </w:r>
        <w:r w:rsidR="003645E4">
          <w:rPr>
            <w:noProof/>
            <w:webHidden/>
          </w:rPr>
          <w:t>15</w:t>
        </w:r>
        <w:r w:rsidR="003645E4">
          <w:rPr>
            <w:noProof/>
            <w:webHidden/>
          </w:rPr>
          <w:fldChar w:fldCharType="end"/>
        </w:r>
      </w:hyperlink>
    </w:p>
    <w:p w14:paraId="77328AF1" w14:textId="29A9D647" w:rsidR="003645E4" w:rsidRDefault="008236AF">
      <w:pPr>
        <w:pStyle w:val="TOC1"/>
        <w:rPr>
          <w:rFonts w:asciiTheme="minorHAnsi" w:eastAsiaTheme="minorEastAsia" w:hAnsiTheme="minorHAnsi" w:cstheme="minorBidi"/>
          <w:caps w:val="0"/>
          <w:noProof/>
          <w:szCs w:val="22"/>
          <w:lang w:eastAsia="en-GB"/>
        </w:rPr>
      </w:pPr>
      <w:hyperlink w:anchor="_Toc503448348" w:history="1">
        <w:r w:rsidR="003645E4" w:rsidRPr="00FF6095">
          <w:rPr>
            <w:rStyle w:val="Hyperlink"/>
            <w:rFonts w:eastAsia="Times New Roman"/>
            <w:b/>
            <w:noProof/>
            <w:lang w:eastAsia="en-US"/>
          </w:rPr>
          <w:t>ANNEX 2 – PRICE SCHEDULE</w:t>
        </w:r>
        <w:r w:rsidR="003645E4">
          <w:rPr>
            <w:noProof/>
            <w:webHidden/>
          </w:rPr>
          <w:tab/>
        </w:r>
        <w:r w:rsidR="003645E4">
          <w:rPr>
            <w:noProof/>
            <w:webHidden/>
          </w:rPr>
          <w:fldChar w:fldCharType="begin"/>
        </w:r>
        <w:r w:rsidR="003645E4">
          <w:rPr>
            <w:noProof/>
            <w:webHidden/>
          </w:rPr>
          <w:instrText xml:space="preserve"> PAGEREF _Toc503448348 \h </w:instrText>
        </w:r>
        <w:r w:rsidR="003645E4">
          <w:rPr>
            <w:noProof/>
            <w:webHidden/>
          </w:rPr>
        </w:r>
        <w:r w:rsidR="003645E4">
          <w:rPr>
            <w:noProof/>
            <w:webHidden/>
          </w:rPr>
          <w:fldChar w:fldCharType="separate"/>
        </w:r>
        <w:r w:rsidR="003645E4">
          <w:rPr>
            <w:noProof/>
            <w:webHidden/>
          </w:rPr>
          <w:t>16</w:t>
        </w:r>
        <w:r w:rsidR="003645E4">
          <w:rPr>
            <w:noProof/>
            <w:webHidden/>
          </w:rPr>
          <w:fldChar w:fldCharType="end"/>
        </w:r>
      </w:hyperlink>
    </w:p>
    <w:p w14:paraId="690948BE" w14:textId="738E2A19" w:rsidR="003645E4" w:rsidRDefault="008236AF">
      <w:pPr>
        <w:pStyle w:val="TOC1"/>
        <w:rPr>
          <w:rFonts w:asciiTheme="minorHAnsi" w:eastAsiaTheme="minorEastAsia" w:hAnsiTheme="minorHAnsi" w:cstheme="minorBidi"/>
          <w:caps w:val="0"/>
          <w:noProof/>
          <w:szCs w:val="22"/>
          <w:lang w:eastAsia="en-GB"/>
        </w:rPr>
      </w:pPr>
      <w:hyperlink w:anchor="_Toc503448349" w:history="1">
        <w:r w:rsidR="003645E4" w:rsidRPr="00FF6095">
          <w:rPr>
            <w:rStyle w:val="Hyperlink"/>
            <w:rFonts w:eastAsia="Times New Roman"/>
            <w:b/>
            <w:noProof/>
            <w:lang w:eastAsia="en-US"/>
          </w:rPr>
          <w:t>ANNEX 3 – STATEMENT OF REQUIREMENT</w:t>
        </w:r>
        <w:r w:rsidR="003645E4">
          <w:rPr>
            <w:noProof/>
            <w:webHidden/>
          </w:rPr>
          <w:tab/>
        </w:r>
        <w:r w:rsidR="003645E4">
          <w:rPr>
            <w:noProof/>
            <w:webHidden/>
          </w:rPr>
          <w:fldChar w:fldCharType="begin"/>
        </w:r>
        <w:r w:rsidR="003645E4">
          <w:rPr>
            <w:noProof/>
            <w:webHidden/>
          </w:rPr>
          <w:instrText xml:space="preserve"> PAGEREF _Toc503448349 \h </w:instrText>
        </w:r>
        <w:r w:rsidR="003645E4">
          <w:rPr>
            <w:noProof/>
            <w:webHidden/>
          </w:rPr>
        </w:r>
        <w:r w:rsidR="003645E4">
          <w:rPr>
            <w:noProof/>
            <w:webHidden/>
          </w:rPr>
          <w:fldChar w:fldCharType="separate"/>
        </w:r>
        <w:r w:rsidR="003645E4">
          <w:rPr>
            <w:noProof/>
            <w:webHidden/>
          </w:rPr>
          <w:t>17</w:t>
        </w:r>
        <w:r w:rsidR="003645E4">
          <w:rPr>
            <w:noProof/>
            <w:webHidden/>
          </w:rPr>
          <w:fldChar w:fldCharType="end"/>
        </w:r>
      </w:hyperlink>
    </w:p>
    <w:p w14:paraId="24389158" w14:textId="2FF1E5C9" w:rsidR="003645E4" w:rsidRDefault="008236AF">
      <w:pPr>
        <w:pStyle w:val="TOC1"/>
        <w:rPr>
          <w:rFonts w:asciiTheme="minorHAnsi" w:eastAsiaTheme="minorEastAsia" w:hAnsiTheme="minorHAnsi" w:cstheme="minorBidi"/>
          <w:caps w:val="0"/>
          <w:noProof/>
          <w:szCs w:val="22"/>
          <w:lang w:eastAsia="en-GB"/>
        </w:rPr>
      </w:pPr>
      <w:hyperlink w:anchor="_Toc503448350" w:history="1">
        <w:r w:rsidR="003645E4" w:rsidRPr="00FF6095">
          <w:rPr>
            <w:rStyle w:val="Hyperlink"/>
            <w:rFonts w:eastAsia="Times New Roman"/>
            <w:b/>
            <w:noProof/>
            <w:lang w:eastAsia="en-US"/>
          </w:rPr>
          <w:t>ANNEX 4 – SUPPLIERS RESPONSE</w:t>
        </w:r>
        <w:r w:rsidR="003645E4">
          <w:rPr>
            <w:noProof/>
            <w:webHidden/>
          </w:rPr>
          <w:tab/>
        </w:r>
        <w:r w:rsidR="003645E4">
          <w:rPr>
            <w:noProof/>
            <w:webHidden/>
          </w:rPr>
          <w:fldChar w:fldCharType="begin"/>
        </w:r>
        <w:r w:rsidR="003645E4">
          <w:rPr>
            <w:noProof/>
            <w:webHidden/>
          </w:rPr>
          <w:instrText xml:space="preserve"> PAGEREF _Toc503448350 \h </w:instrText>
        </w:r>
        <w:r w:rsidR="003645E4">
          <w:rPr>
            <w:noProof/>
            <w:webHidden/>
          </w:rPr>
        </w:r>
        <w:r w:rsidR="003645E4">
          <w:rPr>
            <w:noProof/>
            <w:webHidden/>
          </w:rPr>
          <w:fldChar w:fldCharType="separate"/>
        </w:r>
        <w:r w:rsidR="003645E4">
          <w:rPr>
            <w:noProof/>
            <w:webHidden/>
          </w:rPr>
          <w:t>18</w:t>
        </w:r>
        <w:r w:rsidR="003645E4">
          <w:rPr>
            <w:noProof/>
            <w:webHidden/>
          </w:rPr>
          <w:fldChar w:fldCharType="end"/>
        </w:r>
      </w:hyperlink>
    </w:p>
    <w:p w14:paraId="2F494498" w14:textId="714FA650" w:rsidR="003645E4" w:rsidRDefault="008236AF">
      <w:pPr>
        <w:pStyle w:val="TOC1"/>
        <w:rPr>
          <w:rFonts w:asciiTheme="minorHAnsi" w:eastAsiaTheme="minorEastAsia" w:hAnsiTheme="minorHAnsi" w:cstheme="minorBidi"/>
          <w:caps w:val="0"/>
          <w:noProof/>
          <w:szCs w:val="22"/>
          <w:lang w:eastAsia="en-GB"/>
        </w:rPr>
      </w:pPr>
      <w:hyperlink w:anchor="_Toc503448352" w:history="1">
        <w:r w:rsidR="003645E4" w:rsidRPr="00FF6095">
          <w:rPr>
            <w:rStyle w:val="Hyperlink"/>
            <w:rFonts w:eastAsia="Times New Roman"/>
            <w:b/>
            <w:noProof/>
            <w:lang w:eastAsia="en-US"/>
          </w:rPr>
          <w:t>ANNEX 5 – CLARIFICATIONS</w:t>
        </w:r>
        <w:r w:rsidR="003645E4">
          <w:rPr>
            <w:noProof/>
            <w:webHidden/>
          </w:rPr>
          <w:tab/>
        </w:r>
        <w:r w:rsidR="003645E4">
          <w:rPr>
            <w:noProof/>
            <w:webHidden/>
          </w:rPr>
          <w:fldChar w:fldCharType="begin"/>
        </w:r>
        <w:r w:rsidR="003645E4">
          <w:rPr>
            <w:noProof/>
            <w:webHidden/>
          </w:rPr>
          <w:instrText xml:space="preserve"> PAGEREF _Toc503448352 \h </w:instrText>
        </w:r>
        <w:r w:rsidR="003645E4">
          <w:rPr>
            <w:noProof/>
            <w:webHidden/>
          </w:rPr>
        </w:r>
        <w:r w:rsidR="003645E4">
          <w:rPr>
            <w:noProof/>
            <w:webHidden/>
          </w:rPr>
          <w:fldChar w:fldCharType="separate"/>
        </w:r>
        <w:r w:rsidR="003645E4">
          <w:rPr>
            <w:noProof/>
            <w:webHidden/>
          </w:rPr>
          <w:t>19</w:t>
        </w:r>
        <w:r w:rsidR="003645E4">
          <w:rPr>
            <w:noProof/>
            <w:webHidden/>
          </w:rPr>
          <w:fldChar w:fldCharType="end"/>
        </w:r>
      </w:hyperlink>
    </w:p>
    <w:p w14:paraId="28D946C0" w14:textId="17AC4FC3" w:rsidR="003645E4" w:rsidRDefault="008236AF">
      <w:pPr>
        <w:pStyle w:val="TOC1"/>
        <w:rPr>
          <w:rFonts w:asciiTheme="minorHAnsi" w:eastAsiaTheme="minorEastAsia" w:hAnsiTheme="minorHAnsi" w:cstheme="minorBidi"/>
          <w:caps w:val="0"/>
          <w:noProof/>
          <w:szCs w:val="22"/>
          <w:lang w:eastAsia="en-GB"/>
        </w:rPr>
      </w:pPr>
      <w:hyperlink w:anchor="_Toc503448353" w:history="1">
        <w:r w:rsidR="003645E4" w:rsidRPr="00FF6095">
          <w:rPr>
            <w:rStyle w:val="Hyperlink"/>
            <w:rFonts w:eastAsia="Times New Roman"/>
            <w:b/>
            <w:noProof/>
            <w:lang w:eastAsia="en-US"/>
          </w:rPr>
          <w:t>ANNEX 6 – ADDITIONAL TERMS &amp; CONDITIONS</w:t>
        </w:r>
        <w:r w:rsidR="003645E4">
          <w:rPr>
            <w:noProof/>
            <w:webHidden/>
          </w:rPr>
          <w:tab/>
        </w:r>
        <w:r w:rsidR="003645E4">
          <w:rPr>
            <w:noProof/>
            <w:webHidden/>
          </w:rPr>
          <w:fldChar w:fldCharType="begin"/>
        </w:r>
        <w:r w:rsidR="003645E4">
          <w:rPr>
            <w:noProof/>
            <w:webHidden/>
          </w:rPr>
          <w:instrText xml:space="preserve"> PAGEREF _Toc503448353 \h </w:instrText>
        </w:r>
        <w:r w:rsidR="003645E4">
          <w:rPr>
            <w:noProof/>
            <w:webHidden/>
          </w:rPr>
        </w:r>
        <w:r w:rsidR="003645E4">
          <w:rPr>
            <w:noProof/>
            <w:webHidden/>
          </w:rPr>
          <w:fldChar w:fldCharType="separate"/>
        </w:r>
        <w:r w:rsidR="003645E4">
          <w:rPr>
            <w:noProof/>
            <w:webHidden/>
          </w:rPr>
          <w:t>20</w:t>
        </w:r>
        <w:r w:rsidR="003645E4">
          <w:rPr>
            <w:noProof/>
            <w:webHidden/>
          </w:rPr>
          <w:fldChar w:fldCharType="end"/>
        </w:r>
      </w:hyperlink>
    </w:p>
    <w:p w14:paraId="327BEAD3" w14:textId="487CB9B1" w:rsidR="003645E4" w:rsidRDefault="008236AF">
      <w:pPr>
        <w:pStyle w:val="TOC1"/>
        <w:rPr>
          <w:rFonts w:asciiTheme="minorHAnsi" w:eastAsiaTheme="minorEastAsia" w:hAnsiTheme="minorHAnsi" w:cstheme="minorBidi"/>
          <w:caps w:val="0"/>
          <w:noProof/>
          <w:szCs w:val="22"/>
          <w:lang w:eastAsia="en-GB"/>
        </w:rPr>
      </w:pPr>
      <w:hyperlink w:anchor="_Toc503448354" w:history="1">
        <w:r w:rsidR="003645E4" w:rsidRPr="00FF6095">
          <w:rPr>
            <w:rStyle w:val="Hyperlink"/>
            <w:rFonts w:eastAsia="Times New Roman"/>
            <w:b/>
            <w:noProof/>
            <w:lang w:eastAsia="en-US"/>
          </w:rPr>
          <w:t>ANNEX 7 – CHANGE CONTROL FORMS</w:t>
        </w:r>
        <w:r w:rsidR="003645E4">
          <w:rPr>
            <w:noProof/>
            <w:webHidden/>
          </w:rPr>
          <w:tab/>
        </w:r>
        <w:r w:rsidR="003645E4">
          <w:rPr>
            <w:noProof/>
            <w:webHidden/>
          </w:rPr>
          <w:fldChar w:fldCharType="begin"/>
        </w:r>
        <w:r w:rsidR="003645E4">
          <w:rPr>
            <w:noProof/>
            <w:webHidden/>
          </w:rPr>
          <w:instrText xml:space="preserve"> PAGEREF _Toc503448354 \h </w:instrText>
        </w:r>
        <w:r w:rsidR="003645E4">
          <w:rPr>
            <w:noProof/>
            <w:webHidden/>
          </w:rPr>
        </w:r>
        <w:r w:rsidR="003645E4">
          <w:rPr>
            <w:noProof/>
            <w:webHidden/>
          </w:rPr>
          <w:fldChar w:fldCharType="separate"/>
        </w:r>
        <w:r w:rsidR="003645E4">
          <w:rPr>
            <w:noProof/>
            <w:webHidden/>
          </w:rPr>
          <w:t>21</w:t>
        </w:r>
        <w:r w:rsidR="003645E4">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3" w:name="_Toc503448325"/>
      <w:r w:rsidRPr="003537BB">
        <w:rPr>
          <w:rFonts w:eastAsia="Times New Roman"/>
          <w:b/>
          <w:szCs w:val="22"/>
          <w:lang w:eastAsia="en-US"/>
        </w:rPr>
        <w:lastRenderedPageBreak/>
        <w:t>ANNEX 1 – TERMS AND CONDITIONS</w:t>
      </w:r>
      <w:bookmarkEnd w:id="3"/>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Toc503448326"/>
      <w:r w:rsidRPr="006E4A65">
        <w:rPr>
          <w:rFonts w:cs="Arial"/>
          <w:szCs w:val="22"/>
          <w:u w:val="none"/>
        </w:rPr>
        <w:t>Interpretation</w:t>
      </w:r>
      <w:bookmarkEnd w:id="4"/>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802"/>
        <w:gridCol w:w="7335"/>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 w:name="_Ref377050430"/>
      <w:bookmarkStart w:id="6" w:name="_Toc503448327"/>
      <w:r w:rsidRPr="006E4A65">
        <w:rPr>
          <w:rFonts w:cs="Arial"/>
          <w:szCs w:val="22"/>
          <w:u w:val="none"/>
        </w:rPr>
        <w:t>Basis of Agreement</w:t>
      </w:r>
      <w:bookmarkEnd w:id="5"/>
      <w:bookmarkEnd w:id="6"/>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5F8E7740"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w:t>
      </w:r>
      <w:r w:rsidRPr="006E4A65">
        <w:rPr>
          <w:b w:val="0"/>
          <w:u w:val="none"/>
        </w:rPr>
        <w:lastRenderedPageBreak/>
        <w:t xml:space="preserve">Supplier on receipt by the Customer, within </w:t>
      </w:r>
      <w:r w:rsidRPr="005E7412">
        <w:rPr>
          <w:b w:val="0"/>
          <w:u w:val="none"/>
        </w:rPr>
        <w:t>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 w:name="_Toc503448328"/>
      <w:r w:rsidRPr="006E4A65">
        <w:rPr>
          <w:rFonts w:cs="Arial"/>
          <w:szCs w:val="22"/>
          <w:u w:val="none"/>
        </w:rPr>
        <w:t>Supply of Services</w:t>
      </w:r>
      <w:bookmarkEnd w:id="7"/>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9" w:name="_Ref360039773"/>
      <w:r w:rsidRPr="006E4A65">
        <w:rPr>
          <w:rFonts w:cs="Arial"/>
          <w:sz w:val="22"/>
          <w:szCs w:val="22"/>
        </w:rPr>
        <w:t>provide all equipment, tools and vehicles and other items as are required to provide the Services.</w:t>
      </w:r>
      <w:bookmarkEnd w:id="9"/>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503448329"/>
      <w:r w:rsidRPr="006E4A65">
        <w:rPr>
          <w:rFonts w:cs="Arial"/>
          <w:szCs w:val="22"/>
          <w:u w:val="none"/>
        </w:rPr>
        <w:t>Term</w:t>
      </w:r>
      <w:bookmarkEnd w:id="10"/>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08F44D1A"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1" w:name="_Ref266710570"/>
      <w:bookmarkStart w:id="12" w:name="_Ref359607345"/>
      <w:r w:rsidRPr="006E4A65">
        <w:rPr>
          <w:rFonts w:cs="Arial"/>
          <w:b w:val="0"/>
          <w:u w:val="none"/>
        </w:rPr>
        <w:t xml:space="preserve">The Customer may extend the Agreement for a period of </w:t>
      </w:r>
      <w:r w:rsidRPr="00091A81">
        <w:rPr>
          <w:rFonts w:cs="Arial"/>
          <w:b w:val="0"/>
          <w:color w:val="000000" w:themeColor="text1"/>
          <w:u w:val="none"/>
        </w:rPr>
        <w:t xml:space="preserve">up to </w:t>
      </w:r>
      <w:r w:rsidR="00091A81" w:rsidRPr="00091A81">
        <w:rPr>
          <w:rFonts w:cs="Arial"/>
          <w:b w:val="0"/>
          <w:color w:val="000000" w:themeColor="text1"/>
          <w:u w:val="none"/>
        </w:rPr>
        <w:t xml:space="preserve">6 </w:t>
      </w:r>
      <w:r w:rsidRPr="00091A81">
        <w:rPr>
          <w:rFonts w:cs="Arial"/>
          <w:b w:val="0"/>
          <w:color w:val="000000" w:themeColor="text1"/>
          <w:u w:val="none"/>
        </w:rPr>
        <w:t xml:space="preserve">months </w:t>
      </w:r>
      <w:r w:rsidRPr="006E4A65">
        <w:rPr>
          <w:rFonts w:cs="Arial"/>
          <w:b w:val="0"/>
          <w:u w:val="none"/>
        </w:rPr>
        <w:t>by giving not less than 10 Working Days’ notice in writing to the Supplier prior to the Expiry Date.  The terms and conditions of the Agreement shall apply throughout any such exten</w:t>
      </w:r>
      <w:bookmarkEnd w:id="11"/>
      <w:r w:rsidRPr="006E4A65">
        <w:rPr>
          <w:rFonts w:cs="Arial"/>
          <w:b w:val="0"/>
          <w:u w:val="none"/>
        </w:rPr>
        <w:t>ded period.</w:t>
      </w:r>
      <w:bookmarkEnd w:id="12"/>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503448330"/>
      <w:r w:rsidRPr="006E4A65">
        <w:rPr>
          <w:rFonts w:cs="Arial"/>
          <w:szCs w:val="22"/>
          <w:u w:val="none"/>
        </w:rPr>
        <w:t>Charges, Payment and Recovery of Sums Due</w:t>
      </w:r>
      <w:bookmarkEnd w:id="13"/>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w:t>
      </w:r>
      <w:r w:rsidRPr="006E4A65">
        <w:rPr>
          <w:rFonts w:cs="Arial"/>
          <w:b w:val="0"/>
          <w:u w:val="none"/>
        </w:rPr>
        <w:lastRenderedPageBreak/>
        <w:t xml:space="preserve">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4" w:name="_Toc503448331"/>
      <w:r w:rsidRPr="006E4A65">
        <w:rPr>
          <w:rFonts w:cs="Arial"/>
          <w:szCs w:val="22"/>
          <w:u w:val="none"/>
        </w:rPr>
        <w:t>Premises and equipment</w:t>
      </w:r>
      <w:bookmarkEnd w:id="14"/>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6"/>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8"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9" w:name="_Ref377050486"/>
      <w:bookmarkStart w:id="20" w:name="_Toc503448332"/>
      <w:r w:rsidRPr="006E4A65">
        <w:rPr>
          <w:rFonts w:cs="Arial"/>
          <w:szCs w:val="22"/>
          <w:u w:val="none"/>
        </w:rPr>
        <w:t>Staff and Key Personnel</w:t>
      </w:r>
      <w:bookmarkEnd w:id="19"/>
      <w:bookmarkEnd w:id="20"/>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1"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Toc503448333"/>
      <w:r w:rsidRPr="006E4A65">
        <w:rPr>
          <w:rFonts w:cs="Arial"/>
          <w:szCs w:val="22"/>
          <w:u w:val="none"/>
        </w:rPr>
        <w:t>Assignment and sub-contracting</w:t>
      </w:r>
      <w:bookmarkEnd w:id="23"/>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4" w:name="_Ref377050494"/>
      <w:bookmarkStart w:id="25" w:name="_Toc503448334"/>
      <w:r w:rsidRPr="006E4A65">
        <w:rPr>
          <w:rFonts w:cs="Arial"/>
          <w:szCs w:val="22"/>
          <w:u w:val="none"/>
        </w:rPr>
        <w:t>Intellectual Property Rights</w:t>
      </w:r>
      <w:bookmarkEnd w:id="24"/>
      <w:bookmarkEnd w:id="25"/>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6"/>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7"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7"/>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8" w:name="_Toc503448335"/>
      <w:bookmarkStart w:id="29" w:name="_Ref243716101"/>
      <w:r w:rsidRPr="006E4A65">
        <w:rPr>
          <w:rFonts w:cs="Arial"/>
          <w:szCs w:val="22"/>
          <w:u w:val="none"/>
        </w:rPr>
        <w:t>Governance and Records</w:t>
      </w:r>
      <w:bookmarkEnd w:id="28"/>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30" w:name="_DV_M163"/>
      <w:bookmarkStart w:id="31" w:name="_DV_M164"/>
      <w:bookmarkStart w:id="32" w:name="_DV_M974"/>
      <w:bookmarkEnd w:id="30"/>
      <w:bookmarkEnd w:id="31"/>
      <w:bookmarkEnd w:id="32"/>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3"/>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4" w:name="_Ref377050387"/>
      <w:bookmarkStart w:id="35" w:name="_Toc503448336"/>
      <w:r w:rsidRPr="006E4A65">
        <w:rPr>
          <w:rFonts w:cs="Arial"/>
          <w:szCs w:val="22"/>
          <w:u w:val="none"/>
        </w:rPr>
        <w:t>Confidentiality</w:t>
      </w:r>
      <w:bookmarkEnd w:id="29"/>
      <w:r w:rsidRPr="006E4A65">
        <w:rPr>
          <w:rFonts w:cs="Arial"/>
          <w:szCs w:val="22"/>
          <w:u w:val="none"/>
        </w:rPr>
        <w:t>, Transparency and Publicity</w:t>
      </w:r>
      <w:bookmarkEnd w:id="34"/>
      <w:bookmarkEnd w:id="35"/>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6"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6"/>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7"/>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8"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8"/>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9"/>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0"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0"/>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1" w:name="_Ref261004389"/>
      <w:bookmarkStart w:id="42" w:name="_Toc503448337"/>
      <w:r w:rsidRPr="006E4A65">
        <w:rPr>
          <w:rFonts w:cs="Arial"/>
          <w:szCs w:val="22"/>
          <w:u w:val="none"/>
        </w:rPr>
        <w:t>Freedom of Information</w:t>
      </w:r>
      <w:bookmarkEnd w:id="41"/>
      <w:bookmarkEnd w:id="42"/>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3" w:name="_Ref377050406"/>
      <w:bookmarkStart w:id="44" w:name="_Toc503448338"/>
      <w:bookmarkStart w:id="45" w:name="_Ref260838253"/>
      <w:r w:rsidRPr="006E4A65">
        <w:rPr>
          <w:rFonts w:cs="Arial"/>
          <w:szCs w:val="22"/>
          <w:u w:val="none"/>
        </w:rPr>
        <w:t>Protection of Personal Data and Security of Data</w:t>
      </w:r>
      <w:bookmarkEnd w:id="43"/>
      <w:bookmarkEnd w:id="44"/>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6"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5"/>
      <w:bookmarkEnd w:id="46"/>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7"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7"/>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8" w:name="_Ref377050536"/>
      <w:bookmarkStart w:id="49" w:name="_Toc503448339"/>
      <w:r w:rsidRPr="006E4A65">
        <w:rPr>
          <w:rFonts w:cs="Arial"/>
          <w:szCs w:val="22"/>
          <w:u w:val="none"/>
        </w:rPr>
        <w:t>Liability</w:t>
      </w:r>
      <w:bookmarkEnd w:id="48"/>
      <w:bookmarkEnd w:id="49"/>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50"/>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1"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1"/>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0"/>
      <w:r w:rsidRPr="006E4A65">
        <w:rPr>
          <w:rFonts w:cs="Arial"/>
          <w:b w:val="0"/>
          <w:u w:val="none"/>
        </w:rPr>
        <w:t>Nothing in the Agreement shall be construed to limit or exclude either Party's liability for:</w:t>
      </w:r>
      <w:bookmarkEnd w:id="52"/>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3"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3"/>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4" w:name="_Ref360044784"/>
      <w:bookmarkStart w:id="55" w:name="_Toc503448340"/>
      <w:r w:rsidRPr="006E4A65">
        <w:rPr>
          <w:rFonts w:cs="Arial"/>
          <w:szCs w:val="22"/>
          <w:u w:val="none"/>
        </w:rPr>
        <w:t>Force Majeure</w:t>
      </w:r>
      <w:bookmarkEnd w:id="54"/>
      <w:bookmarkEnd w:id="55"/>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6" w:name="_Ref359655944"/>
      <w:bookmarkStart w:id="57" w:name="_Toc503448341"/>
      <w:bookmarkStart w:id="58" w:name="_Ref245529290"/>
      <w:r w:rsidRPr="006E4A65">
        <w:rPr>
          <w:rFonts w:cs="Arial"/>
          <w:szCs w:val="22"/>
          <w:u w:val="none"/>
        </w:rPr>
        <w:t>Termination</w:t>
      </w:r>
      <w:bookmarkEnd w:id="56"/>
      <w:bookmarkEnd w:id="57"/>
    </w:p>
    <w:bookmarkEnd w:id="58"/>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859809"/>
      <w:r w:rsidRPr="006E4A65">
        <w:rPr>
          <w:rFonts w:cs="Arial"/>
          <w:sz w:val="22"/>
          <w:szCs w:val="22"/>
        </w:rPr>
        <w:t>undergoes a change of control within the meaning of section 416 of the Income and Corporation Taxes Act 1988;</w:t>
      </w:r>
      <w:bookmarkEnd w:id="60"/>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9"/>
      <w:bookmarkEnd w:id="61"/>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2"/>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110965"/>
      <w:r w:rsidRPr="006E4A65">
        <w:rPr>
          <w:rFonts w:cs="Arial"/>
          <w:b w:val="0"/>
          <w:u w:val="none"/>
        </w:rPr>
        <w:t>The Supplier may terminate the Agreement by written notice to the Customer if the Customer has not paid any undisputed amounts within 90 days of them falling due.</w:t>
      </w:r>
      <w:bookmarkEnd w:id="63"/>
      <w:bookmarkEnd w:id="64"/>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5" w:name="_Ref377050546"/>
      <w:r w:rsidRPr="006E4A65">
        <w:rPr>
          <w:rFonts w:cs="Arial"/>
          <w:b w:val="0"/>
          <w:u w:val="none"/>
        </w:rPr>
        <w:t>Upon termination or expiry of the Agreement, the Supplier shall:</w:t>
      </w:r>
      <w:bookmarkEnd w:id="65"/>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6" w:name="_Ref377050416"/>
      <w:bookmarkStart w:id="67" w:name="_Toc503448342"/>
      <w:r w:rsidRPr="006E4A65">
        <w:rPr>
          <w:rFonts w:cs="Arial"/>
          <w:szCs w:val="22"/>
          <w:u w:val="none"/>
        </w:rPr>
        <w:t>Compliance</w:t>
      </w:r>
      <w:bookmarkEnd w:id="66"/>
      <w:bookmarkEnd w:id="67"/>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8" w:name="_Ref261013166"/>
      <w:r w:rsidRPr="006E4A65">
        <w:rPr>
          <w:rFonts w:cs="Arial"/>
          <w:b w:val="0"/>
          <w:u w:val="none"/>
        </w:rPr>
        <w:t xml:space="preserve">The Supplier </w:t>
      </w:r>
      <w:bookmarkEnd w:id="68"/>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9"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9"/>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0" w:name="_Ref377050556"/>
      <w:r w:rsidRPr="006E4A65">
        <w:rPr>
          <w:rFonts w:cs="Arial"/>
          <w:b w:val="0"/>
          <w:u w:val="none"/>
        </w:rPr>
        <w:t>The Supplier shall supply the Services in accordance with the Customer’s environmental policy as provided to the Supplier from time to time.</w:t>
      </w:r>
      <w:bookmarkEnd w:id="70"/>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1" w:name="_Toc503448343"/>
      <w:r w:rsidRPr="006E4A65">
        <w:rPr>
          <w:rFonts w:cs="Arial"/>
          <w:szCs w:val="22"/>
          <w:u w:val="none"/>
        </w:rPr>
        <w:t>Prevention of Fraud and Corruption</w:t>
      </w:r>
      <w:bookmarkEnd w:id="71"/>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2" w:name="_Ref359607864"/>
      <w:bookmarkStart w:id="73"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
    <w:bookmarkEnd w:id="73"/>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4"/>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50344834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E4A65">
        <w:rPr>
          <w:rFonts w:cs="Arial"/>
          <w:szCs w:val="22"/>
          <w:u w:val="none"/>
        </w:rPr>
        <w:t>Dispute Resolution</w:t>
      </w:r>
      <w:bookmarkEnd w:id="98"/>
      <w:bookmarkEnd w:id="99"/>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1" w:name="_Toc503448345"/>
      <w:r w:rsidRPr="006E4A65">
        <w:rPr>
          <w:rFonts w:cs="Arial"/>
          <w:szCs w:val="22"/>
          <w:u w:val="none"/>
        </w:rPr>
        <w:t>General</w:t>
      </w:r>
      <w:bookmarkEnd w:id="101"/>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3" w:name="_Toc503448346"/>
      <w:r w:rsidRPr="006E4A65">
        <w:rPr>
          <w:rFonts w:cs="Arial"/>
          <w:szCs w:val="22"/>
          <w:u w:val="none"/>
        </w:rPr>
        <w:t>Notices</w:t>
      </w:r>
      <w:bookmarkEnd w:id="103"/>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5"/>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6"/>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7" w:name="_Toc503448347"/>
      <w:r w:rsidRPr="006E4A65">
        <w:rPr>
          <w:rFonts w:cs="Arial"/>
          <w:szCs w:val="22"/>
          <w:u w:val="none"/>
        </w:rPr>
        <w:t>Governing Law and Jurisdiction</w:t>
      </w:r>
      <w:bookmarkEnd w:id="107"/>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E13CC48" w:rsidR="008236AF" w:rsidRDefault="008236AF" w:rsidP="006E4A65">
      <w:pPr>
        <w:pStyle w:val="Level2"/>
        <w:numPr>
          <w:ilvl w:val="0"/>
          <w:numId w:val="0"/>
        </w:numPr>
        <w:ind w:left="1368"/>
      </w:pPr>
    </w:p>
    <w:p w14:paraId="21F51231" w14:textId="77777777" w:rsidR="008236AF" w:rsidRPr="008236AF" w:rsidRDefault="008236AF" w:rsidP="008236AF">
      <w:pPr>
        <w:rPr>
          <w:lang w:eastAsia="en-US"/>
        </w:rPr>
      </w:pPr>
    </w:p>
    <w:p w14:paraId="752EA2FD" w14:textId="77777777" w:rsidR="008236AF" w:rsidRPr="008236AF" w:rsidRDefault="008236AF" w:rsidP="008236AF">
      <w:pPr>
        <w:rPr>
          <w:lang w:eastAsia="en-US"/>
        </w:rPr>
      </w:pPr>
    </w:p>
    <w:p w14:paraId="59DC4EC3" w14:textId="77777777" w:rsidR="008236AF" w:rsidRPr="008236AF" w:rsidRDefault="008236AF" w:rsidP="008236AF">
      <w:pPr>
        <w:rPr>
          <w:lang w:eastAsia="en-US"/>
        </w:rPr>
      </w:pPr>
    </w:p>
    <w:p w14:paraId="1F45BA64" w14:textId="77777777" w:rsidR="008236AF" w:rsidRPr="008236AF" w:rsidRDefault="008236AF" w:rsidP="008236AF">
      <w:pPr>
        <w:rPr>
          <w:lang w:eastAsia="en-US"/>
        </w:rPr>
      </w:pPr>
    </w:p>
    <w:p w14:paraId="61E2E3DD" w14:textId="77777777" w:rsidR="008236AF" w:rsidRPr="008236AF" w:rsidRDefault="008236AF" w:rsidP="008236AF">
      <w:pPr>
        <w:rPr>
          <w:lang w:eastAsia="en-US"/>
        </w:rPr>
      </w:pPr>
    </w:p>
    <w:p w14:paraId="099A55EB" w14:textId="77777777" w:rsidR="008236AF" w:rsidRPr="008236AF" w:rsidRDefault="008236AF" w:rsidP="008236AF">
      <w:pPr>
        <w:rPr>
          <w:lang w:eastAsia="en-US"/>
        </w:rPr>
      </w:pPr>
    </w:p>
    <w:p w14:paraId="7EAC5096" w14:textId="77777777" w:rsidR="008236AF" w:rsidRPr="008236AF" w:rsidRDefault="008236AF" w:rsidP="008236AF">
      <w:pPr>
        <w:rPr>
          <w:lang w:eastAsia="en-US"/>
        </w:rPr>
      </w:pPr>
    </w:p>
    <w:p w14:paraId="16F7B229" w14:textId="77777777" w:rsidR="008236AF" w:rsidRPr="008236AF" w:rsidRDefault="008236AF" w:rsidP="008236AF">
      <w:pPr>
        <w:rPr>
          <w:lang w:eastAsia="en-US"/>
        </w:rPr>
      </w:pPr>
    </w:p>
    <w:p w14:paraId="73A01465" w14:textId="77777777" w:rsidR="008236AF" w:rsidRPr="008236AF" w:rsidRDefault="008236AF" w:rsidP="008236AF">
      <w:pPr>
        <w:rPr>
          <w:lang w:eastAsia="en-US"/>
        </w:rPr>
      </w:pPr>
    </w:p>
    <w:p w14:paraId="0254EEA2" w14:textId="77777777" w:rsidR="008236AF" w:rsidRPr="008236AF" w:rsidRDefault="008236AF" w:rsidP="008236AF">
      <w:pPr>
        <w:rPr>
          <w:lang w:eastAsia="en-US"/>
        </w:rPr>
      </w:pPr>
    </w:p>
    <w:p w14:paraId="0EC13B6D" w14:textId="77777777" w:rsidR="008236AF" w:rsidRPr="008236AF" w:rsidRDefault="008236AF" w:rsidP="008236AF">
      <w:pPr>
        <w:rPr>
          <w:lang w:eastAsia="en-US"/>
        </w:rPr>
      </w:pPr>
    </w:p>
    <w:p w14:paraId="08CAB079" w14:textId="10D00AB6" w:rsidR="008236AF" w:rsidRPr="008236AF" w:rsidRDefault="008236AF" w:rsidP="008236AF">
      <w:pPr>
        <w:tabs>
          <w:tab w:val="left" w:pos="1048"/>
        </w:tabs>
        <w:rPr>
          <w:lang w:eastAsia="en-US"/>
        </w:rPr>
      </w:pPr>
      <w:r>
        <w:rPr>
          <w:lang w:eastAsia="en-US"/>
        </w:rPr>
        <w:tab/>
      </w:r>
    </w:p>
    <w:p w14:paraId="5890D37A" w14:textId="3161D25D" w:rsidR="006E4A65" w:rsidRPr="008236AF" w:rsidRDefault="008236AF" w:rsidP="008236AF">
      <w:pPr>
        <w:tabs>
          <w:tab w:val="left" w:pos="1048"/>
        </w:tabs>
        <w:rPr>
          <w:lang w:eastAsia="en-US"/>
        </w:rPr>
        <w:sectPr w:rsidR="006E4A65" w:rsidRPr="008236AF"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r>
        <w:rPr>
          <w:lang w:eastAsia="en-US"/>
        </w:rPr>
        <w:tab/>
      </w:r>
    </w:p>
    <w:p w14:paraId="60F3E548" w14:textId="0B6FA1ED" w:rsidR="007D5D50" w:rsidRDefault="00A649DF" w:rsidP="00557A06">
      <w:pPr>
        <w:widowControl w:val="0"/>
        <w:tabs>
          <w:tab w:val="num" w:pos="540"/>
        </w:tabs>
        <w:spacing w:after="100" w:afterAutospacing="1"/>
        <w:ind w:left="851" w:hanging="851"/>
        <w:jc w:val="center"/>
        <w:outlineLvl w:val="0"/>
        <w:rPr>
          <w:rFonts w:cs="Arial"/>
          <w:b/>
          <w:szCs w:val="22"/>
        </w:rPr>
      </w:pPr>
      <w:bookmarkStart w:id="108" w:name="_Toc503448348"/>
      <w:r w:rsidRPr="001167A3">
        <w:rPr>
          <w:rFonts w:eastAsia="Times New Roman"/>
          <w:b/>
          <w:szCs w:val="22"/>
          <w:lang w:eastAsia="en-US"/>
        </w:rPr>
        <w:t>ANNEX 2 – PRICE SCHEDULE</w:t>
      </w:r>
      <w:bookmarkEnd w:id="108"/>
    </w:p>
    <w:p w14:paraId="4A586A84" w14:textId="2CB6DB9C" w:rsidR="005E7412" w:rsidRDefault="008236AF">
      <w:pPr>
        <w:rPr>
          <w:rFonts w:eastAsia="Times New Roman" w:cs="Arial"/>
          <w:b/>
          <w:szCs w:val="22"/>
          <w:lang w:eastAsia="en-US"/>
        </w:rPr>
      </w:pPr>
      <w:r>
        <w:rPr>
          <w:rFonts w:eastAsia="Times New Roman" w:cs="Arial"/>
          <w:b/>
          <w:szCs w:val="22"/>
          <w:lang w:eastAsia="en-US"/>
        </w:rPr>
        <w:t>REDACTED</w:t>
      </w:r>
    </w:p>
    <w:p w14:paraId="07AFED0D" w14:textId="1F599290" w:rsidR="00A649DF" w:rsidRDefault="00A649DF">
      <w:pPr>
        <w:rPr>
          <w:rFonts w:eastAsia="Times New Roman" w:cs="Arial"/>
          <w:b/>
          <w:szCs w:val="22"/>
          <w:lang w:eastAsia="en-US"/>
        </w:rPr>
      </w:pPr>
    </w:p>
    <w:p w14:paraId="63933536" w14:textId="77777777" w:rsidR="00557A06" w:rsidRDefault="00557A06">
      <w:pPr>
        <w:rPr>
          <w:rFonts w:eastAsia="Times New Roman" w:cs="Arial"/>
          <w:b/>
          <w:szCs w:val="22"/>
          <w:lang w:eastAsia="en-US"/>
        </w:rPr>
      </w:pPr>
    </w:p>
    <w:p w14:paraId="216D4CAF" w14:textId="77777777" w:rsidR="00557A06" w:rsidRDefault="00557A06">
      <w:pPr>
        <w:rPr>
          <w:rFonts w:eastAsia="Times New Roman" w:cs="Arial"/>
          <w:b/>
          <w:szCs w:val="22"/>
          <w:lang w:eastAsia="en-US"/>
        </w:rPr>
      </w:pPr>
    </w:p>
    <w:p w14:paraId="792396E9" w14:textId="77777777" w:rsidR="00557A06" w:rsidRDefault="00557A06">
      <w:pPr>
        <w:rPr>
          <w:rFonts w:eastAsia="Times New Roman" w:cs="Arial"/>
          <w:b/>
          <w:szCs w:val="22"/>
          <w:lang w:eastAsia="en-US"/>
        </w:rPr>
      </w:pPr>
    </w:p>
    <w:p w14:paraId="65615178" w14:textId="77777777" w:rsidR="00557A06" w:rsidRDefault="00557A06">
      <w:pPr>
        <w:rPr>
          <w:rFonts w:eastAsia="Times New Roman" w:cs="Arial"/>
          <w:b/>
          <w:szCs w:val="22"/>
          <w:lang w:eastAsia="en-US"/>
        </w:rPr>
      </w:pPr>
    </w:p>
    <w:p w14:paraId="6B1D7A77" w14:textId="46E361CD" w:rsidR="00557A06" w:rsidRDefault="00170C4E">
      <w:pPr>
        <w:rPr>
          <w:rFonts w:eastAsia="Times New Roman" w:cs="Arial"/>
          <w:b/>
          <w:szCs w:val="22"/>
          <w:lang w:eastAsia="en-US"/>
        </w:rPr>
      </w:pPr>
      <w:r>
        <w:rPr>
          <w:rFonts w:eastAsia="Times New Roman" w:cs="Arial"/>
          <w:b/>
          <w:szCs w:val="22"/>
          <w:lang w:eastAsia="en-US"/>
        </w:rPr>
        <w:t>Prices are inclusive of all expenses but exclusive of VAT. Prices will be held firm for the length of the Contract.</w:t>
      </w:r>
    </w:p>
    <w:p w14:paraId="64F00C02" w14:textId="77777777" w:rsidR="00557A06" w:rsidRDefault="00557A06">
      <w:pPr>
        <w:rPr>
          <w:rFonts w:eastAsia="Times New Roman" w:cs="Arial"/>
          <w:b/>
          <w:szCs w:val="22"/>
          <w:lang w:eastAsia="en-US"/>
        </w:rPr>
      </w:pPr>
    </w:p>
    <w:p w14:paraId="68098E67" w14:textId="77777777" w:rsidR="00557A06" w:rsidRDefault="00557A06">
      <w:pPr>
        <w:rPr>
          <w:rFonts w:eastAsia="Times New Roman" w:cs="Arial"/>
          <w:b/>
          <w:szCs w:val="22"/>
          <w:lang w:eastAsia="en-US"/>
        </w:rPr>
      </w:pPr>
    </w:p>
    <w:p w14:paraId="3039CA53" w14:textId="77777777" w:rsidR="00557A06" w:rsidRDefault="00557A06">
      <w:pPr>
        <w:rPr>
          <w:rFonts w:eastAsia="Times New Roman" w:cs="Arial"/>
          <w:b/>
          <w:szCs w:val="22"/>
          <w:lang w:eastAsia="en-US"/>
        </w:rPr>
      </w:pPr>
    </w:p>
    <w:p w14:paraId="1FFDDAFB" w14:textId="77777777" w:rsidR="00170C4E" w:rsidRDefault="00170C4E">
      <w:pPr>
        <w:rPr>
          <w:rFonts w:eastAsia="Times New Roman" w:cs="Arial"/>
          <w:b/>
          <w:szCs w:val="22"/>
          <w:lang w:eastAsia="en-US"/>
        </w:rPr>
      </w:pPr>
    </w:p>
    <w:p w14:paraId="68C684D5" w14:textId="77777777" w:rsidR="00170C4E" w:rsidRDefault="00170C4E">
      <w:pPr>
        <w:rPr>
          <w:rFonts w:eastAsia="Times New Roman" w:cs="Arial"/>
          <w:b/>
          <w:szCs w:val="22"/>
          <w:lang w:eastAsia="en-US"/>
        </w:rPr>
      </w:pPr>
    </w:p>
    <w:p w14:paraId="0325C2CD"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503448349"/>
      <w:r w:rsidRPr="001167A3">
        <w:rPr>
          <w:rFonts w:eastAsia="Times New Roman"/>
          <w:b/>
          <w:szCs w:val="22"/>
          <w:lang w:eastAsia="en-US"/>
        </w:rPr>
        <w:t>ANNEX 3 – STATEMENT OF REQUIREMENT</w:t>
      </w:r>
      <w:bookmarkEnd w:id="109"/>
    </w:p>
    <w:p w14:paraId="221A02CA" w14:textId="77777777" w:rsidR="00F12512" w:rsidRDefault="00F12512" w:rsidP="00F12512">
      <w:pPr>
        <w:pStyle w:val="Heading1"/>
        <w:tabs>
          <w:tab w:val="clear" w:pos="720"/>
          <w:tab w:val="left" w:pos="1134"/>
        </w:tabs>
        <w:overflowPunct w:val="0"/>
        <w:autoSpaceDE w:val="0"/>
        <w:autoSpaceDN w:val="0"/>
        <w:spacing w:before="240" w:after="120"/>
        <w:ind w:left="432" w:hanging="432"/>
        <w:textAlignment w:val="baseline"/>
        <w:rPr>
          <w:szCs w:val="22"/>
        </w:rPr>
      </w:pPr>
      <w:bookmarkStart w:id="110" w:name="_Toc500940797"/>
      <w:r w:rsidRPr="00B9425F">
        <w:rPr>
          <w:szCs w:val="22"/>
        </w:rPr>
        <w:t>scope of requirement</w:t>
      </w:r>
      <w:bookmarkEnd w:id="110"/>
      <w:r w:rsidRPr="00B9425F">
        <w:rPr>
          <w:szCs w:val="22"/>
        </w:rPr>
        <w:t xml:space="preserve"> </w:t>
      </w:r>
    </w:p>
    <w:p w14:paraId="25F9669D" w14:textId="501A7B5E" w:rsidR="00F12512" w:rsidRDefault="00F12512" w:rsidP="00F12512">
      <w:pPr>
        <w:pStyle w:val="Heading2"/>
        <w:tabs>
          <w:tab w:val="clear" w:pos="720"/>
          <w:tab w:val="left" w:pos="1134"/>
        </w:tabs>
        <w:ind w:left="576" w:hanging="576"/>
      </w:pPr>
      <w:r>
        <w:t xml:space="preserve">The Supplier must develop transport connectivity metrics at three different spatial levels as outlined within Section </w:t>
      </w:r>
      <w:r w:rsidR="009E0958">
        <w:t>1</w:t>
      </w:r>
      <w:r>
        <w:t xml:space="preserve">.6 below. The Supplier must both construct the metrics, based on a sound theoretical framework, and quantify current connectivity as per the metrics’ definitions. The </w:t>
      </w:r>
      <w:r w:rsidR="009E0958">
        <w:t>Supplier</w:t>
      </w:r>
      <w:r>
        <w:t xml:space="preserve"> </w:t>
      </w:r>
      <w:r w:rsidR="009E0958">
        <w:t xml:space="preserve">shall </w:t>
      </w:r>
      <w:r>
        <w:t>quantify historic connectivity, if the data used allows for this.</w:t>
      </w:r>
    </w:p>
    <w:p w14:paraId="6BE24A9B" w14:textId="77777777" w:rsidR="00F12512" w:rsidRDefault="00F12512" w:rsidP="00F12512">
      <w:pPr>
        <w:pStyle w:val="Heading2"/>
        <w:tabs>
          <w:tab w:val="clear" w:pos="720"/>
          <w:tab w:val="left" w:pos="1134"/>
        </w:tabs>
        <w:ind w:left="576" w:hanging="576"/>
      </w:pPr>
      <w:r>
        <w:t>The connectivity indicators must allow the Authority</w:t>
      </w:r>
      <w:r w:rsidRPr="00112E8B">
        <w:t xml:space="preserve"> to identify </w:t>
      </w:r>
      <w:r>
        <w:t xml:space="preserve">current </w:t>
      </w:r>
      <w:r w:rsidRPr="00112E8B">
        <w:t>pre</w:t>
      </w:r>
      <w:r>
        <w:t>ssures on the transport network, and sh</w:t>
      </w:r>
      <w:r w:rsidRPr="00DF54EE">
        <w:t>ould be able to pick up constraints based on the transport network</w:t>
      </w:r>
      <w:r>
        <w:t xml:space="preserve"> itself</w:t>
      </w:r>
      <w:r w:rsidRPr="00DF54EE">
        <w:t xml:space="preserve"> (i.e. </w:t>
      </w:r>
      <w:r>
        <w:t xml:space="preserve">places that have </w:t>
      </w:r>
      <w:r w:rsidRPr="00DF54EE">
        <w:t xml:space="preserve">poor connectivity because their most direct </w:t>
      </w:r>
      <w:r>
        <w:t>transport</w:t>
      </w:r>
      <w:r w:rsidRPr="00DF54EE">
        <w:t xml:space="preserve"> link</w:t>
      </w:r>
      <w:r>
        <w:t>s are</w:t>
      </w:r>
      <w:r w:rsidRPr="00DF54EE">
        <w:t xml:space="preserve"> poor) as well as capacity issues (i.e. speeds between </w:t>
      </w:r>
      <w:r>
        <w:t>certain places are low</w:t>
      </w:r>
      <w:r w:rsidRPr="00DF54EE">
        <w:t xml:space="preserve"> because of </w:t>
      </w:r>
      <w:r>
        <w:t>congestion</w:t>
      </w:r>
      <w:r w:rsidRPr="00DF54EE">
        <w:t>).</w:t>
      </w:r>
    </w:p>
    <w:p w14:paraId="635517A4" w14:textId="46DBBEE9" w:rsidR="00F12512" w:rsidRDefault="00F12512" w:rsidP="00F12512">
      <w:pPr>
        <w:pStyle w:val="Heading2"/>
        <w:tabs>
          <w:tab w:val="clear" w:pos="720"/>
          <w:tab w:val="left" w:pos="1134"/>
        </w:tabs>
        <w:ind w:left="576" w:hanging="576"/>
      </w:pPr>
      <w:r>
        <w:t xml:space="preserve">The starting point for the theoretical construct for this metric is the calculation of “market potential” described by </w:t>
      </w:r>
      <w:hyperlink r:id="rId17" w:history="1">
        <w:r w:rsidRPr="009D2076">
          <w:rPr>
            <w:rStyle w:val="Hyperlink"/>
          </w:rPr>
          <w:t>Harris (1954)</w:t>
        </w:r>
      </w:hyperlink>
      <w:r>
        <w:t>. This sets out that the market potential for a city can be measured as the sum of the market potential for all other cities (or the economic mass, M) in the area under consideration (which could be a country or major region) divided by the transport cost of reaching each city (wh</w:t>
      </w:r>
      <w:r w:rsidR="009E0958">
        <w:t>ich can be proxied by distance,</w:t>
      </w:r>
      <w:r>
        <w:t xml:space="preserve"> </w:t>
      </w:r>
      <w:r w:rsidR="009E0958">
        <w:t xml:space="preserve">d). </w:t>
      </w:r>
      <w:r>
        <w:t xml:space="preserve">Simply put: </w:t>
      </w:r>
    </w:p>
    <w:p w14:paraId="5278C7D1" w14:textId="77777777" w:rsidR="00F12512" w:rsidRDefault="00F12512" w:rsidP="00F12512">
      <w:pPr>
        <w:pStyle w:val="Heading2"/>
        <w:numPr>
          <w:ilvl w:val="0"/>
          <w:numId w:val="0"/>
        </w:numPr>
        <w:tabs>
          <w:tab w:val="left" w:pos="1134"/>
        </w:tabs>
        <w:ind w:left="1276"/>
      </w:pPr>
      <m:oMathPara>
        <m:oMath>
          <m:r>
            <w:rPr>
              <w:rFonts w:ascii="Cambria Math" w:hAnsi="Cambria Math"/>
            </w:rPr>
            <m:t>market potential=</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M</m:t>
                  </m:r>
                </m:e>
              </m:nary>
            </m:num>
            <m:den>
              <m:r>
                <w:rPr>
                  <w:rFonts w:ascii="Cambria Math" w:hAnsi="Cambria Math"/>
                </w:rPr>
                <m:t>d</m:t>
              </m:r>
            </m:den>
          </m:f>
        </m:oMath>
      </m:oMathPara>
    </w:p>
    <w:p w14:paraId="7E968393" w14:textId="77777777" w:rsidR="00F12512" w:rsidRDefault="00F12512" w:rsidP="00F12512">
      <w:pPr>
        <w:pStyle w:val="Heading2"/>
        <w:tabs>
          <w:tab w:val="clear" w:pos="720"/>
          <w:tab w:val="left" w:pos="1134"/>
        </w:tabs>
        <w:ind w:left="576" w:hanging="576"/>
      </w:pPr>
      <w:r>
        <w:t xml:space="preserve">The metric above gives an indication of the demand which can be accessed from a given city, controlling for distance. As the Authority is interested </w:t>
      </w:r>
      <w:r w:rsidRPr="009D2076">
        <w:t xml:space="preserve">in </w:t>
      </w:r>
      <w:r>
        <w:t xml:space="preserve">the </w:t>
      </w:r>
      <w:r w:rsidRPr="009D2076">
        <w:t xml:space="preserve">infrastructure </w:t>
      </w:r>
      <w:r>
        <w:t xml:space="preserve">which allows this distance to be travelled, </w:t>
      </w:r>
      <w:r w:rsidRPr="009D2076">
        <w:t xml:space="preserve">rather than </w:t>
      </w:r>
      <w:r>
        <w:t xml:space="preserve">just the </w:t>
      </w:r>
      <w:r w:rsidRPr="009D2076">
        <w:t xml:space="preserve">physical geography, </w:t>
      </w:r>
      <w:r>
        <w:t>it would like a time element to be included in the metric. The metric could therefore be constructed along the following lines:</w:t>
      </w:r>
    </w:p>
    <w:p w14:paraId="6F4298C2" w14:textId="77777777" w:rsidR="00F12512" w:rsidRPr="00DA678E" w:rsidRDefault="008236AF" w:rsidP="00F12512">
      <w:pPr>
        <w:pStyle w:val="Heading2"/>
        <w:numPr>
          <w:ilvl w:val="0"/>
          <w:numId w:val="0"/>
        </w:numPr>
        <w:tabs>
          <w:tab w:val="left" w:pos="1134"/>
        </w:tabs>
        <w:ind w:left="1996"/>
      </w:pPr>
      <m:oMathPara>
        <m:oMath>
          <m:sSub>
            <m:sSubPr>
              <m:ctrlPr>
                <w:rPr>
                  <w:rFonts w:ascii="Cambria Math" w:hAnsi="Cambria Math"/>
                  <w:i/>
                </w:rPr>
              </m:ctrlPr>
            </m:sSubPr>
            <m:e>
              <m:r>
                <w:rPr>
                  <w:rFonts w:ascii="Cambria Math" w:hAnsi="Cambria Math"/>
                </w:rPr>
                <m:t>C</m:t>
              </m:r>
            </m:e>
            <m:sub>
              <m:r>
                <w:rPr>
                  <w:rFonts w:ascii="Cambria Math" w:hAnsi="Cambria Math"/>
                </w:rPr>
                <m:t>it</m:t>
              </m:r>
            </m:sub>
          </m:sSub>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M</m:t>
                      </m:r>
                    </m:e>
                    <m:sub>
                      <m:r>
                        <w:rPr>
                          <w:rFonts w:ascii="Cambria Math" w:hAnsi="Cambria Math"/>
                        </w:rPr>
                        <m:t>jt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jt</m:t>
                      </m:r>
                    </m:sub>
                  </m:sSub>
                </m:e>
              </m:nary>
            </m:num>
            <m:den>
              <m:sSub>
                <m:sSubPr>
                  <m:ctrlPr>
                    <w:rPr>
                      <w:rFonts w:ascii="Cambria Math" w:hAnsi="Cambria Math"/>
                      <w:i/>
                    </w:rPr>
                  </m:ctrlPr>
                </m:sSubPr>
                <m:e>
                  <m:r>
                    <w:rPr>
                      <w:rFonts w:ascii="Cambria Math" w:hAnsi="Cambria Math"/>
                    </w:rPr>
                    <m:t>d</m:t>
                  </m:r>
                </m:e>
                <m:sub>
                  <m:r>
                    <w:rPr>
                      <w:rFonts w:ascii="Cambria Math" w:hAnsi="Cambria Math"/>
                    </w:rPr>
                    <m:t>j</m:t>
                  </m:r>
                </m:sub>
              </m:sSub>
            </m:den>
          </m:f>
        </m:oMath>
      </m:oMathPara>
    </w:p>
    <w:p w14:paraId="68EB3C24" w14:textId="77777777" w:rsidR="00F12512" w:rsidRPr="00DA678E" w:rsidRDefault="00F12512" w:rsidP="00F12512">
      <w:pPr>
        <w:pStyle w:val="Heading2"/>
        <w:numPr>
          <w:ilvl w:val="0"/>
          <w:numId w:val="0"/>
        </w:numPr>
        <w:tabs>
          <w:tab w:val="left" w:pos="1134"/>
        </w:tabs>
        <w:ind w:left="1996"/>
      </w:pPr>
      <m:oMathPara>
        <m:oMathParaPr>
          <m:jc m:val="left"/>
        </m:oMathParaPr>
        <m:oMath>
          <m:r>
            <w:rPr>
              <w:rFonts w:ascii="Cambria Math" w:hAnsi="Cambria Math"/>
            </w:rPr>
            <m:t>Where:</m:t>
          </m:r>
        </m:oMath>
      </m:oMathPara>
    </w:p>
    <w:p w14:paraId="236F200D" w14:textId="77777777" w:rsidR="00F12512" w:rsidRPr="00DA678E" w:rsidRDefault="008236AF" w:rsidP="00F12512">
      <w:pPr>
        <w:pStyle w:val="Heading2"/>
        <w:numPr>
          <w:ilvl w:val="0"/>
          <w:numId w:val="0"/>
        </w:numPr>
        <w:tabs>
          <w:tab w:val="left" w:pos="1134"/>
        </w:tabs>
        <w:ind w:left="1996"/>
      </w:pPr>
      <m:oMathPara>
        <m:oMathParaPr>
          <m:jc m:val="left"/>
        </m:oMathParaPr>
        <m:oMath>
          <m:sSub>
            <m:sSubPr>
              <m:ctrlPr>
                <w:rPr>
                  <w:rFonts w:ascii="Cambria Math" w:hAnsi="Cambria Math"/>
                  <w:i/>
                </w:rPr>
              </m:ctrlPr>
            </m:sSubPr>
            <m:e>
              <m:r>
                <w:rPr>
                  <w:rFonts w:ascii="Cambria Math" w:hAnsi="Cambria Math"/>
                </w:rPr>
                <m:t>C</m:t>
              </m:r>
            </m:e>
            <m:sub>
              <m:r>
                <w:rPr>
                  <w:rFonts w:ascii="Cambria Math" w:hAnsi="Cambria Math"/>
                </w:rPr>
                <m:t>it</m:t>
              </m:r>
            </m:sub>
          </m:sSub>
          <m:r>
            <w:rPr>
              <w:rFonts w:ascii="Cambria Math" w:hAnsi="Cambria Math"/>
            </w:rPr>
            <m:t>=connectivity of place i, in year t</m:t>
          </m:r>
        </m:oMath>
      </m:oMathPara>
    </w:p>
    <w:p w14:paraId="792D4692" w14:textId="77777777" w:rsidR="00F12512" w:rsidRPr="00DA678E" w:rsidRDefault="00F12512" w:rsidP="00F12512">
      <w:pPr>
        <w:pStyle w:val="Heading2"/>
        <w:numPr>
          <w:ilvl w:val="0"/>
          <w:numId w:val="0"/>
        </w:numPr>
        <w:tabs>
          <w:tab w:val="left" w:pos="1134"/>
        </w:tabs>
        <w:ind w:left="1996"/>
      </w:pPr>
      <m:oMathPara>
        <m:oMathParaPr>
          <m:jc m:val="left"/>
        </m:oMathParaPr>
        <m:oMath>
          <m:r>
            <w:rPr>
              <w:rFonts w:ascii="Cambria Math" w:hAnsi="Cambria Math"/>
            </w:rPr>
            <m:t>i=origin</m:t>
          </m:r>
        </m:oMath>
      </m:oMathPara>
    </w:p>
    <w:p w14:paraId="58F9438D" w14:textId="77777777" w:rsidR="00F12512" w:rsidRPr="00C13365" w:rsidRDefault="00F12512" w:rsidP="00F12512">
      <w:pPr>
        <w:pStyle w:val="Heading2"/>
        <w:numPr>
          <w:ilvl w:val="0"/>
          <w:numId w:val="0"/>
        </w:numPr>
        <w:tabs>
          <w:tab w:val="left" w:pos="1134"/>
        </w:tabs>
        <w:ind w:left="1996"/>
      </w:pPr>
      <m:oMathPara>
        <m:oMathParaPr>
          <m:jc m:val="left"/>
        </m:oMathParaPr>
        <m:oMath>
          <m:r>
            <w:rPr>
              <w:rFonts w:ascii="Cambria Math" w:hAnsi="Cambria Math"/>
            </w:rPr>
            <m:t>j=destination</m:t>
          </m:r>
        </m:oMath>
      </m:oMathPara>
    </w:p>
    <w:p w14:paraId="6DA16371" w14:textId="77777777" w:rsidR="00F12512" w:rsidRPr="00DA678E" w:rsidRDefault="008236AF" w:rsidP="00F12512">
      <w:pPr>
        <w:pStyle w:val="Heading2"/>
        <w:numPr>
          <w:ilvl w:val="0"/>
          <w:numId w:val="0"/>
        </w:numPr>
        <w:tabs>
          <w:tab w:val="left" w:pos="1134"/>
        </w:tabs>
        <w:ind w:left="1996"/>
      </w:pPr>
      <m:oMathPara>
        <m:oMathParaPr>
          <m:jc m:val="left"/>
        </m:oMathParaPr>
        <m:oMath>
          <m:sSub>
            <m:sSubPr>
              <m:ctrlPr>
                <w:rPr>
                  <w:rFonts w:ascii="Cambria Math" w:hAnsi="Cambria Math"/>
                  <w:i/>
                </w:rPr>
              </m:ctrlPr>
            </m:sSubPr>
            <m:e>
              <m:r>
                <w:rPr>
                  <w:rFonts w:ascii="Cambria Math" w:hAnsi="Cambria Math"/>
                </w:rPr>
                <m:t>M</m:t>
              </m:r>
            </m:e>
            <m:sub>
              <m:r>
                <w:rPr>
                  <w:rFonts w:ascii="Cambria Math" w:hAnsi="Cambria Math"/>
                </w:rPr>
                <m:t>jt</m:t>
              </m:r>
            </m:sub>
          </m:sSub>
          <m:r>
            <w:rPr>
              <w:rFonts w:ascii="Cambria Math" w:hAnsi="Cambria Math"/>
            </w:rPr>
            <m:t>=share of demand in place j, in year t</m:t>
          </m:r>
        </m:oMath>
      </m:oMathPara>
    </w:p>
    <w:p w14:paraId="6370E37B" w14:textId="77777777" w:rsidR="00F12512" w:rsidRPr="00DA678E" w:rsidRDefault="008236AF" w:rsidP="00F12512">
      <w:pPr>
        <w:pStyle w:val="Heading2"/>
        <w:numPr>
          <w:ilvl w:val="0"/>
          <w:numId w:val="0"/>
        </w:numPr>
        <w:tabs>
          <w:tab w:val="left" w:pos="1134"/>
        </w:tabs>
        <w:ind w:left="1996"/>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jt</m:t>
              </m:r>
            </m:sub>
          </m:sSub>
          <m:r>
            <w:rPr>
              <w:rFonts w:ascii="Cambria Math" w:hAnsi="Cambria Math"/>
            </w:rPr>
            <m:t>=travel time between i and j, in year t</m:t>
          </m:r>
        </m:oMath>
      </m:oMathPara>
    </w:p>
    <w:p w14:paraId="7CD3C237" w14:textId="77777777" w:rsidR="00F12512" w:rsidRPr="00C13365" w:rsidRDefault="008236AF" w:rsidP="00F12512">
      <w:pPr>
        <w:pStyle w:val="Heading2"/>
        <w:numPr>
          <w:ilvl w:val="0"/>
          <w:numId w:val="0"/>
        </w:numPr>
        <w:tabs>
          <w:tab w:val="left" w:pos="1134"/>
        </w:tabs>
        <w:ind w:left="1996"/>
      </w:pPr>
      <m:oMathPara>
        <m:oMathParaPr>
          <m:jc m:val="left"/>
        </m:oMathParaPr>
        <m:oMath>
          <m:sSub>
            <m:sSubPr>
              <m:ctrlPr>
                <w:rPr>
                  <w:rFonts w:ascii="Cambria Math" w:hAnsi="Cambria Math"/>
                  <w:i/>
                </w:rPr>
              </m:ctrlPr>
            </m:sSubPr>
            <m:e>
              <m:r>
                <w:rPr>
                  <w:rFonts w:ascii="Cambria Math" w:hAnsi="Cambria Math"/>
                </w:rPr>
                <m:t>d</m:t>
              </m:r>
            </m:e>
            <m:sub>
              <m:r>
                <w:rPr>
                  <w:rFonts w:ascii="Cambria Math" w:hAnsi="Cambria Math"/>
                </w:rPr>
                <m:t>j</m:t>
              </m:r>
            </m:sub>
          </m:sSub>
          <m:r>
            <w:rPr>
              <w:rFonts w:ascii="Cambria Math" w:hAnsi="Cambria Math"/>
            </w:rPr>
            <m:t>=crow flies distance bretween i and j</m:t>
          </m:r>
        </m:oMath>
      </m:oMathPara>
    </w:p>
    <w:p w14:paraId="62CEC4B2" w14:textId="68D51292" w:rsidR="00F12512" w:rsidRDefault="009E0958" w:rsidP="00F12512">
      <w:pPr>
        <w:pStyle w:val="Heading2"/>
        <w:tabs>
          <w:tab w:val="clear" w:pos="720"/>
          <w:tab w:val="left" w:pos="1134"/>
        </w:tabs>
        <w:ind w:left="576" w:hanging="576"/>
      </w:pPr>
      <w:r>
        <w:t>T</w:t>
      </w:r>
      <w:r w:rsidR="00F12512" w:rsidRPr="00C13365">
        <w:t xml:space="preserve">he </w:t>
      </w:r>
      <w:r w:rsidR="00F12512">
        <w:t>Supplier</w:t>
      </w:r>
      <w:r w:rsidR="00F12512" w:rsidRPr="00C13365">
        <w:t xml:space="preserve"> </w:t>
      </w:r>
      <w:r>
        <w:t>must</w:t>
      </w:r>
      <w:r w:rsidR="00F12512" w:rsidRPr="00C13365">
        <w:t xml:space="preserve"> construct all metrics based on a s</w:t>
      </w:r>
      <w:r w:rsidR="00F12512">
        <w:t>ound theoretical justification, and t</w:t>
      </w:r>
      <w:r w:rsidR="00F12512" w:rsidRPr="00C13365">
        <w:t xml:space="preserve">here is therefore scope for the </w:t>
      </w:r>
      <w:r>
        <w:t>Supplier</w:t>
      </w:r>
      <w:r w:rsidR="00F12512" w:rsidRPr="00C13365">
        <w:t xml:space="preserve"> to suggest different constructs for the me</w:t>
      </w:r>
      <w:r w:rsidR="00F12512">
        <w:t>trics than those proposed above. T</w:t>
      </w:r>
      <w:r w:rsidR="00F12512" w:rsidRPr="00C13365">
        <w:t xml:space="preserve">he formula used </w:t>
      </w:r>
      <w:r w:rsidR="006863E7">
        <w:t>must</w:t>
      </w:r>
      <w:r w:rsidR="00F12512" w:rsidRPr="00C13365">
        <w:t xml:space="preserve"> be agreed between the Authority and the </w:t>
      </w:r>
      <w:r w:rsidR="006863E7">
        <w:t>Supplier</w:t>
      </w:r>
      <w:r w:rsidR="00F12512" w:rsidRPr="00C13365">
        <w:t>.</w:t>
      </w:r>
    </w:p>
    <w:p w14:paraId="315CBF4D" w14:textId="77777777" w:rsidR="00F12512" w:rsidRDefault="00F12512" w:rsidP="00F12512">
      <w:pPr>
        <w:pStyle w:val="Heading2"/>
        <w:tabs>
          <w:tab w:val="clear" w:pos="720"/>
          <w:tab w:val="left" w:pos="1134"/>
        </w:tabs>
        <w:ind w:left="576" w:hanging="576"/>
      </w:pPr>
      <w:r>
        <w:t>The Authority would like the connectivity indicator to be constructed at three levels:</w:t>
      </w:r>
    </w:p>
    <w:p w14:paraId="4E23B042" w14:textId="2B087A7C" w:rsidR="00F12512" w:rsidRDefault="00F12512" w:rsidP="00F12512">
      <w:pPr>
        <w:pStyle w:val="ListParagraph"/>
        <w:numPr>
          <w:ilvl w:val="2"/>
          <w:numId w:val="45"/>
        </w:numPr>
        <w:tabs>
          <w:tab w:val="left" w:pos="1134"/>
        </w:tabs>
      </w:pPr>
      <w:r w:rsidRPr="00F12512">
        <w:rPr>
          <w:b/>
        </w:rPr>
        <w:t>Within cities</w:t>
      </w:r>
      <w:r>
        <w:t xml:space="preserve"> – this should provide a single connectivity index for each city in Great Britain, as measured by the speed of travel by road or rail between each point in the city and its centre, weighted by demand in each point. </w:t>
      </w:r>
      <w:r w:rsidRPr="00F12512">
        <w:rPr>
          <w:rFonts w:eastAsia="STZhongsong"/>
          <w:szCs w:val="20"/>
        </w:rPr>
        <w:t xml:space="preserve">The unit of analysis corresponding to cities should Primary Urban Area (PUA), as per the Centre for Cities’ definition, which includes 156 cities. The </w:t>
      </w:r>
      <w:r w:rsidR="006863E7">
        <w:rPr>
          <w:rFonts w:eastAsia="STZhongsong"/>
          <w:szCs w:val="20"/>
        </w:rPr>
        <w:t>Supplier must</w:t>
      </w:r>
      <w:r w:rsidRPr="00F12512">
        <w:rPr>
          <w:rFonts w:eastAsia="STZhongsong"/>
          <w:szCs w:val="20"/>
        </w:rPr>
        <w:t xml:space="preserve"> recommend a definition for the centre of each city.</w:t>
      </w:r>
    </w:p>
    <w:p w14:paraId="4A2DB229" w14:textId="77777777" w:rsidR="00F12512" w:rsidRPr="00FA357C" w:rsidRDefault="00F12512" w:rsidP="00F12512">
      <w:pPr>
        <w:pStyle w:val="ListParagraph"/>
        <w:tabs>
          <w:tab w:val="left" w:pos="1134"/>
        </w:tabs>
        <w:ind w:left="3240"/>
      </w:pPr>
    </w:p>
    <w:p w14:paraId="5618B518" w14:textId="756EB3C3" w:rsidR="00F12512" w:rsidRDefault="00F12512" w:rsidP="00F12512">
      <w:pPr>
        <w:pStyle w:val="Heading2"/>
        <w:numPr>
          <w:ilvl w:val="2"/>
          <w:numId w:val="45"/>
        </w:numPr>
        <w:tabs>
          <w:tab w:val="left" w:pos="1134"/>
        </w:tabs>
      </w:pPr>
      <w:r w:rsidRPr="00B03462">
        <w:rPr>
          <w:b/>
        </w:rPr>
        <w:t>Between cities and other locations</w:t>
      </w:r>
      <w:r>
        <w:t xml:space="preserve"> – this should indicate the speed of travel by road or rail from each place in Great Britain, and all other places, weighted by demand in the destination places. There should be a single connectivity index for each place. The </w:t>
      </w:r>
      <w:r w:rsidR="006863E7">
        <w:t>Supplier must</w:t>
      </w:r>
      <w:r>
        <w:t xml:space="preserve"> recommend the unit of analysis which allows for the inclusion of all the cities in Great Britain, but also large towns etc.</w:t>
      </w:r>
    </w:p>
    <w:p w14:paraId="0CE850A2" w14:textId="377B8AC4" w:rsidR="00F12512" w:rsidRDefault="00F12512" w:rsidP="00F12512">
      <w:pPr>
        <w:pStyle w:val="Heading2"/>
        <w:numPr>
          <w:ilvl w:val="2"/>
          <w:numId w:val="45"/>
        </w:numPr>
        <w:tabs>
          <w:tab w:val="left" w:pos="1134"/>
        </w:tabs>
      </w:pPr>
      <w:r w:rsidRPr="00B03462">
        <w:rPr>
          <w:b/>
        </w:rPr>
        <w:t>Between cities and international destinations</w:t>
      </w:r>
      <w:r>
        <w:t xml:space="preserve"> – this should indicate the speed of travel between each city in Great Britain and cities in the rest of the world, weighted by demand in the international destinations. The </w:t>
      </w:r>
      <w:r w:rsidR="006863E7">
        <w:t>Supplier must</w:t>
      </w:r>
      <w:r>
        <w:t xml:space="preserve"> suggest the international destinations and modes of travel which should be included in this metric.  Please note that for Level 3 the Authority only require a concept of the suggested indicator and how this would be allocated.</w:t>
      </w:r>
    </w:p>
    <w:p w14:paraId="476A1471" w14:textId="77777777" w:rsidR="00F12512" w:rsidRPr="00833514" w:rsidRDefault="00F12512" w:rsidP="00F12512">
      <w:pPr>
        <w:pStyle w:val="Heading2"/>
        <w:tabs>
          <w:tab w:val="clear" w:pos="720"/>
          <w:tab w:val="left" w:pos="1134"/>
        </w:tabs>
        <w:ind w:left="576" w:hanging="576"/>
      </w:pPr>
      <w:r>
        <w:t xml:space="preserve">The metric should be provided for connectivity across modes (i.e. fastest time between two points by </w:t>
      </w:r>
      <w:r w:rsidRPr="004D1545">
        <w:rPr>
          <w:b/>
        </w:rPr>
        <w:t>either road or rail</w:t>
      </w:r>
      <w:r>
        <w:t>) and broken down by mode (i.e. fastest time between two points by road; fastest time between two points by rail).</w:t>
      </w:r>
    </w:p>
    <w:p w14:paraId="4B9F18BA" w14:textId="2F6B1A29" w:rsidR="00F12512" w:rsidRPr="00DA678E" w:rsidRDefault="00F12512" w:rsidP="00F12512">
      <w:pPr>
        <w:pStyle w:val="Heading2"/>
        <w:tabs>
          <w:tab w:val="clear" w:pos="720"/>
          <w:tab w:val="left" w:pos="1134"/>
        </w:tabs>
        <w:ind w:left="576" w:hanging="576"/>
      </w:pPr>
      <w:r>
        <w:t xml:space="preserve">The </w:t>
      </w:r>
      <w:r w:rsidR="006863E7">
        <w:t>Supplier must</w:t>
      </w:r>
      <w:r>
        <w:t xml:space="preserve"> construct all three metrics, based on a sound theoretical framework.  The </w:t>
      </w:r>
      <w:r w:rsidR="006863E7">
        <w:t>Supplier must</w:t>
      </w:r>
      <w:r w:rsidRPr="00DA678E">
        <w:t xml:space="preserve"> calculate</w:t>
      </w:r>
      <w:r w:rsidRPr="004D1545">
        <w:t xml:space="preserve"> current connectivity within cities (metric 1) and between cities and other locations (metric 2). The </w:t>
      </w:r>
      <w:r w:rsidR="006863E7">
        <w:t>Supplier</w:t>
      </w:r>
      <w:r w:rsidRPr="004D1545">
        <w:t xml:space="preserve"> is not </w:t>
      </w:r>
      <w:r w:rsidR="006863E7">
        <w:t>required</w:t>
      </w:r>
      <w:r w:rsidRPr="004D1545">
        <w:t xml:space="preserve"> to calculate international connectivity (metric 3).</w:t>
      </w:r>
    </w:p>
    <w:p w14:paraId="31848411" w14:textId="6754A6F3" w:rsidR="00F12512" w:rsidRPr="004D1545" w:rsidRDefault="00F12512" w:rsidP="00F12512">
      <w:pPr>
        <w:pStyle w:val="Heading2"/>
        <w:tabs>
          <w:tab w:val="clear" w:pos="720"/>
          <w:tab w:val="left" w:pos="1134"/>
        </w:tabs>
        <w:ind w:left="576" w:hanging="576"/>
      </w:pPr>
      <w:r w:rsidRPr="004D1545">
        <w:t xml:space="preserve">The </w:t>
      </w:r>
      <w:r w:rsidR="006863E7">
        <w:t xml:space="preserve">Supplier must provide </w:t>
      </w:r>
      <w:r w:rsidRPr="004D1545">
        <w:t>a version based on peak time and another based on free flow conditions to understand the impact of capacity pressures on the network at peak times. An analysis of the variance in travel connectivity at a given time is expected to provide interesting insights into travel reliability and congestion.</w:t>
      </w:r>
    </w:p>
    <w:p w14:paraId="43CB5A9D" w14:textId="7EF7C8ED" w:rsidR="00F12512" w:rsidRPr="004D1545" w:rsidRDefault="00F12512" w:rsidP="00F12512">
      <w:pPr>
        <w:pStyle w:val="Heading2"/>
        <w:tabs>
          <w:tab w:val="clear" w:pos="720"/>
          <w:tab w:val="left" w:pos="1134"/>
        </w:tabs>
        <w:ind w:left="576" w:hanging="576"/>
      </w:pPr>
      <w:r w:rsidRPr="004D1545">
        <w:t xml:space="preserve">The dataset used to construct the indicators will be agreed on between the </w:t>
      </w:r>
      <w:r w:rsidR="006863E7">
        <w:t>Supplier</w:t>
      </w:r>
      <w:r w:rsidRPr="004D1545">
        <w:t xml:space="preserve"> and the Authority. If the </w:t>
      </w:r>
      <w:r w:rsidR="006863E7">
        <w:t>Supplier</w:t>
      </w:r>
      <w:r w:rsidRPr="004D1545">
        <w:t xml:space="preserve"> already has access to data on journey times for motorised road and rail trips this may be used, if not the Authority will ensure that the </w:t>
      </w:r>
      <w:r w:rsidR="006863E7">
        <w:t xml:space="preserve">Supplier </w:t>
      </w:r>
      <w:r w:rsidRPr="004D1545">
        <w:t xml:space="preserve">can </w:t>
      </w:r>
      <w:r w:rsidR="006863E7">
        <w:t>obtain</w:t>
      </w:r>
      <w:r w:rsidRPr="004D1545">
        <w:t xml:space="preserve"> access to the data.</w:t>
      </w:r>
    </w:p>
    <w:p w14:paraId="6B601C17" w14:textId="77777777" w:rsidR="00F12512" w:rsidRPr="00B95757" w:rsidRDefault="00F12512" w:rsidP="00F12512">
      <w:pPr>
        <w:pStyle w:val="Heading2"/>
        <w:tabs>
          <w:tab w:val="clear" w:pos="720"/>
          <w:tab w:val="left" w:pos="1134"/>
        </w:tabs>
        <w:ind w:left="576" w:hanging="576"/>
      </w:pPr>
      <w:r w:rsidRPr="00DA678E">
        <w:t xml:space="preserve">All assumptions made must be clearly stated and agreed upon </w:t>
      </w:r>
      <w:r w:rsidRPr="00B95757">
        <w:t>by the Authority.</w:t>
      </w:r>
    </w:p>
    <w:p w14:paraId="2B50B715" w14:textId="77777777" w:rsidR="00F12512" w:rsidRPr="004757BC" w:rsidRDefault="00F12512" w:rsidP="00F12512">
      <w:pPr>
        <w:pStyle w:val="Heading1"/>
        <w:tabs>
          <w:tab w:val="clear" w:pos="720"/>
          <w:tab w:val="left" w:pos="1134"/>
        </w:tabs>
        <w:spacing w:after="120"/>
        <w:ind w:left="432" w:hanging="432"/>
      </w:pPr>
      <w:bookmarkStart w:id="111" w:name="_Toc368573031"/>
      <w:bookmarkStart w:id="112" w:name="_Toc500940798"/>
      <w:r w:rsidRPr="004757BC">
        <w:t>The requirement</w:t>
      </w:r>
      <w:bookmarkEnd w:id="111"/>
      <w:bookmarkEnd w:id="112"/>
    </w:p>
    <w:p w14:paraId="528C69C2" w14:textId="0A6676ED" w:rsidR="00F12512" w:rsidRDefault="00F12512" w:rsidP="00F12512">
      <w:pPr>
        <w:pStyle w:val="Heading2"/>
        <w:tabs>
          <w:tab w:val="clear" w:pos="720"/>
          <w:tab w:val="left" w:pos="1134"/>
        </w:tabs>
        <w:ind w:left="576" w:hanging="576"/>
      </w:pPr>
      <w:r w:rsidRPr="00B95757">
        <w:t xml:space="preserve">The key outputs are </w:t>
      </w:r>
      <w:r w:rsidRPr="00DB2D5E">
        <w:t>transport connectivity</w:t>
      </w:r>
      <w:r>
        <w:t xml:space="preserve"> </w:t>
      </w:r>
      <w:r w:rsidRPr="00DB2D5E">
        <w:t xml:space="preserve">indicators which can be </w:t>
      </w:r>
      <w:r>
        <w:t>used to assess</w:t>
      </w:r>
      <w:r w:rsidRPr="00DB2D5E">
        <w:t xml:space="preserve"> the performance of the </w:t>
      </w:r>
      <w:r>
        <w:t xml:space="preserve">UK’s transport networks. The outputs </w:t>
      </w:r>
      <w:r w:rsidR="006863E7">
        <w:t>must</w:t>
      </w:r>
      <w:r>
        <w:t xml:space="preserve"> include:</w:t>
      </w:r>
    </w:p>
    <w:p w14:paraId="6FC21C1A" w14:textId="110AB385" w:rsidR="00F12512" w:rsidRDefault="00F12512" w:rsidP="00F12512">
      <w:pPr>
        <w:pStyle w:val="Heading4"/>
        <w:tabs>
          <w:tab w:val="clear" w:pos="2880"/>
          <w:tab w:val="left" w:pos="1134"/>
        </w:tabs>
        <w:ind w:left="2127" w:hanging="864"/>
      </w:pPr>
      <w:r>
        <w:t>D</w:t>
      </w:r>
      <w:r w:rsidRPr="00DB2D5E">
        <w:t xml:space="preserve">escriptive analysis of the </w:t>
      </w:r>
      <w:r>
        <w:t>three connectivity indicators produced, how they were calculated</w:t>
      </w:r>
      <w:r w:rsidRPr="00DB2D5E">
        <w:t xml:space="preserve"> </w:t>
      </w:r>
      <w:r>
        <w:t>and their theoretical justification; summarised in a report</w:t>
      </w:r>
      <w:r w:rsidRPr="00DB2D5E">
        <w:t xml:space="preserve"> which is of publishable standard.</w:t>
      </w:r>
      <w:r>
        <w:t xml:space="preserve"> This </w:t>
      </w:r>
      <w:r w:rsidR="006863E7">
        <w:t>must</w:t>
      </w:r>
      <w:r>
        <w:t xml:space="preserve"> include a summary of any assumptions and limitations of the analysis undertaken for all </w:t>
      </w:r>
      <w:r w:rsidR="006863E7">
        <w:t>Levels detailed within Section 1</w:t>
      </w:r>
      <w:r>
        <w:t>.6 above;</w:t>
      </w:r>
    </w:p>
    <w:p w14:paraId="04BD0F7B" w14:textId="38B0102E" w:rsidR="00F12512" w:rsidRDefault="00F12512" w:rsidP="00F12512">
      <w:pPr>
        <w:pStyle w:val="Heading4"/>
        <w:tabs>
          <w:tab w:val="clear" w:pos="2880"/>
          <w:tab w:val="left" w:pos="1134"/>
        </w:tabs>
        <w:ind w:left="2127" w:hanging="864"/>
      </w:pPr>
      <w:r>
        <w:t xml:space="preserve">Analysis of current (and historic, </w:t>
      </w:r>
      <w:r w:rsidR="006863E7">
        <w:t>where</w:t>
      </w:r>
      <w:r>
        <w:t xml:space="preserve"> possible) connectivity within Great Britain’s cities (as per the PUA definition)</w:t>
      </w:r>
      <w:r w:rsidR="006863E7">
        <w:t xml:space="preserve">, </w:t>
      </w:r>
      <w:r>
        <w:t xml:space="preserve">between cities and other locations. This </w:t>
      </w:r>
      <w:r w:rsidR="006863E7">
        <w:t xml:space="preserve">must </w:t>
      </w:r>
      <w:r>
        <w:t>include a summary of key findings and data in spreadsheet format.</w:t>
      </w:r>
    </w:p>
    <w:p w14:paraId="640782E0" w14:textId="513B6DD9" w:rsidR="00F12512" w:rsidRPr="001C2769" w:rsidRDefault="00F12512" w:rsidP="00F12512">
      <w:pPr>
        <w:pStyle w:val="Heading2"/>
        <w:tabs>
          <w:tab w:val="clear" w:pos="720"/>
          <w:tab w:val="left" w:pos="1134"/>
        </w:tabs>
        <w:ind w:left="576" w:hanging="576"/>
      </w:pPr>
      <w:r w:rsidRPr="001C2769">
        <w:t>First drafts of these products must be delivered no later than 27</w:t>
      </w:r>
      <w:r w:rsidRPr="00B856F3">
        <w:rPr>
          <w:vertAlign w:val="superscript"/>
        </w:rPr>
        <w:t>th</w:t>
      </w:r>
      <w:r w:rsidRPr="001C2769">
        <w:t xml:space="preserve"> March 2018 to ensure that the findings of the report can be used to inform the</w:t>
      </w:r>
      <w:r w:rsidR="00462879">
        <w:t xml:space="preserve"> National Infrastructure Assessment</w:t>
      </w:r>
      <w:r w:rsidRPr="001C2769">
        <w:t xml:space="preserve"> </w:t>
      </w:r>
      <w:r w:rsidR="00462879">
        <w:t>(</w:t>
      </w:r>
      <w:r w:rsidRPr="001C2769">
        <w:t>NIA</w:t>
      </w:r>
      <w:r w:rsidR="00462879">
        <w:t>)</w:t>
      </w:r>
      <w:r w:rsidRPr="001C2769">
        <w:t>. Delivery will be staggered, with initial high level outputs being supplied to the Authority by 27</w:t>
      </w:r>
      <w:r w:rsidRPr="001C2769">
        <w:rPr>
          <w:vertAlign w:val="superscript"/>
        </w:rPr>
        <w:t>th</w:t>
      </w:r>
      <w:r w:rsidRPr="001C2769">
        <w:t xml:space="preserve"> February with 24</w:t>
      </w:r>
      <w:r w:rsidRPr="001C2769">
        <w:rPr>
          <w:vertAlign w:val="superscript"/>
        </w:rPr>
        <w:t>th</w:t>
      </w:r>
      <w:r w:rsidRPr="001C2769">
        <w:t xml:space="preserve"> April an absolute deadline for all products. The </w:t>
      </w:r>
      <w:r w:rsidR="006863E7">
        <w:t xml:space="preserve">Supplier </w:t>
      </w:r>
      <w:r w:rsidRPr="001C2769">
        <w:t>must therefore ensure that, following feedback and comments by the Authority of the first draft interim findings a second draft findings can be provided by 13</w:t>
      </w:r>
      <w:r w:rsidRPr="001C2769">
        <w:rPr>
          <w:vertAlign w:val="superscript"/>
        </w:rPr>
        <w:t>th</w:t>
      </w:r>
      <w:r w:rsidRPr="001C2769">
        <w:t xml:space="preserve"> March 2018.</w:t>
      </w:r>
    </w:p>
    <w:p w14:paraId="0F34B720" w14:textId="2E3969A5" w:rsidR="00F12512" w:rsidRPr="00B95757" w:rsidRDefault="00F12512" w:rsidP="00F12512">
      <w:pPr>
        <w:pStyle w:val="Heading2"/>
        <w:tabs>
          <w:tab w:val="clear" w:pos="720"/>
          <w:tab w:val="left" w:pos="1134"/>
        </w:tabs>
        <w:ind w:left="576" w:hanging="576"/>
      </w:pPr>
      <w:r w:rsidRPr="00B95757">
        <w:t xml:space="preserve">At the start of the project the Authority expects to hold an inception/scoping meeting with the </w:t>
      </w:r>
      <w:r>
        <w:t>Supplier</w:t>
      </w:r>
      <w:r w:rsidRPr="00B95757">
        <w:t xml:space="preserve">. Following this meeting a short inception report </w:t>
      </w:r>
      <w:r w:rsidR="0090085E">
        <w:t>must</w:t>
      </w:r>
      <w:r w:rsidRPr="00B95757">
        <w:t xml:space="preserve"> be provided by the </w:t>
      </w:r>
      <w:r>
        <w:t>Supplier</w:t>
      </w:r>
      <w:r w:rsidRPr="00B95757">
        <w:t xml:space="preserve"> which clarifies the approach to be taken, along with a </w:t>
      </w:r>
      <w:r>
        <w:t xml:space="preserve">succinct </w:t>
      </w:r>
      <w:r w:rsidRPr="00B95757">
        <w:t>plan setting out key milestones and dates for deliverables</w:t>
      </w:r>
      <w:r>
        <w:t xml:space="preserve">. </w:t>
      </w:r>
      <w:r w:rsidRPr="00B95757">
        <w:t xml:space="preserve">The Authority and </w:t>
      </w:r>
      <w:r>
        <w:t>Supplier</w:t>
      </w:r>
      <w:r w:rsidRPr="00B95757">
        <w:t xml:space="preserve"> </w:t>
      </w:r>
      <w:r>
        <w:t>must</w:t>
      </w:r>
      <w:r w:rsidRPr="00B95757">
        <w:t xml:space="preserve"> agree on this inception report before proceeding to carry out the analysis. The Authority expects to work closely with the </w:t>
      </w:r>
      <w:r>
        <w:t>Supplier</w:t>
      </w:r>
      <w:r w:rsidRPr="000C4A85">
        <w:t xml:space="preserve">, </w:t>
      </w:r>
      <w:r>
        <w:t>including through fortnightly</w:t>
      </w:r>
      <w:r w:rsidRPr="000C4A85">
        <w:t xml:space="preserve"> meetings or phone calls.</w:t>
      </w:r>
    </w:p>
    <w:p w14:paraId="746201BE" w14:textId="77777777" w:rsidR="00F12512" w:rsidRPr="00B95757" w:rsidRDefault="00F12512" w:rsidP="00F12512">
      <w:pPr>
        <w:pStyle w:val="Heading2"/>
        <w:tabs>
          <w:tab w:val="clear" w:pos="720"/>
          <w:tab w:val="left" w:pos="1134"/>
        </w:tabs>
        <w:ind w:left="576" w:hanging="576"/>
      </w:pPr>
      <w:r w:rsidRPr="00B95757">
        <w:t xml:space="preserve">The </w:t>
      </w:r>
      <w:r>
        <w:t xml:space="preserve">Supplier </w:t>
      </w:r>
      <w:r w:rsidRPr="00B95757">
        <w:t xml:space="preserve">will present the report to technical and non-technical members of the Authority in a clear and concise fashion. The purpose </w:t>
      </w:r>
      <w:r>
        <w:t xml:space="preserve">of this is to </w:t>
      </w:r>
      <w:r w:rsidRPr="00B95757">
        <w:t xml:space="preserve">set out the key findings from the report, and the </w:t>
      </w:r>
      <w:r>
        <w:t>main</w:t>
      </w:r>
      <w:r w:rsidRPr="00B95757">
        <w:t xml:space="preserve"> assumptions, results and caveats to ensure these are fully understood by Commissioner</w:t>
      </w:r>
      <w:r>
        <w:t>s</w:t>
      </w:r>
      <w:r w:rsidRPr="00B95757">
        <w:t>.</w:t>
      </w:r>
      <w:r>
        <w:t xml:space="preserve"> The Supplier must also present the second draft of the interim findings and the first draft of the report to a roundtable of external experts, set up by the Authority, for peer review and quality assurance.</w:t>
      </w:r>
    </w:p>
    <w:p w14:paraId="6EE9BBEC" w14:textId="5D3E0348" w:rsidR="00F12512" w:rsidRPr="00B95757" w:rsidRDefault="00F12512" w:rsidP="00F12512">
      <w:pPr>
        <w:pStyle w:val="Heading2"/>
        <w:tabs>
          <w:tab w:val="clear" w:pos="720"/>
          <w:tab w:val="left" w:pos="1134"/>
        </w:tabs>
        <w:ind w:left="576" w:hanging="576"/>
      </w:pPr>
      <w:r w:rsidRPr="00B95757">
        <w:t xml:space="preserve">The </w:t>
      </w:r>
      <w:r>
        <w:t>Supplier</w:t>
      </w:r>
      <w:r w:rsidRPr="00B95757">
        <w:t xml:space="preserve"> must submit a final report detailing analysis, findings and comments in </w:t>
      </w:r>
      <w:r>
        <w:t xml:space="preserve">a </w:t>
      </w:r>
      <w:r w:rsidRPr="00B95757">
        <w:t xml:space="preserve">clear and concise fashion – this </w:t>
      </w:r>
      <w:r w:rsidR="0090085E">
        <w:t>must</w:t>
      </w:r>
      <w:r w:rsidRPr="00B95757">
        <w:t xml:space="preserve"> reflect any inputs/requests made by the Authority during the production phase</w:t>
      </w:r>
      <w:r>
        <w:t xml:space="preserve"> and comments from the expert roundtable</w:t>
      </w:r>
      <w:r w:rsidRPr="00B95757">
        <w:t xml:space="preserve">. This </w:t>
      </w:r>
      <w:r w:rsidR="0090085E">
        <w:t>must</w:t>
      </w:r>
      <w:r w:rsidRPr="00B95757">
        <w:t xml:space="preserve"> include</w:t>
      </w:r>
      <w:r>
        <w:t xml:space="preserve"> the points outlined in paragraph </w:t>
      </w:r>
      <w:r w:rsidR="0090085E">
        <w:t>2</w:t>
      </w:r>
      <w:r>
        <w:t>.1.</w:t>
      </w:r>
    </w:p>
    <w:p w14:paraId="17DB4E23" w14:textId="77777777" w:rsidR="00F12512" w:rsidRPr="00B95757" w:rsidRDefault="00F12512" w:rsidP="00F12512">
      <w:pPr>
        <w:pStyle w:val="Heading2"/>
        <w:tabs>
          <w:tab w:val="clear" w:pos="720"/>
          <w:tab w:val="left" w:pos="1134"/>
        </w:tabs>
        <w:ind w:left="576" w:hanging="576"/>
      </w:pPr>
      <w:r w:rsidRPr="00B95757">
        <w:t>The Authority intends to publish the final report and associated documents, as well as the relevant findings in spreadsheet format.</w:t>
      </w:r>
    </w:p>
    <w:p w14:paraId="0991652A" w14:textId="77777777" w:rsidR="00F12512" w:rsidRPr="00297858" w:rsidRDefault="00F12512" w:rsidP="00F12512">
      <w:pPr>
        <w:pStyle w:val="Heading1"/>
        <w:tabs>
          <w:tab w:val="clear" w:pos="720"/>
          <w:tab w:val="left" w:pos="1134"/>
        </w:tabs>
        <w:spacing w:after="120"/>
        <w:ind w:left="432" w:hanging="432"/>
      </w:pPr>
      <w:bookmarkStart w:id="113" w:name="_Toc368573032"/>
      <w:bookmarkStart w:id="114" w:name="_Toc500940799"/>
      <w:r>
        <w:t>key milestones</w:t>
      </w:r>
      <w:bookmarkEnd w:id="113"/>
      <w:bookmarkEnd w:id="114"/>
    </w:p>
    <w:p w14:paraId="29E2BEC2" w14:textId="737042F6" w:rsidR="00F12512" w:rsidRPr="00B95757" w:rsidRDefault="00F12512" w:rsidP="00F12512">
      <w:pPr>
        <w:pStyle w:val="Heading2"/>
        <w:tabs>
          <w:tab w:val="clear" w:pos="720"/>
          <w:tab w:val="left" w:pos="1134"/>
        </w:tabs>
        <w:ind w:left="576" w:hanging="576"/>
      </w:pPr>
      <w:r w:rsidRPr="00B95757">
        <w:t xml:space="preserve">The </w:t>
      </w:r>
      <w:r w:rsidR="0090085E">
        <w:t>Supplier must</w:t>
      </w:r>
      <w:r w:rsidRPr="00B95757">
        <w:t xml:space="preserve"> note the following project milestones that the Authority will measure the quality of delivery against:</w:t>
      </w:r>
    </w:p>
    <w:tbl>
      <w:tblPr>
        <w:tblStyle w:val="TableGrid"/>
        <w:tblW w:w="4955" w:type="pct"/>
        <w:jc w:val="center"/>
        <w:tblLayout w:type="fixed"/>
        <w:tblLook w:val="04A0" w:firstRow="1" w:lastRow="0" w:firstColumn="1" w:lastColumn="0" w:noHBand="0" w:noVBand="1"/>
      </w:tblPr>
      <w:tblGrid>
        <w:gridCol w:w="1453"/>
        <w:gridCol w:w="5523"/>
        <w:gridCol w:w="2186"/>
      </w:tblGrid>
      <w:tr w:rsidR="00F12512" w:rsidRPr="002452E8" w14:paraId="2D94889A" w14:textId="77777777" w:rsidTr="00170C4E">
        <w:trPr>
          <w:jc w:val="center"/>
        </w:trPr>
        <w:tc>
          <w:tcPr>
            <w:tcW w:w="793" w:type="pct"/>
            <w:shd w:val="clear" w:color="auto" w:fill="C6D9F1" w:themeFill="text2" w:themeFillTint="33"/>
            <w:vAlign w:val="center"/>
          </w:tcPr>
          <w:p w14:paraId="7ABCE709" w14:textId="77777777" w:rsidR="00F12512" w:rsidRPr="002452E8" w:rsidRDefault="00F12512" w:rsidP="00170C4E">
            <w:pPr>
              <w:tabs>
                <w:tab w:val="left" w:pos="1134"/>
              </w:tabs>
              <w:spacing w:after="120"/>
              <w:jc w:val="center"/>
              <w:outlineLvl w:val="2"/>
              <w:rPr>
                <w:rFonts w:eastAsia="STZhongsong"/>
                <w:b/>
              </w:rPr>
            </w:pPr>
            <w:bookmarkStart w:id="115" w:name="_Toc302637211"/>
            <w:r w:rsidRPr="002452E8">
              <w:rPr>
                <w:rFonts w:eastAsia="STZhongsong"/>
                <w:b/>
                <w:szCs w:val="20"/>
              </w:rPr>
              <w:t>Milestone</w:t>
            </w:r>
          </w:p>
        </w:tc>
        <w:tc>
          <w:tcPr>
            <w:tcW w:w="3014" w:type="pct"/>
            <w:shd w:val="clear" w:color="auto" w:fill="C6D9F1" w:themeFill="text2" w:themeFillTint="33"/>
            <w:vAlign w:val="center"/>
          </w:tcPr>
          <w:p w14:paraId="3BF84290" w14:textId="77777777" w:rsidR="00F12512" w:rsidRPr="002452E8" w:rsidRDefault="00F12512" w:rsidP="00170C4E">
            <w:pPr>
              <w:tabs>
                <w:tab w:val="left" w:pos="1134"/>
              </w:tabs>
              <w:spacing w:after="120"/>
              <w:jc w:val="center"/>
              <w:outlineLvl w:val="2"/>
              <w:rPr>
                <w:rFonts w:eastAsia="STZhongsong"/>
                <w:b/>
              </w:rPr>
            </w:pPr>
            <w:r w:rsidRPr="002452E8">
              <w:rPr>
                <w:rFonts w:eastAsia="STZhongsong"/>
                <w:b/>
                <w:szCs w:val="20"/>
              </w:rPr>
              <w:t>Description</w:t>
            </w:r>
          </w:p>
        </w:tc>
        <w:tc>
          <w:tcPr>
            <w:tcW w:w="1193" w:type="pct"/>
            <w:shd w:val="clear" w:color="auto" w:fill="C6D9F1" w:themeFill="text2" w:themeFillTint="33"/>
            <w:vAlign w:val="center"/>
          </w:tcPr>
          <w:p w14:paraId="3E1E5AF7" w14:textId="77777777" w:rsidR="00F12512" w:rsidRPr="002452E8" w:rsidRDefault="00F12512" w:rsidP="00170C4E">
            <w:pPr>
              <w:tabs>
                <w:tab w:val="left" w:pos="1134"/>
              </w:tabs>
              <w:spacing w:after="120"/>
              <w:jc w:val="center"/>
              <w:outlineLvl w:val="2"/>
              <w:rPr>
                <w:rFonts w:eastAsia="STZhongsong"/>
                <w:b/>
                <w:highlight w:val="yellow"/>
              </w:rPr>
            </w:pPr>
            <w:r w:rsidRPr="002452E8">
              <w:rPr>
                <w:rFonts w:eastAsia="STZhongsong"/>
                <w:b/>
                <w:szCs w:val="20"/>
              </w:rPr>
              <w:t>Timeframe</w:t>
            </w:r>
          </w:p>
        </w:tc>
      </w:tr>
      <w:tr w:rsidR="00F12512" w:rsidRPr="002452E8" w14:paraId="1F330594" w14:textId="77777777" w:rsidTr="00170C4E">
        <w:trPr>
          <w:jc w:val="center"/>
        </w:trPr>
        <w:tc>
          <w:tcPr>
            <w:tcW w:w="793" w:type="pct"/>
            <w:vAlign w:val="center"/>
          </w:tcPr>
          <w:p w14:paraId="364951BD" w14:textId="77777777" w:rsidR="00F12512" w:rsidRPr="002452E8" w:rsidRDefault="00F12512" w:rsidP="00170C4E">
            <w:pPr>
              <w:tabs>
                <w:tab w:val="left" w:pos="1134"/>
              </w:tabs>
              <w:spacing w:after="120"/>
              <w:jc w:val="center"/>
              <w:outlineLvl w:val="2"/>
              <w:rPr>
                <w:rFonts w:eastAsia="STZhongsong"/>
              </w:rPr>
            </w:pPr>
            <w:r w:rsidRPr="002452E8">
              <w:rPr>
                <w:rFonts w:eastAsia="STZhongsong"/>
                <w:szCs w:val="20"/>
              </w:rPr>
              <w:t>1</w:t>
            </w:r>
          </w:p>
        </w:tc>
        <w:tc>
          <w:tcPr>
            <w:tcW w:w="3014" w:type="pct"/>
            <w:vAlign w:val="center"/>
          </w:tcPr>
          <w:p w14:paraId="35D198AD" w14:textId="77777777" w:rsidR="00F12512" w:rsidRPr="002452E8" w:rsidRDefault="00F12512" w:rsidP="00170C4E">
            <w:pPr>
              <w:tabs>
                <w:tab w:val="left" w:pos="1134"/>
              </w:tabs>
              <w:spacing w:after="120"/>
              <w:jc w:val="left"/>
              <w:outlineLvl w:val="2"/>
              <w:rPr>
                <w:rFonts w:eastAsia="STZhongsong"/>
              </w:rPr>
            </w:pPr>
            <w:r w:rsidRPr="002452E8">
              <w:rPr>
                <w:rFonts w:eastAsia="STZhongsong"/>
                <w:szCs w:val="20"/>
              </w:rPr>
              <w:t>Project inception meeting</w:t>
            </w:r>
            <w:r>
              <w:rPr>
                <w:rFonts w:eastAsia="STZhongsong"/>
                <w:szCs w:val="20"/>
              </w:rPr>
              <w:t xml:space="preserve"> </w:t>
            </w:r>
            <w:r w:rsidRPr="002452E8">
              <w:rPr>
                <w:rFonts w:eastAsia="STZhongsong"/>
                <w:szCs w:val="20"/>
              </w:rPr>
              <w:t xml:space="preserve">with the </w:t>
            </w:r>
            <w:r>
              <w:rPr>
                <w:rFonts w:eastAsia="STZhongsong"/>
                <w:szCs w:val="20"/>
              </w:rPr>
              <w:t>Authority</w:t>
            </w:r>
            <w:r w:rsidRPr="002452E8">
              <w:rPr>
                <w:rFonts w:eastAsia="STZhongsong"/>
                <w:szCs w:val="20"/>
              </w:rPr>
              <w:t xml:space="preserve"> to agree deliverables and timelines</w:t>
            </w:r>
          </w:p>
        </w:tc>
        <w:tc>
          <w:tcPr>
            <w:tcW w:w="1193" w:type="pct"/>
            <w:vAlign w:val="center"/>
          </w:tcPr>
          <w:p w14:paraId="44DAF698" w14:textId="77777777" w:rsidR="00F12512" w:rsidRPr="002452E8" w:rsidRDefault="00F12512" w:rsidP="00170C4E">
            <w:pPr>
              <w:tabs>
                <w:tab w:val="left" w:pos="1134"/>
              </w:tabs>
              <w:spacing w:after="120"/>
              <w:jc w:val="center"/>
              <w:outlineLvl w:val="2"/>
              <w:rPr>
                <w:rFonts w:eastAsia="STZhongsong"/>
              </w:rPr>
            </w:pPr>
            <w:r w:rsidRPr="002452E8">
              <w:rPr>
                <w:rFonts w:eastAsia="STZhongsong"/>
                <w:szCs w:val="20"/>
              </w:rPr>
              <w:t>Within week 1 of Contract Award</w:t>
            </w:r>
          </w:p>
        </w:tc>
      </w:tr>
      <w:tr w:rsidR="00F12512" w:rsidRPr="002452E8" w14:paraId="2F9EC40C" w14:textId="77777777" w:rsidTr="00170C4E">
        <w:trPr>
          <w:jc w:val="center"/>
        </w:trPr>
        <w:tc>
          <w:tcPr>
            <w:tcW w:w="793" w:type="pct"/>
            <w:vAlign w:val="center"/>
          </w:tcPr>
          <w:p w14:paraId="0369C8E0" w14:textId="77777777" w:rsidR="00F12512" w:rsidRPr="002452E8" w:rsidRDefault="00F12512" w:rsidP="00170C4E">
            <w:pPr>
              <w:tabs>
                <w:tab w:val="left" w:pos="1134"/>
              </w:tabs>
              <w:spacing w:after="120"/>
              <w:jc w:val="center"/>
              <w:outlineLvl w:val="2"/>
              <w:rPr>
                <w:rFonts w:eastAsia="STZhongsong"/>
              </w:rPr>
            </w:pPr>
            <w:r w:rsidRPr="002452E8">
              <w:rPr>
                <w:rFonts w:eastAsia="STZhongsong"/>
                <w:szCs w:val="20"/>
              </w:rPr>
              <w:t>2</w:t>
            </w:r>
          </w:p>
        </w:tc>
        <w:tc>
          <w:tcPr>
            <w:tcW w:w="3014" w:type="pct"/>
            <w:vAlign w:val="center"/>
          </w:tcPr>
          <w:p w14:paraId="0C4BDF24" w14:textId="77777777" w:rsidR="00F12512" w:rsidRPr="002452E8" w:rsidRDefault="00F12512" w:rsidP="00170C4E">
            <w:pPr>
              <w:tabs>
                <w:tab w:val="left" w:pos="1134"/>
              </w:tabs>
              <w:spacing w:after="120"/>
              <w:jc w:val="left"/>
              <w:outlineLvl w:val="2"/>
              <w:rPr>
                <w:rFonts w:eastAsia="STZhongsong"/>
              </w:rPr>
            </w:pPr>
            <w:r w:rsidRPr="002452E8">
              <w:rPr>
                <w:rFonts w:eastAsia="STZhongsong"/>
                <w:szCs w:val="20"/>
              </w:rPr>
              <w:t xml:space="preserve">Inception report submitted to the </w:t>
            </w:r>
            <w:r>
              <w:rPr>
                <w:rFonts w:eastAsia="STZhongsong"/>
                <w:szCs w:val="20"/>
              </w:rPr>
              <w:t>Authority outlining the methodology and deliverables</w:t>
            </w:r>
          </w:p>
        </w:tc>
        <w:tc>
          <w:tcPr>
            <w:tcW w:w="1193" w:type="pct"/>
            <w:vAlign w:val="center"/>
          </w:tcPr>
          <w:p w14:paraId="55BC3088" w14:textId="77777777" w:rsidR="00F12512" w:rsidRPr="002452E8" w:rsidRDefault="00F12512" w:rsidP="00170C4E">
            <w:pPr>
              <w:tabs>
                <w:tab w:val="left" w:pos="1134"/>
              </w:tabs>
              <w:spacing w:after="120"/>
              <w:jc w:val="center"/>
              <w:outlineLvl w:val="2"/>
              <w:rPr>
                <w:rFonts w:eastAsia="STZhongsong"/>
              </w:rPr>
            </w:pPr>
            <w:r w:rsidRPr="002452E8">
              <w:rPr>
                <w:rFonts w:eastAsia="STZhongsong"/>
                <w:szCs w:val="20"/>
              </w:rPr>
              <w:t xml:space="preserve">Within week </w:t>
            </w:r>
            <w:r>
              <w:rPr>
                <w:rFonts w:eastAsia="STZhongsong"/>
                <w:szCs w:val="20"/>
              </w:rPr>
              <w:t>2</w:t>
            </w:r>
            <w:r w:rsidRPr="002452E8">
              <w:rPr>
                <w:rFonts w:eastAsia="STZhongsong"/>
                <w:szCs w:val="20"/>
              </w:rPr>
              <w:t xml:space="preserve"> of Contract Award</w:t>
            </w:r>
          </w:p>
        </w:tc>
      </w:tr>
      <w:tr w:rsidR="00F12512" w:rsidRPr="002452E8" w14:paraId="591AED58" w14:textId="77777777" w:rsidTr="00170C4E">
        <w:trPr>
          <w:jc w:val="center"/>
        </w:trPr>
        <w:tc>
          <w:tcPr>
            <w:tcW w:w="793" w:type="pct"/>
            <w:vAlign w:val="center"/>
          </w:tcPr>
          <w:p w14:paraId="78D3D6C0" w14:textId="77777777" w:rsidR="00F12512" w:rsidRPr="002452E8" w:rsidRDefault="00F12512" w:rsidP="00170C4E">
            <w:pPr>
              <w:tabs>
                <w:tab w:val="left" w:pos="1134"/>
              </w:tabs>
              <w:spacing w:after="120"/>
              <w:jc w:val="center"/>
              <w:outlineLvl w:val="2"/>
              <w:rPr>
                <w:rFonts w:eastAsia="STZhongsong"/>
                <w:szCs w:val="20"/>
              </w:rPr>
            </w:pPr>
            <w:r>
              <w:rPr>
                <w:rFonts w:eastAsia="STZhongsong"/>
                <w:szCs w:val="20"/>
              </w:rPr>
              <w:t>3</w:t>
            </w:r>
          </w:p>
        </w:tc>
        <w:tc>
          <w:tcPr>
            <w:tcW w:w="3014" w:type="pct"/>
            <w:vAlign w:val="center"/>
          </w:tcPr>
          <w:p w14:paraId="71E26E25" w14:textId="77777777" w:rsidR="00F12512" w:rsidRPr="002452E8" w:rsidRDefault="00F12512" w:rsidP="00170C4E">
            <w:pPr>
              <w:tabs>
                <w:tab w:val="left" w:pos="1134"/>
              </w:tabs>
              <w:spacing w:after="120"/>
              <w:jc w:val="left"/>
              <w:outlineLvl w:val="2"/>
              <w:rPr>
                <w:rFonts w:eastAsia="STZhongsong"/>
                <w:szCs w:val="20"/>
              </w:rPr>
            </w:pPr>
            <w:r w:rsidRPr="002452E8">
              <w:rPr>
                <w:rFonts w:eastAsia="STZhongsong"/>
                <w:szCs w:val="20"/>
              </w:rPr>
              <w:t>Update meetings/phone calls/email correspondence to discuss assumptions, findings and progress</w:t>
            </w:r>
          </w:p>
        </w:tc>
        <w:tc>
          <w:tcPr>
            <w:tcW w:w="1193" w:type="pct"/>
            <w:vAlign w:val="center"/>
          </w:tcPr>
          <w:p w14:paraId="16A87EF3" w14:textId="77777777" w:rsidR="00F12512" w:rsidRPr="002452E8" w:rsidRDefault="00F12512" w:rsidP="00170C4E">
            <w:pPr>
              <w:tabs>
                <w:tab w:val="left" w:pos="1134"/>
              </w:tabs>
              <w:spacing w:after="120"/>
              <w:jc w:val="center"/>
              <w:outlineLvl w:val="2"/>
              <w:rPr>
                <w:rFonts w:eastAsia="STZhongsong"/>
                <w:szCs w:val="20"/>
              </w:rPr>
            </w:pPr>
            <w:r w:rsidRPr="002452E8">
              <w:rPr>
                <w:rFonts w:eastAsia="STZhongsong"/>
                <w:szCs w:val="20"/>
              </w:rPr>
              <w:t>Fortnightly</w:t>
            </w:r>
          </w:p>
        </w:tc>
      </w:tr>
      <w:tr w:rsidR="00F12512" w:rsidRPr="002452E8" w14:paraId="71F97570" w14:textId="77777777" w:rsidTr="00170C4E">
        <w:trPr>
          <w:jc w:val="center"/>
        </w:trPr>
        <w:tc>
          <w:tcPr>
            <w:tcW w:w="793" w:type="pct"/>
            <w:vAlign w:val="center"/>
          </w:tcPr>
          <w:p w14:paraId="7910243A" w14:textId="77777777" w:rsidR="00F12512" w:rsidRPr="002452E8" w:rsidRDefault="00F12512" w:rsidP="00170C4E">
            <w:pPr>
              <w:tabs>
                <w:tab w:val="left" w:pos="1134"/>
              </w:tabs>
              <w:spacing w:after="120"/>
              <w:jc w:val="center"/>
              <w:outlineLvl w:val="2"/>
              <w:rPr>
                <w:rFonts w:eastAsia="STZhongsong"/>
                <w:szCs w:val="20"/>
              </w:rPr>
            </w:pPr>
            <w:r>
              <w:rPr>
                <w:rFonts w:eastAsia="STZhongsong"/>
                <w:szCs w:val="20"/>
              </w:rPr>
              <w:t>4</w:t>
            </w:r>
          </w:p>
        </w:tc>
        <w:tc>
          <w:tcPr>
            <w:tcW w:w="3014" w:type="pct"/>
            <w:vAlign w:val="center"/>
          </w:tcPr>
          <w:p w14:paraId="7B4ACE69" w14:textId="77777777" w:rsidR="00F12512" w:rsidRPr="002452E8" w:rsidRDefault="00F12512" w:rsidP="00170C4E">
            <w:pPr>
              <w:tabs>
                <w:tab w:val="left" w:pos="1134"/>
              </w:tabs>
              <w:spacing w:after="120"/>
              <w:jc w:val="left"/>
              <w:outlineLvl w:val="2"/>
              <w:rPr>
                <w:rFonts w:eastAsia="STZhongsong"/>
                <w:szCs w:val="20"/>
              </w:rPr>
            </w:pPr>
            <w:r w:rsidRPr="002452E8">
              <w:rPr>
                <w:rFonts w:eastAsia="STZhongsong"/>
                <w:szCs w:val="20"/>
              </w:rPr>
              <w:t xml:space="preserve">First draft of interim findings to be shared with the </w:t>
            </w:r>
            <w:r>
              <w:rPr>
                <w:rFonts w:eastAsia="STZhongsong"/>
                <w:szCs w:val="20"/>
              </w:rPr>
              <w:t>Authority</w:t>
            </w:r>
          </w:p>
        </w:tc>
        <w:tc>
          <w:tcPr>
            <w:tcW w:w="1193" w:type="pct"/>
            <w:vAlign w:val="center"/>
          </w:tcPr>
          <w:p w14:paraId="7FDD9065" w14:textId="77777777" w:rsidR="00F12512" w:rsidRPr="002452E8" w:rsidRDefault="00F12512" w:rsidP="00170C4E">
            <w:pPr>
              <w:tabs>
                <w:tab w:val="left" w:pos="1134"/>
              </w:tabs>
              <w:spacing w:after="120"/>
              <w:jc w:val="center"/>
              <w:outlineLvl w:val="2"/>
              <w:rPr>
                <w:rFonts w:eastAsia="STZhongsong"/>
                <w:szCs w:val="20"/>
              </w:rPr>
            </w:pPr>
            <w:r w:rsidRPr="002452E8">
              <w:rPr>
                <w:rFonts w:eastAsia="STZhongsong"/>
                <w:szCs w:val="20"/>
              </w:rPr>
              <w:t xml:space="preserve">Within week </w:t>
            </w:r>
            <w:r>
              <w:rPr>
                <w:rFonts w:eastAsia="STZhongsong"/>
                <w:szCs w:val="20"/>
              </w:rPr>
              <w:t>6</w:t>
            </w:r>
            <w:r w:rsidRPr="002452E8">
              <w:rPr>
                <w:rFonts w:eastAsia="STZhongsong"/>
                <w:szCs w:val="20"/>
              </w:rPr>
              <w:t xml:space="preserve"> of Contract award</w:t>
            </w:r>
          </w:p>
        </w:tc>
      </w:tr>
      <w:tr w:rsidR="00F12512" w:rsidRPr="002452E8" w14:paraId="2444934C" w14:textId="77777777" w:rsidTr="00170C4E">
        <w:trPr>
          <w:jc w:val="center"/>
        </w:trPr>
        <w:tc>
          <w:tcPr>
            <w:tcW w:w="793" w:type="pct"/>
            <w:vAlign w:val="center"/>
          </w:tcPr>
          <w:p w14:paraId="0A1B488B" w14:textId="77777777" w:rsidR="00F12512" w:rsidRPr="002452E8" w:rsidRDefault="00F12512" w:rsidP="00170C4E">
            <w:pPr>
              <w:tabs>
                <w:tab w:val="left" w:pos="1134"/>
              </w:tabs>
              <w:spacing w:after="120"/>
              <w:jc w:val="center"/>
              <w:outlineLvl w:val="2"/>
              <w:rPr>
                <w:rFonts w:eastAsia="STZhongsong"/>
                <w:szCs w:val="20"/>
              </w:rPr>
            </w:pPr>
            <w:r>
              <w:rPr>
                <w:rFonts w:eastAsia="STZhongsong"/>
                <w:szCs w:val="20"/>
              </w:rPr>
              <w:t>5</w:t>
            </w:r>
          </w:p>
        </w:tc>
        <w:tc>
          <w:tcPr>
            <w:tcW w:w="3014" w:type="pct"/>
            <w:vAlign w:val="center"/>
          </w:tcPr>
          <w:p w14:paraId="53BAC3E7" w14:textId="77777777" w:rsidR="00F12512" w:rsidRPr="002452E8" w:rsidRDefault="00F12512" w:rsidP="00170C4E">
            <w:pPr>
              <w:tabs>
                <w:tab w:val="left" w:pos="1134"/>
              </w:tabs>
              <w:spacing w:after="120"/>
              <w:jc w:val="left"/>
              <w:outlineLvl w:val="2"/>
              <w:rPr>
                <w:rFonts w:eastAsia="STZhongsong"/>
                <w:szCs w:val="20"/>
              </w:rPr>
            </w:pPr>
            <w:r w:rsidRPr="002452E8">
              <w:rPr>
                <w:rFonts w:eastAsia="STZhongsong"/>
                <w:szCs w:val="20"/>
              </w:rPr>
              <w:t xml:space="preserve">Second draft of interim findings to be shared with the </w:t>
            </w:r>
            <w:r>
              <w:rPr>
                <w:rFonts w:eastAsia="STZhongsong"/>
                <w:szCs w:val="20"/>
              </w:rPr>
              <w:t>Authority</w:t>
            </w:r>
          </w:p>
        </w:tc>
        <w:tc>
          <w:tcPr>
            <w:tcW w:w="1193" w:type="pct"/>
            <w:vAlign w:val="center"/>
          </w:tcPr>
          <w:p w14:paraId="3EFA52BB" w14:textId="77777777" w:rsidR="00F12512" w:rsidRPr="002452E8" w:rsidRDefault="00F12512" w:rsidP="00170C4E">
            <w:pPr>
              <w:tabs>
                <w:tab w:val="left" w:pos="1134"/>
              </w:tabs>
              <w:spacing w:after="120"/>
              <w:jc w:val="center"/>
              <w:outlineLvl w:val="2"/>
              <w:rPr>
                <w:rFonts w:eastAsia="STZhongsong"/>
                <w:szCs w:val="20"/>
              </w:rPr>
            </w:pPr>
            <w:r w:rsidRPr="002452E8">
              <w:rPr>
                <w:rFonts w:eastAsia="STZhongsong"/>
                <w:szCs w:val="20"/>
              </w:rPr>
              <w:t xml:space="preserve">Within week </w:t>
            </w:r>
            <w:r>
              <w:rPr>
                <w:rFonts w:eastAsia="STZhongsong"/>
                <w:szCs w:val="20"/>
              </w:rPr>
              <w:t>8</w:t>
            </w:r>
            <w:r w:rsidRPr="002452E8">
              <w:rPr>
                <w:rFonts w:eastAsia="STZhongsong"/>
                <w:szCs w:val="20"/>
              </w:rPr>
              <w:t xml:space="preserve"> of Contract Award</w:t>
            </w:r>
          </w:p>
        </w:tc>
      </w:tr>
      <w:tr w:rsidR="00F12512" w:rsidRPr="002452E8" w14:paraId="43F81085" w14:textId="77777777" w:rsidTr="00170C4E">
        <w:trPr>
          <w:trHeight w:val="539"/>
          <w:jc w:val="center"/>
        </w:trPr>
        <w:tc>
          <w:tcPr>
            <w:tcW w:w="793" w:type="pct"/>
            <w:vAlign w:val="center"/>
          </w:tcPr>
          <w:p w14:paraId="75D38965" w14:textId="77777777" w:rsidR="00F12512" w:rsidRPr="002452E8" w:rsidRDefault="00F12512" w:rsidP="00170C4E">
            <w:pPr>
              <w:tabs>
                <w:tab w:val="left" w:pos="1134"/>
              </w:tabs>
              <w:spacing w:after="120"/>
              <w:jc w:val="center"/>
              <w:outlineLvl w:val="2"/>
              <w:rPr>
                <w:rFonts w:eastAsia="STZhongsong"/>
                <w:szCs w:val="20"/>
              </w:rPr>
            </w:pPr>
            <w:r>
              <w:rPr>
                <w:rFonts w:eastAsia="STZhongsong"/>
                <w:szCs w:val="20"/>
              </w:rPr>
              <w:t>6</w:t>
            </w:r>
          </w:p>
        </w:tc>
        <w:tc>
          <w:tcPr>
            <w:tcW w:w="3014" w:type="pct"/>
            <w:vAlign w:val="center"/>
          </w:tcPr>
          <w:p w14:paraId="4F4AF023" w14:textId="77777777" w:rsidR="00F12512" w:rsidRPr="002452E8" w:rsidRDefault="00F12512" w:rsidP="00170C4E">
            <w:pPr>
              <w:tabs>
                <w:tab w:val="left" w:pos="1134"/>
              </w:tabs>
              <w:spacing w:after="120"/>
              <w:jc w:val="left"/>
              <w:outlineLvl w:val="2"/>
              <w:rPr>
                <w:rFonts w:eastAsia="STZhongsong"/>
                <w:szCs w:val="20"/>
              </w:rPr>
            </w:pPr>
            <w:r w:rsidRPr="002452E8">
              <w:rPr>
                <w:rFonts w:eastAsia="STZhongsong"/>
                <w:szCs w:val="20"/>
              </w:rPr>
              <w:t xml:space="preserve">Draft report to be submitted to the </w:t>
            </w:r>
            <w:r>
              <w:rPr>
                <w:rFonts w:eastAsia="STZhongsong"/>
                <w:szCs w:val="20"/>
              </w:rPr>
              <w:t>Authority</w:t>
            </w:r>
          </w:p>
        </w:tc>
        <w:tc>
          <w:tcPr>
            <w:tcW w:w="1193" w:type="pct"/>
            <w:vAlign w:val="center"/>
          </w:tcPr>
          <w:p w14:paraId="08EB3FB7" w14:textId="77777777" w:rsidR="00F12512" w:rsidRPr="002452E8" w:rsidRDefault="00F12512" w:rsidP="00170C4E">
            <w:pPr>
              <w:tabs>
                <w:tab w:val="left" w:pos="1134"/>
              </w:tabs>
              <w:spacing w:after="120"/>
              <w:jc w:val="center"/>
              <w:outlineLvl w:val="2"/>
              <w:rPr>
                <w:rFonts w:eastAsia="STZhongsong"/>
                <w:szCs w:val="20"/>
              </w:rPr>
            </w:pPr>
            <w:r w:rsidRPr="002452E8">
              <w:rPr>
                <w:rFonts w:eastAsia="STZhongsong"/>
                <w:szCs w:val="20"/>
              </w:rPr>
              <w:t xml:space="preserve">Within week </w:t>
            </w:r>
            <w:r>
              <w:rPr>
                <w:rFonts w:eastAsia="STZhongsong"/>
                <w:szCs w:val="20"/>
              </w:rPr>
              <w:t>10</w:t>
            </w:r>
            <w:r w:rsidRPr="002452E8">
              <w:rPr>
                <w:rFonts w:eastAsia="STZhongsong"/>
                <w:szCs w:val="20"/>
              </w:rPr>
              <w:t xml:space="preserve"> of Contract Award</w:t>
            </w:r>
          </w:p>
        </w:tc>
      </w:tr>
      <w:tr w:rsidR="00F12512" w:rsidRPr="002452E8" w14:paraId="67D79181" w14:textId="77777777" w:rsidTr="00170C4E">
        <w:trPr>
          <w:trHeight w:val="539"/>
          <w:jc w:val="center"/>
        </w:trPr>
        <w:tc>
          <w:tcPr>
            <w:tcW w:w="793" w:type="pct"/>
            <w:vAlign w:val="center"/>
          </w:tcPr>
          <w:p w14:paraId="1E9E8B45" w14:textId="77777777" w:rsidR="00F12512" w:rsidRPr="002452E8" w:rsidRDefault="00F12512" w:rsidP="00170C4E">
            <w:pPr>
              <w:tabs>
                <w:tab w:val="left" w:pos="1134"/>
              </w:tabs>
              <w:spacing w:after="120"/>
              <w:jc w:val="center"/>
              <w:outlineLvl w:val="2"/>
              <w:rPr>
                <w:rFonts w:eastAsia="STZhongsong"/>
                <w:szCs w:val="20"/>
              </w:rPr>
            </w:pPr>
            <w:r>
              <w:rPr>
                <w:rFonts w:eastAsia="STZhongsong"/>
                <w:szCs w:val="20"/>
              </w:rPr>
              <w:t>7</w:t>
            </w:r>
          </w:p>
        </w:tc>
        <w:tc>
          <w:tcPr>
            <w:tcW w:w="3014" w:type="pct"/>
            <w:vAlign w:val="center"/>
          </w:tcPr>
          <w:p w14:paraId="43519E72" w14:textId="77777777" w:rsidR="00F12512" w:rsidRPr="002452E8" w:rsidRDefault="00F12512" w:rsidP="00170C4E">
            <w:pPr>
              <w:tabs>
                <w:tab w:val="left" w:pos="1134"/>
              </w:tabs>
              <w:spacing w:after="120"/>
              <w:jc w:val="left"/>
              <w:outlineLvl w:val="2"/>
              <w:rPr>
                <w:rFonts w:eastAsia="STZhongsong"/>
                <w:szCs w:val="20"/>
              </w:rPr>
            </w:pPr>
            <w:r>
              <w:rPr>
                <w:rFonts w:eastAsia="STZhongsong"/>
                <w:szCs w:val="20"/>
              </w:rPr>
              <w:t>Presentation of interim findings and analysis to Authority and external experts of peer review and quality assurance</w:t>
            </w:r>
          </w:p>
        </w:tc>
        <w:tc>
          <w:tcPr>
            <w:tcW w:w="1193" w:type="pct"/>
            <w:vAlign w:val="center"/>
          </w:tcPr>
          <w:p w14:paraId="2D386716" w14:textId="77777777" w:rsidR="00F12512" w:rsidRPr="002452E8" w:rsidRDefault="00F12512" w:rsidP="00170C4E">
            <w:pPr>
              <w:tabs>
                <w:tab w:val="left" w:pos="1134"/>
              </w:tabs>
              <w:spacing w:after="120"/>
              <w:jc w:val="center"/>
              <w:outlineLvl w:val="2"/>
              <w:rPr>
                <w:rFonts w:eastAsia="STZhongsong"/>
                <w:szCs w:val="20"/>
              </w:rPr>
            </w:pPr>
            <w:r>
              <w:rPr>
                <w:rFonts w:eastAsia="STZhongsong"/>
                <w:szCs w:val="20"/>
              </w:rPr>
              <w:t>Within week 12 of Contract Award</w:t>
            </w:r>
          </w:p>
        </w:tc>
      </w:tr>
      <w:tr w:rsidR="00F12512" w:rsidRPr="002452E8" w14:paraId="5B5ED1E9" w14:textId="77777777" w:rsidTr="00170C4E">
        <w:trPr>
          <w:jc w:val="center"/>
        </w:trPr>
        <w:tc>
          <w:tcPr>
            <w:tcW w:w="793" w:type="pct"/>
            <w:vAlign w:val="center"/>
          </w:tcPr>
          <w:p w14:paraId="53F5EBE3" w14:textId="77777777" w:rsidR="00F12512" w:rsidRPr="002452E8" w:rsidRDefault="00F12512" w:rsidP="00170C4E">
            <w:pPr>
              <w:tabs>
                <w:tab w:val="left" w:pos="1134"/>
              </w:tabs>
              <w:spacing w:after="120"/>
              <w:jc w:val="center"/>
              <w:outlineLvl w:val="2"/>
              <w:rPr>
                <w:rFonts w:eastAsia="STZhongsong"/>
                <w:szCs w:val="20"/>
              </w:rPr>
            </w:pPr>
            <w:r>
              <w:rPr>
                <w:rFonts w:eastAsia="STZhongsong"/>
                <w:szCs w:val="20"/>
              </w:rPr>
              <w:t>8</w:t>
            </w:r>
          </w:p>
        </w:tc>
        <w:tc>
          <w:tcPr>
            <w:tcW w:w="3014" w:type="pct"/>
            <w:vAlign w:val="center"/>
          </w:tcPr>
          <w:p w14:paraId="1C673E21" w14:textId="77777777" w:rsidR="00F12512" w:rsidRPr="002452E8" w:rsidRDefault="00F12512" w:rsidP="00170C4E">
            <w:pPr>
              <w:tabs>
                <w:tab w:val="left" w:pos="1134"/>
              </w:tabs>
              <w:spacing w:after="120"/>
              <w:jc w:val="left"/>
              <w:outlineLvl w:val="2"/>
              <w:rPr>
                <w:rFonts w:eastAsia="STZhongsong"/>
                <w:szCs w:val="20"/>
              </w:rPr>
            </w:pPr>
            <w:r w:rsidRPr="002452E8">
              <w:rPr>
                <w:rFonts w:eastAsia="STZhongsong"/>
                <w:szCs w:val="20"/>
              </w:rPr>
              <w:t xml:space="preserve">Final report and supporting analysis to be shared with the </w:t>
            </w:r>
            <w:r>
              <w:rPr>
                <w:rFonts w:eastAsia="STZhongsong"/>
                <w:szCs w:val="20"/>
              </w:rPr>
              <w:t>Authority</w:t>
            </w:r>
          </w:p>
        </w:tc>
        <w:tc>
          <w:tcPr>
            <w:tcW w:w="1193" w:type="pct"/>
            <w:vAlign w:val="center"/>
          </w:tcPr>
          <w:p w14:paraId="3FC74996" w14:textId="77777777" w:rsidR="00F12512" w:rsidRPr="002452E8" w:rsidRDefault="00F12512" w:rsidP="00170C4E">
            <w:pPr>
              <w:tabs>
                <w:tab w:val="left" w:pos="1134"/>
              </w:tabs>
              <w:spacing w:after="120"/>
              <w:jc w:val="center"/>
              <w:outlineLvl w:val="2"/>
              <w:rPr>
                <w:rFonts w:eastAsia="STZhongsong"/>
                <w:szCs w:val="20"/>
              </w:rPr>
            </w:pPr>
            <w:r w:rsidRPr="002452E8">
              <w:rPr>
                <w:rFonts w:eastAsia="STZhongsong"/>
                <w:szCs w:val="20"/>
              </w:rPr>
              <w:t xml:space="preserve">Within </w:t>
            </w:r>
            <w:r>
              <w:rPr>
                <w:rFonts w:eastAsia="STZhongsong"/>
                <w:szCs w:val="20"/>
              </w:rPr>
              <w:t>14</w:t>
            </w:r>
            <w:r w:rsidRPr="002452E8">
              <w:rPr>
                <w:rFonts w:eastAsia="STZhongsong"/>
                <w:szCs w:val="20"/>
              </w:rPr>
              <w:t xml:space="preserve"> weeks of Contract Award</w:t>
            </w:r>
          </w:p>
        </w:tc>
      </w:tr>
    </w:tbl>
    <w:p w14:paraId="5FA7D05A" w14:textId="77777777" w:rsidR="00F12512" w:rsidRDefault="00F12512" w:rsidP="00F12512">
      <w:pPr>
        <w:tabs>
          <w:tab w:val="left" w:pos="1134"/>
        </w:tabs>
      </w:pPr>
    </w:p>
    <w:p w14:paraId="0F5DDE31" w14:textId="77777777" w:rsidR="00F12512" w:rsidRPr="00351B41" w:rsidRDefault="00F12512" w:rsidP="00F12512">
      <w:pPr>
        <w:pStyle w:val="Heading1"/>
        <w:tabs>
          <w:tab w:val="clear" w:pos="720"/>
          <w:tab w:val="left" w:pos="1134"/>
        </w:tabs>
        <w:spacing w:after="120"/>
        <w:ind w:left="432" w:hanging="432"/>
        <w:rPr>
          <w:rFonts w:cs="Arial"/>
          <w:szCs w:val="22"/>
        </w:rPr>
      </w:pPr>
      <w:bookmarkStart w:id="116" w:name="_Toc500940800"/>
      <w:bookmarkStart w:id="117" w:name="_Toc368573033"/>
      <w:r>
        <w:rPr>
          <w:rFonts w:cs="Arial"/>
          <w:szCs w:val="22"/>
        </w:rPr>
        <w:t>Authority</w:t>
      </w:r>
      <w:r w:rsidRPr="00351B41">
        <w:rPr>
          <w:rFonts w:cs="Arial"/>
          <w:szCs w:val="22"/>
        </w:rPr>
        <w:t>’s responsibilities</w:t>
      </w:r>
      <w:bookmarkEnd w:id="116"/>
    </w:p>
    <w:p w14:paraId="1F21A690" w14:textId="77777777" w:rsidR="00F12512" w:rsidRDefault="00F12512" w:rsidP="00F12512">
      <w:pPr>
        <w:pStyle w:val="Heading2"/>
        <w:tabs>
          <w:tab w:val="clear" w:pos="720"/>
        </w:tabs>
        <w:ind w:left="576" w:hanging="576"/>
      </w:pPr>
      <w:r w:rsidRPr="00B95757">
        <w:t xml:space="preserve">The Authority will share pertinent information received through relevant stakeholders and introduce the </w:t>
      </w:r>
      <w:r>
        <w:t>Supplier</w:t>
      </w:r>
      <w:r w:rsidRPr="00B95757">
        <w:t xml:space="preserve"> to relevant stakeholders, which can offer valuable advice on the requirement.</w:t>
      </w:r>
    </w:p>
    <w:p w14:paraId="68FFB4F5" w14:textId="77777777" w:rsidR="00F12512" w:rsidRPr="00B95757" w:rsidRDefault="00F12512" w:rsidP="00F12512">
      <w:pPr>
        <w:pStyle w:val="Heading2"/>
        <w:tabs>
          <w:tab w:val="clear" w:pos="720"/>
        </w:tabs>
        <w:ind w:left="576" w:hanging="576"/>
      </w:pPr>
      <w:r>
        <w:t>The Authority will also provide access to the relevant data, if necessary.</w:t>
      </w:r>
    </w:p>
    <w:p w14:paraId="34CE0242" w14:textId="77777777" w:rsidR="00F12512" w:rsidRDefault="00F12512" w:rsidP="00F12512">
      <w:pPr>
        <w:pStyle w:val="Heading1"/>
        <w:tabs>
          <w:tab w:val="clear" w:pos="720"/>
          <w:tab w:val="left" w:pos="1134"/>
        </w:tabs>
        <w:spacing w:after="120"/>
        <w:ind w:left="432" w:hanging="432"/>
        <w:rPr>
          <w:rFonts w:cs="Arial"/>
          <w:szCs w:val="22"/>
        </w:rPr>
      </w:pPr>
      <w:bookmarkStart w:id="118" w:name="_Toc500940801"/>
      <w:r w:rsidRPr="00BE6EE0">
        <w:rPr>
          <w:rFonts w:cs="Arial"/>
          <w:szCs w:val="22"/>
        </w:rPr>
        <w:t>reporting</w:t>
      </w:r>
      <w:bookmarkEnd w:id="117"/>
      <w:bookmarkEnd w:id="118"/>
    </w:p>
    <w:p w14:paraId="5E395CFD" w14:textId="25088C7F" w:rsidR="00F12512" w:rsidRPr="00E76DDB" w:rsidRDefault="00F12512" w:rsidP="00F12512">
      <w:pPr>
        <w:pStyle w:val="Heading2"/>
        <w:tabs>
          <w:tab w:val="clear" w:pos="720"/>
        </w:tabs>
        <w:ind w:left="576" w:hanging="576"/>
      </w:pPr>
      <w:r w:rsidRPr="008442CD">
        <w:t xml:space="preserve">As set out in Section </w:t>
      </w:r>
      <w:r w:rsidR="0090085E">
        <w:t>3</w:t>
      </w:r>
      <w:r w:rsidRPr="008442CD">
        <w:t xml:space="preserve"> (Key Mileston</w:t>
      </w:r>
      <w:r>
        <w:t xml:space="preserve">es).  Additionally, the Supplier </w:t>
      </w:r>
      <w:r w:rsidRPr="008442CD">
        <w:t xml:space="preserve">will be expected to update the </w:t>
      </w:r>
      <w:r>
        <w:t>Authority</w:t>
      </w:r>
      <w:r w:rsidRPr="008442CD">
        <w:t xml:space="preserve"> on </w:t>
      </w:r>
      <w:r w:rsidRPr="0055420B">
        <w:t>project progress on at least a fortnightly basis via a meeting or phone call,</w:t>
      </w:r>
      <w:r w:rsidRPr="008442CD">
        <w:t xml:space="preserve"> including to flag any issues or early findings</w:t>
      </w:r>
      <w:r>
        <w:t>.</w:t>
      </w:r>
    </w:p>
    <w:p w14:paraId="59B14CE5" w14:textId="77777777" w:rsidR="00F12512" w:rsidRPr="00BE6EE0" w:rsidRDefault="00F12512" w:rsidP="00F12512">
      <w:pPr>
        <w:pStyle w:val="Heading1"/>
        <w:tabs>
          <w:tab w:val="clear" w:pos="720"/>
          <w:tab w:val="left" w:pos="1134"/>
        </w:tabs>
        <w:spacing w:after="120"/>
        <w:ind w:left="432" w:hanging="432"/>
        <w:rPr>
          <w:rFonts w:cs="Arial"/>
          <w:szCs w:val="22"/>
        </w:rPr>
      </w:pPr>
      <w:bookmarkStart w:id="119" w:name="_Toc368573034"/>
      <w:bookmarkStart w:id="120" w:name="_Toc500940802"/>
      <w:r w:rsidRPr="00BE6EE0">
        <w:rPr>
          <w:rFonts w:cs="Arial"/>
          <w:szCs w:val="22"/>
        </w:rPr>
        <w:t>volumes</w:t>
      </w:r>
      <w:bookmarkEnd w:id="119"/>
      <w:bookmarkEnd w:id="120"/>
    </w:p>
    <w:p w14:paraId="01DFD81E" w14:textId="005B90F5" w:rsidR="00F12512" w:rsidRPr="00E76DDB" w:rsidRDefault="0090085E" w:rsidP="00F12512">
      <w:pPr>
        <w:pStyle w:val="Heading2"/>
        <w:tabs>
          <w:tab w:val="clear" w:pos="720"/>
        </w:tabs>
        <w:ind w:left="576" w:hanging="576"/>
      </w:pPr>
      <w:r>
        <w:t>T</w:t>
      </w:r>
      <w:r w:rsidR="00F12512" w:rsidRPr="0055420B">
        <w:t>he expectation is that the key outputs and related materials will be both extensive and of publishable standard</w:t>
      </w:r>
      <w:r w:rsidR="00F12512">
        <w:t>.</w:t>
      </w:r>
    </w:p>
    <w:p w14:paraId="0372B219" w14:textId="77777777" w:rsidR="00F12512" w:rsidRPr="00BE6EE0" w:rsidRDefault="00F12512" w:rsidP="00F12512">
      <w:pPr>
        <w:pStyle w:val="Heading1"/>
        <w:tabs>
          <w:tab w:val="clear" w:pos="720"/>
          <w:tab w:val="left" w:pos="1134"/>
        </w:tabs>
        <w:spacing w:after="120"/>
        <w:ind w:left="432" w:hanging="432"/>
        <w:rPr>
          <w:rFonts w:cs="Arial"/>
          <w:szCs w:val="22"/>
        </w:rPr>
      </w:pPr>
      <w:bookmarkStart w:id="121" w:name="_Toc368573035"/>
      <w:bookmarkStart w:id="122" w:name="_Toc500940803"/>
      <w:r w:rsidRPr="00BE6EE0">
        <w:rPr>
          <w:rFonts w:cs="Arial"/>
          <w:szCs w:val="22"/>
        </w:rPr>
        <w:t>continuous improvement</w:t>
      </w:r>
      <w:bookmarkEnd w:id="121"/>
      <w:bookmarkEnd w:id="122"/>
    </w:p>
    <w:p w14:paraId="6227093A" w14:textId="26FDAFA4" w:rsidR="00F12512" w:rsidRPr="008442CD" w:rsidRDefault="00F12512" w:rsidP="00F12512">
      <w:pPr>
        <w:pStyle w:val="Heading2"/>
        <w:tabs>
          <w:tab w:val="clear" w:pos="720"/>
        </w:tabs>
        <w:ind w:left="576" w:hanging="576"/>
      </w:pPr>
      <w:r>
        <w:t xml:space="preserve">The Supplier </w:t>
      </w:r>
      <w:r w:rsidR="0090085E">
        <w:t xml:space="preserve">must </w:t>
      </w:r>
      <w:r w:rsidRPr="008442CD">
        <w:t>give due consideration to the way in which the required Services are delivered throughout the Contract duration and can be continually improved.</w:t>
      </w:r>
    </w:p>
    <w:p w14:paraId="0E99E3FC" w14:textId="6D47FC4B" w:rsidR="00F12512" w:rsidRDefault="00F12512" w:rsidP="00F12512">
      <w:pPr>
        <w:pStyle w:val="Heading2"/>
        <w:tabs>
          <w:tab w:val="clear" w:pos="720"/>
        </w:tabs>
        <w:ind w:left="576" w:hanging="576"/>
      </w:pPr>
      <w:r w:rsidRPr="008442CD">
        <w:t xml:space="preserve">Changes to the way in which the Services are delivered </w:t>
      </w:r>
      <w:r>
        <w:t>must be brought to the Authority’</w:t>
      </w:r>
      <w:r w:rsidRPr="008442CD">
        <w:t>s attention and agreed prior to any changes being implemented.</w:t>
      </w:r>
    </w:p>
    <w:p w14:paraId="40CBF0A5" w14:textId="7DA6C1A7" w:rsidR="00F12512" w:rsidRDefault="00F12512" w:rsidP="00F12512">
      <w:pPr>
        <w:pStyle w:val="Heading2"/>
        <w:tabs>
          <w:tab w:val="clear" w:pos="720"/>
        </w:tabs>
        <w:ind w:left="576" w:hanging="576"/>
      </w:pPr>
      <w:r>
        <w:t>The Supplier must present new ways of working to the Authority during weekly update meetings/phone calls.</w:t>
      </w:r>
    </w:p>
    <w:p w14:paraId="6ADBC953" w14:textId="77777777" w:rsidR="00F12512" w:rsidRDefault="00F12512" w:rsidP="00F12512">
      <w:pPr>
        <w:pStyle w:val="Heading1"/>
        <w:tabs>
          <w:tab w:val="clear" w:pos="720"/>
          <w:tab w:val="left" w:pos="1134"/>
        </w:tabs>
        <w:ind w:left="432" w:hanging="432"/>
      </w:pPr>
      <w:bookmarkStart w:id="123" w:name="_Toc500940804"/>
      <w:r>
        <w:t>Sustainability</w:t>
      </w:r>
      <w:bookmarkEnd w:id="123"/>
    </w:p>
    <w:p w14:paraId="0CC757C3" w14:textId="69D36CD9" w:rsidR="00F12512" w:rsidRPr="00E76DDB" w:rsidRDefault="00F12512" w:rsidP="00F12512">
      <w:pPr>
        <w:pStyle w:val="Heading2"/>
        <w:tabs>
          <w:tab w:val="clear" w:pos="720"/>
          <w:tab w:val="left" w:pos="1134"/>
        </w:tabs>
        <w:ind w:left="576" w:hanging="576"/>
      </w:pPr>
      <w:r>
        <w:t xml:space="preserve">There are no sustainability considerations applicable to this requirement, beyond those already expressed in the </w:t>
      </w:r>
      <w:r w:rsidR="0090085E">
        <w:t>Crown Commercial Service Standard Terms and Conditions for Services</w:t>
      </w:r>
      <w:r>
        <w:t xml:space="preserve">.  </w:t>
      </w:r>
    </w:p>
    <w:p w14:paraId="567E88D0" w14:textId="77777777" w:rsidR="00F12512" w:rsidRPr="00517FEF" w:rsidRDefault="00F12512" w:rsidP="00F12512">
      <w:pPr>
        <w:pStyle w:val="Heading1"/>
        <w:tabs>
          <w:tab w:val="clear" w:pos="720"/>
          <w:tab w:val="left" w:pos="1134"/>
        </w:tabs>
        <w:ind w:left="432" w:hanging="432"/>
        <w:rPr>
          <w:rFonts w:cs="Arial"/>
          <w:szCs w:val="22"/>
        </w:rPr>
      </w:pPr>
      <w:bookmarkStart w:id="124" w:name="_Toc368573036"/>
      <w:bookmarkStart w:id="125" w:name="_Toc500940805"/>
      <w:r w:rsidRPr="00517FEF">
        <w:rPr>
          <w:rFonts w:cs="Arial"/>
          <w:szCs w:val="22"/>
        </w:rPr>
        <w:t>quality</w:t>
      </w:r>
      <w:bookmarkEnd w:id="124"/>
      <w:bookmarkEnd w:id="125"/>
    </w:p>
    <w:p w14:paraId="4F537D83" w14:textId="6A8AB260" w:rsidR="00F12512" w:rsidRDefault="00F12512" w:rsidP="00F12512">
      <w:pPr>
        <w:pStyle w:val="Heading2"/>
        <w:tabs>
          <w:tab w:val="clear" w:pos="720"/>
        </w:tabs>
        <w:ind w:left="576" w:hanging="576"/>
      </w:pPr>
      <w:r>
        <w:t>The recommendations to the government in the National Infrastructure Assessment (NIA) publication</w:t>
      </w:r>
      <w:r w:rsidRPr="005E0ABF">
        <w:t xml:space="preserve"> </w:t>
      </w:r>
      <w:r>
        <w:t xml:space="preserve">will </w:t>
      </w:r>
      <w:r w:rsidR="00462879">
        <w:t>be informed by the outputs</w:t>
      </w:r>
      <w:r w:rsidRPr="00E654ED">
        <w:t xml:space="preserve">. The preliminary findings must first be presented to the </w:t>
      </w:r>
      <w:r>
        <w:t>Authority</w:t>
      </w:r>
      <w:r w:rsidRPr="00E654ED">
        <w:t xml:space="preserve"> by </w:t>
      </w:r>
      <w:r>
        <w:t>27</w:t>
      </w:r>
      <w:r w:rsidRPr="00ED2E54">
        <w:t>th February 2018</w:t>
      </w:r>
      <w:r w:rsidRPr="00406AB9">
        <w:t xml:space="preserve"> </w:t>
      </w:r>
      <w:r w:rsidRPr="00E654ED">
        <w:t xml:space="preserve">for feedback, with the </w:t>
      </w:r>
      <w:r>
        <w:t>second draft</w:t>
      </w:r>
      <w:r w:rsidRPr="00E654ED">
        <w:t xml:space="preserve"> interim findings provided by </w:t>
      </w:r>
      <w:r>
        <w:t>13</w:t>
      </w:r>
      <w:r w:rsidRPr="00ED2E54">
        <w:t>th March 2018</w:t>
      </w:r>
      <w:r w:rsidRPr="00FB2905">
        <w:t>.</w:t>
      </w:r>
      <w:r w:rsidRPr="00E654ED">
        <w:t xml:space="preserve"> The </w:t>
      </w:r>
      <w:r>
        <w:t>Supplier</w:t>
      </w:r>
      <w:r w:rsidRPr="00E654ED">
        <w:t xml:space="preserve"> </w:t>
      </w:r>
      <w:r w:rsidR="00462879">
        <w:t>must</w:t>
      </w:r>
      <w:r w:rsidRPr="00E654ED">
        <w:t xml:space="preserve"> submit a first draft of the final report </w:t>
      </w:r>
      <w:r w:rsidRPr="0055420B">
        <w:t xml:space="preserve">by </w:t>
      </w:r>
      <w:r>
        <w:t>1</w:t>
      </w:r>
      <w:r w:rsidRPr="00ED2E54">
        <w:t>3th March 2018</w:t>
      </w:r>
      <w:r w:rsidRPr="0055420B">
        <w:t>; the</w:t>
      </w:r>
      <w:r>
        <w:t xml:space="preserve"> final report must be submitted to the </w:t>
      </w:r>
      <w:r w:rsidRPr="0055420B">
        <w:t xml:space="preserve">Authority by </w:t>
      </w:r>
      <w:r>
        <w:t>24</w:t>
      </w:r>
      <w:r w:rsidRPr="00ED2E54">
        <w:t>th April 2018</w:t>
      </w:r>
      <w:r w:rsidRPr="0055420B">
        <w:t>; this</w:t>
      </w:r>
      <w:r w:rsidRPr="009413D2">
        <w:t xml:space="preserve"> report must be to a </w:t>
      </w:r>
      <w:r w:rsidRPr="0055420B">
        <w:t>publishable standard, with all assumptions</w:t>
      </w:r>
      <w:r w:rsidRPr="005E0ABF">
        <w:t xml:space="preserve"> and caveats clearly highlighted</w:t>
      </w:r>
      <w:r>
        <w:t xml:space="preserve"> and referenced appropriately.</w:t>
      </w:r>
    </w:p>
    <w:p w14:paraId="62D6F21D" w14:textId="77777777" w:rsidR="00F12512" w:rsidRPr="00BE6EE0" w:rsidRDefault="00F12512" w:rsidP="00F12512">
      <w:pPr>
        <w:pStyle w:val="Heading1"/>
        <w:tabs>
          <w:tab w:val="clear" w:pos="720"/>
          <w:tab w:val="left" w:pos="1134"/>
        </w:tabs>
        <w:ind w:left="432" w:hanging="432"/>
        <w:rPr>
          <w:rFonts w:cs="Arial"/>
          <w:szCs w:val="22"/>
        </w:rPr>
      </w:pPr>
      <w:bookmarkStart w:id="126" w:name="_Toc368573038"/>
      <w:bookmarkStart w:id="127" w:name="_Toc500940807"/>
      <w:r w:rsidRPr="00BE6EE0">
        <w:rPr>
          <w:rFonts w:cs="Arial"/>
          <w:szCs w:val="22"/>
        </w:rPr>
        <w:t>STAFF AND CUSTOMER SERVICE</w:t>
      </w:r>
      <w:bookmarkEnd w:id="126"/>
      <w:bookmarkEnd w:id="127"/>
    </w:p>
    <w:p w14:paraId="6B133267" w14:textId="5B7D3C32" w:rsidR="00F12512" w:rsidRDefault="00462879" w:rsidP="00F12512">
      <w:pPr>
        <w:pStyle w:val="Heading2"/>
        <w:tabs>
          <w:tab w:val="clear" w:pos="720"/>
        </w:tabs>
        <w:ind w:left="576" w:hanging="576"/>
      </w:pPr>
      <w:r>
        <w:t xml:space="preserve">The </w:t>
      </w:r>
      <w:r w:rsidR="00F12512">
        <w:t>Supplier</w:t>
      </w:r>
      <w:r w:rsidR="00F12512" w:rsidRPr="002E7082">
        <w:t xml:space="preserve"> </w:t>
      </w:r>
      <w:r>
        <w:t xml:space="preserve">must </w:t>
      </w:r>
      <w:r w:rsidR="00F12512">
        <w:t xml:space="preserve">provide a sufficient level of resource throughout the duration of the Contract to consistently deliver a quality service to </w:t>
      </w:r>
      <w:r>
        <w:t>the Authority</w:t>
      </w:r>
      <w:r w:rsidR="00F12512">
        <w:t>.</w:t>
      </w:r>
    </w:p>
    <w:p w14:paraId="5A817A86" w14:textId="441460A6" w:rsidR="00F12512" w:rsidRDefault="00F12512" w:rsidP="00F12512">
      <w:pPr>
        <w:pStyle w:val="Heading2"/>
        <w:tabs>
          <w:tab w:val="clear" w:pos="720"/>
        </w:tabs>
        <w:ind w:left="576" w:hanging="576"/>
      </w:pPr>
      <w:r>
        <w:t>The Supplier’s staff assigned to the Contract</w:t>
      </w:r>
      <w:r w:rsidRPr="002E7082">
        <w:t xml:space="preserve"> </w:t>
      </w:r>
      <w:r w:rsidR="00462879">
        <w:t>must</w:t>
      </w:r>
      <w:r>
        <w:t xml:space="preserve"> have the </w:t>
      </w:r>
      <w:r w:rsidRPr="002E7082">
        <w:t>relevant qualifications and experience to deliver</w:t>
      </w:r>
      <w:r>
        <w:t xml:space="preserve"> the Contract. The Authority does not prescribe any single set of minimum requirements in terms of skills or qualifications, but the </w:t>
      </w:r>
      <w:r w:rsidR="00462879">
        <w:t>Supplier</w:t>
      </w:r>
      <w:r>
        <w:t xml:space="preserve"> must demonstrate </w:t>
      </w:r>
      <w:r w:rsidR="00462879">
        <w:t xml:space="preserve">that </w:t>
      </w:r>
      <w:r>
        <w:t>their delivery team contains staff with sufficient expertise and skills.</w:t>
      </w:r>
    </w:p>
    <w:p w14:paraId="3446501B" w14:textId="2F621934" w:rsidR="00F12512" w:rsidRDefault="00F12512" w:rsidP="00F12512">
      <w:pPr>
        <w:pStyle w:val="Heading2"/>
        <w:tabs>
          <w:tab w:val="clear" w:pos="720"/>
        </w:tabs>
        <w:ind w:left="576" w:hanging="576"/>
      </w:pPr>
      <w:r w:rsidRPr="002E7082">
        <w:t xml:space="preserve">The </w:t>
      </w:r>
      <w:r>
        <w:t>Supplier</w:t>
      </w:r>
      <w:r w:rsidRPr="002E7082">
        <w:t xml:space="preserve"> </w:t>
      </w:r>
      <w:r w:rsidR="00462879">
        <w:t>must</w:t>
      </w:r>
      <w:r w:rsidRPr="002E7082">
        <w:t xml:space="preserve"> ensure that </w:t>
      </w:r>
      <w:r>
        <w:t>staff understand</w:t>
      </w:r>
      <w:r w:rsidRPr="002E7082">
        <w:t xml:space="preserve"> the</w:t>
      </w:r>
      <w:r>
        <w:t xml:space="preserve"> Authority’s</w:t>
      </w:r>
      <w:r w:rsidRPr="002E7082">
        <w:t xml:space="preserve"> vi</w:t>
      </w:r>
      <w:r>
        <w:t>sion and objectives and will provide</w:t>
      </w:r>
      <w:r w:rsidRPr="002E7082">
        <w:t xml:space="preserve"> excellent customer service to the </w:t>
      </w:r>
      <w:r>
        <w:t>Authority</w:t>
      </w:r>
      <w:r w:rsidRPr="002E7082">
        <w:t xml:space="preserve"> throughout </w:t>
      </w:r>
      <w:r>
        <w:t>the duration of the Contract.</w:t>
      </w:r>
    </w:p>
    <w:p w14:paraId="087BE518" w14:textId="77777777" w:rsidR="00F12512" w:rsidRPr="00E81B12" w:rsidRDefault="00F12512" w:rsidP="00F12512">
      <w:pPr>
        <w:pStyle w:val="Heading1"/>
        <w:tabs>
          <w:tab w:val="clear" w:pos="720"/>
          <w:tab w:val="left" w:pos="1134"/>
        </w:tabs>
        <w:ind w:left="432" w:hanging="432"/>
        <w:rPr>
          <w:rFonts w:cs="Arial"/>
          <w:szCs w:val="22"/>
        </w:rPr>
      </w:pPr>
      <w:bookmarkStart w:id="128" w:name="_Toc368573039"/>
      <w:bookmarkStart w:id="129" w:name="_Toc500940808"/>
      <w:r w:rsidRPr="00E81B12">
        <w:rPr>
          <w:rFonts w:cs="Arial"/>
          <w:szCs w:val="22"/>
        </w:rPr>
        <w:t>service levels and performance</w:t>
      </w:r>
      <w:bookmarkEnd w:id="128"/>
      <w:bookmarkEnd w:id="129"/>
    </w:p>
    <w:p w14:paraId="14106F90" w14:textId="22F7728F" w:rsidR="00F12512" w:rsidRDefault="00F12512" w:rsidP="00F12512">
      <w:pPr>
        <w:pStyle w:val="Heading2"/>
        <w:tabs>
          <w:tab w:val="clear" w:pos="720"/>
        </w:tabs>
        <w:ind w:left="576" w:hanging="576"/>
      </w:pPr>
      <w:r>
        <w:t xml:space="preserve">Where there are any milestones in brackets, these are relating back to Section </w:t>
      </w:r>
      <w:r w:rsidR="00462879">
        <w:t>3</w:t>
      </w:r>
      <w:r>
        <w:t xml:space="preserve"> of this </w:t>
      </w:r>
      <w:r w:rsidR="00462879">
        <w:t>Annex</w:t>
      </w:r>
      <w:r>
        <w:t xml:space="preserve">. </w:t>
      </w:r>
    </w:p>
    <w:p w14:paraId="5594905F" w14:textId="77777777" w:rsidR="00F12512" w:rsidRDefault="00F12512" w:rsidP="00F12512">
      <w:pPr>
        <w:pStyle w:val="Heading2"/>
        <w:tabs>
          <w:tab w:val="clear" w:pos="720"/>
        </w:tabs>
        <w:ind w:left="576" w:hanging="576"/>
      </w:pPr>
      <w:r>
        <w:t xml:space="preserve"> The Authority will measure the quality of the Supplier’s delivery by:</w:t>
      </w:r>
    </w:p>
    <w:tbl>
      <w:tblPr>
        <w:tblStyle w:val="TableGrid"/>
        <w:tblW w:w="8826" w:type="dxa"/>
        <w:tblInd w:w="279" w:type="dxa"/>
        <w:tblLook w:val="04A0" w:firstRow="1" w:lastRow="0" w:firstColumn="1" w:lastColumn="0" w:noHBand="0" w:noVBand="1"/>
      </w:tblPr>
      <w:tblGrid>
        <w:gridCol w:w="1353"/>
        <w:gridCol w:w="1513"/>
        <w:gridCol w:w="3467"/>
        <w:gridCol w:w="2493"/>
      </w:tblGrid>
      <w:tr w:rsidR="00F12512" w14:paraId="386251AA" w14:textId="77777777" w:rsidTr="00170C4E">
        <w:tc>
          <w:tcPr>
            <w:tcW w:w="1353" w:type="dxa"/>
            <w:shd w:val="clear" w:color="auto" w:fill="DBE5F1" w:themeFill="accent1" w:themeFillTint="33"/>
          </w:tcPr>
          <w:p w14:paraId="3F737B08" w14:textId="77777777" w:rsidR="00F12512" w:rsidRDefault="00F12512" w:rsidP="00170C4E">
            <w:pPr>
              <w:pStyle w:val="Heading2"/>
              <w:numPr>
                <w:ilvl w:val="0"/>
                <w:numId w:val="0"/>
              </w:numPr>
              <w:tabs>
                <w:tab w:val="left" w:pos="1134"/>
              </w:tabs>
              <w:jc w:val="center"/>
              <w:outlineLvl w:val="1"/>
            </w:pPr>
            <w:r>
              <w:t>KPI/SLA</w:t>
            </w:r>
          </w:p>
          <w:p w14:paraId="4C43B8AC" w14:textId="77777777" w:rsidR="00F12512" w:rsidRDefault="00F12512" w:rsidP="00170C4E">
            <w:pPr>
              <w:pStyle w:val="Heading2"/>
              <w:numPr>
                <w:ilvl w:val="0"/>
                <w:numId w:val="0"/>
              </w:numPr>
              <w:tabs>
                <w:tab w:val="left" w:pos="1134"/>
              </w:tabs>
              <w:jc w:val="center"/>
              <w:outlineLvl w:val="1"/>
            </w:pPr>
            <w:r>
              <w:t>KPI/SLA</w:t>
            </w:r>
          </w:p>
        </w:tc>
        <w:tc>
          <w:tcPr>
            <w:tcW w:w="1513" w:type="dxa"/>
            <w:shd w:val="clear" w:color="auto" w:fill="DBE5F1" w:themeFill="accent1" w:themeFillTint="33"/>
          </w:tcPr>
          <w:p w14:paraId="5D10855C" w14:textId="77777777" w:rsidR="00F12512" w:rsidRDefault="00F12512" w:rsidP="00170C4E">
            <w:pPr>
              <w:pStyle w:val="Heading2"/>
              <w:numPr>
                <w:ilvl w:val="0"/>
                <w:numId w:val="0"/>
              </w:numPr>
              <w:tabs>
                <w:tab w:val="left" w:pos="1134"/>
              </w:tabs>
              <w:jc w:val="center"/>
              <w:outlineLvl w:val="1"/>
            </w:pPr>
            <w:r>
              <w:t>Service Area</w:t>
            </w:r>
          </w:p>
        </w:tc>
        <w:tc>
          <w:tcPr>
            <w:tcW w:w="3467" w:type="dxa"/>
            <w:shd w:val="clear" w:color="auto" w:fill="DBE5F1" w:themeFill="accent1" w:themeFillTint="33"/>
          </w:tcPr>
          <w:p w14:paraId="5DD90352" w14:textId="77777777" w:rsidR="00F12512" w:rsidRDefault="00F12512" w:rsidP="00170C4E">
            <w:pPr>
              <w:pStyle w:val="Heading2"/>
              <w:numPr>
                <w:ilvl w:val="0"/>
                <w:numId w:val="0"/>
              </w:numPr>
              <w:tabs>
                <w:tab w:val="left" w:pos="1134"/>
              </w:tabs>
              <w:jc w:val="center"/>
              <w:outlineLvl w:val="1"/>
            </w:pPr>
            <w:r>
              <w:t>KPI/SLA description</w:t>
            </w:r>
          </w:p>
        </w:tc>
        <w:tc>
          <w:tcPr>
            <w:tcW w:w="2493" w:type="dxa"/>
            <w:shd w:val="clear" w:color="auto" w:fill="DBE5F1" w:themeFill="accent1" w:themeFillTint="33"/>
          </w:tcPr>
          <w:p w14:paraId="69614604" w14:textId="77777777" w:rsidR="00F12512" w:rsidRDefault="00F12512" w:rsidP="00170C4E">
            <w:pPr>
              <w:pStyle w:val="Heading2"/>
              <w:numPr>
                <w:ilvl w:val="0"/>
                <w:numId w:val="0"/>
              </w:numPr>
              <w:tabs>
                <w:tab w:val="left" w:pos="1134"/>
              </w:tabs>
              <w:jc w:val="center"/>
              <w:outlineLvl w:val="1"/>
            </w:pPr>
            <w:r>
              <w:t>Target</w:t>
            </w:r>
          </w:p>
          <w:p w14:paraId="53C7F080" w14:textId="77777777" w:rsidR="00F12512" w:rsidRDefault="00F12512" w:rsidP="00170C4E">
            <w:pPr>
              <w:pStyle w:val="Heading2"/>
              <w:numPr>
                <w:ilvl w:val="0"/>
                <w:numId w:val="0"/>
              </w:numPr>
              <w:tabs>
                <w:tab w:val="left" w:pos="1134"/>
              </w:tabs>
              <w:jc w:val="center"/>
              <w:outlineLvl w:val="1"/>
            </w:pPr>
          </w:p>
        </w:tc>
      </w:tr>
      <w:tr w:rsidR="00F12512" w14:paraId="2AD617AB" w14:textId="77777777" w:rsidTr="00170C4E">
        <w:tc>
          <w:tcPr>
            <w:tcW w:w="1353" w:type="dxa"/>
          </w:tcPr>
          <w:p w14:paraId="2EE3C791" w14:textId="01B23304" w:rsidR="00F12512" w:rsidRDefault="00F12512" w:rsidP="00170C4E">
            <w:pPr>
              <w:pStyle w:val="Heading2"/>
              <w:numPr>
                <w:ilvl w:val="0"/>
                <w:numId w:val="0"/>
              </w:numPr>
              <w:tabs>
                <w:tab w:val="left" w:pos="1134"/>
              </w:tabs>
              <w:jc w:val="left"/>
              <w:outlineLvl w:val="1"/>
            </w:pPr>
            <w:r>
              <w:t>1</w:t>
            </w:r>
          </w:p>
        </w:tc>
        <w:tc>
          <w:tcPr>
            <w:tcW w:w="1513" w:type="dxa"/>
          </w:tcPr>
          <w:p w14:paraId="736BD339" w14:textId="77777777" w:rsidR="00F12512" w:rsidRDefault="00F12512" w:rsidP="00170C4E">
            <w:pPr>
              <w:pStyle w:val="Heading2"/>
              <w:numPr>
                <w:ilvl w:val="0"/>
                <w:numId w:val="0"/>
              </w:numPr>
              <w:tabs>
                <w:tab w:val="left" w:pos="1134"/>
              </w:tabs>
              <w:jc w:val="left"/>
              <w:outlineLvl w:val="1"/>
            </w:pPr>
            <w:r>
              <w:t xml:space="preserve">Agreed approach </w:t>
            </w:r>
          </w:p>
        </w:tc>
        <w:tc>
          <w:tcPr>
            <w:tcW w:w="3467" w:type="dxa"/>
          </w:tcPr>
          <w:p w14:paraId="0A9331D7" w14:textId="77777777" w:rsidR="00F12512" w:rsidRDefault="00F12512" w:rsidP="00170C4E">
            <w:pPr>
              <w:pStyle w:val="Heading2"/>
              <w:numPr>
                <w:ilvl w:val="0"/>
                <w:numId w:val="0"/>
              </w:numPr>
              <w:tabs>
                <w:tab w:val="left" w:pos="1134"/>
              </w:tabs>
              <w:jc w:val="left"/>
              <w:outlineLvl w:val="1"/>
            </w:pPr>
            <w:r>
              <w:t xml:space="preserve">An inception report to be provided, and agreed by the Authority, clarifying the approach to be taken, along with a plan setting out key milestones and dates for deliverables, risks and how these will be managed.  </w:t>
            </w:r>
          </w:p>
        </w:tc>
        <w:tc>
          <w:tcPr>
            <w:tcW w:w="2493" w:type="dxa"/>
            <w:shd w:val="clear" w:color="auto" w:fill="auto"/>
          </w:tcPr>
          <w:p w14:paraId="4BEBA998" w14:textId="77777777" w:rsidR="00F12512" w:rsidDel="008D663F" w:rsidRDefault="00F12512" w:rsidP="00170C4E">
            <w:pPr>
              <w:pStyle w:val="Heading2"/>
              <w:numPr>
                <w:ilvl w:val="0"/>
                <w:numId w:val="0"/>
              </w:numPr>
              <w:tabs>
                <w:tab w:val="left" w:pos="1134"/>
              </w:tabs>
              <w:jc w:val="left"/>
              <w:outlineLvl w:val="1"/>
            </w:pPr>
            <w:r w:rsidRPr="001C2769">
              <w:t xml:space="preserve">Within week 2 of contract award </w:t>
            </w:r>
          </w:p>
        </w:tc>
      </w:tr>
      <w:tr w:rsidR="00F12512" w14:paraId="557D3415" w14:textId="77777777" w:rsidTr="00170C4E">
        <w:tc>
          <w:tcPr>
            <w:tcW w:w="1353" w:type="dxa"/>
          </w:tcPr>
          <w:p w14:paraId="7256C0BA" w14:textId="2C5BE311" w:rsidR="00F12512" w:rsidRDefault="00F12512" w:rsidP="00170C4E">
            <w:pPr>
              <w:pStyle w:val="Heading2"/>
              <w:numPr>
                <w:ilvl w:val="0"/>
                <w:numId w:val="0"/>
              </w:numPr>
              <w:tabs>
                <w:tab w:val="left" w:pos="1134"/>
              </w:tabs>
              <w:jc w:val="left"/>
              <w:outlineLvl w:val="1"/>
            </w:pPr>
            <w:r>
              <w:t>2</w:t>
            </w:r>
          </w:p>
        </w:tc>
        <w:tc>
          <w:tcPr>
            <w:tcW w:w="1513" w:type="dxa"/>
          </w:tcPr>
          <w:p w14:paraId="052C95F6" w14:textId="77777777" w:rsidR="00F12512" w:rsidRDefault="00F12512" w:rsidP="00170C4E">
            <w:pPr>
              <w:pStyle w:val="Heading2"/>
              <w:numPr>
                <w:ilvl w:val="0"/>
                <w:numId w:val="0"/>
              </w:numPr>
              <w:tabs>
                <w:tab w:val="left" w:pos="1134"/>
              </w:tabs>
              <w:jc w:val="left"/>
              <w:outlineLvl w:val="1"/>
            </w:pPr>
            <w:r>
              <w:t>Attendance at fortnightly updates</w:t>
            </w:r>
          </w:p>
        </w:tc>
        <w:tc>
          <w:tcPr>
            <w:tcW w:w="3467" w:type="dxa"/>
          </w:tcPr>
          <w:p w14:paraId="1A81B18C" w14:textId="77777777" w:rsidR="00F12512" w:rsidRDefault="00F12512" w:rsidP="00170C4E">
            <w:pPr>
              <w:pStyle w:val="Heading2"/>
              <w:numPr>
                <w:ilvl w:val="0"/>
                <w:numId w:val="0"/>
              </w:numPr>
              <w:tabs>
                <w:tab w:val="left" w:pos="1134"/>
              </w:tabs>
              <w:jc w:val="left"/>
              <w:outlineLvl w:val="1"/>
            </w:pPr>
            <w:r>
              <w:t>The Supplier will attend all fortnightly meetings. If the Supplier is unable to attend a scheduled meeting they will alert the Authority and reschedule with at least 1 weeks’ notice.</w:t>
            </w:r>
          </w:p>
        </w:tc>
        <w:tc>
          <w:tcPr>
            <w:tcW w:w="2493" w:type="dxa"/>
          </w:tcPr>
          <w:p w14:paraId="7C84FDA8" w14:textId="77777777" w:rsidR="00F12512" w:rsidRPr="00C64664" w:rsidRDefault="00F12512" w:rsidP="00170C4E">
            <w:pPr>
              <w:pStyle w:val="Heading2"/>
              <w:numPr>
                <w:ilvl w:val="0"/>
                <w:numId w:val="0"/>
              </w:numPr>
              <w:tabs>
                <w:tab w:val="left" w:pos="1134"/>
              </w:tabs>
              <w:jc w:val="left"/>
              <w:outlineLvl w:val="1"/>
            </w:pPr>
            <w:r>
              <w:t>98%</w:t>
            </w:r>
          </w:p>
          <w:p w14:paraId="1503FFE8" w14:textId="77777777" w:rsidR="00F12512" w:rsidRDefault="00F12512" w:rsidP="00170C4E">
            <w:pPr>
              <w:pStyle w:val="Heading2"/>
              <w:numPr>
                <w:ilvl w:val="0"/>
                <w:numId w:val="0"/>
              </w:numPr>
              <w:tabs>
                <w:tab w:val="left" w:pos="1134"/>
              </w:tabs>
              <w:jc w:val="left"/>
              <w:outlineLvl w:val="1"/>
            </w:pPr>
          </w:p>
        </w:tc>
      </w:tr>
      <w:tr w:rsidR="00F12512" w14:paraId="6AB488FB" w14:textId="77777777" w:rsidTr="00170C4E">
        <w:tc>
          <w:tcPr>
            <w:tcW w:w="1353" w:type="dxa"/>
          </w:tcPr>
          <w:p w14:paraId="3F43EA70" w14:textId="5C22C903" w:rsidR="00F12512" w:rsidRDefault="00F12512" w:rsidP="00170C4E">
            <w:pPr>
              <w:pStyle w:val="Heading2"/>
              <w:numPr>
                <w:ilvl w:val="0"/>
                <w:numId w:val="0"/>
              </w:numPr>
              <w:tabs>
                <w:tab w:val="left" w:pos="1134"/>
              </w:tabs>
              <w:jc w:val="left"/>
              <w:outlineLvl w:val="1"/>
            </w:pPr>
            <w:r>
              <w:t>3</w:t>
            </w:r>
          </w:p>
        </w:tc>
        <w:tc>
          <w:tcPr>
            <w:tcW w:w="1513" w:type="dxa"/>
          </w:tcPr>
          <w:p w14:paraId="2B85983D" w14:textId="77777777" w:rsidR="00F12512" w:rsidRDefault="00F12512" w:rsidP="00170C4E">
            <w:pPr>
              <w:pStyle w:val="Heading2"/>
              <w:numPr>
                <w:ilvl w:val="0"/>
                <w:numId w:val="0"/>
              </w:numPr>
              <w:tabs>
                <w:tab w:val="left" w:pos="1134"/>
              </w:tabs>
              <w:jc w:val="left"/>
              <w:outlineLvl w:val="1"/>
            </w:pPr>
            <w:r>
              <w:t>Responding to queries</w:t>
            </w:r>
          </w:p>
        </w:tc>
        <w:tc>
          <w:tcPr>
            <w:tcW w:w="3467" w:type="dxa"/>
          </w:tcPr>
          <w:p w14:paraId="3F2E35ED" w14:textId="77777777" w:rsidR="00F12512" w:rsidRDefault="00F12512" w:rsidP="00170C4E">
            <w:pPr>
              <w:pStyle w:val="Heading2"/>
              <w:numPr>
                <w:ilvl w:val="0"/>
                <w:numId w:val="0"/>
              </w:numPr>
              <w:tabs>
                <w:tab w:val="left" w:pos="1134"/>
              </w:tabs>
              <w:jc w:val="left"/>
              <w:outlineLvl w:val="1"/>
            </w:pPr>
            <w:r>
              <w:t>The Supplier will respond to any query from the Authority within 48 hours.</w:t>
            </w:r>
          </w:p>
        </w:tc>
        <w:tc>
          <w:tcPr>
            <w:tcW w:w="2493" w:type="dxa"/>
          </w:tcPr>
          <w:p w14:paraId="6AD78FCD" w14:textId="77777777" w:rsidR="00F12512" w:rsidRDefault="00F12512" w:rsidP="00170C4E">
            <w:pPr>
              <w:pStyle w:val="Heading2"/>
              <w:numPr>
                <w:ilvl w:val="0"/>
                <w:numId w:val="0"/>
              </w:numPr>
              <w:tabs>
                <w:tab w:val="left" w:pos="1134"/>
              </w:tabs>
              <w:jc w:val="left"/>
              <w:outlineLvl w:val="1"/>
            </w:pPr>
            <w:r>
              <w:t>98%</w:t>
            </w:r>
          </w:p>
        </w:tc>
      </w:tr>
      <w:tr w:rsidR="00F12512" w14:paraId="554DD4B3" w14:textId="77777777" w:rsidTr="00170C4E">
        <w:tc>
          <w:tcPr>
            <w:tcW w:w="1353" w:type="dxa"/>
          </w:tcPr>
          <w:p w14:paraId="2AF7F966" w14:textId="144F8B0B" w:rsidR="00F12512" w:rsidRDefault="00195B69" w:rsidP="00170C4E">
            <w:pPr>
              <w:pStyle w:val="Heading2"/>
              <w:numPr>
                <w:ilvl w:val="0"/>
                <w:numId w:val="0"/>
              </w:numPr>
              <w:tabs>
                <w:tab w:val="left" w:pos="1134"/>
              </w:tabs>
              <w:jc w:val="left"/>
              <w:outlineLvl w:val="1"/>
            </w:pPr>
            <w:r>
              <w:t>4</w:t>
            </w:r>
          </w:p>
        </w:tc>
        <w:tc>
          <w:tcPr>
            <w:tcW w:w="1513" w:type="dxa"/>
          </w:tcPr>
          <w:p w14:paraId="06278D55" w14:textId="77777777" w:rsidR="00F12512" w:rsidRDefault="00F12512" w:rsidP="00170C4E">
            <w:pPr>
              <w:pStyle w:val="Heading2"/>
              <w:numPr>
                <w:ilvl w:val="0"/>
                <w:numId w:val="0"/>
              </w:numPr>
              <w:tabs>
                <w:tab w:val="left" w:pos="1134"/>
              </w:tabs>
              <w:jc w:val="left"/>
              <w:outlineLvl w:val="1"/>
            </w:pPr>
            <w:r>
              <w:t>Amendments to drafts</w:t>
            </w:r>
          </w:p>
        </w:tc>
        <w:tc>
          <w:tcPr>
            <w:tcW w:w="3467" w:type="dxa"/>
          </w:tcPr>
          <w:p w14:paraId="3665B019" w14:textId="77777777" w:rsidR="00F12512" w:rsidRDefault="00F12512" w:rsidP="00170C4E">
            <w:pPr>
              <w:pStyle w:val="Heading2"/>
              <w:numPr>
                <w:ilvl w:val="0"/>
                <w:numId w:val="0"/>
              </w:numPr>
              <w:tabs>
                <w:tab w:val="left" w:pos="720"/>
                <w:tab w:val="left" w:pos="1134"/>
              </w:tabs>
              <w:contextualSpacing/>
              <w:jc w:val="left"/>
              <w:outlineLvl w:val="1"/>
            </w:pPr>
            <w:r>
              <w:t>Following comments from the Authority, the Supplier will make minor amendments to drafts within 1 week and major amendments within 2 weeks.</w:t>
            </w:r>
          </w:p>
        </w:tc>
        <w:tc>
          <w:tcPr>
            <w:tcW w:w="2493" w:type="dxa"/>
          </w:tcPr>
          <w:p w14:paraId="76218E17" w14:textId="77777777" w:rsidR="00F12512" w:rsidRPr="004578C1" w:rsidRDefault="00F12512" w:rsidP="00170C4E">
            <w:pPr>
              <w:pStyle w:val="Heading2"/>
              <w:numPr>
                <w:ilvl w:val="0"/>
                <w:numId w:val="0"/>
              </w:numPr>
              <w:tabs>
                <w:tab w:val="left" w:pos="1134"/>
              </w:tabs>
              <w:jc w:val="left"/>
              <w:outlineLvl w:val="1"/>
            </w:pPr>
            <w:r>
              <w:t>98%</w:t>
            </w:r>
          </w:p>
          <w:p w14:paraId="0054EE7D" w14:textId="77777777" w:rsidR="00F12512" w:rsidRDefault="00F12512" w:rsidP="00170C4E">
            <w:pPr>
              <w:pStyle w:val="Heading2"/>
              <w:numPr>
                <w:ilvl w:val="0"/>
                <w:numId w:val="0"/>
              </w:numPr>
              <w:tabs>
                <w:tab w:val="left" w:pos="1134"/>
              </w:tabs>
              <w:jc w:val="left"/>
              <w:outlineLvl w:val="1"/>
            </w:pPr>
          </w:p>
        </w:tc>
      </w:tr>
    </w:tbl>
    <w:p w14:paraId="25E5C613" w14:textId="77777777" w:rsidR="00F12512" w:rsidRPr="00334118" w:rsidRDefault="00F12512" w:rsidP="00F12512">
      <w:pPr>
        <w:pStyle w:val="Heading2"/>
        <w:tabs>
          <w:tab w:val="clear" w:pos="720"/>
        </w:tabs>
        <w:spacing w:before="240"/>
        <w:ind w:left="576" w:hanging="576"/>
      </w:pPr>
      <w:r w:rsidRPr="00334118">
        <w:t>The Supplier</w:t>
      </w:r>
      <w:r>
        <w:t>’</w:t>
      </w:r>
      <w:r w:rsidRPr="00334118">
        <w:t>s performance will be monitored and assessed through regular project update meetings with the Project Manager, review of progress against the agreed project timeline and through review of deliverable products. Meetings with the Project Manager will occur at least once in every 2 week period.</w:t>
      </w:r>
    </w:p>
    <w:p w14:paraId="7AEC901B" w14:textId="77777777" w:rsidR="00F12512" w:rsidRPr="00334118" w:rsidRDefault="00F12512" w:rsidP="00F12512">
      <w:pPr>
        <w:pStyle w:val="Heading2"/>
        <w:tabs>
          <w:tab w:val="clear" w:pos="720"/>
        </w:tabs>
        <w:ind w:left="576" w:hanging="576"/>
      </w:pPr>
      <w:r w:rsidRPr="00334118">
        <w:t>Where the Authority identifies poor performance against the agreed SLA’s, the Supplier shall be required to attend a performance review meeting. The performance review meeting shall be at an agreed time no later than 5 working days from the date of notification at the Authority’s premises.</w:t>
      </w:r>
    </w:p>
    <w:p w14:paraId="60614767" w14:textId="77777777" w:rsidR="00F12512" w:rsidRPr="00334118" w:rsidRDefault="00F12512" w:rsidP="00F12512">
      <w:pPr>
        <w:pStyle w:val="Heading2"/>
        <w:tabs>
          <w:tab w:val="clear" w:pos="720"/>
        </w:tabs>
        <w:ind w:left="576" w:hanging="576"/>
      </w:pPr>
      <w:r w:rsidRPr="00334118">
        <w:t>The Supplier shall be required to provide a full incident report, which describes the issues and identifies the causes. The Supplier will also be required to prepare a full and robust ‘Service Improvement Action Plan’, which sets out its proposals to remedy the service failure. The Service Improvement Plan shall be subject to amendment following the performance review meeting and agreed by both parties prior to implementation.</w:t>
      </w:r>
    </w:p>
    <w:p w14:paraId="0EFD3454" w14:textId="77777777" w:rsidR="00F12512" w:rsidRDefault="00F12512" w:rsidP="00F12512">
      <w:pPr>
        <w:pStyle w:val="Heading1"/>
        <w:tabs>
          <w:tab w:val="clear" w:pos="720"/>
          <w:tab w:val="left" w:pos="1134"/>
        </w:tabs>
        <w:spacing w:after="120"/>
        <w:ind w:left="432" w:hanging="432"/>
      </w:pPr>
      <w:bookmarkStart w:id="130" w:name="_Toc368573040"/>
      <w:bookmarkStart w:id="131" w:name="_Toc500940809"/>
      <w:r>
        <w:t>Security requirements</w:t>
      </w:r>
      <w:bookmarkEnd w:id="130"/>
      <w:bookmarkEnd w:id="131"/>
    </w:p>
    <w:p w14:paraId="22CD424D" w14:textId="77777777" w:rsidR="00F12512" w:rsidRPr="00E76DDB" w:rsidRDefault="00F12512" w:rsidP="00F12512">
      <w:pPr>
        <w:pStyle w:val="Heading2"/>
        <w:tabs>
          <w:tab w:val="clear" w:pos="720"/>
          <w:tab w:val="left" w:pos="1134"/>
        </w:tabs>
        <w:ind w:left="576" w:hanging="576"/>
      </w:pPr>
      <w:r>
        <w:t>Due care must be taken by the Supplier to protect the confidentiality of all analysis and outputs (including in development and draft phases) relating to this requirement, to avoid pre-empting the Authority’s placement of the final report in the public domain.</w:t>
      </w:r>
    </w:p>
    <w:p w14:paraId="377537E6" w14:textId="77777777" w:rsidR="00F12512" w:rsidRDefault="00F12512" w:rsidP="00F12512">
      <w:pPr>
        <w:pStyle w:val="Heading1"/>
        <w:tabs>
          <w:tab w:val="clear" w:pos="720"/>
          <w:tab w:val="left" w:pos="1134"/>
        </w:tabs>
        <w:spacing w:after="120"/>
        <w:ind w:left="432" w:hanging="432"/>
        <w:rPr>
          <w:rFonts w:cs="Arial"/>
          <w:szCs w:val="22"/>
        </w:rPr>
      </w:pPr>
      <w:bookmarkStart w:id="132" w:name="_Toc368573041"/>
      <w:bookmarkStart w:id="133" w:name="_Toc500940810"/>
      <w:r>
        <w:rPr>
          <w:rFonts w:cs="Arial"/>
          <w:szCs w:val="22"/>
        </w:rPr>
        <w:t>intellectual property rights (ipr)</w:t>
      </w:r>
      <w:bookmarkEnd w:id="132"/>
      <w:bookmarkEnd w:id="133"/>
    </w:p>
    <w:p w14:paraId="26EE47AD" w14:textId="3B038D71" w:rsidR="00F12512" w:rsidRPr="00D73062" w:rsidRDefault="00F12512" w:rsidP="00F12512">
      <w:pPr>
        <w:pStyle w:val="Heading2"/>
        <w:tabs>
          <w:tab w:val="clear" w:pos="720"/>
        </w:tabs>
        <w:ind w:left="576" w:hanging="576"/>
      </w:pPr>
      <w:r w:rsidRPr="003B004C">
        <w:t xml:space="preserve">All analysis </w:t>
      </w:r>
      <w:r>
        <w:t>(including any calculations, main assumptions and model descriptions</w:t>
      </w:r>
      <w:r w:rsidRPr="003B004C">
        <w:t xml:space="preserve">) used to generate the outputs should be provided to the </w:t>
      </w:r>
      <w:r>
        <w:t>Authority</w:t>
      </w:r>
      <w:r w:rsidRPr="00D73062">
        <w:t xml:space="preserve"> for future use.</w:t>
      </w:r>
      <w:r>
        <w:t xml:space="preserve"> </w:t>
      </w:r>
      <w:r w:rsidRPr="008442CD">
        <w:t>This analysis, and the interim and final reports, will b</w:t>
      </w:r>
      <w:r>
        <w:t xml:space="preserve">e the property of the Authority. </w:t>
      </w:r>
      <w:r w:rsidRPr="008442CD">
        <w:t xml:space="preserve">The </w:t>
      </w:r>
      <w:r>
        <w:t>Supplier</w:t>
      </w:r>
      <w:r w:rsidRPr="008442CD">
        <w:t xml:space="preserve"> must not disclose the report (either in part or in full) to any third parties prior to publication by the </w:t>
      </w:r>
      <w:r>
        <w:t xml:space="preserve">Authority, unless the Authority </w:t>
      </w:r>
      <w:r w:rsidRPr="008442CD">
        <w:t>g</w:t>
      </w:r>
      <w:r>
        <w:t>ives express</w:t>
      </w:r>
      <w:r w:rsidR="00462879">
        <w:t>ed</w:t>
      </w:r>
      <w:r>
        <w:t xml:space="preserve"> consent </w:t>
      </w:r>
      <w:r w:rsidR="00462879">
        <w:t xml:space="preserve">in writing </w:t>
      </w:r>
      <w:r>
        <w:t>to do so.</w:t>
      </w:r>
    </w:p>
    <w:p w14:paraId="1E407883" w14:textId="77777777" w:rsidR="00F12512" w:rsidRPr="00874062" w:rsidRDefault="00F12512" w:rsidP="00F12512">
      <w:pPr>
        <w:pStyle w:val="Heading1"/>
        <w:tabs>
          <w:tab w:val="clear" w:pos="720"/>
          <w:tab w:val="left" w:pos="1134"/>
        </w:tabs>
        <w:spacing w:after="120"/>
        <w:ind w:left="432" w:hanging="432"/>
        <w:rPr>
          <w:rFonts w:cs="Arial"/>
          <w:szCs w:val="22"/>
        </w:rPr>
      </w:pPr>
      <w:bookmarkStart w:id="134" w:name="_Toc500940811"/>
      <w:bookmarkStart w:id="135" w:name="_Toc368573042"/>
      <w:r w:rsidRPr="00874062">
        <w:rPr>
          <w:rFonts w:cs="Arial"/>
          <w:szCs w:val="22"/>
        </w:rPr>
        <w:t>payment</w:t>
      </w:r>
      <w:bookmarkEnd w:id="134"/>
    </w:p>
    <w:p w14:paraId="2A5C0A11" w14:textId="04EA43AA" w:rsidR="00F12512" w:rsidRPr="00E654ED" w:rsidRDefault="00F12512" w:rsidP="00F12512">
      <w:pPr>
        <w:pStyle w:val="Heading2"/>
        <w:tabs>
          <w:tab w:val="clear" w:pos="720"/>
        </w:tabs>
        <w:ind w:left="576" w:hanging="576"/>
      </w:pPr>
      <w:r w:rsidRPr="00406AB9">
        <w:t xml:space="preserve">Payment </w:t>
      </w:r>
      <w:r w:rsidR="00462879">
        <w:t>will</w:t>
      </w:r>
      <w:r w:rsidRPr="00406AB9">
        <w:t xml:space="preserve"> only be made following satisfactory and timely delivery of pre-agreed certified products and deliverables.</w:t>
      </w:r>
      <w:r w:rsidRPr="00E654ED">
        <w:t xml:space="preserve"> </w:t>
      </w:r>
      <w:r w:rsidRPr="00406AB9">
        <w:t>Payment will be made in arrears, subject to invoice(s) being submitted for work carried out.</w:t>
      </w:r>
    </w:p>
    <w:p w14:paraId="27FAE4CD" w14:textId="284AB4EB" w:rsidR="00F12512" w:rsidRPr="00E654ED" w:rsidRDefault="00F12512" w:rsidP="00F12512">
      <w:pPr>
        <w:pStyle w:val="Heading2"/>
        <w:tabs>
          <w:tab w:val="clear" w:pos="720"/>
        </w:tabs>
        <w:ind w:left="576" w:hanging="576"/>
      </w:pPr>
      <w:r w:rsidRPr="00406AB9">
        <w:t>Before payment can be considered, invoice(s) must include a detailed elemental breakdown of work completed and the associated costs.</w:t>
      </w:r>
      <w:r>
        <w:t xml:space="preserve"> The address for invoices </w:t>
      </w:r>
      <w:r w:rsidR="00462879">
        <w:t>is</w:t>
      </w:r>
      <w:r>
        <w:t xml:space="preserve">: </w:t>
      </w:r>
      <w:r w:rsidR="008236AF">
        <w:t>REDACTED</w:t>
      </w:r>
    </w:p>
    <w:p w14:paraId="5F284FE8" w14:textId="77777777" w:rsidR="00F12512" w:rsidRPr="00E76DDB" w:rsidRDefault="00F12512" w:rsidP="00F12512">
      <w:pPr>
        <w:pStyle w:val="Heading1"/>
        <w:tabs>
          <w:tab w:val="clear" w:pos="720"/>
          <w:tab w:val="left" w:pos="1134"/>
        </w:tabs>
        <w:spacing w:after="120"/>
        <w:ind w:left="432" w:hanging="432"/>
        <w:rPr>
          <w:rFonts w:cs="Arial"/>
          <w:szCs w:val="22"/>
        </w:rPr>
      </w:pPr>
      <w:bookmarkStart w:id="136" w:name="_Toc500940812"/>
      <w:r w:rsidRPr="00E76DDB">
        <w:rPr>
          <w:rFonts w:cs="Arial"/>
          <w:szCs w:val="22"/>
        </w:rPr>
        <w:t>additional information</w:t>
      </w:r>
      <w:bookmarkEnd w:id="135"/>
      <w:bookmarkEnd w:id="136"/>
      <w:r w:rsidRPr="00E76DDB">
        <w:rPr>
          <w:rFonts w:cs="Arial"/>
          <w:szCs w:val="22"/>
        </w:rPr>
        <w:t xml:space="preserve"> </w:t>
      </w:r>
    </w:p>
    <w:p w14:paraId="288E6368" w14:textId="53C31563" w:rsidR="00F12512" w:rsidRPr="00E76DDB" w:rsidRDefault="00F12512" w:rsidP="00F12512">
      <w:pPr>
        <w:pStyle w:val="Heading2"/>
        <w:tabs>
          <w:tab w:val="clear" w:pos="720"/>
        </w:tabs>
        <w:ind w:left="576" w:hanging="576"/>
      </w:pPr>
      <w:r w:rsidRPr="0007350B">
        <w:t xml:space="preserve">The </w:t>
      </w:r>
      <w:r w:rsidR="00462879">
        <w:t>Supplier must</w:t>
      </w:r>
      <w:r w:rsidRPr="0007350B">
        <w:t xml:space="preserve"> demonstrate they are open to working collaboratively with other </w:t>
      </w:r>
      <w:r>
        <w:t>s</w:t>
      </w:r>
      <w:r w:rsidRPr="0007350B">
        <w:t xml:space="preserve">uppliers, contracted by the </w:t>
      </w:r>
      <w:r>
        <w:t>Authority, in order</w:t>
      </w:r>
      <w:r w:rsidRPr="0007350B">
        <w:t xml:space="preserve"> to deliver related pieces of analysis.</w:t>
      </w:r>
    </w:p>
    <w:p w14:paraId="79884460" w14:textId="77777777" w:rsidR="00F12512" w:rsidRDefault="00F12512" w:rsidP="00F12512">
      <w:pPr>
        <w:pStyle w:val="Heading1"/>
        <w:tabs>
          <w:tab w:val="clear" w:pos="720"/>
          <w:tab w:val="left" w:pos="1134"/>
        </w:tabs>
        <w:spacing w:after="120"/>
        <w:ind w:left="432" w:hanging="432"/>
      </w:pPr>
      <w:bookmarkStart w:id="137" w:name="_Toc368573043"/>
      <w:bookmarkStart w:id="138" w:name="_Toc500940813"/>
      <w:bookmarkEnd w:id="115"/>
      <w:r>
        <w:t>Location</w:t>
      </w:r>
      <w:bookmarkEnd w:id="137"/>
      <w:bookmarkEnd w:id="138"/>
      <w:r>
        <w:t xml:space="preserve"> </w:t>
      </w:r>
    </w:p>
    <w:p w14:paraId="7BB40E88" w14:textId="3A0C5DD3" w:rsidR="00F12512" w:rsidRPr="002F4D97" w:rsidRDefault="00F12512" w:rsidP="00F12512">
      <w:pPr>
        <w:pStyle w:val="Heading2"/>
        <w:tabs>
          <w:tab w:val="clear" w:pos="720"/>
        </w:tabs>
        <w:ind w:left="576" w:hanging="576"/>
      </w:pPr>
      <w:r w:rsidRPr="00E76DDB">
        <w:t xml:space="preserve">The location of the Services will be carried out at </w:t>
      </w:r>
      <w:r>
        <w:t>the offices of the Supplier. H</w:t>
      </w:r>
      <w:r w:rsidRPr="00E76DDB">
        <w:t>owever</w:t>
      </w:r>
      <w:r>
        <w:t>,</w:t>
      </w:r>
      <w:r w:rsidRPr="00E76DDB">
        <w:t xml:space="preserve"> frequent meeting</w:t>
      </w:r>
      <w:r>
        <w:t>s</w:t>
      </w:r>
      <w:r w:rsidRPr="00E76DDB">
        <w:t xml:space="preserve"> will need to take place with the </w:t>
      </w:r>
      <w:r>
        <w:t>Authority</w:t>
      </w:r>
      <w:r w:rsidRPr="00E76DDB">
        <w:t xml:space="preserve"> </w:t>
      </w:r>
      <w:r>
        <w:t xml:space="preserve">at the Supplier’s offices, or at the Authority’s offices </w:t>
      </w:r>
      <w:r w:rsidR="00462879">
        <w:t>at,</w:t>
      </w:r>
      <w:r w:rsidRPr="002A72D9">
        <w:t xml:space="preserve"> </w:t>
      </w:r>
      <w:r w:rsidR="008236AF">
        <w:t>REDACTED</w:t>
      </w:r>
    </w:p>
    <w:p w14:paraId="5AAED2FE" w14:textId="4AA853EA" w:rsidR="00A649DF" w:rsidRPr="00174DC0" w:rsidRDefault="00A649DF" w:rsidP="00174DC0">
      <w:pPr>
        <w:pStyle w:val="ScheduleLevel1"/>
        <w:numPr>
          <w:ilvl w:val="0"/>
          <w:numId w:val="0"/>
        </w:numPr>
        <w:spacing w:after="120"/>
        <w:jc w:val="center"/>
        <w:rPr>
          <w:rFonts w:cs="Arial"/>
          <w:szCs w:val="22"/>
        </w:rPr>
      </w:pP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39" w:name="_Toc503448350"/>
      <w:r w:rsidRPr="001167A3">
        <w:rPr>
          <w:rFonts w:eastAsia="Times New Roman"/>
          <w:b/>
          <w:szCs w:val="22"/>
          <w:lang w:eastAsia="en-US"/>
        </w:rPr>
        <w:t>ANNEX 4 – SUPPLIERS RESPONSE</w:t>
      </w:r>
      <w:bookmarkEnd w:id="139"/>
    </w:p>
    <w:p w14:paraId="72819291" w14:textId="574C9932" w:rsidR="00E869FC" w:rsidRDefault="008236AF" w:rsidP="008236AF">
      <w:pPr>
        <w:widowControl w:val="0"/>
        <w:tabs>
          <w:tab w:val="num" w:pos="540"/>
        </w:tabs>
        <w:spacing w:after="100" w:afterAutospacing="1"/>
        <w:ind w:left="851" w:hanging="851"/>
        <w:jc w:val="center"/>
        <w:outlineLvl w:val="0"/>
        <w:rPr>
          <w:rFonts w:eastAsia="Times New Roman"/>
          <w:b/>
          <w:szCs w:val="22"/>
          <w:lang w:eastAsia="en-US"/>
        </w:rPr>
      </w:pPr>
      <w:bookmarkStart w:id="140" w:name="_Toc437243999"/>
      <w:r>
        <w:rPr>
          <w:rFonts w:eastAsia="Times New Roman"/>
          <w:b/>
          <w:szCs w:val="22"/>
          <w:lang w:eastAsia="en-US"/>
        </w:rPr>
        <w:t>REDACTED</w:t>
      </w:r>
    </w:p>
    <w:p w14:paraId="6FE0A99A" w14:textId="77777777" w:rsidR="00E869FC" w:rsidRDefault="00E869FC" w:rsidP="00E869FC">
      <w:pPr>
        <w:widowControl w:val="0"/>
        <w:tabs>
          <w:tab w:val="num" w:pos="540"/>
        </w:tabs>
        <w:spacing w:after="100" w:afterAutospacing="1"/>
        <w:ind w:left="851" w:hanging="851"/>
        <w:outlineLvl w:val="0"/>
        <w:rPr>
          <w:rFonts w:eastAsia="Times New Roman"/>
          <w:b/>
          <w:szCs w:val="22"/>
          <w:lang w:eastAsia="en-US"/>
        </w:rPr>
      </w:pPr>
    </w:p>
    <w:p w14:paraId="18D76C90" w14:textId="77777777" w:rsidR="00E869FC" w:rsidRDefault="00E869FC" w:rsidP="00E869FC">
      <w:pPr>
        <w:widowControl w:val="0"/>
        <w:tabs>
          <w:tab w:val="num" w:pos="540"/>
        </w:tabs>
        <w:spacing w:after="100" w:afterAutospacing="1"/>
        <w:ind w:left="851" w:hanging="851"/>
        <w:outlineLvl w:val="0"/>
        <w:rPr>
          <w:rFonts w:eastAsia="Times New Roman"/>
          <w:b/>
          <w:szCs w:val="22"/>
          <w:lang w:eastAsia="en-US"/>
        </w:rPr>
      </w:pPr>
    </w:p>
    <w:p w14:paraId="1B6C8E48" w14:textId="77777777" w:rsidR="00E869FC" w:rsidRDefault="00E869FC" w:rsidP="00E869FC">
      <w:pPr>
        <w:widowControl w:val="0"/>
        <w:tabs>
          <w:tab w:val="num" w:pos="540"/>
        </w:tabs>
        <w:spacing w:after="100" w:afterAutospacing="1"/>
        <w:ind w:left="851" w:hanging="851"/>
        <w:outlineLvl w:val="0"/>
        <w:rPr>
          <w:rFonts w:eastAsia="Times New Roman"/>
          <w:b/>
          <w:szCs w:val="22"/>
          <w:lang w:eastAsia="en-US"/>
        </w:rPr>
      </w:pPr>
    </w:p>
    <w:p w14:paraId="2E9B1BF3" w14:textId="77777777" w:rsidR="00E869FC" w:rsidRDefault="00E869FC" w:rsidP="00E869FC">
      <w:pPr>
        <w:widowControl w:val="0"/>
        <w:tabs>
          <w:tab w:val="num" w:pos="540"/>
        </w:tabs>
        <w:spacing w:after="100" w:afterAutospacing="1"/>
        <w:ind w:left="851" w:hanging="851"/>
        <w:outlineLvl w:val="0"/>
        <w:rPr>
          <w:rFonts w:eastAsia="Times New Roman"/>
          <w:b/>
          <w:szCs w:val="22"/>
          <w:lang w:eastAsia="en-US"/>
        </w:rPr>
      </w:pPr>
    </w:p>
    <w:p w14:paraId="0F8C112C" w14:textId="77777777" w:rsidR="00E869FC" w:rsidRDefault="00E869FC" w:rsidP="00E869FC">
      <w:pPr>
        <w:widowControl w:val="0"/>
        <w:tabs>
          <w:tab w:val="num" w:pos="540"/>
        </w:tabs>
        <w:spacing w:after="100" w:afterAutospacing="1"/>
        <w:ind w:left="851" w:hanging="851"/>
        <w:outlineLvl w:val="0"/>
        <w:rPr>
          <w:rFonts w:eastAsia="Times New Roman"/>
          <w:b/>
          <w:szCs w:val="22"/>
          <w:lang w:eastAsia="en-US"/>
        </w:rPr>
      </w:pPr>
    </w:p>
    <w:p w14:paraId="0B7B7AF0" w14:textId="77777777" w:rsidR="00E869FC" w:rsidRDefault="00E869FC" w:rsidP="00E869FC">
      <w:pPr>
        <w:widowControl w:val="0"/>
        <w:tabs>
          <w:tab w:val="num" w:pos="540"/>
        </w:tabs>
        <w:spacing w:after="100" w:afterAutospacing="1"/>
        <w:ind w:left="851" w:hanging="851"/>
        <w:outlineLvl w:val="0"/>
        <w:rPr>
          <w:rFonts w:eastAsia="Times New Roman"/>
          <w:b/>
          <w:szCs w:val="22"/>
          <w:lang w:eastAsia="en-US"/>
        </w:rPr>
      </w:pPr>
    </w:p>
    <w:p w14:paraId="1B27F446" w14:textId="77777777" w:rsidR="00E869FC" w:rsidRDefault="00E869FC" w:rsidP="00E869FC">
      <w:pPr>
        <w:widowControl w:val="0"/>
        <w:tabs>
          <w:tab w:val="num" w:pos="540"/>
        </w:tabs>
        <w:spacing w:after="100" w:afterAutospacing="1"/>
        <w:ind w:left="851" w:hanging="851"/>
        <w:outlineLvl w:val="0"/>
        <w:rPr>
          <w:rFonts w:eastAsia="Times New Roman"/>
          <w:b/>
          <w:szCs w:val="22"/>
          <w:lang w:eastAsia="en-US"/>
        </w:rPr>
      </w:pPr>
    </w:p>
    <w:p w14:paraId="66D2E5E9" w14:textId="77777777" w:rsidR="00E869FC" w:rsidRDefault="00E869FC" w:rsidP="00E869FC">
      <w:pPr>
        <w:widowControl w:val="0"/>
        <w:tabs>
          <w:tab w:val="num" w:pos="540"/>
        </w:tabs>
        <w:spacing w:after="100" w:afterAutospacing="1"/>
        <w:ind w:left="851" w:hanging="851"/>
        <w:outlineLvl w:val="0"/>
        <w:rPr>
          <w:rFonts w:eastAsia="Times New Roman"/>
          <w:b/>
          <w:szCs w:val="22"/>
          <w:lang w:eastAsia="en-US"/>
        </w:rPr>
      </w:pPr>
    </w:p>
    <w:p w14:paraId="5683C229" w14:textId="77777777" w:rsidR="00E869FC" w:rsidRDefault="00E869FC" w:rsidP="00E869FC">
      <w:pPr>
        <w:widowControl w:val="0"/>
        <w:tabs>
          <w:tab w:val="num" w:pos="540"/>
        </w:tabs>
        <w:spacing w:after="100" w:afterAutospacing="1"/>
        <w:ind w:left="851" w:hanging="851"/>
        <w:outlineLvl w:val="0"/>
        <w:rPr>
          <w:rFonts w:eastAsia="Times New Roman"/>
          <w:b/>
          <w:szCs w:val="22"/>
          <w:lang w:eastAsia="en-US"/>
        </w:rPr>
      </w:pPr>
    </w:p>
    <w:p w14:paraId="17BC70DE" w14:textId="77777777" w:rsidR="00E869FC" w:rsidRDefault="00E869FC" w:rsidP="00E869FC">
      <w:pPr>
        <w:widowControl w:val="0"/>
        <w:tabs>
          <w:tab w:val="num" w:pos="540"/>
        </w:tabs>
        <w:spacing w:after="100" w:afterAutospacing="1"/>
        <w:ind w:left="851" w:hanging="851"/>
        <w:outlineLvl w:val="0"/>
        <w:rPr>
          <w:rFonts w:eastAsia="Times New Roman"/>
          <w:b/>
          <w:szCs w:val="22"/>
          <w:lang w:eastAsia="en-US"/>
        </w:rPr>
      </w:pPr>
    </w:p>
    <w:p w14:paraId="3342C38D" w14:textId="77777777" w:rsidR="00E869FC" w:rsidRDefault="00E869FC" w:rsidP="00E869FC">
      <w:pPr>
        <w:widowControl w:val="0"/>
        <w:tabs>
          <w:tab w:val="num" w:pos="540"/>
        </w:tabs>
        <w:spacing w:after="100" w:afterAutospacing="1"/>
        <w:ind w:left="851" w:hanging="851"/>
        <w:outlineLvl w:val="0"/>
        <w:rPr>
          <w:rFonts w:eastAsia="Times New Roman"/>
          <w:b/>
          <w:szCs w:val="22"/>
          <w:lang w:eastAsia="en-US"/>
        </w:rPr>
      </w:pPr>
    </w:p>
    <w:p w14:paraId="2354B5F7" w14:textId="77777777" w:rsidR="00E869FC" w:rsidRDefault="00E869FC" w:rsidP="00E869FC">
      <w:pPr>
        <w:widowControl w:val="0"/>
        <w:tabs>
          <w:tab w:val="num" w:pos="540"/>
        </w:tabs>
        <w:spacing w:after="100" w:afterAutospacing="1"/>
        <w:ind w:left="851" w:hanging="851"/>
        <w:outlineLvl w:val="0"/>
        <w:rPr>
          <w:rFonts w:eastAsia="Times New Roman"/>
          <w:b/>
          <w:szCs w:val="22"/>
          <w:lang w:eastAsia="en-US"/>
        </w:rPr>
      </w:pPr>
    </w:p>
    <w:p w14:paraId="5EAF9E51" w14:textId="77777777" w:rsidR="00B03BD9" w:rsidRDefault="00B03BD9" w:rsidP="00E869FC">
      <w:pPr>
        <w:widowControl w:val="0"/>
        <w:tabs>
          <w:tab w:val="num" w:pos="540"/>
        </w:tabs>
        <w:spacing w:after="100" w:afterAutospacing="1"/>
        <w:ind w:left="851" w:hanging="851"/>
        <w:outlineLvl w:val="0"/>
        <w:rPr>
          <w:rFonts w:eastAsia="Times New Roman"/>
          <w:b/>
          <w:szCs w:val="22"/>
          <w:lang w:eastAsia="en-US"/>
        </w:rPr>
      </w:pPr>
    </w:p>
    <w:p w14:paraId="235A04F7" w14:textId="77777777" w:rsidR="00B03BD9" w:rsidRDefault="00B03BD9" w:rsidP="00E869FC">
      <w:pPr>
        <w:widowControl w:val="0"/>
        <w:tabs>
          <w:tab w:val="num" w:pos="540"/>
        </w:tabs>
        <w:spacing w:after="100" w:afterAutospacing="1"/>
        <w:ind w:left="851" w:hanging="851"/>
        <w:outlineLvl w:val="0"/>
        <w:rPr>
          <w:rFonts w:eastAsia="Times New Roman"/>
          <w:b/>
          <w:szCs w:val="22"/>
          <w:lang w:eastAsia="en-US"/>
        </w:rPr>
      </w:pPr>
    </w:p>
    <w:p w14:paraId="20DEEF3B" w14:textId="77777777" w:rsidR="00175A98" w:rsidRDefault="00175A98" w:rsidP="00E869FC">
      <w:pPr>
        <w:widowControl w:val="0"/>
        <w:tabs>
          <w:tab w:val="num" w:pos="540"/>
        </w:tabs>
        <w:spacing w:after="100" w:afterAutospacing="1"/>
        <w:ind w:left="851" w:hanging="851"/>
        <w:outlineLvl w:val="0"/>
        <w:rPr>
          <w:rFonts w:eastAsia="Times New Roman"/>
          <w:b/>
          <w:szCs w:val="22"/>
          <w:lang w:eastAsia="en-US"/>
        </w:rPr>
      </w:pPr>
    </w:p>
    <w:p w14:paraId="71F329AE" w14:textId="77777777" w:rsidR="00175A98" w:rsidRDefault="00175A98" w:rsidP="00E869FC">
      <w:pPr>
        <w:widowControl w:val="0"/>
        <w:tabs>
          <w:tab w:val="num" w:pos="540"/>
        </w:tabs>
        <w:spacing w:after="100" w:afterAutospacing="1"/>
        <w:ind w:left="851" w:hanging="851"/>
        <w:outlineLvl w:val="0"/>
        <w:rPr>
          <w:rFonts w:eastAsia="Times New Roman"/>
          <w:b/>
          <w:szCs w:val="22"/>
          <w:lang w:eastAsia="en-US"/>
        </w:rPr>
      </w:pPr>
    </w:p>
    <w:p w14:paraId="1892F99D" w14:textId="77777777" w:rsidR="00175A98" w:rsidRDefault="00175A98" w:rsidP="00E869FC">
      <w:pPr>
        <w:widowControl w:val="0"/>
        <w:tabs>
          <w:tab w:val="num" w:pos="540"/>
        </w:tabs>
        <w:spacing w:after="100" w:afterAutospacing="1"/>
        <w:ind w:left="851" w:hanging="851"/>
        <w:outlineLvl w:val="0"/>
        <w:rPr>
          <w:rFonts w:eastAsia="Times New Roman"/>
          <w:b/>
          <w:szCs w:val="22"/>
          <w:lang w:eastAsia="en-US"/>
        </w:rPr>
      </w:pPr>
    </w:p>
    <w:p w14:paraId="7D8852CD" w14:textId="77777777" w:rsidR="00175A98" w:rsidRDefault="00175A98" w:rsidP="00E869FC">
      <w:pPr>
        <w:widowControl w:val="0"/>
        <w:tabs>
          <w:tab w:val="num" w:pos="540"/>
        </w:tabs>
        <w:spacing w:after="100" w:afterAutospacing="1"/>
        <w:ind w:left="851" w:hanging="851"/>
        <w:outlineLvl w:val="0"/>
        <w:rPr>
          <w:rFonts w:eastAsia="Times New Roman"/>
          <w:b/>
          <w:szCs w:val="22"/>
          <w:lang w:eastAsia="en-US"/>
        </w:rPr>
      </w:pPr>
    </w:p>
    <w:p w14:paraId="7DF1E624" w14:textId="5E0347C0"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bookmarkStart w:id="141" w:name="_Toc503448352"/>
      <w:r w:rsidRPr="00506046">
        <w:rPr>
          <w:rFonts w:eastAsia="Times New Roman"/>
          <w:b/>
          <w:szCs w:val="22"/>
          <w:lang w:eastAsia="en-US"/>
        </w:rPr>
        <w:t>ANNEX 5 – CLARIFICATIONS</w:t>
      </w:r>
      <w:bookmarkEnd w:id="140"/>
      <w:bookmarkEnd w:id="141"/>
    </w:p>
    <w:p w14:paraId="4416EF89" w14:textId="0389BAF3" w:rsidR="00174DC0" w:rsidRDefault="00091A81" w:rsidP="00174DC0">
      <w:pPr>
        <w:pStyle w:val="ScheduleLevel1"/>
        <w:numPr>
          <w:ilvl w:val="0"/>
          <w:numId w:val="0"/>
        </w:numPr>
        <w:spacing w:after="120"/>
        <w:jc w:val="center"/>
        <w:rPr>
          <w:rFonts w:cs="Arial"/>
          <w:szCs w:val="22"/>
        </w:rPr>
      </w:pPr>
      <w:r>
        <w:rPr>
          <w:rFonts w:cs="Arial"/>
          <w:szCs w:val="22"/>
        </w:rPr>
        <w:t>NOT APPLICAPLE.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044833D2"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42" w:name="_Toc439318929"/>
      <w:bookmarkStart w:id="143" w:name="_Toc503448353"/>
      <w:r w:rsidRPr="000F5FE2">
        <w:rPr>
          <w:rFonts w:eastAsia="Times New Roman"/>
          <w:b/>
          <w:szCs w:val="22"/>
          <w:lang w:eastAsia="en-US"/>
        </w:rPr>
        <w:t>ANNEX 6 – ADDITIONAL TERMS &amp; CONDITIONS</w:t>
      </w:r>
      <w:bookmarkEnd w:id="142"/>
      <w:bookmarkEnd w:id="143"/>
    </w:p>
    <w:p w14:paraId="588E43D6" w14:textId="3F819FCA" w:rsidR="000B01FD" w:rsidRPr="00091A81" w:rsidRDefault="00091A81" w:rsidP="004B1AF8">
      <w:pPr>
        <w:pStyle w:val="ScheduleLevel1"/>
        <w:numPr>
          <w:ilvl w:val="0"/>
          <w:numId w:val="0"/>
        </w:numPr>
        <w:spacing w:after="120"/>
        <w:jc w:val="center"/>
        <w:rPr>
          <w:rFonts w:cs="Arial"/>
          <w:szCs w:val="22"/>
        </w:rPr>
      </w:pPr>
      <w:r w:rsidRPr="00091A81">
        <w:rPr>
          <w:rFonts w:cs="Arial"/>
          <w:szCs w:val="22"/>
        </w:rPr>
        <w:t>NOT APPLICABLE.</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44" w:name="_Toc440457130"/>
      <w:bookmarkStart w:id="145" w:name="_Toc503448354"/>
      <w:r w:rsidRPr="00D66848">
        <w:rPr>
          <w:rFonts w:eastAsia="Times New Roman"/>
          <w:b/>
          <w:szCs w:val="22"/>
          <w:lang w:eastAsia="en-US"/>
        </w:rPr>
        <w:t>ANNEX 7 – CHANGE CONTROL FORMS</w:t>
      </w:r>
      <w:bookmarkEnd w:id="144"/>
      <w:bookmarkEnd w:id="145"/>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5pt;height:50.1pt" o:ole="">
                  <v:imagedata r:id="rId18" o:title=""/>
                </v:shape>
                <o:OLEObject Type="Embed" ProgID="Package" ShapeID="_x0000_i1025" DrawAspect="Icon" ObjectID="_1578732433" r:id="rId19"/>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8236AF" w:rsidRPr="00082CE7" w:rsidRDefault="008236AF"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8236AF" w:rsidRDefault="008236A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8236AF" w:rsidRPr="00082CE7" w:rsidRDefault="008236AF"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8236AF" w:rsidRDefault="008236AF"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8236AF" w:rsidRPr="00E35B14" w:rsidRDefault="008236AF" w:rsidP="006D60CC">
                                  <w:pPr>
                                    <w:rPr>
                                      <w:rFonts w:cs="Arial"/>
                                      <w:sz w:val="24"/>
                                    </w:rPr>
                                  </w:pPr>
                                  <w:r w:rsidRPr="00F91D0C">
                                    <w:rPr>
                                      <w:rFonts w:ascii="Calibri" w:hAnsi="Calibri" w:cs="Arial"/>
                                    </w:rPr>
                                    <w:t>Initiated by</w:t>
                                  </w:r>
                                  <w:r w:rsidRPr="00E35B14">
                                    <w:rPr>
                                      <w:rFonts w:cs="Arial"/>
                                      <w:sz w:val="24"/>
                                    </w:rPr>
                                    <w:t>:</w:t>
                                  </w:r>
                                </w:p>
                                <w:p w14:paraId="3BA3B6D6" w14:textId="77777777" w:rsidR="008236AF" w:rsidRDefault="008236AF"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8236AF" w:rsidRPr="00E35B14" w:rsidRDefault="008236AF" w:rsidP="006D60CC">
                            <w:pPr>
                              <w:rPr>
                                <w:rFonts w:cs="Arial"/>
                                <w:sz w:val="24"/>
                              </w:rPr>
                            </w:pPr>
                            <w:r w:rsidRPr="00F91D0C">
                              <w:rPr>
                                <w:rFonts w:ascii="Calibri" w:hAnsi="Calibri" w:cs="Arial"/>
                              </w:rPr>
                              <w:t>Initiated by</w:t>
                            </w:r>
                            <w:r w:rsidRPr="00E35B14">
                              <w:rPr>
                                <w:rFonts w:cs="Arial"/>
                                <w:sz w:val="24"/>
                              </w:rPr>
                              <w:t>:</w:t>
                            </w:r>
                          </w:p>
                          <w:p w14:paraId="3BA3B6D6" w14:textId="77777777" w:rsidR="008236AF" w:rsidRDefault="008236AF"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8236AF" w:rsidRPr="00136F61" w:rsidRDefault="008236AF"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8236AF" w:rsidRPr="00136F61" w:rsidRDefault="008236AF"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8236AF" w:rsidRPr="00F91D0C" w:rsidRDefault="008236AF"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8236AF" w:rsidRPr="00F91D0C" w:rsidRDefault="008236AF"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8236AF" w:rsidRPr="00F91D0C" w:rsidRDefault="008236AF"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8236AF" w:rsidRPr="00F91D0C" w:rsidRDefault="008236AF"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8236AF" w:rsidRDefault="008236AF"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8236AF" w:rsidRDefault="008236AF"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8236AF" w:rsidRPr="00F91D0C" w:rsidRDefault="008236AF"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8236AF" w:rsidRPr="00E35B14" w:rsidRDefault="008236AF" w:rsidP="006D60CC">
                                  <w:pPr>
                                    <w:rPr>
                                      <w:rFonts w:cs="Arial"/>
                                      <w:sz w:val="24"/>
                                    </w:rPr>
                                  </w:pPr>
                                </w:p>
                                <w:p w14:paraId="5400C75E" w14:textId="77777777" w:rsidR="008236AF" w:rsidRDefault="008236AF"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8236AF" w:rsidRPr="00F91D0C" w:rsidRDefault="008236AF"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8236AF" w:rsidRPr="00E35B14" w:rsidRDefault="008236AF" w:rsidP="006D60CC">
                            <w:pPr>
                              <w:rPr>
                                <w:rFonts w:cs="Arial"/>
                                <w:sz w:val="24"/>
                              </w:rPr>
                            </w:pPr>
                          </w:p>
                          <w:p w14:paraId="5400C75E" w14:textId="77777777" w:rsidR="008236AF" w:rsidRDefault="008236AF"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8236AF" w:rsidRPr="00136F61" w:rsidRDefault="008236AF"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8236AF" w:rsidRPr="00136F61" w:rsidRDefault="008236AF"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8236AF" w:rsidRPr="00136F61" w:rsidRDefault="008236AF"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8236AF" w:rsidRPr="00F91D0C" w:rsidRDefault="008236AF"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8236AF" w:rsidRPr="00136F61" w:rsidRDefault="008236AF"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8236AF" w:rsidRPr="00F91D0C" w:rsidRDefault="008236AF"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8236AF" w:rsidRDefault="008236AF"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8236AF" w:rsidRDefault="008236AF" w:rsidP="006D60CC">
                                  <w:pPr>
                                    <w:rPr>
                                      <w:rFonts w:ascii="Calibri" w:hAnsi="Calibri" w:cs="Arial"/>
                                    </w:rPr>
                                  </w:pPr>
                                </w:p>
                                <w:p w14:paraId="0105001D" w14:textId="77777777" w:rsidR="008236AF" w:rsidRPr="000006CC" w:rsidRDefault="008236AF"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8236AF" w:rsidRDefault="008236AF"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8236AF" w:rsidRDefault="008236AF" w:rsidP="006D60CC">
                            <w:pPr>
                              <w:rPr>
                                <w:rFonts w:ascii="Calibri" w:hAnsi="Calibri" w:cs="Arial"/>
                              </w:rPr>
                            </w:pPr>
                          </w:p>
                          <w:p w14:paraId="0105001D" w14:textId="77777777" w:rsidR="008236AF" w:rsidRPr="000006CC" w:rsidRDefault="008236AF"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8236AF" w:rsidRPr="000006CC" w:rsidRDefault="008236AF"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8236AF" w:rsidRPr="000006CC" w:rsidRDefault="008236AF"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8236AF" w:rsidRPr="00207057" w:rsidRDefault="008236AF"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8236AF" w:rsidRPr="00207057" w:rsidRDefault="008236AF"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8236AF" w:rsidRPr="000006CC" w:rsidRDefault="008236AF"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8236AF" w:rsidRPr="000006CC" w:rsidRDefault="008236AF"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8236AF" w:rsidRPr="003B2BBF" w:rsidRDefault="008236AF"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8236AF" w:rsidRPr="003B2BBF" w:rsidRDefault="008236AF"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8236AF" w:rsidRPr="00082CE7" w:rsidRDefault="008236AF"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8236AF" w:rsidRPr="00082CE7" w:rsidRDefault="008236AF"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8236AF" w:rsidRDefault="008236AF"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8236AF" w:rsidRPr="006C397A" w:rsidRDefault="008236AF"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8236AF" w:rsidRDefault="008236AF"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8236AF" w:rsidRPr="006C397A" w:rsidRDefault="008236AF"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8236AF" w:rsidRPr="003B2BBF" w:rsidRDefault="008236A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8236AF" w:rsidRPr="003B2BBF" w:rsidRDefault="008236AF"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8236AF" w:rsidRPr="003B2BBF" w:rsidRDefault="008236A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8236AF" w:rsidRPr="003B2BBF" w:rsidRDefault="008236AF"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8236AF" w:rsidRPr="003B2BBF" w:rsidRDefault="008236A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8236AF" w:rsidRPr="003B2BBF" w:rsidRDefault="008236AF"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8236AF" w:rsidRPr="000006CC" w:rsidRDefault="008236AF"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8236AF" w:rsidRPr="000006CC" w:rsidRDefault="008236AF"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8236AF" w:rsidRPr="000006CC" w:rsidRDefault="008236AF"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8236AF" w:rsidRPr="000006CC" w:rsidRDefault="008236AF"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8236AF" w:rsidRPr="000006CC" w:rsidRDefault="008236AF"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8236AF" w:rsidRPr="000006CC" w:rsidRDefault="008236AF"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8236AF" w:rsidRPr="006C397A" w:rsidRDefault="008236AF"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8236AF" w:rsidRPr="006C397A" w:rsidRDefault="008236AF"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8236AF" w:rsidRPr="003B2BBF" w:rsidRDefault="008236A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8236AF" w:rsidRPr="003B2BBF" w:rsidRDefault="008236AF"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8236AF" w:rsidRPr="003B2BBF" w:rsidRDefault="008236A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8236AF" w:rsidRPr="003B2BBF" w:rsidRDefault="008236AF"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8236AF" w:rsidRPr="003B2BBF" w:rsidRDefault="008236A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8236AF" w:rsidRPr="003B2BBF" w:rsidRDefault="008236AF"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8236AF" w:rsidRPr="000006CC" w:rsidRDefault="008236AF"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8236AF" w:rsidRPr="000006CC" w:rsidRDefault="008236AF"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8236AF" w:rsidRPr="000006CC" w:rsidRDefault="008236AF"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8236AF" w:rsidRPr="000006CC" w:rsidRDefault="008236AF"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8236AF" w:rsidRPr="000006CC" w:rsidRDefault="008236AF"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8236AF" w:rsidRPr="000006CC" w:rsidRDefault="008236AF"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8236AF" w:rsidRDefault="008236A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8236AF" w:rsidRDefault="008236AF"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8236AF" w:rsidRPr="007A78F9" w:rsidRDefault="008236AF"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8236AF" w:rsidRPr="007A78F9" w:rsidRDefault="008236AF"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8236AF" w:rsidRDefault="008236A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8236AF" w:rsidRDefault="008236AF"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8236AF" w:rsidRPr="00715415" w:rsidRDefault="008236AF"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8236AF" w:rsidRPr="00715415" w:rsidRDefault="008236AF"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8236AF" w:rsidRPr="00082CE7" w:rsidRDefault="008236A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8236AF" w:rsidRPr="00082CE7" w:rsidRDefault="008236A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8236AF" w:rsidRPr="007A78F9" w:rsidRDefault="008236A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8236AF" w:rsidRPr="007A78F9" w:rsidRDefault="008236A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8236AF" w:rsidRPr="00715415" w:rsidRDefault="008236AF"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8236AF" w:rsidRPr="00715415" w:rsidRDefault="008236AF"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8236AF" w:rsidRPr="007A78F9" w:rsidRDefault="008236A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8236AF" w:rsidRPr="00715415" w:rsidRDefault="008236AF"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8236AF" w:rsidRPr="00715415" w:rsidRDefault="008236AF"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8236AF" w:rsidRPr="004C7C13" w:rsidRDefault="008236AF"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8236AF" w:rsidRPr="004C7C13" w:rsidRDefault="008236AF"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8236AF" w:rsidRPr="003B2BBF" w:rsidRDefault="008236A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8236AF" w:rsidRPr="003B2BBF" w:rsidRDefault="008236AF"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8236AF" w:rsidRPr="003B2BBF" w:rsidRDefault="008236A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8236AF" w:rsidRPr="003B2BBF" w:rsidRDefault="008236AF"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8236AF" w:rsidRPr="003B2BBF" w:rsidRDefault="008236AF"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8236AF" w:rsidRPr="003B2BBF" w:rsidRDefault="008236AF"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8236AF" w:rsidRPr="000006CC" w:rsidRDefault="008236AF"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8236AF" w:rsidRPr="000006CC" w:rsidRDefault="008236AF"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8236AF" w:rsidRPr="000006CC" w:rsidRDefault="008236AF"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8236AF" w:rsidRPr="000006CC" w:rsidRDefault="008236AF"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8236AF" w:rsidRPr="000006CC" w:rsidRDefault="008236AF"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8236AF" w:rsidRPr="000006CC" w:rsidRDefault="008236AF"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8236AF" w:rsidRPr="007A78F9" w:rsidRDefault="008236A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8236AF" w:rsidRPr="007A78F9" w:rsidRDefault="008236A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8236AF" w:rsidRPr="007A78F9" w:rsidRDefault="008236A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8236AF" w:rsidRPr="007A78F9" w:rsidRDefault="008236AF"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8236AF" w:rsidRPr="00E57A1D" w:rsidRDefault="008236AF"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8236AF" w:rsidRPr="00E57A1D" w:rsidRDefault="008236AF"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8236AF" w:rsidRPr="00207057" w:rsidRDefault="008236AF"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8236AF" w:rsidRPr="00207057" w:rsidRDefault="008236AF"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8236AF" w:rsidRPr="00082CE7" w:rsidRDefault="008236A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8236AF" w:rsidRPr="00082CE7" w:rsidRDefault="008236A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8236AF" w:rsidRPr="007A78F9" w:rsidRDefault="008236A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8236AF" w:rsidRPr="007A78F9" w:rsidRDefault="008236A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8236AF" w:rsidRPr="00082CE7" w:rsidRDefault="008236AF"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8236AF" w:rsidRPr="00082CE7" w:rsidRDefault="008236AF"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8236AF" w:rsidRPr="007A78F9" w:rsidRDefault="008236AF"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8236AF" w:rsidRPr="00082CE7" w:rsidRDefault="008236AF"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8236AF" w:rsidRPr="00082CE7" w:rsidRDefault="008236AF"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8236AF" w:rsidRPr="007A78F9" w:rsidRDefault="008236A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8236AF" w:rsidRPr="00156BD4" w:rsidRDefault="008236AF"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8236AF" w:rsidRPr="00156BD4" w:rsidRDefault="008236AF"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8236AF" w:rsidRPr="007A78F9" w:rsidRDefault="008236AF"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8236AF" w:rsidRPr="00E57A1D" w:rsidRDefault="008236AF"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8236AF" w:rsidRPr="00E57A1D" w:rsidRDefault="008236AF"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8236AF" w:rsidRPr="00082CE7" w:rsidRDefault="008236AF"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8236AF" w:rsidRPr="00082CE7" w:rsidRDefault="008236AF"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8236AF" w:rsidRPr="007A78F9" w:rsidRDefault="008236AF"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8236AF" w:rsidRPr="00E57A1D" w:rsidRDefault="008236AF"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8236AF" w:rsidRPr="00E57A1D" w:rsidRDefault="008236AF"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8236AF" w:rsidRPr="00156BD4" w:rsidRDefault="008236AF"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8236AF" w:rsidRPr="00156BD4" w:rsidRDefault="008236AF"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8236AF" w:rsidRPr="00156BD4" w:rsidRDefault="008236AF"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8236AF" w:rsidRPr="00156BD4" w:rsidRDefault="008236AF"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8236AF" w:rsidRPr="007A78F9" w:rsidRDefault="008236A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8236AF" w:rsidRPr="007A78F9" w:rsidRDefault="008236A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8236AF" w:rsidRPr="00156BD4" w:rsidRDefault="008236AF"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8236AF" w:rsidRPr="00156BD4" w:rsidRDefault="008236AF"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8236AF" w:rsidRPr="007A78F9" w:rsidRDefault="008236AF"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8236AF" w:rsidRPr="007A78F9" w:rsidRDefault="008236AF"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8236AF" w:rsidRPr="00082CE7" w:rsidRDefault="008236A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8236AF" w:rsidRPr="00082CE7" w:rsidRDefault="008236AF"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8236AF" w:rsidRPr="00082CE7" w:rsidRDefault="008236AF"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8236AF" w:rsidRPr="00082CE7" w:rsidRDefault="008236AF"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557A06">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75.45pt;height:50.1pt" o:ole="">
                  <v:imagedata r:id="rId18" o:title=""/>
                </v:shape>
                <o:OLEObject Type="Embed" ProgID="Package" ShapeID="_x0000_i1026" DrawAspect="Icon" ObjectID="_1578732434" r:id="rId20"/>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8236AF" w:rsidRPr="00FF2CAE" w:rsidRDefault="008236AF"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8236AF" w:rsidRPr="00FF2CAE" w:rsidRDefault="008236AF"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8236AF" w:rsidRPr="00F91D0C" w:rsidRDefault="008236AF"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8236AF" w:rsidRPr="00F91D0C" w:rsidRDefault="008236AF"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8236AF" w:rsidRPr="00F91D0C" w:rsidRDefault="008236AF"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8236AF" w:rsidRPr="00F91D0C" w:rsidRDefault="008236AF"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8236AF" w:rsidRPr="00E35B14" w:rsidRDefault="008236AF" w:rsidP="006D60CC">
                                  <w:pPr>
                                    <w:rPr>
                                      <w:rFonts w:cs="Arial"/>
                                      <w:sz w:val="24"/>
                                    </w:rPr>
                                  </w:pPr>
                                  <w:r w:rsidRPr="00F91D0C">
                                    <w:rPr>
                                      <w:rFonts w:ascii="Calibri" w:hAnsi="Calibri" w:cs="Arial"/>
                                    </w:rPr>
                                    <w:t>Initiated by</w:t>
                                  </w:r>
                                  <w:r w:rsidRPr="00E35B14">
                                    <w:rPr>
                                      <w:rFonts w:cs="Arial"/>
                                      <w:sz w:val="24"/>
                                    </w:rPr>
                                    <w:t>:</w:t>
                                  </w:r>
                                </w:p>
                                <w:p w14:paraId="23BC262B" w14:textId="77777777" w:rsidR="008236AF" w:rsidRDefault="008236AF"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8236AF" w:rsidRPr="00E35B14" w:rsidRDefault="008236AF" w:rsidP="006D60CC">
                            <w:pPr>
                              <w:rPr>
                                <w:rFonts w:cs="Arial"/>
                                <w:sz w:val="24"/>
                              </w:rPr>
                            </w:pPr>
                            <w:r w:rsidRPr="00F91D0C">
                              <w:rPr>
                                <w:rFonts w:ascii="Calibri" w:hAnsi="Calibri" w:cs="Arial"/>
                              </w:rPr>
                              <w:t>Initiated by</w:t>
                            </w:r>
                            <w:r w:rsidRPr="00E35B14">
                              <w:rPr>
                                <w:rFonts w:cs="Arial"/>
                                <w:sz w:val="24"/>
                              </w:rPr>
                              <w:t>:</w:t>
                            </w:r>
                          </w:p>
                          <w:p w14:paraId="23BC262B" w14:textId="77777777" w:rsidR="008236AF" w:rsidRDefault="008236AF"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8236AF" w:rsidRDefault="008236AF"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8236AF" w:rsidRDefault="008236AF"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8236AF" w:rsidRPr="00F91D0C" w:rsidRDefault="008236AF"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8236AF" w:rsidRPr="00E35B14" w:rsidRDefault="008236AF" w:rsidP="006D60CC">
                                  <w:pPr>
                                    <w:rPr>
                                      <w:rFonts w:cs="Arial"/>
                                      <w:sz w:val="24"/>
                                    </w:rPr>
                                  </w:pPr>
                                </w:p>
                                <w:p w14:paraId="4DBE183A" w14:textId="77777777" w:rsidR="008236AF" w:rsidRDefault="008236AF"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8236AF" w:rsidRPr="00F91D0C" w:rsidRDefault="008236AF"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8236AF" w:rsidRPr="00E35B14" w:rsidRDefault="008236AF" w:rsidP="006D60CC">
                            <w:pPr>
                              <w:rPr>
                                <w:rFonts w:cs="Arial"/>
                                <w:sz w:val="24"/>
                              </w:rPr>
                            </w:pPr>
                          </w:p>
                          <w:p w14:paraId="4DBE183A" w14:textId="77777777" w:rsidR="008236AF" w:rsidRDefault="008236AF"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8236AF" w:rsidRPr="00136F61" w:rsidRDefault="008236AF"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8236AF" w:rsidRPr="00136F61" w:rsidRDefault="008236AF"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8236AF" w:rsidRPr="00136F61" w:rsidRDefault="008236AF"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8236AF" w:rsidRPr="00F91D0C" w:rsidRDefault="008236AF"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8236AF" w:rsidRPr="00136F61" w:rsidRDefault="008236AF"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8236AF" w:rsidRPr="00F91D0C" w:rsidRDefault="008236AF"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8236AF" w:rsidRDefault="008236A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8236AF" w:rsidRDefault="008236AF"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8236AF" w:rsidRDefault="008236A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8236AF" w:rsidRDefault="008236AF"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8236AF" w:rsidRDefault="008236A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8236AF" w:rsidRDefault="008236AF"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8236AF" w:rsidRDefault="008236A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8236AF" w:rsidRDefault="008236AF"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8236AF" w:rsidRDefault="008236A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8236AF" w:rsidRDefault="008236AF"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8236AF" w:rsidRDefault="008236A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8236AF" w:rsidRDefault="008236AF"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8236AF" w:rsidRDefault="008236A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8236AF" w:rsidRDefault="008236AF"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8236AF" w:rsidRDefault="008236A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8236AF" w:rsidRDefault="008236AF"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8236AF" w:rsidRDefault="008236A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8236AF" w:rsidRDefault="008236AF"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8236AF" w:rsidRDefault="008236A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8236AF" w:rsidRDefault="008236AF"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8236AF" w:rsidRDefault="008236A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8236AF" w:rsidRDefault="008236AF"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8236AF" w:rsidRDefault="008236A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8236AF" w:rsidRDefault="008236AF"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8236AF" w:rsidRDefault="008236A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8236AF" w:rsidRDefault="008236AF"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8236AF" w:rsidRDefault="008236AF"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8236AF" w:rsidRDefault="008236AF"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8236AF" w:rsidRPr="00FF2CAE" w:rsidRDefault="008236AF"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8236AF" w:rsidRPr="00FF2CAE" w:rsidRDefault="008236AF"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8236AF" w:rsidRPr="007A78F9" w:rsidRDefault="008236AF"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8236AF" w:rsidRPr="007A78F9" w:rsidRDefault="008236AF"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8236AF" w:rsidRPr="00FF2CAE" w:rsidRDefault="008236AF"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8236AF" w:rsidRPr="00FF2CAE" w:rsidRDefault="008236AF"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8236AF" w:rsidRPr="007A78F9" w:rsidRDefault="008236AF"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8236AF" w:rsidRPr="00FF2CAE" w:rsidRDefault="008236AF"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8236AF" w:rsidRPr="00FF2CAE" w:rsidRDefault="008236AF"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8236AF" w:rsidRPr="00E57A1D" w:rsidRDefault="008236AF"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8236AF" w:rsidRPr="00E57A1D" w:rsidRDefault="008236AF"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8236AF" w:rsidRPr="00FF2CAE" w:rsidRDefault="008236AF"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8236AF" w:rsidRPr="00FF2CAE" w:rsidRDefault="008236AF"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8236AF" w:rsidRPr="00156BD4" w:rsidRDefault="008236AF"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8236AF" w:rsidRPr="00156BD4" w:rsidRDefault="008236AF"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8236AF" w:rsidRPr="007A78F9" w:rsidRDefault="008236AF"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8236AF" w:rsidRPr="007A78F9" w:rsidRDefault="008236AF"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8236AF" w:rsidRPr="007A78F9" w:rsidRDefault="008236AF"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8236AF" w:rsidRPr="00FF2CAE" w:rsidRDefault="008236AF"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8236AF" w:rsidRPr="00FF2CAE" w:rsidRDefault="008236AF"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8236AF" w:rsidRPr="00FF2CAE" w:rsidRDefault="008236AF"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8236AF" w:rsidRPr="00FF2CAE" w:rsidRDefault="008236AF"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8236AF" w:rsidRPr="00FF2CAE" w:rsidRDefault="008236AF"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8236AF" w:rsidRPr="00FF2CAE" w:rsidRDefault="008236AF"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8236AF" w:rsidRPr="00156BD4" w:rsidRDefault="008236AF"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8236AF" w:rsidRPr="00156BD4" w:rsidRDefault="008236AF"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8236AF" w:rsidRPr="00156BD4" w:rsidRDefault="008236AF"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8236AF" w:rsidRPr="00156BD4" w:rsidRDefault="008236AF"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8236AF" w:rsidRPr="007A78F9" w:rsidRDefault="008236AF"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8236AF" w:rsidRPr="007A78F9" w:rsidRDefault="008236AF"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8236AF" w:rsidRPr="00FF2CAE" w:rsidRDefault="008236AF"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8236AF" w:rsidRPr="00FF2CAE" w:rsidRDefault="008236AF"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8236AF" w:rsidRPr="007A78F9" w:rsidRDefault="008236AF"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8236AF" w:rsidRPr="007A78F9" w:rsidRDefault="008236AF"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8236AF" w:rsidRPr="007A78F9" w:rsidRDefault="008236AF"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8236AF" w:rsidRPr="00FF2CAE" w:rsidRDefault="008236AF"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8236AF" w:rsidRPr="00FF2CAE" w:rsidRDefault="008236AF"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BAADA" w14:textId="77777777" w:rsidR="008236AF" w:rsidRDefault="008236AF">
      <w:pPr>
        <w:spacing w:line="20" w:lineRule="exact"/>
      </w:pPr>
    </w:p>
  </w:endnote>
  <w:endnote w:type="continuationSeparator" w:id="0">
    <w:p w14:paraId="2FA1205D" w14:textId="77777777" w:rsidR="008236AF" w:rsidRDefault="008236AF">
      <w:pPr>
        <w:spacing w:line="20" w:lineRule="exact"/>
      </w:pPr>
      <w:r>
        <w:t xml:space="preserve"> </w:t>
      </w:r>
    </w:p>
  </w:endnote>
  <w:endnote w:type="continuationNotice" w:id="1">
    <w:p w14:paraId="2365A403" w14:textId="77777777" w:rsidR="008236AF" w:rsidRDefault="008236AF">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8236AF" w:rsidRDefault="008236AF"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8236AF" w:rsidRDefault="008236AF"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8236AF" w:rsidRDefault="008236AF"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8236AF" w:rsidRPr="00C34E12" w:rsidRDefault="008236AF"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8236AF" w:rsidRDefault="008236AF"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8236AF" w:rsidRPr="00A65391" w:rsidRDefault="008236AF"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632700"/>
      <w:docPartObj>
        <w:docPartGallery w:val="Page Numbers (Bottom of Page)"/>
        <w:docPartUnique/>
      </w:docPartObj>
    </w:sdtPr>
    <w:sdtEndPr>
      <w:rPr>
        <w:noProof/>
      </w:rPr>
    </w:sdtEndPr>
    <w:sdtContent>
      <w:p w14:paraId="0F0239A2" w14:textId="77777777" w:rsidR="008236AF" w:rsidRPr="00CE50FE" w:rsidRDefault="008236AF" w:rsidP="00F70073">
        <w:pPr>
          <w:pStyle w:val="Footer"/>
          <w:pBdr>
            <w:top w:val="single" w:sz="4" w:space="1" w:color="auto"/>
          </w:pBdr>
          <w:jc w:val="center"/>
          <w:rPr>
            <w:sz w:val="20"/>
            <w:szCs w:val="20"/>
          </w:rPr>
        </w:pPr>
        <w:r w:rsidRPr="00CE50FE">
          <w:rPr>
            <w:sz w:val="20"/>
            <w:szCs w:val="20"/>
          </w:rPr>
          <w:t>OFFICIAL</w:t>
        </w:r>
      </w:p>
      <w:p w14:paraId="6369C02F" w14:textId="77777777" w:rsidR="008236AF" w:rsidRPr="00CE50FE" w:rsidRDefault="008236AF"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4155976A" w:rsidR="008236AF" w:rsidRDefault="008236AF" w:rsidP="00F70073">
        <w:pPr>
          <w:pStyle w:val="Footer"/>
          <w:pBdr>
            <w:top w:val="single" w:sz="4" w:space="1" w:color="auto"/>
          </w:pBdr>
          <w:rPr>
            <w:sz w:val="20"/>
            <w:szCs w:val="20"/>
          </w:rPr>
        </w:pPr>
        <w:r>
          <w:rPr>
            <w:sz w:val="20"/>
            <w:szCs w:val="20"/>
          </w:rPr>
          <w:t>REDACTED</w:t>
        </w:r>
      </w:p>
      <w:p w14:paraId="59D982FD" w14:textId="12802125" w:rsidR="008236AF" w:rsidRPr="00CE50FE" w:rsidRDefault="008236AF"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02939E0D" w:rsidR="008236AF" w:rsidRPr="00CE50FE" w:rsidRDefault="008236AF" w:rsidP="00F70073">
        <w:pPr>
          <w:pStyle w:val="Footer"/>
          <w:pBdr>
            <w:top w:val="single" w:sz="4" w:space="1" w:color="auto"/>
          </w:pBdr>
          <w:jc w:val="right"/>
          <w:rPr>
            <w:sz w:val="20"/>
            <w:szCs w:val="20"/>
          </w:rPr>
        </w:pPr>
        <w:r>
          <w:rPr>
            <w:sz w:val="20"/>
            <w:szCs w:val="20"/>
          </w:rPr>
          <w:t>V3.0 15/01/2018</w:t>
        </w:r>
      </w:p>
      <w:p w14:paraId="3085C604" w14:textId="77777777" w:rsidR="008236AF" w:rsidRDefault="008236AF"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Pr>
            <w:noProof/>
            <w:sz w:val="20"/>
            <w:szCs w:val="20"/>
          </w:rPr>
          <w:t>5</w:t>
        </w:r>
        <w:r w:rsidRPr="00CE50FE">
          <w:rPr>
            <w:noProof/>
            <w:sz w:val="20"/>
            <w:szCs w:val="20"/>
          </w:rPr>
          <w:fldChar w:fldCharType="end"/>
        </w:r>
      </w:p>
    </w:sdtContent>
  </w:sdt>
  <w:p w14:paraId="170A480B" w14:textId="77777777" w:rsidR="008236AF" w:rsidRPr="00360755" w:rsidRDefault="008236AF"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971ED" w14:textId="77777777" w:rsidR="008236AF" w:rsidRDefault="008236AF">
      <w:r>
        <w:separator/>
      </w:r>
    </w:p>
  </w:footnote>
  <w:footnote w:type="continuationSeparator" w:id="0">
    <w:p w14:paraId="1CBC89F9" w14:textId="77777777" w:rsidR="008236AF" w:rsidRDefault="008236AF">
      <w:r>
        <w:continuationSeparator/>
      </w:r>
    </w:p>
  </w:footnote>
  <w:footnote w:type="continuationNotice" w:id="1">
    <w:p w14:paraId="6355EF56" w14:textId="77777777" w:rsidR="008236AF" w:rsidRDefault="008236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8236AF" w:rsidRDefault="008236AF"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8236AF" w:rsidRDefault="008236AF" w:rsidP="00F3190B">
    <w:pPr>
      <w:pStyle w:val="Header"/>
      <w:jc w:val="center"/>
      <w:rPr>
        <w:b/>
      </w:rPr>
    </w:pPr>
  </w:p>
  <w:p w14:paraId="64559850" w14:textId="77777777" w:rsidR="008236AF" w:rsidRDefault="008236AF"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8236AF" w:rsidRDefault="008236AF"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248"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8236AF" w:rsidRDefault="008236AF" w:rsidP="00F70073">
    <w:pPr>
      <w:pStyle w:val="Header"/>
      <w:pBdr>
        <w:bottom w:val="single" w:sz="4" w:space="1" w:color="auto"/>
      </w:pBdr>
      <w:jc w:val="center"/>
      <w:rPr>
        <w:rFonts w:cs="Arial"/>
        <w:sz w:val="20"/>
        <w:szCs w:val="20"/>
      </w:rPr>
    </w:pPr>
    <w:r>
      <w:rPr>
        <w:rFonts w:cs="Arial"/>
        <w:sz w:val="20"/>
        <w:szCs w:val="20"/>
      </w:rPr>
      <w:t>Agreement Annexes - Services</w:t>
    </w:r>
  </w:p>
  <w:p w14:paraId="022C7E11" w14:textId="185FCEF6" w:rsidR="008236AF" w:rsidRPr="00091A81" w:rsidRDefault="008236AF" w:rsidP="00F70073">
    <w:pPr>
      <w:pStyle w:val="Header"/>
      <w:pBdr>
        <w:bottom w:val="single" w:sz="4" w:space="1" w:color="auto"/>
      </w:pBdr>
      <w:jc w:val="center"/>
      <w:rPr>
        <w:rFonts w:cs="Arial"/>
        <w:sz w:val="20"/>
        <w:szCs w:val="20"/>
      </w:rPr>
    </w:pPr>
    <w:r w:rsidRPr="00091A81">
      <w:rPr>
        <w:rFonts w:cs="Arial"/>
        <w:sz w:val="20"/>
        <w:szCs w:val="20"/>
      </w:rPr>
      <w:t>NIC Transport Connectivity Indicator Research</w:t>
    </w:r>
  </w:p>
  <w:p w14:paraId="7FECFEFB" w14:textId="6C5DEA47" w:rsidR="008236AF" w:rsidRDefault="008236AF" w:rsidP="00F70073">
    <w:pPr>
      <w:pStyle w:val="Header"/>
      <w:pBdr>
        <w:bottom w:val="single" w:sz="4" w:space="1" w:color="auto"/>
      </w:pBdr>
      <w:jc w:val="center"/>
      <w:rPr>
        <w:rFonts w:cs="Arial"/>
        <w:sz w:val="20"/>
        <w:szCs w:val="20"/>
      </w:rPr>
    </w:pPr>
    <w:r>
      <w:rPr>
        <w:rFonts w:cs="Arial"/>
        <w:sz w:val="20"/>
        <w:szCs w:val="20"/>
      </w:rPr>
      <w:t>CCSN17A30</w:t>
    </w:r>
  </w:p>
  <w:p w14:paraId="41FED4DA" w14:textId="77777777" w:rsidR="008236AF" w:rsidRDefault="008236AF" w:rsidP="00F70073">
    <w:pPr>
      <w:pStyle w:val="Header"/>
      <w:pBdr>
        <w:bottom w:val="single" w:sz="4" w:space="1" w:color="auto"/>
      </w:pBdr>
      <w:jc w:val="center"/>
    </w:pPr>
  </w:p>
  <w:p w14:paraId="68388EBA" w14:textId="77777777" w:rsidR="008236AF" w:rsidRDefault="008236AF"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0EA8046A"/>
    <w:multiLevelType w:val="hybridMultilevel"/>
    <w:tmpl w:val="97C88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8"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311D5A65"/>
    <w:multiLevelType w:val="hybridMultilevel"/>
    <w:tmpl w:val="3E362166"/>
    <w:lvl w:ilvl="0" w:tplc="EF94C85E">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6"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1"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2"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3"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6" w15:restartNumberingAfterBreak="0">
    <w:nsid w:val="60B5496D"/>
    <w:multiLevelType w:val="multilevel"/>
    <w:tmpl w:val="D8163E90"/>
    <w:lvl w:ilvl="0">
      <w:start w:val="1"/>
      <w:numFmt w:val="decimal"/>
      <w:lvlText w:val="%1."/>
      <w:lvlJc w:val="left"/>
      <w:pPr>
        <w:ind w:left="2520" w:hanging="360"/>
      </w:pPr>
      <w:rPr>
        <w:b/>
      </w:rPr>
    </w:lvl>
    <w:lvl w:ilvl="1">
      <w:start w:val="6"/>
      <w:numFmt w:val="decimal"/>
      <w:isLgl/>
      <w:lvlText w:val="%1.%2"/>
      <w:lvlJc w:val="left"/>
      <w:pPr>
        <w:ind w:left="2640" w:hanging="480"/>
      </w:pPr>
      <w:rPr>
        <w:rFonts w:hint="default"/>
        <w:b/>
      </w:rPr>
    </w:lvl>
    <w:lvl w:ilvl="2">
      <w:start w:val="1"/>
      <w:numFmt w:val="decimal"/>
      <w:isLgl/>
      <w:lvlText w:val="%1.%2.%3"/>
      <w:lvlJc w:val="left"/>
      <w:pPr>
        <w:ind w:left="288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600" w:hanging="1440"/>
      </w:pPr>
      <w:rPr>
        <w:rFonts w:hint="default"/>
        <w:b/>
      </w:rPr>
    </w:lvl>
    <w:lvl w:ilvl="8">
      <w:start w:val="1"/>
      <w:numFmt w:val="decimal"/>
      <w:isLgl/>
      <w:lvlText w:val="%1.%2.%3.%4.%5.%6.%7.%8.%9"/>
      <w:lvlJc w:val="left"/>
      <w:pPr>
        <w:ind w:left="3960" w:hanging="1800"/>
      </w:pPr>
      <w:rPr>
        <w:rFonts w:hint="default"/>
        <w:b/>
      </w:rPr>
    </w:lvl>
  </w:abstractNum>
  <w:abstractNum w:abstractNumId="37"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2"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31"/>
  </w:num>
  <w:num w:numId="3">
    <w:abstractNumId w:val="20"/>
  </w:num>
  <w:num w:numId="4">
    <w:abstractNumId w:val="21"/>
  </w:num>
  <w:num w:numId="5">
    <w:abstractNumId w:val="5"/>
  </w:num>
  <w:num w:numId="6">
    <w:abstractNumId w:val="27"/>
  </w:num>
  <w:num w:numId="7">
    <w:abstractNumId w:val="24"/>
  </w:num>
  <w:num w:numId="8">
    <w:abstractNumId w:val="16"/>
  </w:num>
  <w:num w:numId="9">
    <w:abstractNumId w:val="4"/>
  </w:num>
  <w:num w:numId="10">
    <w:abstractNumId w:val="3"/>
  </w:num>
  <w:num w:numId="11">
    <w:abstractNumId w:val="2"/>
  </w:num>
  <w:num w:numId="12">
    <w:abstractNumId w:val="1"/>
  </w:num>
  <w:num w:numId="13">
    <w:abstractNumId w:val="0"/>
  </w:num>
  <w:num w:numId="14">
    <w:abstractNumId w:val="43"/>
  </w:num>
  <w:num w:numId="15">
    <w:abstractNumId w:val="11"/>
  </w:num>
  <w:num w:numId="16">
    <w:abstractNumId w:val="38"/>
  </w:num>
  <w:num w:numId="17">
    <w:abstractNumId w:val="10"/>
  </w:num>
  <w:num w:numId="18">
    <w:abstractNumId w:val="26"/>
  </w:num>
  <w:num w:numId="19">
    <w:abstractNumId w:val="23"/>
  </w:num>
  <w:num w:numId="20">
    <w:abstractNumId w:val="35"/>
  </w:num>
  <w:num w:numId="21">
    <w:abstractNumId w:val="15"/>
  </w:num>
  <w:num w:numId="22">
    <w:abstractNumId w:val="40"/>
  </w:num>
  <w:num w:numId="23">
    <w:abstractNumId w:val="37"/>
  </w:num>
  <w:num w:numId="24">
    <w:abstractNumId w:val="7"/>
  </w:num>
  <w:num w:numId="25">
    <w:abstractNumId w:val="19"/>
  </w:num>
  <w:num w:numId="26">
    <w:abstractNumId w:val="14"/>
  </w:num>
  <w:num w:numId="27">
    <w:abstractNumId w:val="8"/>
  </w:num>
  <w:num w:numId="28">
    <w:abstractNumId w:val="11"/>
  </w:num>
  <w:num w:numId="29">
    <w:abstractNumId w:val="3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1"/>
  </w:num>
  <w:num w:numId="32">
    <w:abstractNumId w:val="11"/>
  </w:num>
  <w:num w:numId="33">
    <w:abstractNumId w:val="33"/>
  </w:num>
  <w:num w:numId="34">
    <w:abstractNumId w:val="29"/>
  </w:num>
  <w:num w:numId="35">
    <w:abstractNumId w:val="17"/>
  </w:num>
  <w:num w:numId="36">
    <w:abstractNumId w:val="34"/>
  </w:num>
  <w:num w:numId="37">
    <w:abstractNumId w:val="42"/>
  </w:num>
  <w:num w:numId="38">
    <w:abstractNumId w:val="32"/>
  </w:num>
  <w:num w:numId="39">
    <w:abstractNumId w:val="25"/>
  </w:num>
  <w:num w:numId="40">
    <w:abstractNumId w:val="34"/>
    <w:lvlOverride w:ilvl="0">
      <w:startOverride w:val="7"/>
    </w:lvlOverride>
    <w:lvlOverride w:ilvl="1">
      <w:startOverride w:val="2"/>
    </w:lvlOverride>
  </w:num>
  <w:num w:numId="41">
    <w:abstractNumId w:val="13"/>
  </w:num>
  <w:num w:numId="42">
    <w:abstractNumId w:val="18"/>
  </w:num>
  <w:num w:numId="43">
    <w:abstractNumId w:val="43"/>
  </w:num>
  <w:num w:numId="44">
    <w:abstractNumId w:val="43"/>
  </w:num>
  <w:num w:numId="45">
    <w:abstractNumId w:val="36"/>
  </w:num>
  <w:num w:numId="46">
    <w:abstractNumId w:val="22"/>
  </w:num>
  <w:num w:numId="47">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1A81"/>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623"/>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0C4E"/>
    <w:rsid w:val="0017225B"/>
    <w:rsid w:val="00173352"/>
    <w:rsid w:val="0017368C"/>
    <w:rsid w:val="00174DC0"/>
    <w:rsid w:val="00175A98"/>
    <w:rsid w:val="00176541"/>
    <w:rsid w:val="00176DF8"/>
    <w:rsid w:val="00181D58"/>
    <w:rsid w:val="001828BF"/>
    <w:rsid w:val="00183EB0"/>
    <w:rsid w:val="00184673"/>
    <w:rsid w:val="001863E6"/>
    <w:rsid w:val="0018756A"/>
    <w:rsid w:val="00195B69"/>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0FD9"/>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82"/>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1F9D"/>
    <w:rsid w:val="0030285B"/>
    <w:rsid w:val="00313354"/>
    <w:rsid w:val="00314691"/>
    <w:rsid w:val="00321C83"/>
    <w:rsid w:val="00323541"/>
    <w:rsid w:val="00323EAA"/>
    <w:rsid w:val="00324CA3"/>
    <w:rsid w:val="00330C5C"/>
    <w:rsid w:val="003316AA"/>
    <w:rsid w:val="003341DC"/>
    <w:rsid w:val="00335718"/>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45E4"/>
    <w:rsid w:val="003660F6"/>
    <w:rsid w:val="003668D6"/>
    <w:rsid w:val="00366F85"/>
    <w:rsid w:val="0037049F"/>
    <w:rsid w:val="003729F0"/>
    <w:rsid w:val="00373767"/>
    <w:rsid w:val="0037526E"/>
    <w:rsid w:val="003766A9"/>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E5A68"/>
    <w:rsid w:val="003F06FF"/>
    <w:rsid w:val="003F1C5D"/>
    <w:rsid w:val="003F68D6"/>
    <w:rsid w:val="00402F0D"/>
    <w:rsid w:val="00404F9C"/>
    <w:rsid w:val="0040508D"/>
    <w:rsid w:val="00406A05"/>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2879"/>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57A06"/>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412"/>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14A"/>
    <w:rsid w:val="00667389"/>
    <w:rsid w:val="00671C2E"/>
    <w:rsid w:val="00672F69"/>
    <w:rsid w:val="006754B9"/>
    <w:rsid w:val="006772C0"/>
    <w:rsid w:val="00680C72"/>
    <w:rsid w:val="006812C9"/>
    <w:rsid w:val="00682677"/>
    <w:rsid w:val="00683380"/>
    <w:rsid w:val="006849F7"/>
    <w:rsid w:val="00684CF6"/>
    <w:rsid w:val="0068585D"/>
    <w:rsid w:val="006863E7"/>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7772E"/>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1F74"/>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14F64"/>
    <w:rsid w:val="00820DEC"/>
    <w:rsid w:val="00821734"/>
    <w:rsid w:val="008227FE"/>
    <w:rsid w:val="008236AF"/>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5865"/>
    <w:rsid w:val="008E6D8C"/>
    <w:rsid w:val="008E7477"/>
    <w:rsid w:val="008E7D6B"/>
    <w:rsid w:val="008F080C"/>
    <w:rsid w:val="008F0B3A"/>
    <w:rsid w:val="008F0B5B"/>
    <w:rsid w:val="008F0F5B"/>
    <w:rsid w:val="008F48B8"/>
    <w:rsid w:val="008F7730"/>
    <w:rsid w:val="0090085E"/>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0958"/>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167D"/>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3BD9"/>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8CA"/>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2ED6"/>
    <w:rsid w:val="00CA3052"/>
    <w:rsid w:val="00CA3130"/>
    <w:rsid w:val="00CA4106"/>
    <w:rsid w:val="00CA69F1"/>
    <w:rsid w:val="00CB14F9"/>
    <w:rsid w:val="00CB1680"/>
    <w:rsid w:val="00CB3318"/>
    <w:rsid w:val="00CB4464"/>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69FC"/>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2512"/>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472"/>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1B3B"/>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92BA191"/>
  <w15:docId w15:val="{1E759D01-1C7B-4CA7-B670-D7E3FA89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54838">
      <w:bodyDiv w:val="1"/>
      <w:marLeft w:val="0"/>
      <w:marRight w:val="0"/>
      <w:marTop w:val="0"/>
      <w:marBottom w:val="0"/>
      <w:divBdr>
        <w:top w:val="none" w:sz="0" w:space="0" w:color="auto"/>
        <w:left w:val="none" w:sz="0" w:space="0" w:color="auto"/>
        <w:bottom w:val="none" w:sz="0" w:space="0" w:color="auto"/>
        <w:right w:val="none" w:sz="0" w:space="0" w:color="auto"/>
      </w:divBdr>
    </w:div>
    <w:div w:id="663166743">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549495109">
      <w:bodyDiv w:val="1"/>
      <w:marLeft w:val="0"/>
      <w:marRight w:val="0"/>
      <w:marTop w:val="0"/>
      <w:marBottom w:val="0"/>
      <w:divBdr>
        <w:top w:val="none" w:sz="0" w:space="0" w:color="auto"/>
        <w:left w:val="none" w:sz="0" w:space="0" w:color="auto"/>
        <w:bottom w:val="none" w:sz="0" w:space="0" w:color="auto"/>
        <w:right w:val="none" w:sz="0" w:space="0" w:color="auto"/>
      </w:divBdr>
    </w:div>
    <w:div w:id="172097731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tandfonline.com/doi/abs/10.1080/00045605409352140?journalCode=raag20&amp;"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8F1BD4A4-435E-4ABC-B7AD-727346A30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193</TotalTime>
  <Pages>34</Pages>
  <Words>9753</Words>
  <Characters>55596</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65219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Caroline Bradshaw</cp:lastModifiedBy>
  <cp:revision>29</cp:revision>
  <cp:lastPrinted>2012-12-10T12:26:00Z</cp:lastPrinted>
  <dcterms:created xsi:type="dcterms:W3CDTF">2015-12-07T16:20:00Z</dcterms:created>
  <dcterms:modified xsi:type="dcterms:W3CDTF">2018-01-29T12:01:00Z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