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414FA8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Economics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414FA8">
            <w:pPr>
              <w:pStyle w:val="Heading1"/>
            </w:pPr>
            <w:r>
              <w:t>O/LOND/PROF/6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3455" cy="1148080"/>
                  <wp:effectExtent l="0" t="0" r="4445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19/09/2016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SSI Red Car 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GENECON</w:t>
            </w:r>
          </w:p>
          <w:p w:rsidR="001F37EE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Joseph's Well, Hanover Walk, Leeds, LS3 1AB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Maple House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Details of work required: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work consists preparing an Economic Appraisal governed by HMT</w:t>
            </w:r>
            <w:r>
              <w:rPr>
                <w:rFonts w:ascii="Arial" w:hAnsi="Arial" w:cs="Arial"/>
                <w:sz w:val="20"/>
              </w:rPr>
              <w:t></w:t>
            </w:r>
            <w:r>
              <w:rPr>
                <w:rFonts w:ascii="Arial" w:hAnsi="Arial"/>
                <w:sz w:val="20"/>
              </w:rPr>
              <w:t xml:space="preserve">s Green Book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within the context of HMT</w:t>
            </w:r>
            <w:r>
              <w:rPr>
                <w:rFonts w:ascii="Arial" w:hAnsi="Arial" w:cs="Arial"/>
                <w:sz w:val="20"/>
              </w:rPr>
              <w:t></w:t>
            </w:r>
            <w:r>
              <w:rPr>
                <w:rFonts w:ascii="Arial" w:hAnsi="Arial"/>
                <w:sz w:val="20"/>
              </w:rPr>
              <w:t xml:space="preserve">s 5 Case Model covering the Strategic, Economic,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Commercial, Financial and Management cases on the announced closure of the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Redcar Steelworks in 2015 by Sahaviriya Steel Industries (SSI).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multi-disciplinary wider work programme milestones include: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May/June 2016 </w:t>
            </w:r>
            <w:r>
              <w:rPr>
                <w:rFonts w:ascii="Arial" w:hAnsi="Arial" w:cs="Arial"/>
                <w:sz w:val="20"/>
              </w:rPr>
              <w:t></w:t>
            </w:r>
            <w:r>
              <w:rPr>
                <w:rFonts w:ascii="Arial" w:hAnsi="Arial"/>
                <w:sz w:val="20"/>
              </w:rPr>
              <w:t xml:space="preserve"> confirm profiling of site investigations and feasibility work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for 2016/17 and work that would continue into 2017/18;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September 2016 </w:t>
            </w:r>
            <w:r>
              <w:rPr>
                <w:rFonts w:ascii="Arial" w:hAnsi="Arial" w:cs="Arial"/>
                <w:sz w:val="20"/>
              </w:rPr>
              <w:t></w:t>
            </w:r>
            <w:r>
              <w:rPr>
                <w:rFonts w:ascii="Arial" w:hAnsi="Arial"/>
                <w:sz w:val="20"/>
              </w:rPr>
              <w:t xml:space="preserve"> provide options and estimates of likely costs of dealing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with the different parts of the site set within a comprehensive masterplan to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inform government budget setting and negotiations related to transfer of land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holdings to an eventual MDC.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September 2016 </w:t>
            </w:r>
            <w:r>
              <w:rPr>
                <w:rFonts w:ascii="Arial" w:hAnsi="Arial" w:cs="Arial"/>
                <w:sz w:val="20"/>
              </w:rPr>
              <w:t></w:t>
            </w:r>
            <w:r>
              <w:rPr>
                <w:rFonts w:ascii="Arial" w:hAnsi="Arial"/>
                <w:sz w:val="20"/>
              </w:rPr>
              <w:t xml:space="preserve"> identify gaps in the knowledge base of the site and provide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advice and options on intrusive site investigations.  It is anticipated that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work at this time could advise on the ability to de-risking parts of the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site and reducing the degree of inter-relationship through removal of shared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 redundant services and above ground pipes.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 full delivery plan and project timelines will be provided May/ June 2016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based upon the selected wider consultancy team</w:t>
            </w:r>
            <w:r>
              <w:rPr>
                <w:rFonts w:ascii="Arial" w:hAnsi="Arial" w:cs="Arial"/>
                <w:sz w:val="20"/>
              </w:rPr>
              <w:t></w:t>
            </w:r>
            <w:r>
              <w:rPr>
                <w:rFonts w:ascii="Arial" w:hAnsi="Arial"/>
                <w:sz w:val="20"/>
              </w:rPr>
              <w:t xml:space="preserve">s agreed work programme.  This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will be the crucial time to confirm or otherwise whether the delivery plan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programme fits with other milestones relating to land availability.  This will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determine whether any outstanding issues in relation to charges on the land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have been resolved.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timeline of the Economic work will need to follow the above timeline and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work with the multidisciplinary teams. The work will be in three stages: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End June 2016 </w:t>
            </w:r>
            <w:r>
              <w:rPr>
                <w:rFonts w:ascii="Arial" w:hAnsi="Arial" w:cs="Arial"/>
                <w:sz w:val="20"/>
              </w:rPr>
              <w:t></w:t>
            </w:r>
            <w:r>
              <w:rPr>
                <w:rFonts w:ascii="Arial" w:hAnsi="Arial"/>
                <w:sz w:val="20"/>
              </w:rPr>
              <w:t xml:space="preserve"> Stage 1 Position Statement identifying issues, approach and a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detailed workplan and inputs required to complete the appraisal.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September 2016 </w:t>
            </w:r>
            <w:r>
              <w:rPr>
                <w:rFonts w:ascii="Arial" w:hAnsi="Arial" w:cs="Arial"/>
                <w:sz w:val="20"/>
              </w:rPr>
              <w:t></w:t>
            </w:r>
            <w:r>
              <w:rPr>
                <w:rFonts w:ascii="Arial" w:hAnsi="Arial"/>
                <w:sz w:val="20"/>
              </w:rPr>
              <w:t xml:space="preserve"> Outline Business Case (OBC) of costed and shortlisted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options.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September 2016 - Full Business Case (FBC) of final preferred option (s). To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reiterate, the ambition is to inform budget setting in September 2016, but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dependent on the information being available to complete BCRs.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A suggested timeline for the Economic Appraisal work is therefore as follows: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Tender Issue  31st March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Tender Return  20th April (by midday)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Inception Meeting  26th April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Progress Meeting  11th May 2016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Issue Stage 1 Output -Position Statement  Mid-End June 2016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Progress Meeting  11th July 2016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Progress Meeting  16th August 2016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Issue Business Case (OBC and/or FBC) September 2016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Given the scale and complexity of the task, the dates above may change in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response to the findings of the different workstreams. There may be a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requirement for more progress meetings. There may also be a pause between the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Stage 2 OBC and Stage 3 FBC or they may be in quick succession, both in </w:t>
            </w:r>
          </w:p>
          <w:p w:rsidR="00414FA8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September 2016. However the above provides a consistent basis on which to </w:t>
            </w:r>
          </w:p>
          <w:p w:rsidR="001F37EE" w:rsidRDefault="00414FA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evaluate tenders.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414FA8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414FA8">
              <w:rPr>
                <w:rFonts w:ascii="Arial" w:hAnsi="Arial"/>
                <w:sz w:val="20"/>
              </w:rPr>
              <w:t>03/10/2016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414FA8">
              <w:rPr>
                <w:rFonts w:ascii="Arial" w:hAnsi="Arial"/>
                <w:sz w:val="20"/>
              </w:rPr>
              <w:t>03/10/2016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414FA8">
              <w:rPr>
                <w:rFonts w:ascii="Arial" w:hAnsi="Arial"/>
                <w:sz w:val="20"/>
              </w:rPr>
              <w:t>36000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414FA8">
              <w:rPr>
                <w:rFonts w:ascii="Arial" w:hAnsi="Arial"/>
                <w:sz w:val="20"/>
              </w:rPr>
              <w:t>36000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414FA8">
              <w:rPr>
                <w:rFonts w:ascii="Arial" w:hAnsi="Arial"/>
                <w:sz w:val="20"/>
              </w:rPr>
              <w:t>IT71974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Originator Ref/Contact: </w:t>
            </w:r>
            <w:r w:rsidR="00414FA8">
              <w:rPr>
                <w:rFonts w:ascii="Arial" w:hAnsi="Arial"/>
                <w:sz w:val="20"/>
              </w:rPr>
              <w:t>Cynthia Kalyan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414FA8">
              <w:rPr>
                <w:rFonts w:ascii="Arial" w:hAnsi="Arial"/>
                <w:sz w:val="20"/>
              </w:rPr>
              <w:t>Cynthia Kalyan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414FA8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FA8" w:rsidRDefault="00414FA8" w:rsidP="00414FA8">
      <w:r>
        <w:separator/>
      </w:r>
    </w:p>
  </w:endnote>
  <w:endnote w:type="continuationSeparator" w:id="0">
    <w:p w:rsidR="00414FA8" w:rsidRDefault="00414FA8" w:rsidP="0041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FA8" w:rsidRDefault="00414FA8" w:rsidP="00414FA8">
    <w:pPr>
      <w:pStyle w:val="Footer"/>
    </w:pPr>
    <w:bookmarkStart w:id="1" w:name="aliashAdvancedFooterprot1FooterEvenPages"/>
  </w:p>
  <w:bookmarkEnd w:id="1"/>
  <w:p w:rsidR="00414FA8" w:rsidRDefault="00414F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FA8" w:rsidRDefault="00414FA8" w:rsidP="00414FA8">
    <w:pPr>
      <w:pStyle w:val="Footer"/>
    </w:pPr>
    <w:bookmarkStart w:id="2" w:name="aliashAdvancedFooterprotec1FooterPrimary"/>
  </w:p>
  <w:bookmarkEnd w:id="2"/>
  <w:p w:rsidR="00414FA8" w:rsidRDefault="00414F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FA8" w:rsidRDefault="00414FA8" w:rsidP="00414FA8">
    <w:pPr>
      <w:pStyle w:val="Footer"/>
    </w:pPr>
    <w:bookmarkStart w:id="3" w:name="aliashAdvancedFooterprot1FooterFirstPage"/>
  </w:p>
  <w:bookmarkEnd w:id="3"/>
  <w:p w:rsidR="00414FA8" w:rsidRDefault="00414F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FA8" w:rsidRDefault="00414FA8" w:rsidP="00414FA8">
      <w:r>
        <w:separator/>
      </w:r>
    </w:p>
  </w:footnote>
  <w:footnote w:type="continuationSeparator" w:id="0">
    <w:p w:rsidR="00414FA8" w:rsidRDefault="00414FA8" w:rsidP="0041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FA8" w:rsidRDefault="00414F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FA8" w:rsidRDefault="00414F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FA8" w:rsidRDefault="00414F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A8"/>
    <w:rsid w:val="00073A5C"/>
    <w:rsid w:val="001F37EE"/>
    <w:rsid w:val="00240F54"/>
    <w:rsid w:val="00414FA8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14F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14FA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14F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14FA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14F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14FA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14F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14FA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2016-09-27T08:31:00Z</dcterms:created>
  <dcterms:modified xsi:type="dcterms:W3CDTF">2016-09-27T08:31:00Z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c75c4bd3-64a8-44f1-af51-ce4883936792</vt:lpwstr>
  </property>
  <property fmtid="{D5CDD505-2E9C-101B-9397-08002B2CF9AE}" pid="3" name="HCAGPMS">
    <vt:lpwstr>OFFICIAL</vt:lpwstr>
  </property>
</Properties>
</file>