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D265B"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54D265E" w14:textId="77777777" w:rsidTr="00061C01">
        <w:tc>
          <w:tcPr>
            <w:tcW w:w="4539" w:type="dxa"/>
          </w:tcPr>
          <w:p w14:paraId="254D265C"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254D27B9" wp14:editId="254D27BA">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54D265D"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254D27BB" wp14:editId="254D27BC">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54D265F" w14:textId="77777777" w:rsidR="00582B96" w:rsidRDefault="00582B96" w:rsidP="00582B96"/>
    <w:p w14:paraId="254D2660" w14:textId="77777777" w:rsidR="00582B96" w:rsidRPr="00D144D9" w:rsidRDefault="00582B96" w:rsidP="00582B96">
      <w:pPr>
        <w:rPr>
          <w:color w:val="FF0000"/>
        </w:rPr>
      </w:pPr>
    </w:p>
    <w:p w14:paraId="254D2661" w14:textId="77777777" w:rsidR="00582B96" w:rsidRDefault="00582B96" w:rsidP="00582B96"/>
    <w:p w14:paraId="254D2662" w14:textId="77777777" w:rsidR="00582B96" w:rsidRDefault="00582B96" w:rsidP="00582B96"/>
    <w:p w14:paraId="254D2663" w14:textId="77777777" w:rsidR="00582B96" w:rsidRDefault="00582B96" w:rsidP="00582B96"/>
    <w:p w14:paraId="254D2664" w14:textId="77777777" w:rsidR="00C5289B" w:rsidRDefault="00C5289B" w:rsidP="00582B96">
      <w:pPr>
        <w:rPr>
          <w:b/>
          <w:sz w:val="52"/>
          <w:szCs w:val="52"/>
        </w:rPr>
      </w:pPr>
    </w:p>
    <w:p w14:paraId="254D2665" w14:textId="1B1C9EB1" w:rsidR="00582B96" w:rsidRPr="00360CDD" w:rsidRDefault="00582B96" w:rsidP="00582B96">
      <w:pPr>
        <w:rPr>
          <w:b/>
          <w:sz w:val="52"/>
          <w:szCs w:val="52"/>
        </w:rPr>
      </w:pPr>
      <w:r w:rsidRPr="00360CDD">
        <w:rPr>
          <w:b/>
          <w:sz w:val="52"/>
          <w:szCs w:val="52"/>
        </w:rPr>
        <w:t xml:space="preserve">SPECIFICATION </w:t>
      </w:r>
    </w:p>
    <w:p w14:paraId="254D2666" w14:textId="77777777" w:rsidR="00582B96" w:rsidRDefault="00582B96" w:rsidP="00582B96">
      <w:pPr>
        <w:rPr>
          <w:b/>
          <w:sz w:val="48"/>
          <w:szCs w:val="48"/>
        </w:rPr>
      </w:pPr>
    </w:p>
    <w:p w14:paraId="254D2667" w14:textId="77777777" w:rsidR="00582B96" w:rsidRDefault="00582B96" w:rsidP="00582B96">
      <w:pPr>
        <w:rPr>
          <w:b/>
          <w:sz w:val="48"/>
          <w:szCs w:val="48"/>
        </w:rPr>
      </w:pPr>
    </w:p>
    <w:p w14:paraId="254D2668" w14:textId="77777777" w:rsidR="00582B96" w:rsidRDefault="00582B96" w:rsidP="00582B96">
      <w:pPr>
        <w:rPr>
          <w:b/>
          <w:sz w:val="48"/>
          <w:szCs w:val="48"/>
        </w:rPr>
      </w:pPr>
    </w:p>
    <w:p w14:paraId="254D2669" w14:textId="005DF785" w:rsidR="00582B96" w:rsidRPr="005B3DFD" w:rsidRDefault="00582B96" w:rsidP="00582B96">
      <w:pPr>
        <w:rPr>
          <w:b/>
          <w:sz w:val="36"/>
          <w:szCs w:val="36"/>
        </w:rPr>
      </w:pPr>
      <w:r w:rsidRPr="00360CDD">
        <w:rPr>
          <w:b/>
          <w:sz w:val="36"/>
          <w:szCs w:val="36"/>
        </w:rPr>
        <w:t xml:space="preserve">INVITATION TO TENDER </w:t>
      </w:r>
      <w:r w:rsidR="005B3DFD" w:rsidRPr="005B3DFD">
        <w:rPr>
          <w:b/>
          <w:sz w:val="36"/>
          <w:szCs w:val="36"/>
        </w:rPr>
        <w:t>itt_30159</w:t>
      </w:r>
    </w:p>
    <w:p w14:paraId="254D266A" w14:textId="77777777" w:rsidR="00582B96" w:rsidRPr="00360CDD" w:rsidRDefault="00582B96" w:rsidP="00582B96">
      <w:pPr>
        <w:autoSpaceDE w:val="0"/>
        <w:autoSpaceDN w:val="0"/>
        <w:adjustRightInd w:val="0"/>
        <w:rPr>
          <w:rFonts w:cs="Arial"/>
          <w:b/>
          <w:bCs/>
          <w:sz w:val="48"/>
          <w:szCs w:val="48"/>
        </w:rPr>
      </w:pPr>
    </w:p>
    <w:p w14:paraId="254D266B" w14:textId="77777777" w:rsidR="00582B96" w:rsidRPr="00360CDD" w:rsidRDefault="00582B96" w:rsidP="00582B96">
      <w:pPr>
        <w:autoSpaceDE w:val="0"/>
        <w:autoSpaceDN w:val="0"/>
        <w:adjustRightInd w:val="0"/>
        <w:rPr>
          <w:rFonts w:cs="Arial"/>
          <w:b/>
          <w:bCs/>
          <w:sz w:val="48"/>
          <w:szCs w:val="48"/>
        </w:rPr>
      </w:pPr>
    </w:p>
    <w:p w14:paraId="254D266C" w14:textId="77777777" w:rsidR="00582B96" w:rsidRDefault="003844A2" w:rsidP="00921B50">
      <w:pPr>
        <w:autoSpaceDE w:val="0"/>
        <w:autoSpaceDN w:val="0"/>
        <w:adjustRightInd w:val="0"/>
        <w:rPr>
          <w:b/>
          <w:sz w:val="48"/>
          <w:szCs w:val="48"/>
        </w:rPr>
      </w:pPr>
      <w:r w:rsidRPr="003844A2">
        <w:rPr>
          <w:rFonts w:cs="Arial"/>
          <w:b/>
          <w:bCs/>
          <w:sz w:val="36"/>
          <w:szCs w:val="36"/>
        </w:rPr>
        <w:t xml:space="preserve">Aspiration and Inspiration: </w:t>
      </w:r>
      <w:r w:rsidR="009D7496">
        <w:rPr>
          <w:rFonts w:cs="Arial"/>
          <w:b/>
          <w:bCs/>
          <w:sz w:val="36"/>
          <w:szCs w:val="36"/>
        </w:rPr>
        <w:t xml:space="preserve"> </w:t>
      </w:r>
      <w:r w:rsidRPr="003844A2">
        <w:rPr>
          <w:rFonts w:cs="Arial"/>
          <w:b/>
          <w:bCs/>
          <w:sz w:val="36"/>
          <w:szCs w:val="36"/>
        </w:rPr>
        <w:t>NEET Information, Advice and Guidance</w:t>
      </w:r>
    </w:p>
    <w:p w14:paraId="254D266D" w14:textId="2FED6B7B" w:rsidR="00582B96" w:rsidRDefault="00556FF1" w:rsidP="00582B96">
      <w:pPr>
        <w:rPr>
          <w:b/>
          <w:sz w:val="36"/>
          <w:szCs w:val="36"/>
        </w:rPr>
      </w:pPr>
      <w:r>
        <w:rPr>
          <w:b/>
          <w:sz w:val="36"/>
          <w:szCs w:val="36"/>
        </w:rPr>
        <w:t>14-901</w:t>
      </w:r>
    </w:p>
    <w:p w14:paraId="254D266E" w14:textId="77777777" w:rsidR="00556FF1" w:rsidRPr="00556FF1" w:rsidRDefault="00556FF1" w:rsidP="00582B96">
      <w:pPr>
        <w:rPr>
          <w:b/>
          <w:sz w:val="36"/>
          <w:szCs w:val="36"/>
        </w:rPr>
      </w:pPr>
    </w:p>
    <w:p w14:paraId="254D266F" w14:textId="77777777" w:rsidR="00582B96" w:rsidRPr="00921B50" w:rsidRDefault="00BF2FB8" w:rsidP="00582B96">
      <w:pPr>
        <w:rPr>
          <w:b/>
          <w:sz w:val="36"/>
          <w:szCs w:val="36"/>
        </w:rPr>
      </w:pPr>
      <w:r w:rsidRPr="009D7496">
        <w:rPr>
          <w:b/>
          <w:sz w:val="36"/>
          <w:szCs w:val="36"/>
        </w:rPr>
        <w:t>Greater Lincolnshire</w:t>
      </w:r>
    </w:p>
    <w:p w14:paraId="254D2670" w14:textId="77777777" w:rsidR="00582B96" w:rsidRPr="009D7496" w:rsidRDefault="00582B96" w:rsidP="00582B96">
      <w:pPr>
        <w:rPr>
          <w:b/>
          <w:sz w:val="48"/>
          <w:szCs w:val="48"/>
        </w:rPr>
      </w:pPr>
    </w:p>
    <w:p w14:paraId="254D2671" w14:textId="77777777" w:rsidR="00582B96" w:rsidRDefault="00582B96" w:rsidP="00582B96">
      <w:pPr>
        <w:rPr>
          <w:b/>
          <w:sz w:val="48"/>
          <w:szCs w:val="48"/>
        </w:rPr>
      </w:pPr>
    </w:p>
    <w:p w14:paraId="254D2672" w14:textId="77777777" w:rsidR="00582B96" w:rsidRDefault="00582B96" w:rsidP="00582B96">
      <w:pPr>
        <w:rPr>
          <w:b/>
          <w:sz w:val="48"/>
          <w:szCs w:val="48"/>
        </w:rPr>
      </w:pPr>
    </w:p>
    <w:p w14:paraId="254D2673" w14:textId="55126837" w:rsidR="00582B96" w:rsidRPr="00360CDD" w:rsidRDefault="00582B96" w:rsidP="00582B96">
      <w:pPr>
        <w:rPr>
          <w:b/>
          <w:sz w:val="36"/>
          <w:szCs w:val="36"/>
        </w:rPr>
      </w:pPr>
      <w:r w:rsidRPr="00360CDD">
        <w:rPr>
          <w:b/>
          <w:sz w:val="36"/>
          <w:szCs w:val="36"/>
        </w:rPr>
        <w:t>DATE:</w:t>
      </w:r>
      <w:r w:rsidR="002F71DB">
        <w:rPr>
          <w:b/>
          <w:sz w:val="36"/>
          <w:szCs w:val="36"/>
        </w:rPr>
        <w:t xml:space="preserve"> </w:t>
      </w:r>
      <w:r w:rsidR="009D7496">
        <w:rPr>
          <w:b/>
          <w:sz w:val="36"/>
          <w:szCs w:val="36"/>
        </w:rPr>
        <w:t>Ju</w:t>
      </w:r>
      <w:r w:rsidR="005B3DFD">
        <w:rPr>
          <w:b/>
          <w:sz w:val="36"/>
          <w:szCs w:val="36"/>
        </w:rPr>
        <w:t>ly</w:t>
      </w:r>
      <w:r w:rsidR="009D7496">
        <w:rPr>
          <w:b/>
          <w:sz w:val="36"/>
          <w:szCs w:val="36"/>
        </w:rPr>
        <w:t xml:space="preserve"> </w:t>
      </w:r>
      <w:r w:rsidR="00204192">
        <w:rPr>
          <w:b/>
          <w:sz w:val="36"/>
          <w:szCs w:val="36"/>
        </w:rPr>
        <w:t>2016</w:t>
      </w:r>
    </w:p>
    <w:p w14:paraId="254D2674" w14:textId="77777777" w:rsidR="00582B96" w:rsidRDefault="00582B96"/>
    <w:tbl>
      <w:tblPr>
        <w:tblW w:w="0" w:type="auto"/>
        <w:tblLook w:val="01E0" w:firstRow="1" w:lastRow="1" w:firstColumn="1" w:lastColumn="1" w:noHBand="0" w:noVBand="0"/>
      </w:tblPr>
      <w:tblGrid>
        <w:gridCol w:w="4421"/>
        <w:gridCol w:w="4366"/>
      </w:tblGrid>
      <w:tr w:rsidR="00ED67E0" w:rsidRPr="002465E9" w14:paraId="254D2677" w14:textId="77777777" w:rsidTr="00B24D65">
        <w:tc>
          <w:tcPr>
            <w:tcW w:w="4421" w:type="dxa"/>
          </w:tcPr>
          <w:p w14:paraId="254D2675" w14:textId="77777777" w:rsidR="00ED67E0" w:rsidRDefault="00ED67E0" w:rsidP="000419AD">
            <w:pPr>
              <w:pStyle w:val="Header"/>
            </w:pPr>
            <w:r>
              <w:rPr>
                <w:noProof/>
                <w:lang w:eastAsia="en-GB"/>
              </w:rPr>
              <w:lastRenderedPageBreak/>
              <w:drawing>
                <wp:inline distT="0" distB="0" distL="0" distR="0" wp14:anchorId="254D27BD" wp14:editId="254D27BE">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54D2676" w14:textId="77777777" w:rsidR="00ED67E0" w:rsidRDefault="000D51DE" w:rsidP="000419AD">
            <w:pPr>
              <w:pStyle w:val="Header"/>
              <w:jc w:val="right"/>
            </w:pPr>
            <w:r>
              <w:rPr>
                <w:noProof/>
                <w:lang w:eastAsia="en-GB"/>
              </w:rPr>
              <w:drawing>
                <wp:inline distT="0" distB="0" distL="0" distR="0" wp14:anchorId="254D27BF" wp14:editId="254D27C0">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254D267A" w14:textId="77777777" w:rsidTr="00B24D65">
        <w:tc>
          <w:tcPr>
            <w:tcW w:w="4421" w:type="dxa"/>
          </w:tcPr>
          <w:p w14:paraId="254D2678" w14:textId="77777777" w:rsidR="008441FE" w:rsidRDefault="008441FE" w:rsidP="000419AD">
            <w:pPr>
              <w:pStyle w:val="Header"/>
              <w:rPr>
                <w:noProof/>
                <w:lang w:eastAsia="en-GB"/>
              </w:rPr>
            </w:pPr>
          </w:p>
        </w:tc>
        <w:tc>
          <w:tcPr>
            <w:tcW w:w="4366" w:type="dxa"/>
          </w:tcPr>
          <w:p w14:paraId="254D2679" w14:textId="77777777" w:rsidR="008441FE" w:rsidRDefault="008441FE" w:rsidP="000419AD">
            <w:pPr>
              <w:pStyle w:val="Header"/>
              <w:jc w:val="right"/>
              <w:rPr>
                <w:noProof/>
                <w:lang w:eastAsia="en-GB"/>
              </w:rPr>
            </w:pPr>
          </w:p>
        </w:tc>
      </w:tr>
    </w:tbl>
    <w:p w14:paraId="254D267B" w14:textId="77777777" w:rsidR="0015011A" w:rsidRDefault="0015011A" w:rsidP="0015011A"/>
    <w:tbl>
      <w:tblPr>
        <w:tblStyle w:val="TableGrid"/>
        <w:tblW w:w="5731" w:type="pct"/>
        <w:tblLayout w:type="fixed"/>
        <w:tblLook w:val="04A0" w:firstRow="1" w:lastRow="0" w:firstColumn="1" w:lastColumn="0" w:noHBand="0" w:noVBand="1"/>
      </w:tblPr>
      <w:tblGrid>
        <w:gridCol w:w="10060"/>
      </w:tblGrid>
      <w:tr w:rsidR="00967429" w:rsidRPr="00EF4406" w14:paraId="254D2680" w14:textId="77777777" w:rsidTr="00921B50">
        <w:trPr>
          <w:trHeight w:val="597"/>
        </w:trPr>
        <w:tc>
          <w:tcPr>
            <w:tcW w:w="10060" w:type="dxa"/>
          </w:tcPr>
          <w:p w14:paraId="254D267D" w14:textId="10C15189" w:rsidR="003844A2" w:rsidRDefault="005B3DFD" w:rsidP="00A524B5">
            <w:pPr>
              <w:pStyle w:val="BodyText"/>
              <w:tabs>
                <w:tab w:val="num" w:pos="1134"/>
              </w:tabs>
              <w:spacing w:after="0"/>
              <w:jc w:val="both"/>
              <w:rPr>
                <w:rFonts w:ascii="Arial" w:hAnsi="Arial" w:cs="Arial"/>
                <w:b/>
              </w:rPr>
            </w:pPr>
            <w:r>
              <w:rPr>
                <w:rFonts w:ascii="Arial" w:hAnsi="Arial" w:cs="Arial"/>
                <w:b/>
              </w:rPr>
              <w:t>ESF</w:t>
            </w:r>
            <w:r w:rsidR="00B3399A" w:rsidRPr="00BF2FB8">
              <w:rPr>
                <w:rFonts w:ascii="Arial" w:hAnsi="Arial" w:cs="Arial"/>
                <w:b/>
              </w:rPr>
              <w:t xml:space="preserve">: </w:t>
            </w:r>
            <w:r w:rsidR="003844A2" w:rsidRPr="003844A2">
              <w:rPr>
                <w:rFonts w:ascii="Arial" w:hAnsi="Arial" w:cs="Arial"/>
                <w:b/>
              </w:rPr>
              <w:t>Aspiration and Inspiration: NEET Information, Advice and Guidance</w:t>
            </w:r>
          </w:p>
          <w:p w14:paraId="254D267F" w14:textId="1A823B28" w:rsidR="00967429" w:rsidRPr="00200BC6" w:rsidRDefault="005B3DFD" w:rsidP="005B3DFD">
            <w:pPr>
              <w:pStyle w:val="BodyText"/>
              <w:tabs>
                <w:tab w:val="num" w:pos="1134"/>
              </w:tabs>
              <w:spacing w:after="0"/>
              <w:jc w:val="both"/>
              <w:rPr>
                <w:rFonts w:ascii="Arial" w:hAnsi="Arial" w:cs="Arial"/>
                <w:b/>
                <w:color w:val="FF0000"/>
              </w:rPr>
            </w:pPr>
            <w:r w:rsidRPr="005B3DFD">
              <w:rPr>
                <w:rFonts w:ascii="Arial" w:hAnsi="Arial" w:cs="Arial"/>
                <w:b/>
              </w:rPr>
              <w:t>itt_30159</w:t>
            </w:r>
          </w:p>
        </w:tc>
      </w:tr>
      <w:tr w:rsidR="00967429" w14:paraId="254D2682" w14:textId="77777777" w:rsidTr="009A6BFF">
        <w:trPr>
          <w:trHeight w:val="567"/>
        </w:trPr>
        <w:tc>
          <w:tcPr>
            <w:tcW w:w="10060" w:type="dxa"/>
            <w:shd w:val="clear" w:color="auto" w:fill="D9D9D9" w:themeFill="background1" w:themeFillShade="D9"/>
            <w:vAlign w:val="center"/>
          </w:tcPr>
          <w:p w14:paraId="254D2681" w14:textId="77777777" w:rsidR="00967429" w:rsidRPr="00FD3B0A" w:rsidRDefault="004C726D" w:rsidP="00FD3B0A">
            <w:pPr>
              <w:pStyle w:val="SpecificationHeading"/>
            </w:pPr>
            <w:r w:rsidRPr="00FD3B0A">
              <w:t>BACKGROUND</w:t>
            </w:r>
          </w:p>
        </w:tc>
      </w:tr>
      <w:tr w:rsidR="00967429" w:rsidRPr="009D7496" w14:paraId="254D26C1" w14:textId="77777777" w:rsidTr="00921B50">
        <w:tc>
          <w:tcPr>
            <w:tcW w:w="10060" w:type="dxa"/>
          </w:tcPr>
          <w:p w14:paraId="254D2683" w14:textId="77777777" w:rsidR="00B24D65" w:rsidRPr="009D7496" w:rsidRDefault="00B24D65" w:rsidP="00A524B5">
            <w:pPr>
              <w:tabs>
                <w:tab w:val="num" w:pos="900"/>
              </w:tabs>
              <w:autoSpaceDE w:val="0"/>
              <w:autoSpaceDN w:val="0"/>
              <w:adjustRightInd w:val="0"/>
              <w:rPr>
                <w:rFonts w:cs="Arial"/>
                <w:b/>
              </w:rPr>
            </w:pPr>
          </w:p>
          <w:p w14:paraId="254D2684" w14:textId="77777777" w:rsidR="001F0385" w:rsidRPr="009D7496" w:rsidRDefault="002833D9" w:rsidP="00A524B5">
            <w:pPr>
              <w:tabs>
                <w:tab w:val="num" w:pos="900"/>
              </w:tabs>
              <w:autoSpaceDE w:val="0"/>
              <w:autoSpaceDN w:val="0"/>
              <w:adjustRightInd w:val="0"/>
              <w:rPr>
                <w:rFonts w:cs="Arial"/>
                <w:b/>
              </w:rPr>
            </w:pPr>
            <w:r w:rsidRPr="009D7496">
              <w:rPr>
                <w:rFonts w:cs="Arial"/>
                <w:b/>
              </w:rPr>
              <w:t>General</w:t>
            </w:r>
          </w:p>
          <w:p w14:paraId="254D2685" w14:textId="77777777" w:rsidR="002833D9" w:rsidRPr="009D7496" w:rsidRDefault="002833D9" w:rsidP="00A524B5">
            <w:pPr>
              <w:tabs>
                <w:tab w:val="num" w:pos="900"/>
              </w:tabs>
              <w:autoSpaceDE w:val="0"/>
              <w:autoSpaceDN w:val="0"/>
              <w:adjustRightInd w:val="0"/>
              <w:rPr>
                <w:rFonts w:cs="Arial"/>
                <w:b/>
              </w:rPr>
            </w:pPr>
          </w:p>
          <w:p w14:paraId="254D2686" w14:textId="77777777" w:rsidR="00B24D65" w:rsidRPr="009D7496" w:rsidRDefault="00B24D65" w:rsidP="00A524B5">
            <w:pPr>
              <w:tabs>
                <w:tab w:val="num" w:pos="900"/>
              </w:tabs>
              <w:autoSpaceDE w:val="0"/>
              <w:autoSpaceDN w:val="0"/>
              <w:adjustRightInd w:val="0"/>
              <w:rPr>
                <w:rFonts w:cs="Arial"/>
              </w:rPr>
            </w:pPr>
            <w:r w:rsidRPr="009D7496">
              <w:rPr>
                <w:rFonts w:cs="Arial"/>
              </w:rPr>
              <w:t xml:space="preserve">The contracting authority is the Secretary of State for Business Innovation and </w:t>
            </w:r>
            <w:r w:rsidR="002E3B40" w:rsidRPr="009D7496">
              <w:rPr>
                <w:rFonts w:cs="Arial"/>
              </w:rPr>
              <w:t xml:space="preserve">Skills </w:t>
            </w:r>
            <w:r w:rsidRPr="009D7496">
              <w:rPr>
                <w:rFonts w:cs="Arial"/>
              </w:rPr>
              <w:t>acting through the Skills Funding Agency</w:t>
            </w:r>
            <w:r w:rsidR="00442DA3" w:rsidRPr="009D7496">
              <w:rPr>
                <w:rFonts w:cs="Arial"/>
              </w:rPr>
              <w:t xml:space="preserve"> </w:t>
            </w:r>
            <w:r w:rsidRPr="009D7496">
              <w:rPr>
                <w:rFonts w:cs="Arial"/>
              </w:rPr>
              <w:t>(SFA), an executive agency of the Department for Business Innovation and Skills exercising functions to fund adult education and skills.</w:t>
            </w:r>
          </w:p>
          <w:p w14:paraId="254D2687" w14:textId="77777777" w:rsidR="002833D9" w:rsidRPr="009D7496" w:rsidRDefault="002833D9" w:rsidP="00A524B5">
            <w:pPr>
              <w:tabs>
                <w:tab w:val="num" w:pos="900"/>
              </w:tabs>
              <w:autoSpaceDE w:val="0"/>
              <w:autoSpaceDN w:val="0"/>
              <w:adjustRightInd w:val="0"/>
              <w:rPr>
                <w:rFonts w:cs="Arial"/>
              </w:rPr>
            </w:pPr>
          </w:p>
          <w:p w14:paraId="254D2688" w14:textId="77777777" w:rsidR="002833D9" w:rsidRPr="009D7496" w:rsidRDefault="002833D9" w:rsidP="00A524B5">
            <w:pPr>
              <w:rPr>
                <w:rFonts w:cs="Arial"/>
              </w:rPr>
            </w:pPr>
            <w:r w:rsidRPr="009D7496">
              <w:rPr>
                <w:rFonts w:cs="Arial"/>
              </w:rPr>
              <w:t>T</w:t>
            </w:r>
            <w:r w:rsidR="009F51A8" w:rsidRPr="009D7496">
              <w:rPr>
                <w:rFonts w:cs="Arial"/>
              </w:rPr>
              <w:t>he SFA, acting as an Opt-In Organisation</w:t>
            </w:r>
            <w:r w:rsidRPr="009D7496">
              <w:rPr>
                <w:rFonts w:cs="Arial"/>
              </w:rPr>
              <w:t xml:space="preserve"> for the European Social Fund (ESF), is procuring education and training services to meet priorities identified by </w:t>
            </w:r>
            <w:r w:rsidR="00F3689D" w:rsidRPr="00921B50">
              <w:rPr>
                <w:rFonts w:cs="Arial"/>
              </w:rPr>
              <w:t xml:space="preserve">Local Enterprise Partnership (LEP) area European Structural and Investment Funds Sub–Committees. </w:t>
            </w:r>
            <w:r w:rsidRPr="009D7496">
              <w:rPr>
                <w:rFonts w:cs="Arial"/>
              </w:rPr>
              <w:t>As a</w:t>
            </w:r>
            <w:r w:rsidR="009F51A8" w:rsidRPr="009D7496">
              <w:rPr>
                <w:rFonts w:cs="Arial"/>
              </w:rPr>
              <w:t>n</w:t>
            </w:r>
            <w:r w:rsidRPr="009D7496">
              <w:rPr>
                <w:rFonts w:cs="Arial"/>
              </w:rPr>
              <w:t xml:space="preserve"> </w:t>
            </w:r>
            <w:r w:rsidR="009F51A8" w:rsidRPr="009D7496">
              <w:rPr>
                <w:rFonts w:cs="Arial"/>
              </w:rPr>
              <w:t>Opt-In Organisation</w:t>
            </w:r>
            <w:r w:rsidRPr="009D7496">
              <w:rPr>
                <w:rFonts w:cs="Arial"/>
              </w:rPr>
              <w:t xml:space="preserve"> the SFA provides match funding at Priority Axis level utilising sources of public funding as match for ESF funded activity.</w:t>
            </w:r>
          </w:p>
          <w:p w14:paraId="254D2689" w14:textId="77777777" w:rsidR="002833D9" w:rsidRPr="009D7496" w:rsidRDefault="002833D9" w:rsidP="00A524B5">
            <w:pPr>
              <w:rPr>
                <w:rFonts w:cs="Arial"/>
              </w:rPr>
            </w:pPr>
          </w:p>
          <w:p w14:paraId="254D268A" w14:textId="77777777" w:rsidR="00A63E89" w:rsidRPr="00921B50" w:rsidRDefault="00AD0B65" w:rsidP="00A63E89">
            <w:pPr>
              <w:rPr>
                <w:rFonts w:cs="Arial"/>
              </w:rPr>
            </w:pPr>
            <w:r w:rsidRPr="009D7496">
              <w:rPr>
                <w:rFonts w:cs="Arial"/>
              </w:rPr>
              <w:t>This Invitation to Tender (ITT) is for Priority</w:t>
            </w:r>
            <w:r w:rsidR="00A63E89" w:rsidRPr="009D7496">
              <w:rPr>
                <w:rFonts w:cs="Arial"/>
              </w:rPr>
              <w:t xml:space="preserve"> </w:t>
            </w:r>
            <w:r w:rsidR="00921B50" w:rsidRPr="009D7496">
              <w:rPr>
                <w:rFonts w:cs="Arial"/>
              </w:rPr>
              <w:t>Ax</w:t>
            </w:r>
            <w:r w:rsidR="00921B50">
              <w:rPr>
                <w:rFonts w:cs="Arial"/>
              </w:rPr>
              <w:t>i</w:t>
            </w:r>
            <w:r w:rsidR="00921B50" w:rsidRPr="009D7496">
              <w:rPr>
                <w:rFonts w:cs="Arial"/>
              </w:rPr>
              <w:t xml:space="preserve">s </w:t>
            </w:r>
            <w:r w:rsidR="00204192" w:rsidRPr="009D7496">
              <w:rPr>
                <w:rFonts w:cs="Arial"/>
              </w:rPr>
              <w:t>1</w:t>
            </w:r>
            <w:r w:rsidR="00A63E89" w:rsidRPr="009D7496">
              <w:rPr>
                <w:rFonts w:cs="Arial"/>
              </w:rPr>
              <w:t xml:space="preserve"> </w:t>
            </w:r>
            <w:r w:rsidR="00204192" w:rsidRPr="00921B50">
              <w:rPr>
                <w:rFonts w:cs="Arial"/>
              </w:rPr>
              <w:t>wh</w:t>
            </w:r>
            <w:r w:rsidR="00A63E89" w:rsidRPr="00921B50">
              <w:rPr>
                <w:rFonts w:cs="Arial"/>
              </w:rPr>
              <w:t xml:space="preserve">ere the need has been identified both in the LEP area and European Structural and Investment Fund Strategies.  </w:t>
            </w:r>
          </w:p>
          <w:p w14:paraId="254D268B" w14:textId="77777777" w:rsidR="00AD0B65" w:rsidRPr="009D7496" w:rsidRDefault="00AD0B65" w:rsidP="00AD0B65">
            <w:pPr>
              <w:rPr>
                <w:rFonts w:cs="Arial"/>
              </w:rPr>
            </w:pPr>
          </w:p>
          <w:p w14:paraId="254D268C" w14:textId="77777777" w:rsidR="0096491B" w:rsidRPr="00921B50" w:rsidRDefault="009E7A30" w:rsidP="001A3E9E">
            <w:pPr>
              <w:rPr>
                <w:rFonts w:cs="Arial"/>
              </w:rPr>
            </w:pPr>
            <w:r w:rsidRPr="00921B50">
              <w:rPr>
                <w:rFonts w:cs="Arial"/>
              </w:rPr>
              <w:t>The</w:t>
            </w:r>
            <w:r w:rsidR="00A63E89" w:rsidRPr="00921B50">
              <w:rPr>
                <w:rFonts w:cs="Arial"/>
              </w:rPr>
              <w:t xml:space="preserve"> </w:t>
            </w:r>
            <w:r w:rsidR="00204192" w:rsidRPr="00921B50">
              <w:rPr>
                <w:rFonts w:cs="Arial"/>
              </w:rPr>
              <w:t xml:space="preserve">Priority Axis 1 </w:t>
            </w:r>
            <w:r w:rsidR="00A63E89" w:rsidRPr="00921B50">
              <w:rPr>
                <w:rFonts w:cs="Arial"/>
              </w:rPr>
              <w:t xml:space="preserve">supports </w:t>
            </w:r>
            <w:r w:rsidR="00204192" w:rsidRPr="00921B50">
              <w:rPr>
                <w:rFonts w:cs="Arial"/>
              </w:rPr>
              <w:t xml:space="preserve">activity to increase participation in the labour market and thereby improve social inclusion and mobility.   </w:t>
            </w:r>
            <w:r w:rsidR="0096491B" w:rsidRPr="00921B50">
              <w:rPr>
                <w:rFonts w:cs="Arial"/>
              </w:rPr>
              <w:t>To support the rise in the participation age by providing additional traineeship and apprenticeship opportunities.</w:t>
            </w:r>
          </w:p>
          <w:p w14:paraId="254D268D" w14:textId="77777777" w:rsidR="007E51DD" w:rsidRPr="00921B50" w:rsidRDefault="007E51DD" w:rsidP="00AD0B65">
            <w:pPr>
              <w:rPr>
                <w:rFonts w:cs="Arial"/>
              </w:rPr>
            </w:pPr>
          </w:p>
          <w:p w14:paraId="254D268E" w14:textId="77777777" w:rsidR="004A2467" w:rsidRDefault="004A2467" w:rsidP="00AD0B65">
            <w:pPr>
              <w:rPr>
                <w:rFonts w:cs="Arial"/>
              </w:rPr>
            </w:pPr>
            <w:r w:rsidRPr="00921B50">
              <w:rPr>
                <w:rFonts w:cs="Arial"/>
              </w:rPr>
              <w:t xml:space="preserve">The strand in </w:t>
            </w:r>
            <w:r w:rsidR="00204192" w:rsidRPr="00921B50">
              <w:rPr>
                <w:rFonts w:cs="Arial"/>
              </w:rPr>
              <w:t>Priority Axis 1</w:t>
            </w:r>
            <w:r w:rsidRPr="00921B50">
              <w:rPr>
                <w:rFonts w:cs="Arial"/>
              </w:rPr>
              <w:t xml:space="preserve"> </w:t>
            </w:r>
            <w:r w:rsidR="00F0539E" w:rsidRPr="00921B50">
              <w:rPr>
                <w:rFonts w:cs="Arial"/>
              </w:rPr>
              <w:t xml:space="preserve">in this specification </w:t>
            </w:r>
            <w:r w:rsidR="009D7496">
              <w:rPr>
                <w:rFonts w:cs="Arial"/>
              </w:rPr>
              <w:t>is</w:t>
            </w:r>
            <w:r w:rsidRPr="00921B50">
              <w:rPr>
                <w:rFonts w:cs="Arial"/>
              </w:rPr>
              <w:t>:</w:t>
            </w:r>
          </w:p>
          <w:p w14:paraId="0DD5F979" w14:textId="77777777" w:rsidR="009A6BFF" w:rsidRPr="00921B50" w:rsidRDefault="009A6BFF" w:rsidP="00AD0B65">
            <w:pPr>
              <w:rPr>
                <w:rFonts w:cs="Arial"/>
              </w:rPr>
            </w:pPr>
          </w:p>
          <w:p w14:paraId="254D268F" w14:textId="77777777" w:rsidR="0096491B" w:rsidRPr="00921B50" w:rsidRDefault="0096491B" w:rsidP="009A6BFF">
            <w:pPr>
              <w:pStyle w:val="ListParagraph"/>
              <w:numPr>
                <w:ilvl w:val="0"/>
                <w:numId w:val="8"/>
              </w:numPr>
              <w:autoSpaceDE w:val="0"/>
              <w:autoSpaceDN w:val="0"/>
              <w:adjustRightInd w:val="0"/>
              <w:ind w:left="313"/>
              <w:rPr>
                <w:rFonts w:cs="Arial"/>
              </w:rPr>
            </w:pPr>
            <w:r w:rsidRPr="00921B50">
              <w:rPr>
                <w:rFonts w:cs="Arial"/>
                <w:b/>
              </w:rPr>
              <w:t>Sustainable integration of young people</w:t>
            </w:r>
            <w:r w:rsidRPr="00921B50">
              <w:rPr>
                <w:rFonts w:cs="Arial"/>
              </w:rPr>
              <w:t xml:space="preserve"> (IP1.2) - to focus on helping young people, particularly those who are NEET or at risk of NEET, to participate in the labour market and learning in areas through focused Information, Advice and Guidance.</w:t>
            </w:r>
          </w:p>
          <w:p w14:paraId="254D2690" w14:textId="77777777" w:rsidR="009B1204" w:rsidRPr="009D7496" w:rsidRDefault="009B1204" w:rsidP="00860D0C">
            <w:pPr>
              <w:tabs>
                <w:tab w:val="num" w:pos="900"/>
              </w:tabs>
              <w:autoSpaceDE w:val="0"/>
              <w:autoSpaceDN w:val="0"/>
              <w:adjustRightInd w:val="0"/>
              <w:rPr>
                <w:rFonts w:cs="Arial"/>
              </w:rPr>
            </w:pPr>
          </w:p>
          <w:p w14:paraId="254D2691" w14:textId="77777777" w:rsidR="0096491B" w:rsidRPr="009D7496" w:rsidRDefault="0096491B" w:rsidP="0096491B">
            <w:pPr>
              <w:tabs>
                <w:tab w:val="num" w:pos="900"/>
              </w:tabs>
              <w:autoSpaceDE w:val="0"/>
              <w:autoSpaceDN w:val="0"/>
              <w:adjustRightInd w:val="0"/>
              <w:rPr>
                <w:rFonts w:cs="Arial"/>
              </w:rPr>
            </w:pPr>
            <w:r w:rsidRPr="009D7496">
              <w:rPr>
                <w:rFonts w:cs="Arial"/>
                <w:b/>
              </w:rPr>
              <w:t>Sustainable Integration of Young People</w:t>
            </w:r>
            <w:r w:rsidR="00F47F20" w:rsidRPr="009D7496">
              <w:rPr>
                <w:rFonts w:cs="Arial"/>
                <w:b/>
              </w:rPr>
              <w:t xml:space="preserve"> </w:t>
            </w:r>
            <w:r w:rsidRPr="009D7496">
              <w:rPr>
                <w:rFonts w:cs="Arial"/>
              </w:rPr>
              <w:t>Unemployment can have a long-term effect on young people, so this group remain a high priority as the recovery strengthens. A range of help is already available, but ESF will be used to support additional and complementary measures to increase the number of young people who are in education, employment and training, and to reduce the number who are NEET or at risk of being NEET. This investment priority will not support activities that duplicate or replace existing provision.</w:t>
            </w:r>
          </w:p>
          <w:p w14:paraId="254D2692" w14:textId="77777777" w:rsidR="0096491B" w:rsidRPr="009D7496" w:rsidRDefault="0096491B" w:rsidP="0096491B">
            <w:pPr>
              <w:tabs>
                <w:tab w:val="num" w:pos="900"/>
              </w:tabs>
              <w:autoSpaceDE w:val="0"/>
              <w:autoSpaceDN w:val="0"/>
              <w:adjustRightInd w:val="0"/>
              <w:rPr>
                <w:rFonts w:cs="Arial"/>
              </w:rPr>
            </w:pPr>
          </w:p>
          <w:p w14:paraId="254D2693" w14:textId="77777777" w:rsidR="0096491B" w:rsidRDefault="0096491B" w:rsidP="0096491B">
            <w:pPr>
              <w:tabs>
                <w:tab w:val="num" w:pos="900"/>
              </w:tabs>
              <w:autoSpaceDE w:val="0"/>
              <w:autoSpaceDN w:val="0"/>
              <w:adjustRightInd w:val="0"/>
              <w:rPr>
                <w:rFonts w:cs="Arial"/>
              </w:rPr>
            </w:pPr>
            <w:r w:rsidRPr="009D7496">
              <w:rPr>
                <w:rFonts w:cs="Arial"/>
                <w:b/>
              </w:rPr>
              <w:t>The focus of the work under this strand will be the provision of Information, Advice and Guidance to these young people</w:t>
            </w:r>
            <w:r w:rsidRPr="009D7496">
              <w:rPr>
                <w:rFonts w:cs="Arial"/>
              </w:rPr>
              <w:t>.</w:t>
            </w:r>
          </w:p>
          <w:p w14:paraId="254D2694" w14:textId="77777777" w:rsidR="009D7496" w:rsidRPr="009D7496" w:rsidRDefault="009D7496" w:rsidP="0096491B">
            <w:pPr>
              <w:tabs>
                <w:tab w:val="num" w:pos="900"/>
              </w:tabs>
              <w:autoSpaceDE w:val="0"/>
              <w:autoSpaceDN w:val="0"/>
              <w:adjustRightInd w:val="0"/>
              <w:rPr>
                <w:rFonts w:cs="Arial"/>
                <w:b/>
              </w:rPr>
            </w:pPr>
          </w:p>
          <w:p w14:paraId="254D2695" w14:textId="77777777" w:rsidR="002833D9" w:rsidRPr="009D7496" w:rsidRDefault="00BF2FB8" w:rsidP="00A524B5">
            <w:pPr>
              <w:rPr>
                <w:rFonts w:cs="Arial"/>
                <w:b/>
              </w:rPr>
            </w:pPr>
            <w:r w:rsidRPr="009D7496">
              <w:rPr>
                <w:rFonts w:cs="Arial"/>
                <w:b/>
              </w:rPr>
              <w:lastRenderedPageBreak/>
              <w:t>Greater Lincolnshire</w:t>
            </w:r>
            <w:r w:rsidR="000304B2" w:rsidRPr="009D7496">
              <w:rPr>
                <w:rFonts w:cs="Arial"/>
                <w:b/>
              </w:rPr>
              <w:t xml:space="preserve"> Local </w:t>
            </w:r>
            <w:r w:rsidR="00A76A58" w:rsidRPr="009D7496">
              <w:rPr>
                <w:rFonts w:cs="Arial"/>
                <w:b/>
              </w:rPr>
              <w:t>Enterprise Partnership</w:t>
            </w:r>
            <w:r w:rsidR="00F24C41" w:rsidRPr="009D7496">
              <w:rPr>
                <w:rFonts w:cs="Arial"/>
                <w:b/>
              </w:rPr>
              <w:t xml:space="preserve"> Background</w:t>
            </w:r>
          </w:p>
          <w:p w14:paraId="254D2696" w14:textId="77777777" w:rsidR="000D51DE" w:rsidRPr="009D7496" w:rsidRDefault="000D51DE" w:rsidP="00A524B5">
            <w:pPr>
              <w:rPr>
                <w:rFonts w:cs="Arial"/>
              </w:rPr>
            </w:pPr>
          </w:p>
          <w:p w14:paraId="254D2697" w14:textId="77777777" w:rsidR="00894725" w:rsidRPr="009D7496" w:rsidRDefault="00894725" w:rsidP="00894725">
            <w:pPr>
              <w:rPr>
                <w:rFonts w:cs="Arial"/>
                <w:lang w:eastAsia="en-GB"/>
              </w:rPr>
            </w:pPr>
            <w:r w:rsidRPr="009D7496">
              <w:rPr>
                <w:rFonts w:cs="Arial"/>
                <w:lang w:eastAsia="en-GB"/>
              </w:rPr>
              <w:t xml:space="preserve">Greater Lincolnshire covers the administrative boundaries of Lincolnshire, North Lincolnshire and North East Lincolnshire.   It is a very large area, almost double the size of Cornwall with a population similar to Birmingham.   This creates some challenges for deliverers of training who must work in rural, coastal and sparsely populated areas as well as cities and towns. </w:t>
            </w:r>
          </w:p>
          <w:p w14:paraId="254D2698" w14:textId="77777777" w:rsidR="00894725" w:rsidRPr="009D7496" w:rsidRDefault="00894725" w:rsidP="00894725">
            <w:pPr>
              <w:rPr>
                <w:rFonts w:cs="Arial"/>
                <w:lang w:eastAsia="en-GB"/>
              </w:rPr>
            </w:pPr>
          </w:p>
          <w:p w14:paraId="254D2699" w14:textId="77777777" w:rsidR="00894725" w:rsidRPr="009D7496" w:rsidRDefault="00894725" w:rsidP="00894725">
            <w:pPr>
              <w:rPr>
                <w:rFonts w:cs="Arial"/>
                <w:lang w:eastAsia="en-GB"/>
              </w:rPr>
            </w:pPr>
            <w:r w:rsidRPr="009D7496">
              <w:rPr>
                <w:rFonts w:cs="Arial"/>
                <w:lang w:eastAsia="en-GB"/>
              </w:rPr>
              <w:t xml:space="preserve">Whilst long term unemployment and youth unemployment is declining, percentages are still above the national average and the three projects that form this specification are designed to address these: skills and training support to the unemployed, an apprenticeship growth programme, and a scheme to inspire and motivate people to work locally, particularly in our growing and important sectors. </w:t>
            </w:r>
          </w:p>
          <w:p w14:paraId="254D269A" w14:textId="77777777" w:rsidR="00894725" w:rsidRPr="009D7496" w:rsidRDefault="00894725" w:rsidP="00894725">
            <w:pPr>
              <w:rPr>
                <w:rFonts w:cs="Arial"/>
              </w:rPr>
            </w:pPr>
          </w:p>
          <w:p w14:paraId="254D269B" w14:textId="77777777" w:rsidR="00894725" w:rsidRPr="009D7496" w:rsidRDefault="00894725" w:rsidP="00894725">
            <w:pPr>
              <w:rPr>
                <w:rFonts w:cs="Arial"/>
                <w:b/>
              </w:rPr>
            </w:pPr>
            <w:r w:rsidRPr="009D7496">
              <w:rPr>
                <w:rFonts w:cs="Arial"/>
                <w:b/>
              </w:rPr>
              <w:t>Unemployment Fact</w:t>
            </w:r>
            <w:r w:rsidR="001A3E9E" w:rsidRPr="009D7496">
              <w:rPr>
                <w:rFonts w:cs="Arial"/>
                <w:b/>
              </w:rPr>
              <w:t>s</w:t>
            </w:r>
            <w:r w:rsidRPr="009D7496">
              <w:rPr>
                <w:rFonts w:cs="Arial"/>
                <w:b/>
              </w:rPr>
              <w:t xml:space="preserve"> and Figures</w:t>
            </w:r>
          </w:p>
          <w:p w14:paraId="254D269C" w14:textId="77777777" w:rsidR="00894725" w:rsidRPr="009D7496" w:rsidRDefault="00894725" w:rsidP="00894725">
            <w:pPr>
              <w:rPr>
                <w:rFonts w:cs="Arial"/>
              </w:rPr>
            </w:pPr>
            <w:r w:rsidRPr="009D7496">
              <w:rPr>
                <w:rFonts w:cs="Arial"/>
              </w:rPr>
              <w:t xml:space="preserve">In November 2015 there were 11,415 people in the area claiming jobseekers allowance, accounting for 1.8% of working age people, above the national average of 1.5%.   </w:t>
            </w:r>
          </w:p>
          <w:p w14:paraId="254D269D" w14:textId="77777777" w:rsidR="00894725" w:rsidRPr="009D7496" w:rsidRDefault="00894725" w:rsidP="00894725">
            <w:pPr>
              <w:rPr>
                <w:rFonts w:cs="Arial"/>
              </w:rPr>
            </w:pPr>
          </w:p>
          <w:p w14:paraId="254D269E" w14:textId="77777777" w:rsidR="00894725" w:rsidRPr="009D7496" w:rsidRDefault="00894725" w:rsidP="00894725">
            <w:pPr>
              <w:rPr>
                <w:rFonts w:cs="Arial"/>
              </w:rPr>
            </w:pPr>
            <w:r w:rsidRPr="009D7496">
              <w:rPr>
                <w:rFonts w:cs="Arial"/>
              </w:rPr>
              <w:t xml:space="preserve">Youth unemployment accounted for 21% of all job seekers, higher than 17% nationally.  </w:t>
            </w:r>
          </w:p>
          <w:p w14:paraId="254D269F" w14:textId="77777777" w:rsidR="00894725" w:rsidRPr="009D7496" w:rsidRDefault="00894725" w:rsidP="00894725">
            <w:pPr>
              <w:rPr>
                <w:rFonts w:cs="Arial"/>
              </w:rPr>
            </w:pPr>
          </w:p>
          <w:p w14:paraId="254D26A0" w14:textId="77777777" w:rsidR="00894725" w:rsidRPr="009D7496" w:rsidRDefault="00894725" w:rsidP="00894725">
            <w:pPr>
              <w:rPr>
                <w:rFonts w:cs="Arial"/>
              </w:rPr>
            </w:pPr>
            <w:r w:rsidRPr="009D7496">
              <w:rPr>
                <w:rFonts w:cs="Arial"/>
              </w:rPr>
              <w:t>Long term unemployment has been declining however 45% of all claimants in Greater Lincolnshire having been claiming for over 6 months.  This is also higher than the national figure of 43%.</w:t>
            </w:r>
          </w:p>
          <w:p w14:paraId="254D26A1" w14:textId="77777777" w:rsidR="00894725" w:rsidRPr="009D7496" w:rsidRDefault="00894725" w:rsidP="00894725">
            <w:pPr>
              <w:rPr>
                <w:rFonts w:cs="Arial"/>
              </w:rPr>
            </w:pPr>
          </w:p>
          <w:p w14:paraId="254D26A2" w14:textId="77777777" w:rsidR="00894725" w:rsidRPr="009D7496" w:rsidRDefault="00894725" w:rsidP="00894725">
            <w:pPr>
              <w:rPr>
                <w:rFonts w:cs="Arial"/>
              </w:rPr>
            </w:pPr>
            <w:r w:rsidRPr="009D7496">
              <w:rPr>
                <w:rFonts w:cs="Arial"/>
              </w:rPr>
              <w:t>There is a seasonal unemployment factor in the coastal area of the East Lindsey district, with an approximate 25% swing in unemployment between August and November.</w:t>
            </w:r>
          </w:p>
          <w:p w14:paraId="254D26A3" w14:textId="77777777" w:rsidR="00894725" w:rsidRPr="009D7496" w:rsidRDefault="00894725" w:rsidP="00894725">
            <w:pPr>
              <w:rPr>
                <w:rFonts w:cs="Arial"/>
              </w:rPr>
            </w:pPr>
          </w:p>
          <w:p w14:paraId="254D26A4" w14:textId="77777777" w:rsidR="00894725" w:rsidRPr="009D7496" w:rsidRDefault="00894725" w:rsidP="00894725">
            <w:pPr>
              <w:rPr>
                <w:rFonts w:cs="Arial"/>
              </w:rPr>
            </w:pPr>
            <w:r w:rsidRPr="009D7496">
              <w:rPr>
                <w:rFonts w:cs="Arial"/>
              </w:rPr>
              <w:t>Around 10% of Greater Lincolnshire's working age population claims some form of out of work benefit.  Almost 53,000 receive disability living allowance.  Nearly 9,000 people in the LEP receive disability living allowance for learning difficulties, 17% of all DLA claimants.</w:t>
            </w:r>
            <w:r w:rsidRPr="009D7496">
              <w:rPr>
                <w:rFonts w:cs="Arial"/>
              </w:rPr>
              <w:br/>
            </w:r>
          </w:p>
          <w:p w14:paraId="254D26A5" w14:textId="77777777" w:rsidR="00894725" w:rsidRPr="009D7496" w:rsidRDefault="00894725" w:rsidP="00894725">
            <w:pPr>
              <w:rPr>
                <w:rFonts w:cs="Arial"/>
                <w:b/>
                <w:lang w:eastAsia="en-GB"/>
              </w:rPr>
            </w:pPr>
            <w:r w:rsidRPr="009D7496">
              <w:rPr>
                <w:rFonts w:cs="Arial"/>
                <w:b/>
                <w:lang w:eastAsia="en-GB"/>
              </w:rPr>
              <w:t>Skills, Qualifications and Jobs</w:t>
            </w:r>
          </w:p>
          <w:p w14:paraId="254D26A6" w14:textId="77777777" w:rsidR="00894725" w:rsidRPr="009D7496" w:rsidRDefault="00894725" w:rsidP="00894725">
            <w:pPr>
              <w:rPr>
                <w:rFonts w:cs="Arial"/>
                <w:lang w:eastAsia="en-GB"/>
              </w:rPr>
            </w:pPr>
            <w:r w:rsidRPr="009D7496">
              <w:rPr>
                <w:rFonts w:cs="Arial"/>
                <w:lang w:eastAsia="en-GB"/>
              </w:rPr>
              <w:t>There are significant and growing numbers of high value jobs in the Greater Lincolnshire area.  Forecasts show that future job vacancies will require practical and technical skills at a higher level than those currently held by the local labour market.  There is also an ageing workforce and must ensure skills are not lost as people retire.</w:t>
            </w:r>
          </w:p>
          <w:p w14:paraId="254D26A7" w14:textId="77777777" w:rsidR="00894725" w:rsidRPr="009D7496" w:rsidRDefault="00894725" w:rsidP="00894725">
            <w:pPr>
              <w:rPr>
                <w:rFonts w:cs="Arial"/>
                <w:lang w:eastAsia="en-GB"/>
              </w:rPr>
            </w:pPr>
          </w:p>
          <w:p w14:paraId="254D26A8" w14:textId="77777777" w:rsidR="00894725" w:rsidRPr="009D7496" w:rsidRDefault="00894725" w:rsidP="00894725">
            <w:pPr>
              <w:rPr>
                <w:rFonts w:cs="Arial"/>
              </w:rPr>
            </w:pPr>
            <w:r w:rsidRPr="009D7496">
              <w:rPr>
                <w:rFonts w:cs="Arial"/>
              </w:rPr>
              <w:t xml:space="preserve">Of those who were unemployed and economically active (i.e. seeking work) at the time of the 2011 Census, over 8,000 had no qualifications and 9,000 had a Level 1 qualification as their highest qualification level.   Of the 145,000 residents who were economically inactive at the time in the area, around a third had no qualifications.  </w:t>
            </w:r>
          </w:p>
          <w:p w14:paraId="254D26A9" w14:textId="77777777" w:rsidR="00894725" w:rsidRPr="009D7496" w:rsidRDefault="00894725" w:rsidP="00894725">
            <w:pPr>
              <w:rPr>
                <w:rFonts w:cs="Arial"/>
              </w:rPr>
            </w:pPr>
          </w:p>
          <w:p w14:paraId="254D26AA" w14:textId="77777777" w:rsidR="00894725" w:rsidRPr="009D7496" w:rsidRDefault="00894725" w:rsidP="00894725">
            <w:pPr>
              <w:rPr>
                <w:rFonts w:cs="Arial"/>
                <w:bCs/>
              </w:rPr>
            </w:pPr>
            <w:r w:rsidRPr="009D7496">
              <w:rPr>
                <w:rFonts w:cs="Arial"/>
              </w:rPr>
              <w:t xml:space="preserve">For residents as a whole the census showed that the proportion of 16-64 year olds with no qualifications was 6% higher than the England average, with the </w:t>
            </w:r>
            <w:r w:rsidRPr="009D7496">
              <w:rPr>
                <w:rFonts w:cs="Arial"/>
                <w:bCs/>
                <w:iCs/>
              </w:rPr>
              <w:t>gap predominantly amongst our 16-34 year olds.  It also showed that</w:t>
            </w:r>
            <w:r w:rsidRPr="009D7496">
              <w:rPr>
                <w:rFonts w:cs="Arial"/>
              </w:rPr>
              <w:t xml:space="preserve"> f</w:t>
            </w:r>
            <w:r w:rsidRPr="009D7496">
              <w:rPr>
                <w:rFonts w:cs="Arial"/>
                <w:bCs/>
              </w:rPr>
              <w:t xml:space="preserve">ewer of our 16-24 years old residents are qualified to Level 3 and Level 4 when compared with the UK average. </w:t>
            </w:r>
          </w:p>
          <w:p w14:paraId="254D26AB" w14:textId="77777777" w:rsidR="00894725" w:rsidRPr="009D7496" w:rsidRDefault="00894725" w:rsidP="00894725">
            <w:pPr>
              <w:rPr>
                <w:rFonts w:cs="Arial"/>
                <w:bCs/>
              </w:rPr>
            </w:pPr>
          </w:p>
          <w:p w14:paraId="254D26AC" w14:textId="77777777" w:rsidR="00894725" w:rsidRPr="009D7496" w:rsidRDefault="00894725" w:rsidP="00894725">
            <w:pPr>
              <w:rPr>
                <w:rFonts w:cs="Arial"/>
              </w:rPr>
            </w:pPr>
            <w:r w:rsidRPr="009D7496">
              <w:rPr>
                <w:rFonts w:cs="Arial"/>
              </w:rPr>
              <w:t xml:space="preserve">It is predicted that there will be around 200,000 job vacancies in the next ten years in Greater Lincolnshire, and most of these are forecast to require level 2 qualifications or </w:t>
            </w:r>
            <w:r w:rsidRPr="009D7496">
              <w:rPr>
                <w:rFonts w:cs="Arial"/>
              </w:rPr>
              <w:lastRenderedPageBreak/>
              <w:t xml:space="preserve">higher.  It is therefore vital that residents across all communities are upskilled and inspired so that they are ready to take advantage of these opportunities, now and in the future.  </w:t>
            </w:r>
          </w:p>
          <w:p w14:paraId="254D26AD" w14:textId="77777777" w:rsidR="00894725" w:rsidRPr="009D7496" w:rsidRDefault="00894725" w:rsidP="00894725">
            <w:pPr>
              <w:rPr>
                <w:rFonts w:cs="Arial"/>
              </w:rPr>
            </w:pPr>
          </w:p>
          <w:p w14:paraId="254D26AE" w14:textId="77777777" w:rsidR="00894725" w:rsidRPr="009D7496" w:rsidRDefault="00894725" w:rsidP="00894725">
            <w:pPr>
              <w:rPr>
                <w:rFonts w:cs="Arial"/>
              </w:rPr>
            </w:pPr>
            <w:r w:rsidRPr="009D7496">
              <w:rPr>
                <w:rFonts w:cs="Arial"/>
              </w:rPr>
              <w:t xml:space="preserve">Those with no qualifications need to gain a Level 2 as well as the employability skills and motivation to work in our thriving and growing sectors, whilst those with a Level 2 must progress to Level 3 and beyond.  </w:t>
            </w:r>
            <w:r w:rsidRPr="009D7496">
              <w:rPr>
                <w:rFonts w:cs="Arial"/>
              </w:rPr>
              <w:br/>
            </w:r>
          </w:p>
          <w:p w14:paraId="254D26AF" w14:textId="77777777" w:rsidR="00894725" w:rsidRPr="009D7496" w:rsidRDefault="00894725" w:rsidP="00894725">
            <w:pPr>
              <w:rPr>
                <w:rFonts w:cs="Arial"/>
                <w:lang w:eastAsia="en-GB"/>
              </w:rPr>
            </w:pPr>
            <w:r w:rsidRPr="009D7496">
              <w:rPr>
                <w:rFonts w:cs="Arial"/>
                <w:lang w:eastAsia="en-GB"/>
              </w:rPr>
              <w:t>Areas of economic strength and growth in Greater Lincolnshire are the food industry, agriculture, manufacturing, (particularly engineering), the low carbon sector, (including off-shore wind operations), ports, logistics, the visitor economy (incorporating hospitality and retail) and the health and care sector. Other important sectors and skills that support growth include construction, and IT/digital, HR and accountancy.</w:t>
            </w:r>
          </w:p>
          <w:p w14:paraId="254D26B0" w14:textId="77777777" w:rsidR="00894725" w:rsidRPr="009D7496" w:rsidRDefault="00894725" w:rsidP="00894725">
            <w:pPr>
              <w:rPr>
                <w:rFonts w:cs="Arial"/>
                <w:lang w:eastAsia="en-GB"/>
              </w:rPr>
            </w:pPr>
          </w:p>
          <w:p w14:paraId="254D26B1" w14:textId="77777777" w:rsidR="00894725" w:rsidRPr="009D7496" w:rsidRDefault="00894725" w:rsidP="00894725">
            <w:pPr>
              <w:rPr>
                <w:rFonts w:cs="Arial"/>
                <w:lang w:eastAsia="en-GB"/>
              </w:rPr>
            </w:pPr>
            <w:r w:rsidRPr="009D7496">
              <w:rPr>
                <w:rFonts w:cs="Arial"/>
                <w:lang w:eastAsia="en-GB"/>
              </w:rPr>
              <w:t xml:space="preserve">Job and apprenticeship vacancies exist in a wide range of occupations at various skills levels, as well as supervisor and manager positions, including driving, construction, engineering, food processing, hospitality, nursing and other health and care roles, teaching, welding and many more.  </w:t>
            </w:r>
          </w:p>
          <w:p w14:paraId="254D26B2" w14:textId="77777777" w:rsidR="00894725" w:rsidRPr="009D7496" w:rsidRDefault="00894725" w:rsidP="00894725">
            <w:pPr>
              <w:rPr>
                <w:rFonts w:cs="Arial"/>
                <w:lang w:eastAsia="en-GB"/>
              </w:rPr>
            </w:pPr>
          </w:p>
          <w:p w14:paraId="254D26B3" w14:textId="77777777" w:rsidR="00894725" w:rsidRPr="009D7496" w:rsidRDefault="00894725" w:rsidP="00894725">
            <w:pPr>
              <w:rPr>
                <w:rFonts w:cs="Arial"/>
                <w:lang w:eastAsia="en-GB"/>
              </w:rPr>
            </w:pPr>
            <w:r w:rsidRPr="009D7496">
              <w:rPr>
                <w:rFonts w:cs="Arial"/>
                <w:lang w:eastAsia="en-GB"/>
              </w:rPr>
              <w:t xml:space="preserve">There are 44,000 businesses in Greater Lincolnshire, and over 95% of these are SMEs.  Over 90% employ less than ten people. It is important that employers plan for future skills needs and growth their own talent by taking on apprentices. Local experience has shown that small businesses often need one-to-one support and some hand-holding to help them through the apprenticeship process. There is also a need to ensure that existing apprenticeship vacancies are filled. By working with unemployed people and employers in the LEP area, the number of apprentices, at all levels, will grow.  </w:t>
            </w:r>
          </w:p>
          <w:p w14:paraId="254D26B4" w14:textId="77777777" w:rsidR="00894725" w:rsidRPr="009D7496" w:rsidRDefault="00894725" w:rsidP="00894725">
            <w:pPr>
              <w:rPr>
                <w:rFonts w:cs="Arial"/>
                <w:lang w:eastAsia="en-GB"/>
              </w:rPr>
            </w:pPr>
          </w:p>
          <w:p w14:paraId="254D26B5" w14:textId="77777777" w:rsidR="00894725" w:rsidRPr="009D7496" w:rsidRDefault="00894725" w:rsidP="00894725">
            <w:pPr>
              <w:rPr>
                <w:rFonts w:cs="Arial"/>
              </w:rPr>
            </w:pPr>
            <w:r w:rsidRPr="009D7496">
              <w:rPr>
                <w:rFonts w:cs="Arial"/>
                <w:lang w:eastAsia="en-GB"/>
              </w:rPr>
              <w:t xml:space="preserve">Some of our most important sectors suffer from traditional 'old fashioned' stereotypes that mean young people are not aware of the technological advances and great opportunities within them.  These stereotypes must be challenged.   It has been found that unemployed people, including graduates, are not aware of the array of jobs and careers available in the area and are uninspired by what they (incorrectly) believe is on offer.  </w:t>
            </w:r>
          </w:p>
          <w:p w14:paraId="254D26B6" w14:textId="77777777" w:rsidR="00894725" w:rsidRPr="009D7496" w:rsidRDefault="00894725" w:rsidP="00894725">
            <w:pPr>
              <w:rPr>
                <w:rFonts w:cs="Arial"/>
              </w:rPr>
            </w:pPr>
          </w:p>
          <w:p w14:paraId="254D26B7" w14:textId="77777777" w:rsidR="00894725" w:rsidRPr="009D7496" w:rsidRDefault="00894725" w:rsidP="00894725">
            <w:pPr>
              <w:rPr>
                <w:rFonts w:cs="Arial"/>
              </w:rPr>
            </w:pPr>
            <w:r w:rsidRPr="009D7496">
              <w:rPr>
                <w:rFonts w:cs="Arial"/>
                <w:b/>
              </w:rPr>
              <w:t>'Employability' Skills</w:t>
            </w:r>
            <w:r w:rsidRPr="009D7496">
              <w:rPr>
                <w:rFonts w:cs="Arial"/>
                <w:b/>
              </w:rPr>
              <w:br/>
            </w:r>
            <w:r w:rsidRPr="009D7496">
              <w:rPr>
                <w:rFonts w:cs="Arial"/>
              </w:rPr>
              <w:t xml:space="preserve">In addition to technical and practical skills, local employers say they have gaps across a range of skills often described as ‘employability’ skills.  Specific local gaps are: written skills, team working, good customer handling, oral (communication) skills, problem solving, basic computer literacy and advanced IT skills </w:t>
            </w:r>
            <w:r w:rsidRPr="009D7496">
              <w:rPr>
                <w:rFonts w:cs="Arial"/>
                <w:i/>
              </w:rPr>
              <w:t>(source: UKCES Employer Skills Survey 2013</w:t>
            </w:r>
            <w:r w:rsidRPr="009D7496">
              <w:rPr>
                <w:rFonts w:cs="Arial"/>
              </w:rPr>
              <w:t xml:space="preserve">).  </w:t>
            </w:r>
          </w:p>
          <w:p w14:paraId="254D26B8" w14:textId="77777777" w:rsidR="00894725" w:rsidRPr="009D7496" w:rsidRDefault="00894725" w:rsidP="00894725">
            <w:pPr>
              <w:rPr>
                <w:rStyle w:val="Heading2Char"/>
                <w:b w:val="0"/>
                <w:sz w:val="24"/>
                <w:szCs w:val="24"/>
              </w:rPr>
            </w:pPr>
            <w:r w:rsidRPr="00921B50">
              <w:rPr>
                <w:rFonts w:cs="Arial"/>
              </w:rPr>
              <w:t xml:space="preserve">A fuller list of 'employability' skills and qualities that employers value would also include: good </w:t>
            </w:r>
            <w:r w:rsidRPr="009D7496">
              <w:rPr>
                <w:rStyle w:val="Heading2Char"/>
                <w:b w:val="0"/>
                <w:sz w:val="24"/>
                <w:szCs w:val="24"/>
              </w:rPr>
              <w:t xml:space="preserve">interpersonal skills, using initiative and being self-motivated, working under pressure and to deadlines, organisational skills, ability to learn and adapt, numeracy, valuing diversity and difference and negotiation skills.  </w:t>
            </w:r>
          </w:p>
          <w:p w14:paraId="254D26B9" w14:textId="77777777" w:rsidR="00894725" w:rsidRPr="00921B50" w:rsidRDefault="00894725" w:rsidP="00894725">
            <w:pPr>
              <w:rPr>
                <w:rStyle w:val="Heading2Char"/>
                <w:sz w:val="24"/>
                <w:szCs w:val="24"/>
              </w:rPr>
            </w:pPr>
          </w:p>
          <w:p w14:paraId="254D26BA" w14:textId="77777777" w:rsidR="00894725" w:rsidRPr="009D7496" w:rsidRDefault="00894725" w:rsidP="00894725">
            <w:pPr>
              <w:rPr>
                <w:rFonts w:cs="Arial"/>
              </w:rPr>
            </w:pPr>
            <w:r w:rsidRPr="00921B50">
              <w:rPr>
                <w:rFonts w:cs="Arial"/>
              </w:rPr>
              <w:t>These skills and attitudes are the transferable skills needed by an individual to make them 'employable' and it is expected that training provision takes these into account.</w:t>
            </w:r>
          </w:p>
          <w:p w14:paraId="267C4DB9" w14:textId="77777777" w:rsidR="009A6BFF" w:rsidRDefault="009A6BFF" w:rsidP="00894725">
            <w:pPr>
              <w:rPr>
                <w:rFonts w:cs="Arial"/>
              </w:rPr>
            </w:pPr>
          </w:p>
          <w:p w14:paraId="49DD7FFE" w14:textId="77777777" w:rsidR="009A6BFF" w:rsidRDefault="009A6BFF" w:rsidP="00894725">
            <w:pPr>
              <w:rPr>
                <w:rFonts w:cs="Arial"/>
              </w:rPr>
            </w:pPr>
          </w:p>
          <w:p w14:paraId="5184120F" w14:textId="77777777" w:rsidR="009A6BFF" w:rsidRPr="009D7496" w:rsidRDefault="009A6BFF" w:rsidP="00894725">
            <w:pPr>
              <w:rPr>
                <w:rFonts w:cs="Arial"/>
              </w:rPr>
            </w:pPr>
          </w:p>
          <w:p w14:paraId="254D26BC" w14:textId="77777777" w:rsidR="00894725" w:rsidRPr="009D7496" w:rsidRDefault="00894725" w:rsidP="00894725">
            <w:pPr>
              <w:rPr>
                <w:rFonts w:cs="Arial"/>
                <w:b/>
              </w:rPr>
            </w:pPr>
            <w:r w:rsidRPr="009D7496">
              <w:rPr>
                <w:rFonts w:cs="Arial"/>
                <w:b/>
              </w:rPr>
              <w:t>Young people</w:t>
            </w:r>
          </w:p>
          <w:p w14:paraId="254D26BD" w14:textId="77777777" w:rsidR="00894725" w:rsidRPr="009D7496" w:rsidRDefault="00894725" w:rsidP="00894725">
            <w:pPr>
              <w:rPr>
                <w:rFonts w:cs="Arial"/>
                <w:lang w:eastAsia="en-GB"/>
              </w:rPr>
            </w:pPr>
            <w:r w:rsidRPr="009D7496">
              <w:rPr>
                <w:rFonts w:cs="Arial"/>
              </w:rPr>
              <w:lastRenderedPageBreak/>
              <w:t xml:space="preserve">Given the high rate of youth unemployment there must be a focus on supporting young 18-24 residents to help them progress into education and apprenticeships.  The experience locally has been that, too often, young people progress from one support scheme to another, and yet another, without progressing into sustainable work.  All partners are keen to ensure that this merry-go-round of support ends.  It is for this reason that there is not a NEET </w:t>
            </w:r>
            <w:r w:rsidR="00731391" w:rsidRPr="009D7496">
              <w:rPr>
                <w:rFonts w:cs="Arial"/>
              </w:rPr>
              <w:t xml:space="preserve">skills </w:t>
            </w:r>
            <w:r w:rsidRPr="009D7496">
              <w:rPr>
                <w:rFonts w:cs="Arial"/>
              </w:rPr>
              <w:t>training programme that is separate to the main skills support for the unemployed programme.  The candidate is expected to ensure that skills provision is tailored to the age of the recipient, and that all local stakeholders are clear who is responsible for that provision.  The only separate provision will be one that adds value through a programme of inspiration and aspiration.</w:t>
            </w:r>
          </w:p>
          <w:p w14:paraId="254D26BE" w14:textId="77777777" w:rsidR="00894725" w:rsidRPr="009D7496" w:rsidRDefault="00894725" w:rsidP="00894725">
            <w:pPr>
              <w:rPr>
                <w:rFonts w:cs="Arial"/>
                <w:lang w:eastAsia="en-GB"/>
              </w:rPr>
            </w:pPr>
          </w:p>
          <w:p w14:paraId="254D26BF" w14:textId="77777777" w:rsidR="00894725" w:rsidRPr="009D7496" w:rsidRDefault="00894725" w:rsidP="00894725">
            <w:pPr>
              <w:rPr>
                <w:rFonts w:cs="Arial"/>
                <w:lang w:eastAsia="en-GB"/>
              </w:rPr>
            </w:pPr>
            <w:r w:rsidRPr="009D7496">
              <w:rPr>
                <w:rFonts w:cs="Arial"/>
                <w:lang w:eastAsia="en-GB"/>
              </w:rPr>
              <w:t xml:space="preserve">The Greater Lincolnshire Strategic Economic Plan, related sector strategies and the European Structural Investment Fund strategy are available on the website </w:t>
            </w:r>
            <w:hyperlink r:id="rId15" w:history="1">
              <w:r w:rsidRPr="009D7496">
                <w:rPr>
                  <w:rFonts w:cs="Arial"/>
                  <w:color w:val="0000FF" w:themeColor="hyperlink"/>
                  <w:u w:val="single"/>
                  <w:lang w:eastAsia="en-GB"/>
                </w:rPr>
                <w:t>http://www.greaterlincolnshirelep.co.uk/</w:t>
              </w:r>
            </w:hyperlink>
          </w:p>
          <w:p w14:paraId="254D26C0" w14:textId="77777777" w:rsidR="000D51DE" w:rsidRPr="009D7496" w:rsidRDefault="000D51DE">
            <w:pPr>
              <w:rPr>
                <w:rFonts w:cs="Arial"/>
                <w:lang w:eastAsia="en-GB"/>
              </w:rPr>
            </w:pPr>
          </w:p>
        </w:tc>
      </w:tr>
      <w:tr w:rsidR="00967429" w:rsidRPr="009D7496" w14:paraId="254D26C3" w14:textId="77777777" w:rsidTr="009A6BFF">
        <w:trPr>
          <w:trHeight w:val="567"/>
        </w:trPr>
        <w:tc>
          <w:tcPr>
            <w:tcW w:w="10060" w:type="dxa"/>
            <w:shd w:val="clear" w:color="auto" w:fill="D9D9D9" w:themeFill="background1" w:themeFillShade="D9"/>
            <w:vAlign w:val="center"/>
          </w:tcPr>
          <w:p w14:paraId="254D26C2" w14:textId="77777777" w:rsidR="00967429" w:rsidRPr="009D7496" w:rsidRDefault="002E25F4" w:rsidP="00C107CE">
            <w:pPr>
              <w:tabs>
                <w:tab w:val="num" w:pos="900"/>
              </w:tabs>
              <w:autoSpaceDE w:val="0"/>
              <w:autoSpaceDN w:val="0"/>
              <w:adjustRightInd w:val="0"/>
              <w:rPr>
                <w:rFonts w:cs="Arial"/>
                <w:b/>
              </w:rPr>
            </w:pPr>
            <w:r w:rsidRPr="009D7496">
              <w:rPr>
                <w:rFonts w:cs="Arial"/>
                <w:b/>
              </w:rPr>
              <w:lastRenderedPageBreak/>
              <w:t>DEFINITION OF TERMS</w:t>
            </w:r>
          </w:p>
        </w:tc>
      </w:tr>
      <w:tr w:rsidR="00967429" w:rsidRPr="009D7496" w14:paraId="254D26E3" w14:textId="77777777" w:rsidTr="00921B50">
        <w:tc>
          <w:tcPr>
            <w:tcW w:w="10060" w:type="dxa"/>
          </w:tcPr>
          <w:p w14:paraId="294FFDE7" w14:textId="7CCC4D0C" w:rsidR="009A6BFF" w:rsidRDefault="009A6BFF" w:rsidP="00DB7814">
            <w:pPr>
              <w:spacing w:before="120"/>
              <w:ind w:left="357" w:hanging="357"/>
              <w:rPr>
                <w:rFonts w:cs="Arial"/>
                <w:lang w:eastAsia="en-GB"/>
              </w:rPr>
            </w:pPr>
            <w:r w:rsidRPr="009A6BFF">
              <w:rPr>
                <w:rFonts w:cs="Arial"/>
                <w:b/>
                <w:lang w:eastAsia="en-GB"/>
              </w:rPr>
              <w:t>At risk of becoming NEET</w:t>
            </w:r>
            <w:r w:rsidRPr="009A6BFF">
              <w:rPr>
                <w:rFonts w:cs="Arial"/>
                <w:lang w:eastAsia="en-GB"/>
              </w:rPr>
              <w:t xml:space="preserve">: Support for at risk young people aged 15 to prevent them becoming NEET. </w:t>
            </w:r>
          </w:p>
          <w:p w14:paraId="066682EE" w14:textId="77777777" w:rsidR="009A6BFF" w:rsidRPr="009A6BFF" w:rsidRDefault="009A6BFF" w:rsidP="009A6BFF">
            <w:pPr>
              <w:ind w:left="360" w:hanging="360"/>
              <w:rPr>
                <w:rFonts w:cs="Arial"/>
                <w:lang w:eastAsia="en-GB"/>
              </w:rPr>
            </w:pPr>
          </w:p>
          <w:p w14:paraId="254D26C7" w14:textId="77777777" w:rsidR="000304B2" w:rsidRPr="00921B50" w:rsidRDefault="000304B2" w:rsidP="000304B2">
            <w:pPr>
              <w:ind w:left="360" w:hanging="360"/>
              <w:rPr>
                <w:rFonts w:cs="Arial"/>
              </w:rPr>
            </w:pPr>
            <w:r w:rsidRPr="00921B50">
              <w:rPr>
                <w:rFonts w:cs="Arial"/>
                <w:b/>
              </w:rPr>
              <w:t xml:space="preserve">Candidate: </w:t>
            </w:r>
            <w:r w:rsidRPr="00921B50">
              <w:rPr>
                <w:rFonts w:cs="Arial"/>
              </w:rPr>
              <w:t>means an organisation who has been invited to take part in this restricted procurement procedure</w:t>
            </w:r>
          </w:p>
          <w:p w14:paraId="254D26C8" w14:textId="77777777" w:rsidR="000304B2" w:rsidRPr="00921B50" w:rsidRDefault="000304B2" w:rsidP="000304B2">
            <w:pPr>
              <w:ind w:left="360" w:hanging="360"/>
              <w:rPr>
                <w:rFonts w:cs="Arial"/>
                <w:b/>
              </w:rPr>
            </w:pPr>
          </w:p>
          <w:p w14:paraId="254D26C9" w14:textId="77777777" w:rsidR="005C5B32" w:rsidRPr="00921B50" w:rsidRDefault="005C5B32" w:rsidP="005C5B32">
            <w:pPr>
              <w:ind w:left="360" w:hanging="360"/>
              <w:rPr>
                <w:rFonts w:cs="Arial"/>
              </w:rPr>
            </w:pPr>
            <w:r w:rsidRPr="00921B50">
              <w:rPr>
                <w:rFonts w:cs="Arial"/>
                <w:b/>
              </w:rPr>
              <w:t>Disability</w:t>
            </w:r>
            <w:r w:rsidRPr="00921B50">
              <w:rPr>
                <w:rFonts w:cs="Arial"/>
              </w:rPr>
              <w:t>: A person has a disability if they disclose a disability that limits their ability to work.</w:t>
            </w:r>
          </w:p>
          <w:p w14:paraId="254D26CA" w14:textId="77777777" w:rsidR="000304B2" w:rsidRPr="00921B50" w:rsidRDefault="000304B2" w:rsidP="000304B2">
            <w:pPr>
              <w:ind w:left="360" w:hanging="360"/>
              <w:rPr>
                <w:rFonts w:cs="Arial"/>
                <w:b/>
              </w:rPr>
            </w:pPr>
          </w:p>
          <w:p w14:paraId="254D26CB" w14:textId="77777777" w:rsidR="000304B2" w:rsidRPr="00921B50" w:rsidRDefault="000304B2" w:rsidP="000304B2">
            <w:pPr>
              <w:ind w:left="360" w:hanging="360"/>
              <w:rPr>
                <w:rFonts w:cs="Arial"/>
              </w:rPr>
            </w:pPr>
            <w:r w:rsidRPr="00921B50">
              <w:rPr>
                <w:rFonts w:cs="Arial"/>
                <w:b/>
              </w:rPr>
              <w:t>Eligibility:</w:t>
            </w:r>
            <w:r w:rsidRPr="00921B50">
              <w:rPr>
                <w:rFonts w:cs="Arial"/>
              </w:rPr>
              <w:t xml:space="preserve"> Only people who are eligible to work in UK are eligible for this </w:t>
            </w:r>
            <w:r w:rsidR="00BC7F87" w:rsidRPr="00921B50">
              <w:rPr>
                <w:rFonts w:cs="Arial"/>
              </w:rPr>
              <w:t xml:space="preserve">EU </w:t>
            </w:r>
            <w:r w:rsidRPr="00921B50">
              <w:rPr>
                <w:rFonts w:cs="Arial"/>
              </w:rPr>
              <w:t xml:space="preserve">programme.  </w:t>
            </w:r>
          </w:p>
          <w:p w14:paraId="254D26CC" w14:textId="77777777" w:rsidR="00AA0B4C" w:rsidRPr="00921B50" w:rsidRDefault="00AA0B4C" w:rsidP="00AA0B4C">
            <w:pPr>
              <w:autoSpaceDE w:val="0"/>
              <w:autoSpaceDN w:val="0"/>
              <w:adjustRightInd w:val="0"/>
              <w:ind w:left="360" w:hanging="360"/>
              <w:rPr>
                <w:rFonts w:cs="Arial"/>
              </w:rPr>
            </w:pPr>
          </w:p>
          <w:p w14:paraId="254D26CD" w14:textId="77777777" w:rsidR="00035FB6" w:rsidRPr="00921B50" w:rsidRDefault="00AA0B4C" w:rsidP="00035FB6">
            <w:pPr>
              <w:autoSpaceDE w:val="0"/>
              <w:autoSpaceDN w:val="0"/>
              <w:adjustRightInd w:val="0"/>
              <w:ind w:left="360" w:hanging="360"/>
              <w:rPr>
                <w:rFonts w:cs="Arial"/>
              </w:rPr>
            </w:pPr>
            <w:r w:rsidRPr="00921B50">
              <w:rPr>
                <w:rFonts w:cs="Arial"/>
                <w:b/>
              </w:rPr>
              <w:t>Employed</w:t>
            </w:r>
            <w:r w:rsidRPr="00921B50">
              <w:rPr>
                <w:rFonts w:cs="Arial"/>
              </w:rPr>
              <w:t xml:space="preserve">: </w:t>
            </w:r>
            <w:r w:rsidR="00035FB6" w:rsidRPr="00921B50">
              <w:rPr>
                <w:rFonts w:cs="Arial"/>
              </w:rPr>
              <w:t>People are employed if they perform work for pay, profit or family gain. People are self-employed if they work in his/her own business for the purpose of earning a profit, even if they are not making a profit or are just setting up.</w:t>
            </w:r>
          </w:p>
          <w:p w14:paraId="254D26CE" w14:textId="77777777" w:rsidR="008E2A7B" w:rsidRPr="00921B50" w:rsidRDefault="008E2A7B" w:rsidP="000304B2">
            <w:pPr>
              <w:autoSpaceDE w:val="0"/>
              <w:autoSpaceDN w:val="0"/>
              <w:adjustRightInd w:val="0"/>
              <w:ind w:left="360" w:hanging="360"/>
              <w:rPr>
                <w:rFonts w:cs="Arial"/>
                <w:b/>
              </w:rPr>
            </w:pPr>
          </w:p>
          <w:p w14:paraId="254D26CF" w14:textId="77777777" w:rsidR="008E2A7B" w:rsidRPr="00921B50" w:rsidRDefault="008E2A7B" w:rsidP="000304B2">
            <w:pPr>
              <w:autoSpaceDE w:val="0"/>
              <w:autoSpaceDN w:val="0"/>
              <w:adjustRightInd w:val="0"/>
              <w:ind w:left="360" w:hanging="360"/>
              <w:rPr>
                <w:rFonts w:cs="Arial"/>
                <w:b/>
              </w:rPr>
            </w:pPr>
            <w:r w:rsidRPr="00921B50">
              <w:rPr>
                <w:rFonts w:cs="Arial"/>
                <w:b/>
              </w:rPr>
              <w:t xml:space="preserve">IAG: </w:t>
            </w:r>
            <w:r w:rsidRPr="00921B50">
              <w:rPr>
                <w:rFonts w:cs="Arial"/>
              </w:rPr>
              <w:t xml:space="preserve">Information, advice and guidance service offered to </w:t>
            </w:r>
            <w:r w:rsidR="003E0C7F" w:rsidRPr="00921B50">
              <w:rPr>
                <w:rFonts w:cs="Arial"/>
              </w:rPr>
              <w:t>participants</w:t>
            </w:r>
            <w:r w:rsidRPr="00921B50">
              <w:rPr>
                <w:rFonts w:cs="Arial"/>
              </w:rPr>
              <w:t>.</w:t>
            </w:r>
            <w:r w:rsidRPr="00921B50">
              <w:rPr>
                <w:rFonts w:cs="Arial"/>
                <w:b/>
              </w:rPr>
              <w:t xml:space="preserve"> </w:t>
            </w:r>
          </w:p>
          <w:p w14:paraId="254D26D0" w14:textId="77777777" w:rsidR="003A723F" w:rsidRPr="00921B50" w:rsidRDefault="003A723F" w:rsidP="005A1D76">
            <w:pPr>
              <w:autoSpaceDE w:val="0"/>
              <w:autoSpaceDN w:val="0"/>
              <w:adjustRightInd w:val="0"/>
              <w:rPr>
                <w:rFonts w:cs="Arial"/>
              </w:rPr>
            </w:pPr>
          </w:p>
          <w:p w14:paraId="254D26D1" w14:textId="77777777" w:rsidR="005C5B32" w:rsidRPr="00921B50" w:rsidRDefault="005C5B32" w:rsidP="009A6BFF">
            <w:pPr>
              <w:autoSpaceDE w:val="0"/>
              <w:autoSpaceDN w:val="0"/>
              <w:adjustRightInd w:val="0"/>
              <w:ind w:left="360" w:hanging="360"/>
              <w:rPr>
                <w:rFonts w:cs="Arial"/>
              </w:rPr>
            </w:pPr>
            <w:r w:rsidRPr="00921B50">
              <w:rPr>
                <w:rFonts w:cs="Arial"/>
                <w:b/>
              </w:rPr>
              <w:t>Inactive:</w:t>
            </w:r>
            <w:r w:rsidRPr="00921B50">
              <w:rPr>
                <w:rFonts w:cs="Arial"/>
              </w:rPr>
              <w:t xml:space="preserve"> </w:t>
            </w:r>
            <w:r w:rsidR="008E2A7B" w:rsidRPr="00921B50">
              <w:rPr>
                <w:rFonts w:cs="Arial"/>
              </w:rPr>
              <w:t>Inactive are persons currently not part of the labour force (in the sense that they are not employed or unemployed according to the definitions provided).</w:t>
            </w:r>
          </w:p>
          <w:p w14:paraId="254D26D2" w14:textId="77777777" w:rsidR="005C5B32" w:rsidRPr="00921B50" w:rsidRDefault="005C5B32" w:rsidP="005A1D76">
            <w:pPr>
              <w:autoSpaceDE w:val="0"/>
              <w:autoSpaceDN w:val="0"/>
              <w:adjustRightInd w:val="0"/>
              <w:rPr>
                <w:rFonts w:cs="Arial"/>
              </w:rPr>
            </w:pPr>
          </w:p>
          <w:p w14:paraId="254D26D3" w14:textId="77777777" w:rsidR="005C5B32" w:rsidRPr="00921B50" w:rsidRDefault="005C5B32" w:rsidP="005C5B32">
            <w:pPr>
              <w:autoSpaceDE w:val="0"/>
              <w:autoSpaceDN w:val="0"/>
              <w:adjustRightInd w:val="0"/>
              <w:ind w:left="360" w:hanging="360"/>
              <w:rPr>
                <w:rFonts w:cs="Arial"/>
              </w:rPr>
            </w:pPr>
            <w:r w:rsidRPr="00921B50">
              <w:rPr>
                <w:rFonts w:cs="Arial"/>
                <w:b/>
              </w:rPr>
              <w:t>Job Seeking:</w:t>
            </w:r>
            <w:r w:rsidRPr="00921B50">
              <w:rPr>
                <w:rFonts w:cs="Arial"/>
              </w:rPr>
              <w:t xml:space="preserve"> Where applicable, persons engaged in job seeking is understood to be persons usually without work and actively seeking work.</w:t>
            </w:r>
          </w:p>
          <w:p w14:paraId="254D26D4" w14:textId="77777777" w:rsidR="005C5B32" w:rsidRPr="00921B50" w:rsidRDefault="005C5B32" w:rsidP="005A1D76">
            <w:pPr>
              <w:autoSpaceDE w:val="0"/>
              <w:autoSpaceDN w:val="0"/>
              <w:adjustRightInd w:val="0"/>
              <w:rPr>
                <w:rFonts w:cs="Arial"/>
              </w:rPr>
            </w:pPr>
          </w:p>
          <w:p w14:paraId="254D26D5" w14:textId="77777777" w:rsidR="000304B2" w:rsidRPr="00921B50" w:rsidRDefault="000304B2" w:rsidP="000304B2">
            <w:pPr>
              <w:autoSpaceDE w:val="0"/>
              <w:autoSpaceDN w:val="0"/>
              <w:adjustRightInd w:val="0"/>
              <w:ind w:left="360" w:hanging="360"/>
              <w:rPr>
                <w:rFonts w:cs="Arial"/>
              </w:rPr>
            </w:pPr>
            <w:r w:rsidRPr="00921B50">
              <w:rPr>
                <w:rFonts w:cs="Arial"/>
                <w:b/>
              </w:rPr>
              <w:t xml:space="preserve">Qualifications: </w:t>
            </w:r>
            <w:r w:rsidRPr="00921B50">
              <w:rPr>
                <w:rFonts w:cs="Arial"/>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54D26D6" w14:textId="77777777" w:rsidR="000304B2" w:rsidRPr="00921B50" w:rsidRDefault="000304B2" w:rsidP="000304B2">
            <w:pPr>
              <w:autoSpaceDE w:val="0"/>
              <w:autoSpaceDN w:val="0"/>
              <w:adjustRightInd w:val="0"/>
              <w:ind w:left="360" w:hanging="360"/>
              <w:rPr>
                <w:rFonts w:cs="Arial"/>
              </w:rPr>
            </w:pPr>
          </w:p>
          <w:p w14:paraId="254D26D7" w14:textId="77777777" w:rsidR="000304B2" w:rsidRPr="00921B50" w:rsidRDefault="00C107CE" w:rsidP="00C107CE">
            <w:pPr>
              <w:autoSpaceDE w:val="0"/>
              <w:autoSpaceDN w:val="0"/>
              <w:adjustRightInd w:val="0"/>
              <w:ind w:left="360" w:hanging="360"/>
              <w:rPr>
                <w:rFonts w:cs="Arial"/>
              </w:rPr>
            </w:pPr>
            <w:r w:rsidRPr="00921B50">
              <w:rPr>
                <w:rFonts w:cs="Arial"/>
              </w:rPr>
              <w:t xml:space="preserve">     </w:t>
            </w:r>
            <w:r w:rsidR="000304B2" w:rsidRPr="00921B50">
              <w:rPr>
                <w:rFonts w:cs="Arial"/>
              </w:rPr>
              <w:t>Regulated and non-regulated aims must be planned to be delivered within budget.</w:t>
            </w:r>
          </w:p>
          <w:p w14:paraId="254D26D8" w14:textId="77777777" w:rsidR="000304B2" w:rsidRPr="00921B50" w:rsidRDefault="000304B2" w:rsidP="00C107CE">
            <w:pPr>
              <w:autoSpaceDE w:val="0"/>
              <w:autoSpaceDN w:val="0"/>
              <w:adjustRightInd w:val="0"/>
              <w:ind w:left="360" w:hanging="360"/>
              <w:rPr>
                <w:rFonts w:cs="Arial"/>
              </w:rPr>
            </w:pPr>
          </w:p>
          <w:p w14:paraId="254D26D9" w14:textId="77777777" w:rsidR="000304B2" w:rsidRPr="00921B50" w:rsidRDefault="00C107CE" w:rsidP="00C107CE">
            <w:pPr>
              <w:autoSpaceDE w:val="0"/>
              <w:autoSpaceDN w:val="0"/>
              <w:adjustRightInd w:val="0"/>
              <w:ind w:left="360" w:hanging="360"/>
              <w:rPr>
                <w:rFonts w:cs="Arial"/>
              </w:rPr>
            </w:pPr>
            <w:r w:rsidRPr="00921B50">
              <w:rPr>
                <w:rFonts w:cs="Arial"/>
              </w:rPr>
              <w:lastRenderedPageBreak/>
              <w:t xml:space="preserve">     </w:t>
            </w:r>
            <w:r w:rsidR="000304B2" w:rsidRPr="00921B50">
              <w:rPr>
                <w:rFonts w:cs="Arial"/>
              </w:rPr>
              <w:t>Qualification rates are based on the published LARS rates at the start of the contract</w:t>
            </w:r>
            <w:r w:rsidR="005C5B32" w:rsidRPr="00921B50">
              <w:rPr>
                <w:rFonts w:cs="Arial"/>
              </w:rPr>
              <w:t xml:space="preserve"> or when the qualification starts if this later</w:t>
            </w:r>
            <w:r w:rsidR="000304B2" w:rsidRPr="00921B50">
              <w:rPr>
                <w:rFonts w:cs="Arial"/>
              </w:rPr>
              <w:t>.</w:t>
            </w:r>
            <w:r w:rsidR="005C5B32" w:rsidRPr="00921B50">
              <w:rPr>
                <w:rFonts w:cs="Arial"/>
              </w:rPr>
              <w:t xml:space="preserve">  </w:t>
            </w:r>
          </w:p>
          <w:p w14:paraId="254D26DA" w14:textId="77777777" w:rsidR="000304B2" w:rsidRPr="00921B50" w:rsidRDefault="000304B2" w:rsidP="000304B2">
            <w:pPr>
              <w:autoSpaceDE w:val="0"/>
              <w:autoSpaceDN w:val="0"/>
              <w:adjustRightInd w:val="0"/>
              <w:ind w:left="360" w:hanging="360"/>
              <w:rPr>
                <w:rFonts w:cs="Arial"/>
              </w:rPr>
            </w:pPr>
          </w:p>
          <w:p w14:paraId="254D26DB" w14:textId="77777777" w:rsidR="000304B2" w:rsidRPr="00921B50" w:rsidRDefault="000304B2" w:rsidP="000304B2">
            <w:pPr>
              <w:autoSpaceDE w:val="0"/>
              <w:autoSpaceDN w:val="0"/>
              <w:adjustRightInd w:val="0"/>
              <w:ind w:left="360" w:hanging="360"/>
              <w:rPr>
                <w:rFonts w:cs="Arial"/>
              </w:rPr>
            </w:pPr>
            <w:r w:rsidRPr="00921B50">
              <w:rPr>
                <w:rFonts w:cs="Arial"/>
                <w:b/>
              </w:rPr>
              <w:t xml:space="preserve">Services:  </w:t>
            </w:r>
            <w:r w:rsidRPr="00921B50">
              <w:rPr>
                <w:rFonts w:cs="Arial"/>
              </w:rPr>
              <w:t>The provision of education, training or support delivered to individuals.</w:t>
            </w:r>
          </w:p>
          <w:p w14:paraId="254D26DC" w14:textId="77777777" w:rsidR="000304B2" w:rsidRPr="00921B50" w:rsidRDefault="000304B2" w:rsidP="000304B2">
            <w:pPr>
              <w:autoSpaceDE w:val="0"/>
              <w:autoSpaceDN w:val="0"/>
              <w:adjustRightInd w:val="0"/>
              <w:ind w:left="360" w:hanging="360"/>
              <w:rPr>
                <w:rFonts w:cs="Arial"/>
              </w:rPr>
            </w:pPr>
          </w:p>
          <w:p w14:paraId="254D26DD" w14:textId="77777777" w:rsidR="000304B2" w:rsidRPr="00921B50" w:rsidRDefault="005C5B32" w:rsidP="000304B2">
            <w:pPr>
              <w:autoSpaceDE w:val="0"/>
              <w:autoSpaceDN w:val="0"/>
              <w:adjustRightInd w:val="0"/>
              <w:ind w:left="360" w:hanging="360"/>
              <w:rPr>
                <w:rFonts w:cs="Arial"/>
              </w:rPr>
            </w:pPr>
            <w:r w:rsidRPr="00921B50">
              <w:rPr>
                <w:rFonts w:cs="Arial"/>
                <w:b/>
              </w:rPr>
              <w:t>Status</w:t>
            </w:r>
            <w:r w:rsidR="000304B2" w:rsidRPr="00921B50">
              <w:rPr>
                <w:rFonts w:cs="Arial"/>
                <w:b/>
              </w:rPr>
              <w:t>:</w:t>
            </w:r>
            <w:r w:rsidR="000304B2" w:rsidRPr="00921B50">
              <w:rPr>
                <w:rFonts w:cs="Arial"/>
              </w:rPr>
              <w:t xml:space="preserve"> Employment status and age are determined on the date of starting on the</w:t>
            </w:r>
            <w:r w:rsidR="00E82E42" w:rsidRPr="00921B50">
              <w:rPr>
                <w:rFonts w:cs="Arial"/>
              </w:rPr>
              <w:t xml:space="preserve"> Services</w:t>
            </w:r>
            <w:r w:rsidR="000304B2" w:rsidRPr="00921B50">
              <w:rPr>
                <w:rFonts w:cs="Arial"/>
              </w:rPr>
              <w:t>.</w:t>
            </w:r>
            <w:r w:rsidR="000304B2" w:rsidRPr="00921B50">
              <w:rPr>
                <w:rFonts w:cs="Arial"/>
                <w:b/>
              </w:rPr>
              <w:t xml:space="preserve"> </w:t>
            </w:r>
          </w:p>
          <w:p w14:paraId="254D26DE" w14:textId="77777777" w:rsidR="000304B2" w:rsidRPr="00921B50" w:rsidRDefault="000304B2" w:rsidP="000304B2">
            <w:pPr>
              <w:autoSpaceDE w:val="0"/>
              <w:autoSpaceDN w:val="0"/>
              <w:adjustRightInd w:val="0"/>
              <w:ind w:left="360" w:hanging="360"/>
              <w:rPr>
                <w:rFonts w:cs="Arial"/>
              </w:rPr>
            </w:pPr>
          </w:p>
          <w:p w14:paraId="254D26DF" w14:textId="77777777" w:rsidR="000304B2" w:rsidRPr="00921B50" w:rsidRDefault="000304B2" w:rsidP="000304B2">
            <w:pPr>
              <w:autoSpaceDE w:val="0"/>
              <w:autoSpaceDN w:val="0"/>
              <w:adjustRightInd w:val="0"/>
              <w:ind w:left="360" w:hanging="360"/>
              <w:rPr>
                <w:rFonts w:cs="Arial"/>
              </w:rPr>
            </w:pPr>
            <w:r w:rsidRPr="00921B50">
              <w:rPr>
                <w:rFonts w:cs="Arial"/>
                <w:b/>
              </w:rPr>
              <w:t>Survey</w:t>
            </w:r>
            <w:r w:rsidRPr="00921B50">
              <w:rPr>
                <w:rFonts w:cs="Arial"/>
              </w:rPr>
              <w:t>: Where applicable, long term sustained outcomes over 6 months will be monitored separately.  Some ESF indicators will be collected by survey by the ESF Managing Authority directly from the participants.</w:t>
            </w:r>
          </w:p>
          <w:p w14:paraId="254D26E0" w14:textId="77777777" w:rsidR="005A1D76" w:rsidRPr="00921B50" w:rsidRDefault="005A1D76" w:rsidP="000304B2">
            <w:pPr>
              <w:autoSpaceDE w:val="0"/>
              <w:autoSpaceDN w:val="0"/>
              <w:adjustRightInd w:val="0"/>
              <w:ind w:left="360" w:hanging="360"/>
              <w:rPr>
                <w:rFonts w:cs="Arial"/>
              </w:rPr>
            </w:pPr>
          </w:p>
          <w:p w14:paraId="254D26E1" w14:textId="77777777" w:rsidR="000304B2" w:rsidRPr="00921B50" w:rsidRDefault="005A1D76" w:rsidP="003E0C7F">
            <w:pPr>
              <w:autoSpaceDE w:val="0"/>
              <w:autoSpaceDN w:val="0"/>
              <w:adjustRightInd w:val="0"/>
              <w:ind w:left="360" w:hanging="360"/>
              <w:rPr>
                <w:rFonts w:cs="Arial"/>
              </w:rPr>
            </w:pPr>
            <w:r w:rsidRPr="00921B50">
              <w:rPr>
                <w:rFonts w:cs="Arial"/>
                <w:b/>
              </w:rPr>
              <w:t>Unemployed:</w:t>
            </w:r>
            <w:r w:rsidRPr="00921B50">
              <w:rPr>
                <w:rFonts w:cs="Arial"/>
              </w:rP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254D26E2" w14:textId="77777777" w:rsidR="00200BC6" w:rsidRPr="00921B50" w:rsidRDefault="00200BC6" w:rsidP="005A1D76">
            <w:pPr>
              <w:autoSpaceDE w:val="0"/>
              <w:autoSpaceDN w:val="0"/>
              <w:adjustRightInd w:val="0"/>
              <w:ind w:left="360" w:hanging="360"/>
              <w:rPr>
                <w:rFonts w:cs="Arial"/>
              </w:rPr>
            </w:pPr>
          </w:p>
        </w:tc>
      </w:tr>
      <w:tr w:rsidR="00967429" w:rsidRPr="009D7496" w14:paraId="254D26E5" w14:textId="77777777" w:rsidTr="009A6BFF">
        <w:trPr>
          <w:trHeight w:val="567"/>
        </w:trPr>
        <w:tc>
          <w:tcPr>
            <w:tcW w:w="10060" w:type="dxa"/>
            <w:shd w:val="clear" w:color="auto" w:fill="D9D9D9" w:themeFill="background1" w:themeFillShade="D9"/>
            <w:vAlign w:val="center"/>
          </w:tcPr>
          <w:p w14:paraId="254D26E4" w14:textId="77777777" w:rsidR="00967429" w:rsidRPr="009D7496" w:rsidRDefault="002E25F4" w:rsidP="00C107CE">
            <w:pPr>
              <w:autoSpaceDE w:val="0"/>
              <w:autoSpaceDN w:val="0"/>
              <w:adjustRightInd w:val="0"/>
              <w:rPr>
                <w:rFonts w:cs="Arial"/>
                <w:b/>
                <w:lang w:eastAsia="en-GB"/>
              </w:rPr>
            </w:pPr>
            <w:r w:rsidRPr="009D7496">
              <w:rPr>
                <w:rFonts w:cs="Arial"/>
                <w:b/>
                <w:lang w:eastAsia="en-GB"/>
              </w:rPr>
              <w:lastRenderedPageBreak/>
              <w:t>SERVICE REQUIREMENTS</w:t>
            </w:r>
          </w:p>
        </w:tc>
      </w:tr>
      <w:tr w:rsidR="00967429" w:rsidRPr="009D7496" w14:paraId="254D2732" w14:textId="77777777" w:rsidTr="00921B50">
        <w:tc>
          <w:tcPr>
            <w:tcW w:w="10060" w:type="dxa"/>
          </w:tcPr>
          <w:p w14:paraId="254D26E6" w14:textId="77777777" w:rsidR="000D51DE" w:rsidRPr="009D7496" w:rsidRDefault="000D51DE" w:rsidP="00A524B5">
            <w:pPr>
              <w:rPr>
                <w:rFonts w:cs="Arial"/>
                <w:b/>
              </w:rPr>
            </w:pPr>
          </w:p>
          <w:p w14:paraId="254D26E7" w14:textId="77777777" w:rsidR="002E25F4" w:rsidRPr="009D7496" w:rsidRDefault="002E25F4" w:rsidP="00A524B5">
            <w:pPr>
              <w:rPr>
                <w:rFonts w:cs="Arial"/>
                <w:b/>
              </w:rPr>
            </w:pPr>
            <w:r w:rsidRPr="009D7496">
              <w:rPr>
                <w:rFonts w:cs="Arial"/>
                <w:b/>
              </w:rPr>
              <w:t xml:space="preserve">General </w:t>
            </w:r>
            <w:r w:rsidR="00EA180F" w:rsidRPr="009D7496">
              <w:rPr>
                <w:rFonts w:cs="Arial"/>
                <w:b/>
              </w:rPr>
              <w:t>Service Requirements</w:t>
            </w:r>
          </w:p>
          <w:p w14:paraId="254D26E8" w14:textId="77777777" w:rsidR="00EA180F" w:rsidRPr="009D7496" w:rsidRDefault="00EA180F" w:rsidP="00A524B5">
            <w:pPr>
              <w:rPr>
                <w:rFonts w:cs="Arial"/>
                <w:b/>
              </w:rPr>
            </w:pPr>
          </w:p>
          <w:p w14:paraId="254D26E9" w14:textId="77777777" w:rsidR="002E25F4" w:rsidRPr="009D7496" w:rsidRDefault="002E25F4" w:rsidP="00A524B5">
            <w:pPr>
              <w:rPr>
                <w:rFonts w:cs="Arial"/>
              </w:rPr>
            </w:pPr>
            <w:r w:rsidRPr="009D7496">
              <w:rPr>
                <w:rFonts w:cs="Arial"/>
              </w:rPr>
              <w:t>All activities must complement and avoid duplication with other provision, thereby adding value to D</w:t>
            </w:r>
            <w:r w:rsidR="00F3689D" w:rsidRPr="009D7496">
              <w:rPr>
                <w:rFonts w:cs="Arial"/>
              </w:rPr>
              <w:t xml:space="preserve">epartment for </w:t>
            </w:r>
            <w:r w:rsidRPr="009D7496">
              <w:rPr>
                <w:rFonts w:cs="Arial"/>
              </w:rPr>
              <w:t>W</w:t>
            </w:r>
            <w:r w:rsidR="00F3689D" w:rsidRPr="009D7496">
              <w:rPr>
                <w:rFonts w:cs="Arial"/>
              </w:rPr>
              <w:t xml:space="preserve">ork and </w:t>
            </w:r>
            <w:r w:rsidRPr="009D7496">
              <w:rPr>
                <w:rFonts w:cs="Arial"/>
              </w:rPr>
              <w:t>P</w:t>
            </w:r>
            <w:r w:rsidR="00F3689D" w:rsidRPr="009D7496">
              <w:rPr>
                <w:rFonts w:cs="Arial"/>
              </w:rPr>
              <w:t>ensions</w:t>
            </w:r>
            <w:r w:rsidRPr="009D7496">
              <w:rPr>
                <w:rFonts w:cs="Arial"/>
              </w:rPr>
              <w:t>/Big Lottery</w:t>
            </w:r>
            <w:r w:rsidR="00581451" w:rsidRPr="009D7496">
              <w:rPr>
                <w:rFonts w:cs="Arial"/>
              </w:rPr>
              <w:t>, E</w:t>
            </w:r>
            <w:r w:rsidR="00F3689D" w:rsidRPr="009D7496">
              <w:rPr>
                <w:rFonts w:cs="Arial"/>
              </w:rPr>
              <w:t xml:space="preserve">ducation </w:t>
            </w:r>
            <w:r w:rsidR="00581451" w:rsidRPr="009D7496">
              <w:rPr>
                <w:rFonts w:cs="Arial"/>
              </w:rPr>
              <w:t>F</w:t>
            </w:r>
            <w:r w:rsidR="00F3689D" w:rsidRPr="009D7496">
              <w:rPr>
                <w:rFonts w:cs="Arial"/>
              </w:rPr>
              <w:t xml:space="preserve">unding </w:t>
            </w:r>
            <w:r w:rsidR="00581451" w:rsidRPr="009D7496">
              <w:rPr>
                <w:rFonts w:cs="Arial"/>
              </w:rPr>
              <w:t>A</w:t>
            </w:r>
            <w:r w:rsidR="00F3689D" w:rsidRPr="009D7496">
              <w:rPr>
                <w:rFonts w:cs="Arial"/>
              </w:rPr>
              <w:t>gency</w:t>
            </w:r>
            <w:r w:rsidR="00581451" w:rsidRPr="009D7496">
              <w:rPr>
                <w:rFonts w:cs="Arial"/>
              </w:rPr>
              <w:t>,</w:t>
            </w:r>
            <w:r w:rsidRPr="009D7496">
              <w:rPr>
                <w:rFonts w:cs="Arial"/>
              </w:rPr>
              <w:t xml:space="preserve"> Skills Funding Agency</w:t>
            </w:r>
            <w:r w:rsidR="00C107CE" w:rsidRPr="009D7496">
              <w:rPr>
                <w:rFonts w:cs="Arial"/>
              </w:rPr>
              <w:t>, local</w:t>
            </w:r>
            <w:r w:rsidR="00581451" w:rsidRPr="009D7496">
              <w:rPr>
                <w:rFonts w:cs="Arial"/>
              </w:rPr>
              <w:t xml:space="preserve"> authority</w:t>
            </w:r>
            <w:r w:rsidR="00C0243B" w:rsidRPr="009D7496">
              <w:rPr>
                <w:rFonts w:cs="Arial"/>
              </w:rPr>
              <w:t>,</w:t>
            </w:r>
            <w:r w:rsidR="00581451" w:rsidRPr="009D7496">
              <w:rPr>
                <w:rFonts w:cs="Arial"/>
              </w:rPr>
              <w:t xml:space="preserve"> </w:t>
            </w:r>
            <w:r w:rsidR="00C0243B" w:rsidRPr="009D7496">
              <w:rPr>
                <w:rFonts w:cs="Arial"/>
              </w:rPr>
              <w:t>N</w:t>
            </w:r>
            <w:r w:rsidR="00F3689D" w:rsidRPr="009D7496">
              <w:rPr>
                <w:rFonts w:cs="Arial"/>
              </w:rPr>
              <w:t xml:space="preserve">ational </w:t>
            </w:r>
            <w:r w:rsidR="00C0243B" w:rsidRPr="009D7496">
              <w:rPr>
                <w:rFonts w:cs="Arial"/>
              </w:rPr>
              <w:t>C</w:t>
            </w:r>
            <w:r w:rsidR="00F3689D" w:rsidRPr="009D7496">
              <w:rPr>
                <w:rFonts w:cs="Arial"/>
              </w:rPr>
              <w:t xml:space="preserve">areers </w:t>
            </w:r>
            <w:r w:rsidR="00C0243B" w:rsidRPr="009D7496">
              <w:rPr>
                <w:rFonts w:cs="Arial"/>
              </w:rPr>
              <w:t>S</w:t>
            </w:r>
            <w:r w:rsidR="00F3689D" w:rsidRPr="009D7496">
              <w:rPr>
                <w:rFonts w:cs="Arial"/>
              </w:rPr>
              <w:t>ervice</w:t>
            </w:r>
            <w:r w:rsidR="00C0243B" w:rsidRPr="009D7496">
              <w:rPr>
                <w:rFonts w:cs="Arial"/>
              </w:rPr>
              <w:t xml:space="preserve"> and the new Careers Enterprise Company </w:t>
            </w:r>
            <w:r w:rsidRPr="009D7496">
              <w:rPr>
                <w:rFonts w:cs="Arial"/>
              </w:rPr>
              <w:t xml:space="preserve">funded provision. </w:t>
            </w:r>
            <w:r w:rsidR="0006724D" w:rsidRPr="009D7496">
              <w:rPr>
                <w:rFonts w:cs="Arial"/>
              </w:rPr>
              <w:t xml:space="preserve"> </w:t>
            </w:r>
            <w:r w:rsidRPr="009D7496">
              <w:rPr>
                <w:rFonts w:cs="Arial"/>
              </w:rPr>
              <w:t xml:space="preserve">Successful </w:t>
            </w:r>
            <w:r w:rsidR="00C6219F" w:rsidRPr="009D7496">
              <w:rPr>
                <w:rFonts w:cs="Arial"/>
              </w:rPr>
              <w:t>candidate</w:t>
            </w:r>
            <w:r w:rsidRPr="009D7496">
              <w:rPr>
                <w:rFonts w:cs="Arial"/>
              </w:rPr>
              <w:t>s will be required to ensure that ESF provision will clearly add value and not duplicate any provision that can be arranged locally through existing mainstream institutions.</w:t>
            </w:r>
          </w:p>
          <w:p w14:paraId="254D26EA" w14:textId="77777777" w:rsidR="00ED156A" w:rsidRPr="009D7496" w:rsidRDefault="00ED156A" w:rsidP="00A524B5">
            <w:pPr>
              <w:rPr>
                <w:rFonts w:cs="Arial"/>
              </w:rPr>
            </w:pPr>
          </w:p>
          <w:p w14:paraId="254D26EB" w14:textId="77777777" w:rsidR="0031325C" w:rsidRPr="009D7496" w:rsidRDefault="00ED156A" w:rsidP="00A524B5">
            <w:pPr>
              <w:rPr>
                <w:rFonts w:cs="Arial"/>
                <w:b/>
                <w:i/>
              </w:rPr>
            </w:pPr>
            <w:r w:rsidRPr="009D7496">
              <w:rPr>
                <w:rFonts w:cs="Arial"/>
                <w:b/>
                <w:i/>
              </w:rPr>
              <w:t>Capacity and readiness to deliver</w:t>
            </w:r>
          </w:p>
          <w:p w14:paraId="254D26EC" w14:textId="77777777" w:rsidR="00ED156A" w:rsidRPr="009D7496" w:rsidRDefault="00ED156A" w:rsidP="00ED156A">
            <w:pPr>
              <w:autoSpaceDE w:val="0"/>
              <w:autoSpaceDN w:val="0"/>
              <w:adjustRightInd w:val="0"/>
              <w:rPr>
                <w:rFonts w:cs="Arial"/>
              </w:rPr>
            </w:pPr>
            <w:r w:rsidRPr="009D7496">
              <w:rPr>
                <w:rFonts w:cs="Arial"/>
              </w:rPr>
              <w:t>Candidates must have:</w:t>
            </w:r>
          </w:p>
          <w:p w14:paraId="254D26ED" w14:textId="77777777" w:rsidR="00ED156A" w:rsidRPr="00921B50" w:rsidRDefault="00ED156A" w:rsidP="00A503FD">
            <w:pPr>
              <w:pStyle w:val="ListParagraph"/>
              <w:numPr>
                <w:ilvl w:val="0"/>
                <w:numId w:val="8"/>
              </w:numPr>
              <w:autoSpaceDE w:val="0"/>
              <w:autoSpaceDN w:val="0"/>
              <w:adjustRightInd w:val="0"/>
              <w:ind w:left="313"/>
              <w:rPr>
                <w:rFonts w:cs="Arial"/>
                <w:strike/>
              </w:rPr>
            </w:pPr>
            <w:r w:rsidRPr="00921B50">
              <w:rPr>
                <w:rFonts w:cs="Arial"/>
              </w:rPr>
              <w:t>The resources to offer</w:t>
            </w:r>
            <w:r w:rsidR="003B0CB7" w:rsidRPr="00921B50">
              <w:rPr>
                <w:rFonts w:cs="Arial"/>
              </w:rPr>
              <w:t xml:space="preserve"> locally tailored solutions </w:t>
            </w:r>
            <w:r w:rsidRPr="00921B50">
              <w:rPr>
                <w:rFonts w:cs="Arial"/>
              </w:rPr>
              <w:t>and flexible delivery</w:t>
            </w:r>
            <w:r w:rsidR="005A1D76" w:rsidRPr="00921B50">
              <w:rPr>
                <w:rFonts w:cs="Arial"/>
              </w:rPr>
              <w:t xml:space="preserve"> </w:t>
            </w:r>
            <w:r w:rsidR="003B0CB7" w:rsidRPr="00921B50">
              <w:rPr>
                <w:rFonts w:cs="Arial"/>
              </w:rPr>
              <w:t xml:space="preserve">to meet the skills and Apprenticeship priorities of employers and employees in the </w:t>
            </w:r>
            <w:r w:rsidR="005A1D76" w:rsidRPr="00921B50">
              <w:rPr>
                <w:rFonts w:cs="Arial"/>
              </w:rPr>
              <w:t>defined geographical area of delivery</w:t>
            </w:r>
            <w:r w:rsidR="002F4192" w:rsidRPr="00921B50">
              <w:rPr>
                <w:rFonts w:cs="Arial"/>
              </w:rPr>
              <w:t xml:space="preserve">. If the </w:t>
            </w:r>
            <w:r w:rsidR="001A4B05" w:rsidRPr="00921B50">
              <w:rPr>
                <w:rFonts w:cs="Arial"/>
              </w:rPr>
              <w:t xml:space="preserve">LEP </w:t>
            </w:r>
            <w:r w:rsidR="002F4192" w:rsidRPr="00921B50">
              <w:rPr>
                <w:rFonts w:cs="Arial"/>
              </w:rPr>
              <w:t>area</w:t>
            </w:r>
            <w:r w:rsidR="001A4B05" w:rsidRPr="00921B50">
              <w:rPr>
                <w:rFonts w:cs="Arial"/>
              </w:rPr>
              <w:t xml:space="preserve"> also has a</w:t>
            </w:r>
            <w:r w:rsidR="002F4192" w:rsidRPr="00921B50">
              <w:rPr>
                <w:rFonts w:cs="Arial"/>
              </w:rPr>
              <w:t xml:space="preserve"> ‘transitional’  </w:t>
            </w:r>
            <w:r w:rsidR="001A4B05" w:rsidRPr="00921B50">
              <w:rPr>
                <w:rFonts w:cs="Arial"/>
              </w:rPr>
              <w:t xml:space="preserve">area defined in addition to the ‘more developed’ area, </w:t>
            </w:r>
            <w:r w:rsidR="002F4192" w:rsidRPr="00921B50">
              <w:rPr>
                <w:rFonts w:cs="Arial"/>
              </w:rPr>
              <w:t xml:space="preserve">delivery locations will have to be available </w:t>
            </w:r>
            <w:r w:rsidR="002F4192" w:rsidRPr="00921B50">
              <w:rPr>
                <w:rFonts w:cs="Arial"/>
                <w:i/>
              </w:rPr>
              <w:t>in each locality</w:t>
            </w:r>
          </w:p>
          <w:p w14:paraId="254D26EE" w14:textId="77777777" w:rsidR="00ED156A" w:rsidRPr="009D7496" w:rsidRDefault="00ED156A" w:rsidP="00A503FD">
            <w:pPr>
              <w:pStyle w:val="ListParagraph"/>
              <w:numPr>
                <w:ilvl w:val="0"/>
                <w:numId w:val="8"/>
              </w:numPr>
              <w:ind w:left="313"/>
              <w:rPr>
                <w:rFonts w:cs="Arial"/>
                <w:lang w:eastAsia="en-GB"/>
              </w:rPr>
            </w:pPr>
            <w:r w:rsidRPr="009D749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254D26EF" w14:textId="77777777" w:rsidR="002F71DB" w:rsidRPr="009D7496" w:rsidRDefault="002F71DB" w:rsidP="00A503FD">
            <w:pPr>
              <w:pStyle w:val="ListParagraph"/>
              <w:numPr>
                <w:ilvl w:val="0"/>
                <w:numId w:val="8"/>
              </w:numPr>
              <w:rPr>
                <w:rFonts w:cs="Arial"/>
                <w:lang w:eastAsia="en-GB"/>
              </w:rPr>
            </w:pPr>
            <w:r w:rsidRPr="009D7496">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9D7496">
              <w:rPr>
                <w:rFonts w:cs="Arial"/>
                <w:lang w:eastAsia="en-GB"/>
              </w:rPr>
              <w:t>progression</w:t>
            </w:r>
          </w:p>
          <w:p w14:paraId="254D26F0" w14:textId="77777777" w:rsidR="00ED156A" w:rsidRPr="009D7496" w:rsidRDefault="00ED156A" w:rsidP="00515602">
            <w:pPr>
              <w:rPr>
                <w:rFonts w:cs="Arial"/>
                <w:lang w:eastAsia="en-GB"/>
              </w:rPr>
            </w:pPr>
          </w:p>
          <w:p w14:paraId="254D26F1" w14:textId="77777777" w:rsidR="00ED156A" w:rsidRPr="009D7496" w:rsidRDefault="00ED156A" w:rsidP="00515602">
            <w:pPr>
              <w:rPr>
                <w:rFonts w:cs="Arial"/>
                <w:b/>
                <w:i/>
                <w:lang w:eastAsia="en-GB"/>
              </w:rPr>
            </w:pPr>
            <w:r w:rsidRPr="009D7496">
              <w:rPr>
                <w:rFonts w:cs="Arial"/>
                <w:b/>
                <w:i/>
                <w:lang w:eastAsia="en-GB"/>
              </w:rPr>
              <w:t>Track record</w:t>
            </w:r>
          </w:p>
          <w:p w14:paraId="254D26F2" w14:textId="77777777" w:rsidR="00ED156A" w:rsidRPr="00921B50" w:rsidRDefault="00812EC6" w:rsidP="00515602">
            <w:pPr>
              <w:rPr>
                <w:rFonts w:cs="Arial"/>
              </w:rPr>
            </w:pPr>
            <w:r w:rsidRPr="009D7496">
              <w:rPr>
                <w:rFonts w:cs="Arial"/>
              </w:rPr>
              <w:t>T</w:t>
            </w:r>
            <w:r w:rsidRPr="00921B50">
              <w:rPr>
                <w:rFonts w:cs="Arial"/>
              </w:rPr>
              <w:t xml:space="preserve">he ability to deliver the required activity, based on a track record in the successful delivery and management of this type </w:t>
            </w:r>
            <w:r w:rsidR="00273291" w:rsidRPr="00921B50">
              <w:rPr>
                <w:rFonts w:cs="Arial"/>
              </w:rPr>
              <w:t xml:space="preserve">and size </w:t>
            </w:r>
            <w:r w:rsidRPr="00921B50">
              <w:rPr>
                <w:rFonts w:cs="Arial"/>
              </w:rPr>
              <w:t>of programme</w:t>
            </w:r>
          </w:p>
          <w:p w14:paraId="254D26F3" w14:textId="77777777" w:rsidR="00E43DDB" w:rsidRDefault="00E43DDB" w:rsidP="00515602">
            <w:pPr>
              <w:rPr>
                <w:rFonts w:cs="Arial"/>
              </w:rPr>
            </w:pPr>
          </w:p>
          <w:p w14:paraId="007F4846" w14:textId="77777777" w:rsidR="00DB7814" w:rsidRPr="00921B50" w:rsidRDefault="00DB7814" w:rsidP="00515602">
            <w:pPr>
              <w:rPr>
                <w:rFonts w:cs="Arial"/>
              </w:rPr>
            </w:pPr>
          </w:p>
          <w:p w14:paraId="254D26F4" w14:textId="77777777" w:rsidR="00E43DDB" w:rsidRPr="009D7496" w:rsidRDefault="00E43DDB" w:rsidP="00E43DDB">
            <w:pPr>
              <w:rPr>
                <w:rFonts w:cs="Arial"/>
                <w:b/>
                <w:i/>
                <w:lang w:eastAsia="en-GB"/>
              </w:rPr>
            </w:pPr>
            <w:r w:rsidRPr="009D7496">
              <w:rPr>
                <w:rFonts w:cs="Arial"/>
                <w:b/>
                <w:i/>
                <w:lang w:eastAsia="en-GB"/>
              </w:rPr>
              <w:lastRenderedPageBreak/>
              <w:t>Information, Advice and Guidance</w:t>
            </w:r>
          </w:p>
          <w:p w14:paraId="254D26F5" w14:textId="77777777" w:rsidR="00E43DDB" w:rsidRPr="009D7496" w:rsidRDefault="00E43DDB" w:rsidP="00E43DDB">
            <w:pPr>
              <w:rPr>
                <w:rFonts w:cs="Arial"/>
                <w:lang w:eastAsia="en-GB"/>
              </w:rPr>
            </w:pPr>
            <w:r w:rsidRPr="009D7496">
              <w:rPr>
                <w:rFonts w:cs="Arial"/>
                <w:lang w:eastAsia="en-GB"/>
              </w:rPr>
              <w:t>Where the activity requires effective Information, Advice and Guidance successful</w:t>
            </w:r>
          </w:p>
          <w:p w14:paraId="254D26F6" w14:textId="77777777" w:rsidR="00E43DDB" w:rsidRPr="009D7496" w:rsidRDefault="00E43DDB" w:rsidP="00E43DDB">
            <w:pPr>
              <w:rPr>
                <w:rFonts w:cs="Arial"/>
                <w:lang w:eastAsia="en-GB"/>
              </w:rPr>
            </w:pPr>
            <w:r w:rsidRPr="009D7496">
              <w:rPr>
                <w:rFonts w:cs="Arial"/>
                <w:lang w:eastAsia="en-GB"/>
              </w:rPr>
              <w:t>applicants and/or subcontractors delivering this element will either hold or be</w:t>
            </w:r>
          </w:p>
          <w:p w14:paraId="254D26F7" w14:textId="77777777" w:rsidR="00E43DDB" w:rsidRPr="009D7496" w:rsidRDefault="00E43DDB" w:rsidP="00E43DDB">
            <w:pPr>
              <w:rPr>
                <w:rFonts w:cs="Arial"/>
                <w:lang w:eastAsia="en-GB"/>
              </w:rPr>
            </w:pPr>
            <w:r w:rsidRPr="009D7496">
              <w:rPr>
                <w:rFonts w:cs="Arial"/>
                <w:lang w:eastAsia="en-GB"/>
              </w:rPr>
              <w:t>working towards the Matrix standard.</w:t>
            </w:r>
          </w:p>
          <w:p w14:paraId="254D26F9" w14:textId="77777777" w:rsidR="00556FF1" w:rsidRPr="009D7496" w:rsidRDefault="00556FF1" w:rsidP="00E43DDB">
            <w:pPr>
              <w:rPr>
                <w:rFonts w:cs="Arial"/>
                <w:lang w:eastAsia="en-GB"/>
              </w:rPr>
            </w:pPr>
          </w:p>
          <w:p w14:paraId="254D26FA" w14:textId="77777777" w:rsidR="00ED156A" w:rsidRPr="009D7496" w:rsidRDefault="002E25F4" w:rsidP="00A524B5">
            <w:pPr>
              <w:rPr>
                <w:rFonts w:cs="Arial"/>
              </w:rPr>
            </w:pPr>
            <w:r w:rsidRPr="009D7496">
              <w:rPr>
                <w:rFonts w:cs="Arial"/>
                <w:b/>
                <w:i/>
              </w:rPr>
              <w:t>Management and quality assurance</w:t>
            </w:r>
          </w:p>
          <w:p w14:paraId="254D26FB" w14:textId="77777777" w:rsidR="002E25F4" w:rsidRPr="009D7496" w:rsidRDefault="002E25F4" w:rsidP="00A524B5">
            <w:pPr>
              <w:rPr>
                <w:rFonts w:cs="Arial"/>
              </w:rPr>
            </w:pPr>
            <w:r w:rsidRPr="009D7496">
              <w:rPr>
                <w:rFonts w:cs="Arial"/>
              </w:rPr>
              <w:t>Candidates will need to have effective management arrangements in place to ensure all of the req</w:t>
            </w:r>
            <w:r w:rsidR="001E712C" w:rsidRPr="009D7496">
              <w:rPr>
                <w:rFonts w:cs="Arial"/>
              </w:rPr>
              <w:t>uirements of this specification are fulfilled</w:t>
            </w:r>
            <w:r w:rsidRPr="009D7496">
              <w:rPr>
                <w:rFonts w:cs="Arial"/>
              </w:rPr>
              <w:t xml:space="preserve">. </w:t>
            </w:r>
            <w:r w:rsidR="00F45857" w:rsidRPr="009D7496">
              <w:rPr>
                <w:rFonts w:cs="Arial"/>
              </w:rPr>
              <w:t xml:space="preserve"> </w:t>
            </w:r>
            <w:r w:rsidRPr="009D7496">
              <w:rPr>
                <w:rFonts w:cs="Arial"/>
              </w:rPr>
              <w:t>The Services must be delivered to a high quality and successful tenderers will need to have in place quality assurance and improvement processes.</w:t>
            </w:r>
          </w:p>
          <w:p w14:paraId="254D26FC" w14:textId="77777777" w:rsidR="00B06A9F" w:rsidRPr="009D7496" w:rsidRDefault="00B06A9F" w:rsidP="00A524B5">
            <w:pPr>
              <w:rPr>
                <w:rFonts w:cs="Arial"/>
              </w:rPr>
            </w:pPr>
          </w:p>
          <w:p w14:paraId="254D26FD" w14:textId="77777777" w:rsidR="00B06A9F" w:rsidRPr="009D7496" w:rsidRDefault="00B06A9F" w:rsidP="00515602">
            <w:pPr>
              <w:rPr>
                <w:rFonts w:cs="Arial"/>
              </w:rPr>
            </w:pPr>
            <w:r w:rsidRPr="009D749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254D26FE" w14:textId="77777777" w:rsidR="001A4B05" w:rsidRPr="009D7496" w:rsidRDefault="001A4B05" w:rsidP="00A524B5">
            <w:pPr>
              <w:rPr>
                <w:rFonts w:cs="Arial"/>
              </w:rPr>
            </w:pPr>
          </w:p>
          <w:p w14:paraId="254D26FF" w14:textId="77777777" w:rsidR="002E25F4" w:rsidRPr="009D7496" w:rsidRDefault="002E25F4" w:rsidP="00A524B5">
            <w:pPr>
              <w:rPr>
                <w:rFonts w:cs="Arial"/>
              </w:rPr>
            </w:pPr>
            <w:r w:rsidRPr="009D7496">
              <w:rPr>
                <w:rFonts w:cs="Arial"/>
                <w:b/>
                <w:i/>
              </w:rPr>
              <w:t>Partnership working</w:t>
            </w:r>
          </w:p>
          <w:p w14:paraId="254D2700" w14:textId="77777777" w:rsidR="002E25F4" w:rsidRPr="009D7496" w:rsidRDefault="002E25F4" w:rsidP="00A524B5">
            <w:pPr>
              <w:rPr>
                <w:rFonts w:cs="Arial"/>
              </w:rPr>
            </w:pPr>
            <w:r w:rsidRPr="009D7496">
              <w:rPr>
                <w:rFonts w:cs="Arial"/>
              </w:rPr>
              <w:t>Candidates will be required to work in partnership with other organisations delivering education and training in the area to ensure the Service is complementary to and not in competition with other funded provision.</w:t>
            </w:r>
          </w:p>
          <w:p w14:paraId="254D2701" w14:textId="77777777" w:rsidR="002E25F4" w:rsidRPr="009D7496" w:rsidRDefault="002E25F4" w:rsidP="00A524B5">
            <w:pPr>
              <w:rPr>
                <w:rFonts w:cs="Arial"/>
              </w:rPr>
            </w:pPr>
          </w:p>
          <w:p w14:paraId="254D2702" w14:textId="77777777" w:rsidR="002E25F4" w:rsidRPr="009D7496" w:rsidRDefault="002E25F4" w:rsidP="00A524B5">
            <w:pPr>
              <w:rPr>
                <w:rFonts w:cs="Arial"/>
              </w:rPr>
            </w:pPr>
            <w:r w:rsidRPr="009D7496">
              <w:rPr>
                <w:rFonts w:cs="Arial"/>
              </w:rPr>
              <w:t xml:space="preserve">The Service must be able to respond to changing local needs and opportunities, as well as policy changes. </w:t>
            </w:r>
          </w:p>
          <w:p w14:paraId="254D2703" w14:textId="77777777" w:rsidR="00ED156A" w:rsidRPr="009D7496" w:rsidRDefault="00ED156A" w:rsidP="00A524B5">
            <w:pPr>
              <w:rPr>
                <w:rFonts w:cs="Arial"/>
                <w:highlight w:val="yellow"/>
              </w:rPr>
            </w:pPr>
          </w:p>
          <w:p w14:paraId="254D2704" w14:textId="77777777" w:rsidR="00603F09" w:rsidRPr="009D7496" w:rsidRDefault="00ED156A" w:rsidP="00C107CE">
            <w:pPr>
              <w:autoSpaceDE w:val="0"/>
              <w:autoSpaceDN w:val="0"/>
              <w:adjustRightInd w:val="0"/>
              <w:rPr>
                <w:rFonts w:cs="Arial"/>
              </w:rPr>
            </w:pPr>
            <w:r w:rsidRPr="009D7496">
              <w:rPr>
                <w:rFonts w:cs="Arial"/>
              </w:rPr>
              <w:t>Candidates will be required to establish linkages with and have an understanding of, local stakeholder needs and develop strong links with the key stakeholders.</w:t>
            </w:r>
          </w:p>
          <w:p w14:paraId="254D2705" w14:textId="77777777" w:rsidR="000E66D3" w:rsidRPr="009D7496" w:rsidRDefault="00FA5F66" w:rsidP="00A524B5">
            <w:pPr>
              <w:rPr>
                <w:rFonts w:cs="Arial"/>
              </w:rPr>
            </w:pPr>
            <w:r w:rsidRPr="009D7496">
              <w:rPr>
                <w:rFonts w:cs="Arial"/>
              </w:rPr>
              <w:t xml:space="preserve">Where the Service works with Jobcentre Plus clients the Candidates will be required to co-operate </w:t>
            </w:r>
            <w:r w:rsidR="004B698A" w:rsidRPr="00921B50">
              <w:rPr>
                <w:rFonts w:cs="Arial"/>
                <w:bCs/>
                <w:lang w:eastAsia="en-GB"/>
              </w:rPr>
              <w:t>effectively with Jobcentre Plus making them aware of candidates who fail to attend training and notifying them of any instances where individuals leave training due to starting work.</w:t>
            </w:r>
            <w:r w:rsidR="00210134" w:rsidRPr="00921B50">
              <w:rPr>
                <w:rFonts w:cs="Arial"/>
                <w:bCs/>
                <w:lang w:eastAsia="en-GB"/>
              </w:rPr>
              <w:t xml:space="preserve">  </w:t>
            </w:r>
            <w:r w:rsidR="00136327" w:rsidRPr="009D7496">
              <w:rPr>
                <w:rFonts w:cs="Arial"/>
              </w:rPr>
              <w:t xml:space="preserve">Candidates will be required to establish links with </w:t>
            </w:r>
            <w:r w:rsidR="000E66D3" w:rsidRPr="00921B50">
              <w:rPr>
                <w:rFonts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54D2706" w14:textId="77777777" w:rsidR="000E66D3" w:rsidRPr="009D7496" w:rsidRDefault="000E66D3" w:rsidP="00A524B5">
            <w:pPr>
              <w:rPr>
                <w:rFonts w:cs="Arial"/>
              </w:rPr>
            </w:pPr>
          </w:p>
          <w:p w14:paraId="254D2707" w14:textId="77777777" w:rsidR="002E25F4" w:rsidRPr="009D7496" w:rsidRDefault="002E25F4" w:rsidP="00A524B5">
            <w:pPr>
              <w:rPr>
                <w:rFonts w:cs="Arial"/>
              </w:rPr>
            </w:pPr>
            <w:r w:rsidRPr="009D7496">
              <w:rPr>
                <w:rFonts w:cs="Arial"/>
                <w:b/>
                <w:i/>
              </w:rPr>
              <w:t>Market intelligence and local knowledge</w:t>
            </w:r>
          </w:p>
          <w:p w14:paraId="254D2708" w14:textId="77777777" w:rsidR="002E25F4" w:rsidRPr="00921B50" w:rsidRDefault="002E25F4" w:rsidP="00BC7F87">
            <w:pPr>
              <w:autoSpaceDE w:val="0"/>
              <w:autoSpaceDN w:val="0"/>
              <w:adjustRightInd w:val="0"/>
              <w:ind w:left="29"/>
              <w:rPr>
                <w:rFonts w:cs="Arial"/>
                <w:strike/>
                <w:highlight w:val="yellow"/>
              </w:rPr>
            </w:pPr>
            <w:r w:rsidRPr="009D7496">
              <w:rPr>
                <w:rFonts w:cs="Arial"/>
              </w:rPr>
              <w:t>The delivery of the Services must take into account the current and future social and economic indicators including labour market</w:t>
            </w:r>
            <w:r w:rsidR="00BC7F87" w:rsidRPr="009D7496">
              <w:rPr>
                <w:rFonts w:cs="Arial"/>
              </w:rPr>
              <w:t xml:space="preserve"> intelligence. Candidates must be able to demonstrate a</w:t>
            </w:r>
            <w:r w:rsidR="00812EC6" w:rsidRPr="00921B50">
              <w:rPr>
                <w:rFonts w:cs="Arial"/>
              </w:rPr>
              <w:t xml:space="preserve"> comprehensive understanding of the current employment market and the c</w:t>
            </w:r>
            <w:r w:rsidR="00812EC6" w:rsidRPr="009D7496">
              <w:rPr>
                <w:rFonts w:cs="Arial"/>
              </w:rPr>
              <w:t>urrent and future social and economic indicators including labour market intelligence</w:t>
            </w:r>
            <w:r w:rsidR="00BC7F87" w:rsidRPr="009D7496">
              <w:rPr>
                <w:rFonts w:cs="Arial"/>
              </w:rPr>
              <w:t xml:space="preserve"> for the geographical area being supported</w:t>
            </w:r>
            <w:r w:rsidR="00885437" w:rsidRPr="009D7496">
              <w:rPr>
                <w:rFonts w:cs="Arial"/>
              </w:rPr>
              <w:t xml:space="preserve">. Candidates must also have an understanding of local skills shortages and gaps and any existing skills support structures within the LEP area. </w:t>
            </w:r>
          </w:p>
          <w:p w14:paraId="254D2709" w14:textId="77777777" w:rsidR="00812EC6" w:rsidRPr="009D7496" w:rsidRDefault="00812EC6" w:rsidP="00A524B5">
            <w:pPr>
              <w:rPr>
                <w:rFonts w:cs="Arial"/>
              </w:rPr>
            </w:pPr>
          </w:p>
          <w:p w14:paraId="254D270A" w14:textId="77777777" w:rsidR="002E25F4" w:rsidRPr="009D7496" w:rsidRDefault="002E25F4" w:rsidP="00A524B5">
            <w:pPr>
              <w:pStyle w:val="letteredlist"/>
              <w:numPr>
                <w:ilvl w:val="0"/>
                <w:numId w:val="0"/>
              </w:numPr>
              <w:spacing w:after="0"/>
              <w:ind w:left="29"/>
              <w:rPr>
                <w:b/>
                <w:i/>
              </w:rPr>
            </w:pPr>
            <w:r w:rsidRPr="009D7496">
              <w:rPr>
                <w:b/>
                <w:i/>
              </w:rPr>
              <w:t>Management information and reporting</w:t>
            </w:r>
          </w:p>
          <w:p w14:paraId="254D270B" w14:textId="77777777" w:rsidR="002E25F4" w:rsidRPr="009D7496" w:rsidRDefault="002E25F4" w:rsidP="00A524B5">
            <w:pPr>
              <w:rPr>
                <w:rFonts w:cs="Arial"/>
              </w:rPr>
            </w:pPr>
            <w:r w:rsidRPr="00921B50">
              <w:rPr>
                <w:rFonts w:cs="Arial"/>
              </w:rPr>
              <w:t xml:space="preserve">Candidates will develop management information systems to enable it to submit data to the Skills Funding Agency via the Individual Learner Record </w:t>
            </w:r>
            <w:r w:rsidR="00F20E79" w:rsidRPr="00921B50">
              <w:rPr>
                <w:rFonts w:cs="Arial"/>
              </w:rPr>
              <w:t xml:space="preserve">(ILR) </w:t>
            </w:r>
            <w:r w:rsidRPr="00921B50">
              <w:rPr>
                <w:rFonts w:cs="Arial"/>
              </w:rPr>
              <w:t xml:space="preserve">and put in place robust arrangements for ensuring that the evidence required to support payments is collected and retained.  </w:t>
            </w:r>
          </w:p>
          <w:p w14:paraId="254D270C" w14:textId="77777777" w:rsidR="002E25F4" w:rsidRPr="009D7496" w:rsidRDefault="002E25F4" w:rsidP="00A524B5">
            <w:pPr>
              <w:rPr>
                <w:rFonts w:cs="Arial"/>
              </w:rPr>
            </w:pPr>
          </w:p>
          <w:p w14:paraId="254D270D" w14:textId="77777777" w:rsidR="002E25F4" w:rsidRPr="009D7496" w:rsidRDefault="002E25F4" w:rsidP="00A524B5">
            <w:pPr>
              <w:rPr>
                <w:rFonts w:cs="Arial"/>
                <w:strike/>
              </w:rPr>
            </w:pPr>
            <w:r w:rsidRPr="009D7496">
              <w:rPr>
                <w:rFonts w:cs="Arial"/>
              </w:rPr>
              <w:lastRenderedPageBreak/>
              <w:t xml:space="preserve">Candidates will be required to share with LEPs </w:t>
            </w:r>
            <w:r w:rsidR="00025EF8" w:rsidRPr="009D7496">
              <w:rPr>
                <w:rFonts w:cs="Arial"/>
              </w:rPr>
              <w:t xml:space="preserve">and the Skills Funding Agency </w:t>
            </w:r>
            <w:r w:rsidRPr="009D7496">
              <w:rPr>
                <w:rFonts w:cs="Arial"/>
              </w:rPr>
              <w:t xml:space="preserve">ongoing performance management data as well as additional intelligence to improve the effectiveness </w:t>
            </w:r>
            <w:r w:rsidR="002F71DB" w:rsidRPr="009D7496">
              <w:rPr>
                <w:rFonts w:cs="Arial"/>
              </w:rPr>
              <w:t xml:space="preserve">of </w:t>
            </w:r>
            <w:r w:rsidR="006B0A4D" w:rsidRPr="009D7496">
              <w:rPr>
                <w:rFonts w:cs="Arial"/>
              </w:rPr>
              <w:t>projects in the LEP area in the future</w:t>
            </w:r>
            <w:r w:rsidRPr="009D7496">
              <w:rPr>
                <w:rFonts w:cs="Arial"/>
                <w:strike/>
              </w:rPr>
              <w:t xml:space="preserve"> </w:t>
            </w:r>
          </w:p>
          <w:p w14:paraId="254D270E" w14:textId="77777777" w:rsidR="00C0243B" w:rsidRDefault="00C0243B" w:rsidP="009E7A30">
            <w:pPr>
              <w:rPr>
                <w:rFonts w:cs="Arial"/>
              </w:rPr>
            </w:pPr>
          </w:p>
          <w:p w14:paraId="254D2711" w14:textId="3C261696" w:rsidR="00F65D61" w:rsidRPr="009D7496" w:rsidRDefault="005B629B" w:rsidP="00F65D61">
            <w:pPr>
              <w:rPr>
                <w:rFonts w:cs="Arial"/>
                <w:b/>
              </w:rPr>
            </w:pPr>
            <w:r w:rsidRPr="009D7496">
              <w:rPr>
                <w:rFonts w:cs="Arial"/>
                <w:b/>
              </w:rPr>
              <w:t>Aspiration and Inspiration: NEET Information, Advice and Guidance</w:t>
            </w:r>
            <w:r w:rsidR="00B20F54">
              <w:rPr>
                <w:rFonts w:cs="Arial"/>
                <w:b/>
              </w:rPr>
              <w:t xml:space="preserve"> </w:t>
            </w:r>
            <w:r w:rsidR="00E0597D" w:rsidRPr="009D7496">
              <w:rPr>
                <w:rFonts w:cs="Arial"/>
                <w:b/>
              </w:rPr>
              <w:t>(IP:1.2)</w:t>
            </w:r>
          </w:p>
          <w:p w14:paraId="254D2712" w14:textId="77777777" w:rsidR="00E0597D" w:rsidRPr="009D7496" w:rsidRDefault="00E0597D" w:rsidP="00F65D61">
            <w:pPr>
              <w:rPr>
                <w:rFonts w:cs="Arial"/>
                <w:b/>
              </w:rPr>
            </w:pPr>
          </w:p>
          <w:p w14:paraId="254D2713" w14:textId="77777777" w:rsidR="0096491B" w:rsidRPr="009D7496" w:rsidRDefault="003A52A2" w:rsidP="0024756B">
            <w:pPr>
              <w:rPr>
                <w:rFonts w:cs="Arial"/>
              </w:rPr>
            </w:pPr>
            <w:r w:rsidRPr="009D7496">
              <w:rPr>
                <w:rFonts w:cs="Arial"/>
              </w:rPr>
              <w:t>The Services</w:t>
            </w:r>
            <w:r w:rsidR="00331FD0" w:rsidRPr="009D7496">
              <w:rPr>
                <w:rFonts w:cs="Arial"/>
              </w:rPr>
              <w:t xml:space="preserve"> must provide </w:t>
            </w:r>
            <w:r w:rsidR="00267C1E" w:rsidRPr="009D7496">
              <w:rPr>
                <w:rFonts w:cs="Arial"/>
              </w:rPr>
              <w:t xml:space="preserve">a focused </w:t>
            </w:r>
            <w:r w:rsidR="007219BC" w:rsidRPr="009D7496">
              <w:rPr>
                <w:rFonts w:cs="Arial"/>
              </w:rPr>
              <w:t xml:space="preserve">yet innovative </w:t>
            </w:r>
            <w:r w:rsidR="00267C1E" w:rsidRPr="009D7496">
              <w:rPr>
                <w:rFonts w:cs="Arial"/>
              </w:rPr>
              <w:t>careers guidance service to young people in the LEP area to enable them to identify</w:t>
            </w:r>
            <w:r w:rsidR="007219BC" w:rsidRPr="009D7496">
              <w:rPr>
                <w:rFonts w:cs="Arial"/>
              </w:rPr>
              <w:t xml:space="preserve"> and aspire to</w:t>
            </w:r>
            <w:r w:rsidR="00267C1E" w:rsidRPr="009D7496">
              <w:rPr>
                <w:rFonts w:cs="Arial"/>
              </w:rPr>
              <w:t xml:space="preserve"> opportunities to move into employment, training or education.</w:t>
            </w:r>
          </w:p>
          <w:p w14:paraId="254D2714" w14:textId="77777777" w:rsidR="0096491B" w:rsidRPr="009D7496" w:rsidRDefault="0096491B" w:rsidP="0024756B">
            <w:pPr>
              <w:rPr>
                <w:rFonts w:cs="Arial"/>
                <w:b/>
              </w:rPr>
            </w:pPr>
          </w:p>
          <w:p w14:paraId="254D2715" w14:textId="77777777" w:rsidR="00267C1E" w:rsidRDefault="00267C1E" w:rsidP="0024756B">
            <w:pPr>
              <w:rPr>
                <w:rFonts w:cs="Arial"/>
              </w:rPr>
            </w:pPr>
            <w:r w:rsidRPr="009D7496">
              <w:rPr>
                <w:rFonts w:cs="Arial"/>
              </w:rPr>
              <w:t xml:space="preserve">This </w:t>
            </w:r>
            <w:r w:rsidR="00331FD0" w:rsidRPr="009D7496">
              <w:rPr>
                <w:rFonts w:cs="Arial"/>
              </w:rPr>
              <w:t xml:space="preserve">must </w:t>
            </w:r>
            <w:r w:rsidRPr="009D7496">
              <w:rPr>
                <w:rFonts w:cs="Arial"/>
              </w:rPr>
              <w:t>include:</w:t>
            </w:r>
          </w:p>
          <w:p w14:paraId="51E993EF" w14:textId="77777777" w:rsidR="009A6BFF" w:rsidRPr="009D7496" w:rsidRDefault="009A6BFF" w:rsidP="0024756B">
            <w:pPr>
              <w:rPr>
                <w:rFonts w:cs="Arial"/>
              </w:rPr>
            </w:pPr>
          </w:p>
          <w:p w14:paraId="254D2716" w14:textId="77777777" w:rsidR="00267C1E" w:rsidRPr="009D7496" w:rsidRDefault="00267C1E" w:rsidP="00DB7814">
            <w:pPr>
              <w:pStyle w:val="ListParagraph"/>
              <w:numPr>
                <w:ilvl w:val="0"/>
                <w:numId w:val="8"/>
              </w:numPr>
              <w:rPr>
                <w:rFonts w:cs="Arial"/>
              </w:rPr>
            </w:pPr>
            <w:r w:rsidRPr="009D7496">
              <w:rPr>
                <w:rFonts w:cs="Arial"/>
              </w:rPr>
              <w:t>providing the cohort with generic</w:t>
            </w:r>
            <w:r w:rsidR="007219BC" w:rsidRPr="009D7496">
              <w:rPr>
                <w:rFonts w:cs="Arial"/>
              </w:rPr>
              <w:t xml:space="preserve"> and </w:t>
            </w:r>
            <w:r w:rsidR="003844A2" w:rsidRPr="009D7496">
              <w:rPr>
                <w:rFonts w:cs="Arial"/>
              </w:rPr>
              <w:t>specific</w:t>
            </w:r>
            <w:r w:rsidRPr="009D7496">
              <w:rPr>
                <w:rFonts w:cs="Arial"/>
              </w:rPr>
              <w:t xml:space="preserve"> information, advice and guidance focused on their needs within the LEP area</w:t>
            </w:r>
          </w:p>
          <w:p w14:paraId="254D2717" w14:textId="77777777" w:rsidR="00267C1E" w:rsidRPr="009D7496" w:rsidRDefault="00267C1E" w:rsidP="00DB7814">
            <w:pPr>
              <w:pStyle w:val="ListParagraph"/>
              <w:numPr>
                <w:ilvl w:val="0"/>
                <w:numId w:val="8"/>
              </w:numPr>
              <w:rPr>
                <w:rFonts w:cs="Arial"/>
              </w:rPr>
            </w:pPr>
            <w:r w:rsidRPr="009D7496">
              <w:rPr>
                <w:rFonts w:cs="Arial"/>
              </w:rPr>
              <w:t>focused pre-employment activity for specific groups who may need more support to take advantage of opportunities work and education opportunities</w:t>
            </w:r>
          </w:p>
          <w:p w14:paraId="254D2718" w14:textId="77777777" w:rsidR="0096491B" w:rsidRDefault="00267C1E" w:rsidP="00DB7814">
            <w:pPr>
              <w:pStyle w:val="ListParagraph"/>
              <w:numPr>
                <w:ilvl w:val="0"/>
                <w:numId w:val="8"/>
              </w:numPr>
              <w:rPr>
                <w:rFonts w:cs="Arial"/>
              </w:rPr>
            </w:pPr>
            <w:r w:rsidRPr="009D7496">
              <w:rPr>
                <w:rFonts w:cs="Arial"/>
              </w:rPr>
              <w:t>signposting young people to provision in the area for specific skills training</w:t>
            </w:r>
            <w:r w:rsidR="00FF5BCC" w:rsidRPr="009D7496">
              <w:rPr>
                <w:rFonts w:cs="Arial"/>
              </w:rPr>
              <w:t xml:space="preserve"> or Apprenticeship support</w:t>
            </w:r>
            <w:r w:rsidR="00505AA1" w:rsidRPr="009D7496">
              <w:rPr>
                <w:rFonts w:cs="Arial"/>
              </w:rPr>
              <w:t xml:space="preserve"> </w:t>
            </w:r>
            <w:r w:rsidRPr="009D7496">
              <w:rPr>
                <w:rFonts w:cs="Arial"/>
              </w:rPr>
              <w:t>working with schools, colleges and employers to</w:t>
            </w:r>
            <w:r w:rsidR="00505AA1" w:rsidRPr="009D7496">
              <w:rPr>
                <w:rFonts w:cs="Arial"/>
              </w:rPr>
              <w:t>o.</w:t>
            </w:r>
            <w:r w:rsidRPr="009D7496">
              <w:rPr>
                <w:rFonts w:cs="Arial"/>
              </w:rPr>
              <w:t xml:space="preserve"> </w:t>
            </w:r>
          </w:p>
          <w:p w14:paraId="254D2719" w14:textId="77777777" w:rsidR="00556FF1" w:rsidRPr="009D7496" w:rsidRDefault="00556FF1" w:rsidP="00317982">
            <w:pPr>
              <w:pStyle w:val="ListParagraph"/>
              <w:rPr>
                <w:rFonts w:cs="Arial"/>
              </w:rPr>
            </w:pPr>
          </w:p>
          <w:p w14:paraId="254D271A" w14:textId="77777777" w:rsidR="0096491B" w:rsidRPr="009D7496" w:rsidRDefault="00331FD0" w:rsidP="0096491B">
            <w:pPr>
              <w:pStyle w:val="bulletpoint1"/>
              <w:numPr>
                <w:ilvl w:val="0"/>
                <w:numId w:val="0"/>
              </w:numPr>
              <w:spacing w:after="0" w:line="240" w:lineRule="auto"/>
              <w:rPr>
                <w:rFonts w:ascii="Arial" w:hAnsi="Arial" w:cs="Arial"/>
                <w:color w:val="2C2B2A"/>
                <w:sz w:val="24"/>
                <w:szCs w:val="24"/>
                <w:lang w:val="en-US" w:eastAsia="en-US"/>
              </w:rPr>
            </w:pPr>
            <w:r w:rsidRPr="009D7496">
              <w:rPr>
                <w:rFonts w:ascii="Arial" w:hAnsi="Arial" w:cs="Arial"/>
                <w:color w:val="2C2B2A"/>
                <w:sz w:val="24"/>
                <w:szCs w:val="24"/>
                <w:lang w:val="en-US" w:eastAsia="en-US"/>
              </w:rPr>
              <w:t xml:space="preserve">The Services must </w:t>
            </w:r>
            <w:r w:rsidR="0096491B" w:rsidRPr="009D7496">
              <w:rPr>
                <w:rFonts w:ascii="Arial" w:hAnsi="Arial" w:cs="Arial"/>
                <w:color w:val="2C2B2A"/>
                <w:sz w:val="24"/>
                <w:szCs w:val="24"/>
                <w:lang w:val="en-US" w:eastAsia="en-US"/>
              </w:rPr>
              <w:t>add value to the existing N</w:t>
            </w:r>
            <w:r w:rsidRPr="009D7496">
              <w:rPr>
                <w:rFonts w:ascii="Arial" w:hAnsi="Arial" w:cs="Arial"/>
                <w:color w:val="2C2B2A"/>
                <w:sz w:val="24"/>
                <w:szCs w:val="24"/>
                <w:lang w:val="en-US" w:eastAsia="en-US"/>
              </w:rPr>
              <w:t xml:space="preserve">ational </w:t>
            </w:r>
            <w:r w:rsidR="0096491B" w:rsidRPr="009D7496">
              <w:rPr>
                <w:rFonts w:ascii="Arial" w:hAnsi="Arial" w:cs="Arial"/>
                <w:color w:val="2C2B2A"/>
                <w:sz w:val="24"/>
                <w:szCs w:val="24"/>
                <w:lang w:val="en-US" w:eastAsia="en-US"/>
              </w:rPr>
              <w:t>C</w:t>
            </w:r>
            <w:r w:rsidRPr="009D7496">
              <w:rPr>
                <w:rFonts w:ascii="Arial" w:hAnsi="Arial" w:cs="Arial"/>
                <w:color w:val="2C2B2A"/>
                <w:sz w:val="24"/>
                <w:szCs w:val="24"/>
                <w:lang w:val="en-US" w:eastAsia="en-US"/>
              </w:rPr>
              <w:t xml:space="preserve">areers </w:t>
            </w:r>
            <w:r w:rsidR="0096491B" w:rsidRPr="009D7496">
              <w:rPr>
                <w:rFonts w:ascii="Arial" w:hAnsi="Arial" w:cs="Arial"/>
                <w:color w:val="2C2B2A"/>
                <w:sz w:val="24"/>
                <w:szCs w:val="24"/>
                <w:lang w:val="en-US" w:eastAsia="en-US"/>
              </w:rPr>
              <w:t>S</w:t>
            </w:r>
            <w:r w:rsidRPr="009D7496">
              <w:rPr>
                <w:rFonts w:ascii="Arial" w:hAnsi="Arial" w:cs="Arial"/>
                <w:color w:val="2C2B2A"/>
                <w:sz w:val="24"/>
                <w:szCs w:val="24"/>
                <w:lang w:val="en-US" w:eastAsia="en-US"/>
              </w:rPr>
              <w:t xml:space="preserve">ervice </w:t>
            </w:r>
            <w:r w:rsidR="0096491B" w:rsidRPr="009D7496">
              <w:rPr>
                <w:rFonts w:ascii="Arial" w:hAnsi="Arial" w:cs="Arial"/>
                <w:color w:val="2C2B2A"/>
                <w:sz w:val="24"/>
                <w:szCs w:val="24"/>
                <w:lang w:val="en-US" w:eastAsia="en-US"/>
              </w:rPr>
              <w:t xml:space="preserve">provision and activity already taking place in schools which is delivered either in-house or via third party </w:t>
            </w:r>
            <w:r w:rsidR="0096491B" w:rsidRPr="009D7496">
              <w:rPr>
                <w:rFonts w:ascii="Arial" w:hAnsi="Arial" w:cs="Arial"/>
                <w:color w:val="2C2B2A"/>
                <w:sz w:val="24"/>
                <w:szCs w:val="24"/>
                <w:lang w:eastAsia="en-US"/>
              </w:rPr>
              <w:t>organisations</w:t>
            </w:r>
            <w:r w:rsidR="0096491B" w:rsidRPr="009D7496">
              <w:rPr>
                <w:rFonts w:ascii="Arial" w:hAnsi="Arial" w:cs="Arial"/>
                <w:color w:val="2C2B2A"/>
                <w:sz w:val="24"/>
                <w:szCs w:val="24"/>
                <w:lang w:val="en-US" w:eastAsia="en-US"/>
              </w:rPr>
              <w:t>.</w:t>
            </w:r>
          </w:p>
          <w:p w14:paraId="254D271B" w14:textId="77777777" w:rsidR="0096491B" w:rsidRPr="009D7496" w:rsidRDefault="0096491B" w:rsidP="0024756B">
            <w:pPr>
              <w:rPr>
                <w:rFonts w:cs="Arial"/>
              </w:rPr>
            </w:pPr>
          </w:p>
          <w:p w14:paraId="254D271C" w14:textId="77777777" w:rsidR="007219BC" w:rsidRPr="009D7496" w:rsidRDefault="00331FD0" w:rsidP="0096491B">
            <w:pPr>
              <w:rPr>
                <w:rFonts w:cs="Arial"/>
              </w:rPr>
            </w:pPr>
            <w:r w:rsidRPr="009D7496">
              <w:rPr>
                <w:rFonts w:cs="Arial"/>
              </w:rPr>
              <w:t>A</w:t>
            </w:r>
            <w:r w:rsidR="0096491B" w:rsidRPr="009D7496">
              <w:rPr>
                <w:rFonts w:cs="Arial"/>
              </w:rPr>
              <w:t xml:space="preserve">ppropriately qualified practitioners </w:t>
            </w:r>
            <w:r w:rsidRPr="009D7496">
              <w:rPr>
                <w:rFonts w:cs="Arial"/>
              </w:rPr>
              <w:t xml:space="preserve">must deliver the Services to ensure </w:t>
            </w:r>
            <w:r w:rsidR="003A52A2" w:rsidRPr="009D7496">
              <w:rPr>
                <w:rFonts w:cs="Arial"/>
              </w:rPr>
              <w:t>the standard</w:t>
            </w:r>
            <w:r w:rsidR="0096491B" w:rsidRPr="009D7496">
              <w:rPr>
                <w:rFonts w:cs="Arial"/>
              </w:rPr>
              <w:t xml:space="preserve"> of </w:t>
            </w:r>
            <w:r w:rsidRPr="009D7496">
              <w:rPr>
                <w:rFonts w:cs="Arial"/>
              </w:rPr>
              <w:t>the S</w:t>
            </w:r>
            <w:r w:rsidR="0096491B" w:rsidRPr="009D7496">
              <w:rPr>
                <w:rFonts w:cs="Arial"/>
              </w:rPr>
              <w:t>ervice</w:t>
            </w:r>
            <w:r w:rsidRPr="009D7496">
              <w:rPr>
                <w:rFonts w:cs="Arial"/>
              </w:rPr>
              <w:t>s</w:t>
            </w:r>
            <w:r w:rsidR="003A52A2" w:rsidRPr="009D7496">
              <w:rPr>
                <w:rFonts w:cs="Arial"/>
              </w:rPr>
              <w:t xml:space="preserve"> </w:t>
            </w:r>
            <w:r w:rsidRPr="009D7496">
              <w:rPr>
                <w:rFonts w:cs="Arial"/>
              </w:rPr>
              <w:t xml:space="preserve">are </w:t>
            </w:r>
            <w:r w:rsidR="0096491B" w:rsidRPr="009D7496">
              <w:rPr>
                <w:rFonts w:cs="Arial"/>
              </w:rPr>
              <w:t>comparable to the services provided by the National Careers Service</w:t>
            </w:r>
            <w:r w:rsidRPr="009D7496">
              <w:rPr>
                <w:rFonts w:cs="Arial"/>
              </w:rPr>
              <w:t>.</w:t>
            </w:r>
            <w:r w:rsidR="0096491B" w:rsidRPr="009D7496">
              <w:rPr>
                <w:rFonts w:cs="Arial"/>
              </w:rPr>
              <w:t xml:space="preserve"> </w:t>
            </w:r>
          </w:p>
          <w:p w14:paraId="2869C497" w14:textId="77777777" w:rsidR="009A6BFF" w:rsidRDefault="009A6BFF" w:rsidP="007219BC">
            <w:pPr>
              <w:rPr>
                <w:rFonts w:cs="Arial"/>
              </w:rPr>
            </w:pPr>
          </w:p>
          <w:p w14:paraId="254D271D" w14:textId="77777777" w:rsidR="007219BC" w:rsidRPr="00921B50" w:rsidRDefault="007219BC" w:rsidP="007219BC">
            <w:pPr>
              <w:rPr>
                <w:rFonts w:cs="Arial"/>
                <w:color w:val="1F497D"/>
              </w:rPr>
            </w:pPr>
            <w:r w:rsidRPr="009D7496">
              <w:rPr>
                <w:rFonts w:cs="Arial"/>
              </w:rPr>
              <w:t xml:space="preserve">The </w:t>
            </w:r>
            <w:r w:rsidR="00DD1D1E">
              <w:rPr>
                <w:rFonts w:cs="Arial"/>
              </w:rPr>
              <w:t xml:space="preserve">Services must: </w:t>
            </w:r>
          </w:p>
          <w:p w14:paraId="254D271E" w14:textId="77777777" w:rsidR="007219BC" w:rsidRPr="00921B50" w:rsidRDefault="007219BC" w:rsidP="007219BC">
            <w:pPr>
              <w:rPr>
                <w:rFonts w:cs="Arial"/>
                <w:color w:val="1F497D"/>
              </w:rPr>
            </w:pPr>
          </w:p>
          <w:p w14:paraId="254D271F" w14:textId="77777777" w:rsidR="007219BC" w:rsidRPr="00921B50" w:rsidRDefault="007219BC" w:rsidP="00DB7814">
            <w:pPr>
              <w:pStyle w:val="ListParagraph"/>
              <w:numPr>
                <w:ilvl w:val="0"/>
                <w:numId w:val="8"/>
              </w:numPr>
              <w:rPr>
                <w:rFonts w:cs="Arial"/>
              </w:rPr>
            </w:pPr>
            <w:r w:rsidRPr="00921B50">
              <w:rPr>
                <w:rFonts w:cs="Arial"/>
              </w:rPr>
              <w:t>Engage with NEET 18 – 24 year olds to understand barriers to work</w:t>
            </w:r>
          </w:p>
          <w:p w14:paraId="254D2720" w14:textId="77777777" w:rsidR="007219BC" w:rsidRPr="00921B50" w:rsidRDefault="007219BC" w:rsidP="00DB7814">
            <w:pPr>
              <w:pStyle w:val="ListParagraph"/>
              <w:numPr>
                <w:ilvl w:val="0"/>
                <w:numId w:val="8"/>
              </w:numPr>
              <w:rPr>
                <w:rFonts w:cs="Arial"/>
              </w:rPr>
            </w:pPr>
            <w:r w:rsidRPr="00921B50">
              <w:rPr>
                <w:rFonts w:cs="Arial"/>
              </w:rPr>
              <w:t xml:space="preserve">Track progress of this cohort (with particular emphasis on 18-20 year olds) and prevent the merry-go-round of movement from programme-to-programme </w:t>
            </w:r>
          </w:p>
          <w:p w14:paraId="254D2721" w14:textId="77777777" w:rsidR="007219BC" w:rsidRPr="00921B50" w:rsidRDefault="007219BC" w:rsidP="00DB7814">
            <w:pPr>
              <w:pStyle w:val="ListParagraph"/>
              <w:numPr>
                <w:ilvl w:val="0"/>
                <w:numId w:val="8"/>
              </w:numPr>
              <w:rPr>
                <w:rFonts w:cs="Arial"/>
              </w:rPr>
            </w:pPr>
            <w:r w:rsidRPr="00921B50">
              <w:rPr>
                <w:rFonts w:cs="Arial"/>
              </w:rPr>
              <w:t xml:space="preserve">Deliver a </w:t>
            </w:r>
            <w:r w:rsidR="00BD7BCF" w:rsidRPr="00921B50">
              <w:rPr>
                <w:rFonts w:cs="Arial"/>
              </w:rPr>
              <w:t xml:space="preserve">large </w:t>
            </w:r>
            <w:r w:rsidRPr="00921B50">
              <w:rPr>
                <w:rFonts w:cs="Arial"/>
              </w:rPr>
              <w:t xml:space="preserve">number of employer-led inspirational/motivational events and talks about Greater Lincolnshire and its important and growing sectors </w:t>
            </w:r>
          </w:p>
          <w:p w14:paraId="254D2722" w14:textId="77777777" w:rsidR="007219BC" w:rsidRPr="00921B50" w:rsidRDefault="00BD7BCF" w:rsidP="00DB7814">
            <w:pPr>
              <w:pStyle w:val="ListParagraph"/>
              <w:numPr>
                <w:ilvl w:val="0"/>
                <w:numId w:val="8"/>
              </w:numPr>
              <w:rPr>
                <w:rFonts w:cs="Arial"/>
              </w:rPr>
            </w:pPr>
            <w:r w:rsidRPr="00921B50">
              <w:rPr>
                <w:rFonts w:cs="Arial"/>
              </w:rPr>
              <w:t>Develop</w:t>
            </w:r>
            <w:r w:rsidR="007219BC" w:rsidRPr="00921B50">
              <w:rPr>
                <w:rFonts w:cs="Arial"/>
              </w:rPr>
              <w:t xml:space="preserve"> activity that addresses specific barriers not covered by any other activity/existing services</w:t>
            </w:r>
          </w:p>
          <w:p w14:paraId="254D2723" w14:textId="77777777" w:rsidR="007219BC" w:rsidRPr="00921B50" w:rsidRDefault="007219BC" w:rsidP="00DB7814">
            <w:pPr>
              <w:pStyle w:val="ListParagraph"/>
              <w:numPr>
                <w:ilvl w:val="0"/>
                <w:numId w:val="8"/>
              </w:numPr>
              <w:rPr>
                <w:rFonts w:cs="Arial"/>
              </w:rPr>
            </w:pPr>
            <w:r w:rsidRPr="00921B50">
              <w:rPr>
                <w:rFonts w:cs="Arial"/>
              </w:rPr>
              <w:t>Collate evidence about barriers to employment to inform future design of services so that it is more effective in  inspiring people back to work</w:t>
            </w:r>
          </w:p>
          <w:p w14:paraId="254D2724" w14:textId="77777777" w:rsidR="007219BC" w:rsidRPr="009D7496" w:rsidRDefault="007219BC" w:rsidP="0096491B">
            <w:pPr>
              <w:rPr>
                <w:rFonts w:cs="Arial"/>
              </w:rPr>
            </w:pPr>
          </w:p>
          <w:p w14:paraId="254D2725" w14:textId="77777777" w:rsidR="009D7496" w:rsidRPr="00921B50" w:rsidRDefault="00DD1D1E" w:rsidP="009D7496">
            <w:pPr>
              <w:autoSpaceDE w:val="0"/>
              <w:autoSpaceDN w:val="0"/>
              <w:adjustRightInd w:val="0"/>
              <w:rPr>
                <w:rFonts w:cs="Arial"/>
                <w:color w:val="000000" w:themeColor="text1"/>
              </w:rPr>
            </w:pPr>
            <w:r>
              <w:rPr>
                <w:rFonts w:cs="Arial"/>
                <w:color w:val="000000" w:themeColor="text1"/>
              </w:rPr>
              <w:t xml:space="preserve">The successful Candidate must work with other organisations delivering ESF funded provision in </w:t>
            </w:r>
            <w:r w:rsidR="009D7496" w:rsidRPr="00921B50">
              <w:rPr>
                <w:rFonts w:cs="Arial"/>
                <w:color w:val="000000" w:themeColor="text1"/>
              </w:rPr>
              <w:t xml:space="preserve">the Greater Lincolnshire LEP </w:t>
            </w:r>
            <w:r>
              <w:rPr>
                <w:rFonts w:cs="Arial"/>
                <w:color w:val="000000" w:themeColor="text1"/>
              </w:rPr>
              <w:t xml:space="preserve">to ensure the Services </w:t>
            </w:r>
            <w:r w:rsidR="009D7496" w:rsidRPr="00921B50">
              <w:rPr>
                <w:rFonts w:cs="Arial"/>
                <w:color w:val="000000" w:themeColor="text1"/>
              </w:rPr>
              <w:t>add value to other</w:t>
            </w:r>
            <w:r>
              <w:rPr>
                <w:rFonts w:cs="Arial"/>
                <w:color w:val="000000" w:themeColor="text1"/>
              </w:rPr>
              <w:t xml:space="preserve"> provision</w:t>
            </w:r>
            <w:r w:rsidR="009D7496" w:rsidRPr="00921B50">
              <w:rPr>
                <w:rFonts w:cs="Arial"/>
                <w:color w:val="000000" w:themeColor="text1"/>
              </w:rPr>
              <w:t xml:space="preserve">.  </w:t>
            </w:r>
            <w:r>
              <w:rPr>
                <w:rFonts w:cs="Arial"/>
                <w:color w:val="000000" w:themeColor="text1"/>
              </w:rPr>
              <w:t>The successful Candidate should m</w:t>
            </w:r>
            <w:r w:rsidR="00556FF1">
              <w:rPr>
                <w:rFonts w:cs="Arial"/>
                <w:color w:val="000000" w:themeColor="text1"/>
              </w:rPr>
              <w:t xml:space="preserve">eet with other organisation to </w:t>
            </w:r>
            <w:r w:rsidR="009D7496" w:rsidRPr="00921B50">
              <w:rPr>
                <w:rFonts w:cs="Arial"/>
                <w:color w:val="000000" w:themeColor="text1"/>
              </w:rPr>
              <w:t xml:space="preserve">understand </w:t>
            </w:r>
            <w:r>
              <w:rPr>
                <w:rFonts w:cs="Arial"/>
                <w:color w:val="000000" w:themeColor="text1"/>
              </w:rPr>
              <w:t xml:space="preserve">the other provision and </w:t>
            </w:r>
            <w:r w:rsidR="009D7496" w:rsidRPr="00921B50">
              <w:rPr>
                <w:rFonts w:cs="Arial"/>
                <w:color w:val="000000" w:themeColor="text1"/>
              </w:rPr>
              <w:t xml:space="preserve">ensure no duplication. A LEP nominated representative should be invited to these meetings. </w:t>
            </w:r>
          </w:p>
          <w:p w14:paraId="254D2729" w14:textId="77777777" w:rsidR="009D7496" w:rsidRPr="00921B50" w:rsidRDefault="009D7496" w:rsidP="009D7496">
            <w:pPr>
              <w:autoSpaceDE w:val="0"/>
              <w:autoSpaceDN w:val="0"/>
              <w:adjustRightInd w:val="0"/>
              <w:rPr>
                <w:rFonts w:cs="Arial"/>
                <w:color w:val="000000" w:themeColor="text1"/>
              </w:rPr>
            </w:pPr>
          </w:p>
          <w:p w14:paraId="254D272A" w14:textId="1882A8B0" w:rsidR="009D7496" w:rsidRPr="00921B50" w:rsidRDefault="009D7496" w:rsidP="009D7496">
            <w:pPr>
              <w:autoSpaceDE w:val="0"/>
              <w:autoSpaceDN w:val="0"/>
              <w:adjustRightInd w:val="0"/>
              <w:rPr>
                <w:rFonts w:cs="Arial"/>
                <w:color w:val="000000" w:themeColor="text1"/>
              </w:rPr>
            </w:pPr>
            <w:r w:rsidRPr="00921B50">
              <w:rPr>
                <w:rFonts w:cs="Arial"/>
                <w:color w:val="000000" w:themeColor="text1"/>
              </w:rPr>
              <w:t xml:space="preserve">Apprenticeship Advisors </w:t>
            </w:r>
            <w:r w:rsidR="00DD1D1E">
              <w:rPr>
                <w:rFonts w:cs="Arial"/>
                <w:color w:val="000000" w:themeColor="text1"/>
              </w:rPr>
              <w:t>must</w:t>
            </w:r>
            <w:r w:rsidR="00DF1A43">
              <w:rPr>
                <w:rFonts w:cs="Arial"/>
                <w:color w:val="000000" w:themeColor="text1"/>
              </w:rPr>
              <w:t xml:space="preserve"> use </w:t>
            </w:r>
            <w:r w:rsidR="00DD1D1E">
              <w:rPr>
                <w:rFonts w:cs="Arial"/>
                <w:color w:val="000000" w:themeColor="text1"/>
              </w:rPr>
              <w:t>the</w:t>
            </w:r>
            <w:r w:rsidR="00DD1D1E" w:rsidRPr="00921B50">
              <w:rPr>
                <w:rFonts w:cs="Arial"/>
                <w:color w:val="000000" w:themeColor="text1"/>
              </w:rPr>
              <w:t xml:space="preserve"> online platform</w:t>
            </w:r>
            <w:r w:rsidR="00DD1D1E">
              <w:rPr>
                <w:rFonts w:cs="Arial"/>
                <w:color w:val="000000" w:themeColor="text1"/>
              </w:rPr>
              <w:t xml:space="preserve"> developed by the LEP</w:t>
            </w:r>
            <w:r w:rsidR="00DD1D1E" w:rsidRPr="00921B50">
              <w:rPr>
                <w:rFonts w:cs="Arial"/>
                <w:color w:val="000000" w:themeColor="text1"/>
              </w:rPr>
              <w:t xml:space="preserve"> to raise awareness of Apprenticeships locally</w:t>
            </w:r>
            <w:r w:rsidR="00556FF1">
              <w:rPr>
                <w:rFonts w:cs="Arial"/>
                <w:color w:val="000000" w:themeColor="text1"/>
              </w:rPr>
              <w:t>.</w:t>
            </w:r>
          </w:p>
          <w:p w14:paraId="254D272B" w14:textId="77777777" w:rsidR="009D7496" w:rsidRPr="00921B50" w:rsidRDefault="009D7496" w:rsidP="009D7496">
            <w:pPr>
              <w:autoSpaceDE w:val="0"/>
              <w:autoSpaceDN w:val="0"/>
              <w:adjustRightInd w:val="0"/>
              <w:rPr>
                <w:rFonts w:cs="Arial"/>
                <w:color w:val="000000" w:themeColor="text1"/>
              </w:rPr>
            </w:pPr>
          </w:p>
          <w:p w14:paraId="254D272C" w14:textId="77777777" w:rsidR="009D7496" w:rsidRPr="00921B50" w:rsidRDefault="00DD1D1E" w:rsidP="009D7496">
            <w:pPr>
              <w:autoSpaceDE w:val="0"/>
              <w:autoSpaceDN w:val="0"/>
              <w:adjustRightInd w:val="0"/>
              <w:rPr>
                <w:rFonts w:cs="Arial"/>
                <w:color w:val="000000" w:themeColor="text1"/>
              </w:rPr>
            </w:pPr>
            <w:r>
              <w:rPr>
                <w:rFonts w:cs="Arial"/>
                <w:color w:val="000000" w:themeColor="text1"/>
              </w:rPr>
              <w:lastRenderedPageBreak/>
              <w:t>Any relevant information gathered by the Services must be shared with t</w:t>
            </w:r>
            <w:r w:rsidR="009D7496" w:rsidRPr="00921B50">
              <w:rPr>
                <w:rFonts w:cs="Arial"/>
                <w:color w:val="000000" w:themeColor="text1"/>
              </w:rPr>
              <w:t>he LEP</w:t>
            </w:r>
            <w:r>
              <w:rPr>
                <w:rFonts w:cs="Arial"/>
                <w:color w:val="000000" w:themeColor="text1"/>
              </w:rPr>
              <w:t>’s</w:t>
            </w:r>
            <w:r w:rsidR="009D7496" w:rsidRPr="00921B50">
              <w:rPr>
                <w:rFonts w:cs="Arial"/>
                <w:color w:val="000000" w:themeColor="text1"/>
              </w:rPr>
              <w:t xml:space="preserve"> enhanced labour market information resource, with input from local employers</w:t>
            </w:r>
            <w:r w:rsidR="000871F1">
              <w:rPr>
                <w:rFonts w:cs="Arial"/>
                <w:color w:val="000000" w:themeColor="text1"/>
              </w:rPr>
              <w:t>.</w:t>
            </w:r>
            <w:r w:rsidR="009D7496" w:rsidRPr="00921B50">
              <w:rPr>
                <w:rFonts w:cs="Arial"/>
                <w:color w:val="000000" w:themeColor="text1"/>
              </w:rPr>
              <w:t xml:space="preserve"> </w:t>
            </w:r>
          </w:p>
          <w:p w14:paraId="254D272D" w14:textId="77777777" w:rsidR="009D7496" w:rsidRPr="00921B50" w:rsidRDefault="009D7496" w:rsidP="009D7496">
            <w:pPr>
              <w:autoSpaceDE w:val="0"/>
              <w:autoSpaceDN w:val="0"/>
              <w:adjustRightInd w:val="0"/>
              <w:rPr>
                <w:rFonts w:cs="Arial"/>
                <w:color w:val="000000" w:themeColor="text1"/>
              </w:rPr>
            </w:pPr>
          </w:p>
          <w:p w14:paraId="254D272E" w14:textId="77777777" w:rsidR="009D7496" w:rsidRPr="00921B50" w:rsidRDefault="009D7496" w:rsidP="009D7496">
            <w:pPr>
              <w:autoSpaceDE w:val="0"/>
              <w:autoSpaceDN w:val="0"/>
              <w:adjustRightInd w:val="0"/>
              <w:rPr>
                <w:rFonts w:cs="Arial"/>
                <w:color w:val="000000" w:themeColor="text1"/>
              </w:rPr>
            </w:pPr>
            <w:r w:rsidRPr="00921B50">
              <w:rPr>
                <w:rFonts w:cs="Arial"/>
                <w:color w:val="000000" w:themeColor="text1"/>
              </w:rPr>
              <w:t xml:space="preserve">The LEP and its partners have a wealth of knowledge and experience relating to the kinds of activity that has worked well in the area in the past.  </w:t>
            </w:r>
            <w:r w:rsidR="000871F1">
              <w:rPr>
                <w:rFonts w:cs="Arial"/>
                <w:color w:val="000000" w:themeColor="text1"/>
              </w:rPr>
              <w:t xml:space="preserve"> The </w:t>
            </w:r>
            <w:r w:rsidRPr="00921B50">
              <w:rPr>
                <w:rFonts w:cs="Arial"/>
                <w:color w:val="000000" w:themeColor="text1"/>
              </w:rPr>
              <w:t xml:space="preserve">successful </w:t>
            </w:r>
            <w:r w:rsidR="000871F1">
              <w:rPr>
                <w:rFonts w:cs="Arial"/>
                <w:color w:val="000000" w:themeColor="text1"/>
              </w:rPr>
              <w:t>C</w:t>
            </w:r>
            <w:r w:rsidRPr="00921B50">
              <w:rPr>
                <w:rFonts w:cs="Arial"/>
                <w:color w:val="000000" w:themeColor="text1"/>
              </w:rPr>
              <w:t xml:space="preserve">andidate </w:t>
            </w:r>
            <w:r w:rsidR="000871F1">
              <w:rPr>
                <w:rFonts w:cs="Arial"/>
                <w:color w:val="000000" w:themeColor="text1"/>
              </w:rPr>
              <w:t xml:space="preserve">must </w:t>
            </w:r>
            <w:r w:rsidRPr="00921B50">
              <w:rPr>
                <w:rFonts w:cs="Arial"/>
                <w:color w:val="000000" w:themeColor="text1"/>
              </w:rPr>
              <w:t xml:space="preserve">meet with LEP nominated representative(s) before delivery commences and at regular intervals during delivery. </w:t>
            </w:r>
          </w:p>
          <w:p w14:paraId="254D272F" w14:textId="77777777" w:rsidR="009D7496" w:rsidRPr="00921B50" w:rsidRDefault="009D7496" w:rsidP="009D7496">
            <w:pPr>
              <w:autoSpaceDE w:val="0"/>
              <w:autoSpaceDN w:val="0"/>
              <w:adjustRightInd w:val="0"/>
              <w:rPr>
                <w:rFonts w:cs="Arial"/>
                <w:color w:val="000000" w:themeColor="text1"/>
              </w:rPr>
            </w:pPr>
          </w:p>
          <w:p w14:paraId="254D2730" w14:textId="77777777" w:rsidR="009D7496" w:rsidRPr="00921B50" w:rsidRDefault="000871F1" w:rsidP="009D7496">
            <w:pPr>
              <w:autoSpaceDE w:val="0"/>
              <w:autoSpaceDN w:val="0"/>
              <w:adjustRightInd w:val="0"/>
              <w:rPr>
                <w:rFonts w:cs="Arial"/>
                <w:color w:val="000000" w:themeColor="text1"/>
              </w:rPr>
            </w:pPr>
            <w:r>
              <w:rPr>
                <w:rFonts w:cs="Arial"/>
                <w:color w:val="000000" w:themeColor="text1"/>
              </w:rPr>
              <w:t xml:space="preserve">The Services must be delivered </w:t>
            </w:r>
            <w:r w:rsidR="009D7496" w:rsidRPr="00921B50">
              <w:rPr>
                <w:rFonts w:cs="Arial"/>
                <w:color w:val="000000" w:themeColor="text1"/>
              </w:rPr>
              <w:t xml:space="preserve">across the whole of the Greater Lincolnshire area, with a focus on (but not exclusively) the most important sectors: </w:t>
            </w:r>
            <w:r w:rsidR="009D7496" w:rsidRPr="00921B50">
              <w:rPr>
                <w:rFonts w:cs="Arial"/>
                <w:lang w:eastAsia="en-GB"/>
              </w:rPr>
              <w:t>food industry, agriculture, manufacturing, (particularly engineering), the low carbon sector, (including off-shore wind operations), ports, logistics, the visitor economy (incorporating hospitality and retail) and the health and care sector. Other important sectors and skills that support growth include construction, and IT/digital, HR and accountancy.</w:t>
            </w:r>
          </w:p>
          <w:p w14:paraId="254D2731" w14:textId="77777777" w:rsidR="00344FA1" w:rsidRPr="009D7496" w:rsidRDefault="00344FA1" w:rsidP="00C107CE">
            <w:pPr>
              <w:pStyle w:val="ListParagraph"/>
              <w:autoSpaceDE w:val="0"/>
              <w:autoSpaceDN w:val="0"/>
              <w:adjustRightInd w:val="0"/>
              <w:ind w:left="313"/>
              <w:rPr>
                <w:rFonts w:cs="Arial"/>
              </w:rPr>
            </w:pPr>
          </w:p>
        </w:tc>
      </w:tr>
      <w:tr w:rsidR="00967429" w:rsidRPr="009D7496" w14:paraId="254D2734" w14:textId="77777777" w:rsidTr="009A6BFF">
        <w:trPr>
          <w:trHeight w:val="567"/>
        </w:trPr>
        <w:tc>
          <w:tcPr>
            <w:tcW w:w="10060" w:type="dxa"/>
            <w:shd w:val="clear" w:color="auto" w:fill="D9D9D9" w:themeFill="background1" w:themeFillShade="D9"/>
            <w:vAlign w:val="center"/>
          </w:tcPr>
          <w:p w14:paraId="254D2733" w14:textId="77777777" w:rsidR="00967429" w:rsidRPr="009D7496" w:rsidRDefault="003A52A2" w:rsidP="00FD3B0A">
            <w:pPr>
              <w:pStyle w:val="SpecificationHeading"/>
            </w:pPr>
            <w:r w:rsidRPr="009D7496">
              <w:lastRenderedPageBreak/>
              <w:t>Eligibility</w:t>
            </w:r>
          </w:p>
        </w:tc>
      </w:tr>
      <w:tr w:rsidR="00967429" w:rsidRPr="009D7496" w14:paraId="254D275E" w14:textId="77777777" w:rsidTr="00921B50">
        <w:tc>
          <w:tcPr>
            <w:tcW w:w="10060" w:type="dxa"/>
          </w:tcPr>
          <w:p w14:paraId="254D2735" w14:textId="77777777" w:rsidR="001E23AA" w:rsidRPr="009D7496" w:rsidRDefault="001E23AA" w:rsidP="002F70E9">
            <w:pPr>
              <w:rPr>
                <w:rFonts w:cs="Arial"/>
                <w:b/>
                <w:u w:val="single"/>
              </w:rPr>
            </w:pPr>
          </w:p>
          <w:p w14:paraId="254D2736" w14:textId="77777777" w:rsidR="00A005EF" w:rsidRPr="00921B50" w:rsidRDefault="00A005EF" w:rsidP="00A005EF">
            <w:pPr>
              <w:rPr>
                <w:rFonts w:cs="Arial"/>
              </w:rPr>
            </w:pPr>
            <w:r w:rsidRPr="00921B50">
              <w:rPr>
                <w:rFonts w:cs="Arial"/>
                <w:b/>
              </w:rPr>
              <w:t>General</w:t>
            </w:r>
          </w:p>
          <w:p w14:paraId="254D2737" w14:textId="77777777" w:rsidR="00A005EF" w:rsidRPr="009D7496" w:rsidRDefault="00A005EF" w:rsidP="00A005EF">
            <w:pPr>
              <w:rPr>
                <w:rFonts w:cs="Arial"/>
              </w:rPr>
            </w:pPr>
            <w:r w:rsidRPr="009D7496">
              <w:rPr>
                <w:rFonts w:cs="Arial"/>
              </w:rPr>
              <w:t xml:space="preserve">General eligibility requirements are set out in : </w:t>
            </w:r>
            <w:r w:rsidR="00025EF8" w:rsidRPr="009D7496">
              <w:rPr>
                <w:rFonts w:cs="Arial"/>
              </w:rPr>
              <w:t>the</w:t>
            </w:r>
            <w:r w:rsidR="00025EF8" w:rsidRPr="00921B50">
              <w:rPr>
                <w:rFonts w:cs="Arial"/>
              </w:rPr>
              <w:t xml:space="preserve"> </w:t>
            </w:r>
            <w:r w:rsidRPr="009D7496">
              <w:rPr>
                <w:rFonts w:cs="Arial"/>
              </w:rPr>
              <w:t>European Social Fund Programme for England 2014-2020</w:t>
            </w:r>
            <w:r w:rsidR="00384AE2" w:rsidRPr="009D7496">
              <w:rPr>
                <w:rFonts w:cs="Arial"/>
              </w:rPr>
              <w:t xml:space="preserve"> National Eligibility Rules</w:t>
            </w:r>
            <w:r w:rsidR="00025EF8" w:rsidRPr="009D7496">
              <w:rPr>
                <w:rFonts w:cs="Arial"/>
              </w:rPr>
              <w:t xml:space="preserve"> which can be found here: </w:t>
            </w:r>
            <w:hyperlink r:id="rId16" w:history="1">
              <w:r w:rsidR="00475879" w:rsidRPr="009D7496">
                <w:rPr>
                  <w:rStyle w:val="Hyperlink"/>
                  <w:rFonts w:cs="Arial"/>
                  <w:sz w:val="24"/>
                  <w:szCs w:val="24"/>
                </w:rPr>
                <w:t>https://www.gov.uk/government/publications/european-structural-and-investment-funds-programme-guidance</w:t>
              </w:r>
            </w:hyperlink>
            <w:r w:rsidR="00475879" w:rsidRPr="009D7496">
              <w:rPr>
                <w:rFonts w:cs="Arial"/>
              </w:rPr>
              <w:t xml:space="preserve"> </w:t>
            </w:r>
          </w:p>
          <w:p w14:paraId="254D2738" w14:textId="77777777" w:rsidR="00A005EF" w:rsidRPr="009D7496" w:rsidRDefault="00A005EF" w:rsidP="00C107CE">
            <w:pPr>
              <w:rPr>
                <w:rFonts w:cs="Arial"/>
              </w:rPr>
            </w:pPr>
          </w:p>
          <w:p w14:paraId="254D2739" w14:textId="77777777" w:rsidR="00394F36" w:rsidRPr="009D7496" w:rsidRDefault="00394F36" w:rsidP="00394F36">
            <w:pPr>
              <w:rPr>
                <w:rFonts w:cs="Arial"/>
              </w:rPr>
            </w:pPr>
            <w:r w:rsidRPr="009D7496">
              <w:rPr>
                <w:rFonts w:cs="Arial"/>
              </w:rPr>
              <w:t>Please note LEP Specific requirements are subject to the National Eligibility Rules detailed above.</w:t>
            </w:r>
          </w:p>
          <w:p w14:paraId="254D273A" w14:textId="77777777" w:rsidR="00204794" w:rsidRPr="009D7496" w:rsidRDefault="00204794" w:rsidP="00394F36">
            <w:pPr>
              <w:rPr>
                <w:rFonts w:cs="Arial"/>
              </w:rPr>
            </w:pPr>
          </w:p>
          <w:p w14:paraId="254D273B" w14:textId="77777777" w:rsidR="00CC112A" w:rsidRDefault="00C336D2" w:rsidP="00162B5B">
            <w:pPr>
              <w:rPr>
                <w:rFonts w:cs="Arial"/>
                <w:b/>
              </w:rPr>
            </w:pPr>
            <w:r w:rsidRPr="009D7496">
              <w:rPr>
                <w:rFonts w:cs="Arial"/>
                <w:b/>
              </w:rPr>
              <w:t xml:space="preserve">IP1.2 </w:t>
            </w:r>
            <w:r w:rsidR="00CC112A" w:rsidRPr="009D7496">
              <w:rPr>
                <w:rFonts w:cs="Arial"/>
                <w:b/>
              </w:rPr>
              <w:t xml:space="preserve">Sustainable Integration of Young People </w:t>
            </w:r>
          </w:p>
          <w:p w14:paraId="7CA7AF4A" w14:textId="77777777" w:rsidR="009A6BFF" w:rsidRPr="009D7496" w:rsidRDefault="009A6BFF" w:rsidP="00162B5B">
            <w:pPr>
              <w:rPr>
                <w:rFonts w:cs="Arial"/>
                <w:b/>
              </w:rPr>
            </w:pPr>
          </w:p>
          <w:p w14:paraId="254D273C" w14:textId="77777777" w:rsidR="00CC112A" w:rsidRPr="009D7496" w:rsidRDefault="00E62E4D" w:rsidP="00DB7814">
            <w:pPr>
              <w:pStyle w:val="ListParagraph"/>
              <w:numPr>
                <w:ilvl w:val="0"/>
                <w:numId w:val="8"/>
              </w:numPr>
              <w:rPr>
                <w:rFonts w:cs="Arial"/>
              </w:rPr>
            </w:pPr>
            <w:r w:rsidRPr="009D7496">
              <w:rPr>
                <w:rFonts w:cs="Arial"/>
              </w:rPr>
              <w:t xml:space="preserve">18 </w:t>
            </w:r>
            <w:r w:rsidR="00CC112A" w:rsidRPr="009D7496">
              <w:rPr>
                <w:rFonts w:cs="Arial"/>
              </w:rPr>
              <w:t>to 24 years old</w:t>
            </w:r>
          </w:p>
          <w:p w14:paraId="254D273D" w14:textId="77777777" w:rsidR="00CC112A" w:rsidRPr="009D7496" w:rsidRDefault="00CC112A" w:rsidP="00DB7814">
            <w:pPr>
              <w:pStyle w:val="ListParagraph"/>
              <w:numPr>
                <w:ilvl w:val="0"/>
                <w:numId w:val="8"/>
              </w:numPr>
              <w:rPr>
                <w:rFonts w:cs="Arial"/>
              </w:rPr>
            </w:pPr>
            <w:r w:rsidRPr="009D7496">
              <w:rPr>
                <w:rFonts w:cs="Arial"/>
              </w:rPr>
              <w:t>Those in education and are inactive</w:t>
            </w:r>
          </w:p>
          <w:p w14:paraId="254D273E" w14:textId="77777777" w:rsidR="00CC112A" w:rsidRPr="009D7496" w:rsidRDefault="00CC112A" w:rsidP="00DB7814">
            <w:pPr>
              <w:pStyle w:val="ListParagraph"/>
              <w:numPr>
                <w:ilvl w:val="0"/>
                <w:numId w:val="8"/>
              </w:numPr>
              <w:rPr>
                <w:rFonts w:cs="Arial"/>
              </w:rPr>
            </w:pPr>
            <w:r w:rsidRPr="009D7496">
              <w:rPr>
                <w:rFonts w:cs="Arial"/>
              </w:rPr>
              <w:t>Also those Not in Education, Employment or Training (NEET)</w:t>
            </w:r>
          </w:p>
          <w:p w14:paraId="254D273F" w14:textId="77777777" w:rsidR="00CC112A" w:rsidRPr="009D7496" w:rsidRDefault="00CC112A" w:rsidP="00162B5B">
            <w:pPr>
              <w:rPr>
                <w:rFonts w:cs="Arial"/>
              </w:rPr>
            </w:pPr>
          </w:p>
          <w:p w14:paraId="254D2740" w14:textId="77777777" w:rsidR="00394F36" w:rsidRPr="00921B50" w:rsidRDefault="00394F36" w:rsidP="00162B5B">
            <w:pPr>
              <w:rPr>
                <w:rFonts w:cs="Arial"/>
                <w:iCs/>
              </w:rPr>
            </w:pPr>
            <w:r w:rsidRPr="009D7496">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254D2741" w14:textId="77777777" w:rsidR="00795CD9" w:rsidRPr="009D7496" w:rsidRDefault="00795CD9" w:rsidP="00A005EF">
            <w:pPr>
              <w:rPr>
                <w:rFonts w:cs="Arial"/>
              </w:rPr>
            </w:pPr>
          </w:p>
          <w:p w14:paraId="254D2743" w14:textId="47FCB34D" w:rsidR="00CC112A" w:rsidRPr="009D7496" w:rsidRDefault="00C336D2" w:rsidP="00A005EF">
            <w:pPr>
              <w:rPr>
                <w:rFonts w:cs="Arial"/>
              </w:rPr>
            </w:pPr>
            <w:r w:rsidRPr="009D7496">
              <w:rPr>
                <w:rFonts w:cs="Arial"/>
                <w:b/>
              </w:rPr>
              <w:t xml:space="preserve">IP1.2 </w:t>
            </w:r>
            <w:r w:rsidR="00CC112A" w:rsidRPr="009D7496">
              <w:rPr>
                <w:rFonts w:cs="Arial"/>
                <w:b/>
              </w:rPr>
              <w:t>Sustainable Integration of Young People</w:t>
            </w:r>
            <w:r w:rsidR="009B1CF3" w:rsidRPr="009D7496">
              <w:rPr>
                <w:rFonts w:cs="Arial"/>
                <w:b/>
              </w:rPr>
              <w:t>:</w:t>
            </w:r>
          </w:p>
          <w:tbl>
            <w:tblPr>
              <w:tblW w:w="6550" w:type="dxa"/>
              <w:tblLayout w:type="fixed"/>
              <w:tblLook w:val="04A0" w:firstRow="1" w:lastRow="0" w:firstColumn="1" w:lastColumn="0" w:noHBand="0" w:noVBand="1"/>
            </w:tblPr>
            <w:tblGrid>
              <w:gridCol w:w="4395"/>
              <w:gridCol w:w="2155"/>
            </w:tblGrid>
            <w:tr w:rsidR="00BF2FB8" w:rsidRPr="009D7496" w14:paraId="254D2746" w14:textId="77777777" w:rsidTr="00A2424D">
              <w:trPr>
                <w:trHeight w:val="1044"/>
              </w:trPr>
              <w:tc>
                <w:tcPr>
                  <w:tcW w:w="4395" w:type="dxa"/>
                  <w:shd w:val="clear" w:color="auto" w:fill="auto"/>
                  <w:noWrap/>
                  <w:vAlign w:val="bottom"/>
                  <w:hideMark/>
                </w:tcPr>
                <w:p w14:paraId="254D2744" w14:textId="77777777" w:rsidR="00BF2FB8" w:rsidRPr="009D7496" w:rsidRDefault="00BF2FB8" w:rsidP="00A653BB">
                  <w:pPr>
                    <w:jc w:val="center"/>
                    <w:rPr>
                      <w:rFonts w:cs="Arial"/>
                      <w:color w:val="000000"/>
                      <w:lang w:eastAsia="en-GB"/>
                    </w:rPr>
                  </w:pPr>
                  <w:r w:rsidRPr="009D7496">
                    <w:rPr>
                      <w:rFonts w:cs="Arial"/>
                      <w:color w:val="000000"/>
                      <w:lang w:eastAsia="en-GB"/>
                    </w:rPr>
                    <w:t> </w:t>
                  </w:r>
                </w:p>
              </w:tc>
              <w:tc>
                <w:tcPr>
                  <w:tcW w:w="2155" w:type="dxa"/>
                  <w:shd w:val="clear" w:color="auto" w:fill="auto"/>
                  <w:noWrap/>
                  <w:vAlign w:val="center"/>
                  <w:hideMark/>
                </w:tcPr>
                <w:p w14:paraId="254D2745" w14:textId="77777777" w:rsidR="00BF2FB8" w:rsidRPr="009D7496" w:rsidRDefault="00BF2FB8" w:rsidP="00A653BB">
                  <w:pPr>
                    <w:jc w:val="center"/>
                    <w:rPr>
                      <w:rFonts w:cs="Arial"/>
                      <w:b/>
                      <w:bCs/>
                      <w:color w:val="000000"/>
                      <w:lang w:eastAsia="en-GB"/>
                    </w:rPr>
                  </w:pPr>
                  <w:r w:rsidRPr="009D7496">
                    <w:rPr>
                      <w:rFonts w:cs="Arial"/>
                      <w:b/>
                      <w:bCs/>
                      <w:color w:val="000000"/>
                      <w:lang w:eastAsia="en-GB"/>
                    </w:rPr>
                    <w:t>Transitional</w:t>
                  </w:r>
                </w:p>
              </w:tc>
            </w:tr>
            <w:tr w:rsidR="00BF2FB8" w:rsidRPr="009D7496" w14:paraId="254D2749" w14:textId="77777777" w:rsidTr="00A2424D">
              <w:trPr>
                <w:trHeight w:val="20"/>
              </w:trPr>
              <w:tc>
                <w:tcPr>
                  <w:tcW w:w="4395" w:type="dxa"/>
                  <w:shd w:val="clear" w:color="auto" w:fill="auto"/>
                  <w:vAlign w:val="center"/>
                  <w:hideMark/>
                </w:tcPr>
                <w:p w14:paraId="254D2747" w14:textId="77777777" w:rsidR="00BF2FB8" w:rsidRPr="009D7496" w:rsidRDefault="00BF2FB8" w:rsidP="00A653BB">
                  <w:pPr>
                    <w:rPr>
                      <w:rFonts w:cs="Arial"/>
                      <w:color w:val="000000"/>
                      <w:lang w:eastAsia="en-GB"/>
                    </w:rPr>
                  </w:pPr>
                  <w:r w:rsidRPr="009D7496">
                    <w:rPr>
                      <w:rFonts w:cs="Arial"/>
                      <w:color w:val="000000"/>
                      <w:lang w:eastAsia="en-GB"/>
                    </w:rPr>
                    <w:t>Total participants who are unemployed (including long term unemployed)</w:t>
                  </w:r>
                </w:p>
              </w:tc>
              <w:tc>
                <w:tcPr>
                  <w:tcW w:w="2155" w:type="dxa"/>
                  <w:shd w:val="clear" w:color="auto" w:fill="auto"/>
                  <w:vAlign w:val="center"/>
                  <w:hideMark/>
                </w:tcPr>
                <w:p w14:paraId="254D2748" w14:textId="77777777" w:rsidR="00BF2FB8" w:rsidRPr="009D7496" w:rsidRDefault="00BF2FB8" w:rsidP="00A653BB">
                  <w:pPr>
                    <w:jc w:val="center"/>
                    <w:rPr>
                      <w:rFonts w:cs="Arial"/>
                      <w:bCs/>
                      <w:color w:val="000000"/>
                      <w:lang w:eastAsia="en-GB"/>
                    </w:rPr>
                  </w:pPr>
                  <w:r w:rsidRPr="009D7496">
                    <w:rPr>
                      <w:rFonts w:cs="Arial"/>
                      <w:bCs/>
                      <w:color w:val="000000"/>
                      <w:lang w:eastAsia="en-GB"/>
                    </w:rPr>
                    <w:t>70%</w:t>
                  </w:r>
                </w:p>
              </w:tc>
            </w:tr>
            <w:tr w:rsidR="00BF2FB8" w:rsidRPr="009D7496" w14:paraId="254D274C" w14:textId="77777777" w:rsidTr="00A2424D">
              <w:trPr>
                <w:trHeight w:val="20"/>
              </w:trPr>
              <w:tc>
                <w:tcPr>
                  <w:tcW w:w="4395" w:type="dxa"/>
                  <w:shd w:val="clear" w:color="auto" w:fill="auto"/>
                  <w:vAlign w:val="center"/>
                  <w:hideMark/>
                </w:tcPr>
                <w:p w14:paraId="254D274A" w14:textId="77777777" w:rsidR="00BF2FB8" w:rsidRPr="009D7496" w:rsidRDefault="00BF2FB8" w:rsidP="00A653BB">
                  <w:pPr>
                    <w:rPr>
                      <w:rFonts w:cs="Arial"/>
                      <w:color w:val="000000"/>
                      <w:lang w:eastAsia="en-GB"/>
                    </w:rPr>
                  </w:pPr>
                  <w:r w:rsidRPr="009D7496">
                    <w:rPr>
                      <w:rFonts w:cs="Arial"/>
                      <w:color w:val="000000"/>
                      <w:lang w:eastAsia="en-GB"/>
                    </w:rPr>
                    <w:t>Total participants who are inactive</w:t>
                  </w:r>
                </w:p>
              </w:tc>
              <w:tc>
                <w:tcPr>
                  <w:tcW w:w="2155" w:type="dxa"/>
                  <w:shd w:val="clear" w:color="auto" w:fill="auto"/>
                  <w:vAlign w:val="center"/>
                  <w:hideMark/>
                </w:tcPr>
                <w:p w14:paraId="254D274B" w14:textId="77777777" w:rsidR="00BF2FB8" w:rsidRPr="009D7496" w:rsidRDefault="00BF2FB8" w:rsidP="00A653BB">
                  <w:pPr>
                    <w:jc w:val="center"/>
                    <w:rPr>
                      <w:rFonts w:cs="Arial"/>
                      <w:bCs/>
                      <w:color w:val="000000"/>
                      <w:lang w:eastAsia="en-GB"/>
                    </w:rPr>
                  </w:pPr>
                  <w:r w:rsidRPr="009D7496">
                    <w:rPr>
                      <w:rFonts w:cs="Arial"/>
                      <w:bCs/>
                      <w:color w:val="000000"/>
                      <w:lang w:eastAsia="en-GB"/>
                    </w:rPr>
                    <w:t>25%</w:t>
                  </w:r>
                </w:p>
              </w:tc>
            </w:tr>
            <w:tr w:rsidR="00BF2FB8" w:rsidRPr="009D7496" w14:paraId="254D274F" w14:textId="77777777" w:rsidTr="00A2424D">
              <w:trPr>
                <w:trHeight w:val="20"/>
              </w:trPr>
              <w:tc>
                <w:tcPr>
                  <w:tcW w:w="4395" w:type="dxa"/>
                  <w:shd w:val="clear" w:color="auto" w:fill="auto"/>
                  <w:vAlign w:val="center"/>
                  <w:hideMark/>
                </w:tcPr>
                <w:p w14:paraId="254D274D" w14:textId="77777777" w:rsidR="00BF2FB8" w:rsidRPr="009D7496" w:rsidRDefault="00BF2FB8" w:rsidP="00A653BB">
                  <w:pPr>
                    <w:rPr>
                      <w:rFonts w:cs="Arial"/>
                      <w:color w:val="000000"/>
                      <w:lang w:eastAsia="en-GB"/>
                    </w:rPr>
                  </w:pPr>
                  <w:r w:rsidRPr="009D7496">
                    <w:rPr>
                      <w:rFonts w:cs="Arial"/>
                      <w:color w:val="000000"/>
                      <w:lang w:eastAsia="en-GB"/>
                    </w:rPr>
                    <w:t>Participants from ethnic minorities</w:t>
                  </w:r>
                </w:p>
              </w:tc>
              <w:tc>
                <w:tcPr>
                  <w:tcW w:w="2155" w:type="dxa"/>
                  <w:shd w:val="clear" w:color="auto" w:fill="auto"/>
                  <w:noWrap/>
                  <w:vAlign w:val="center"/>
                  <w:hideMark/>
                </w:tcPr>
                <w:p w14:paraId="254D274E" w14:textId="77777777" w:rsidR="00BF2FB8" w:rsidRPr="009D7496" w:rsidRDefault="00BF2FB8" w:rsidP="00A653BB">
                  <w:pPr>
                    <w:jc w:val="center"/>
                    <w:rPr>
                      <w:rFonts w:cs="Arial"/>
                      <w:bCs/>
                      <w:color w:val="000000"/>
                      <w:lang w:eastAsia="en-GB"/>
                    </w:rPr>
                  </w:pPr>
                  <w:r w:rsidRPr="009D7496">
                    <w:rPr>
                      <w:rFonts w:cs="Arial"/>
                      <w:bCs/>
                      <w:color w:val="000000"/>
                      <w:lang w:eastAsia="en-GB"/>
                    </w:rPr>
                    <w:t>10%</w:t>
                  </w:r>
                </w:p>
              </w:tc>
            </w:tr>
            <w:tr w:rsidR="00BF2FB8" w:rsidRPr="009D7496" w14:paraId="254D2752" w14:textId="77777777" w:rsidTr="00A2424D">
              <w:trPr>
                <w:trHeight w:val="20"/>
              </w:trPr>
              <w:tc>
                <w:tcPr>
                  <w:tcW w:w="4395" w:type="dxa"/>
                  <w:shd w:val="clear" w:color="auto" w:fill="auto"/>
                  <w:vAlign w:val="center"/>
                  <w:hideMark/>
                </w:tcPr>
                <w:p w14:paraId="254D2750" w14:textId="77777777" w:rsidR="00BF2FB8" w:rsidRPr="009D7496" w:rsidRDefault="00BF2FB8" w:rsidP="00A653BB">
                  <w:pPr>
                    <w:rPr>
                      <w:rFonts w:cs="Arial"/>
                      <w:color w:val="000000"/>
                      <w:lang w:eastAsia="en-GB"/>
                    </w:rPr>
                  </w:pPr>
                  <w:r w:rsidRPr="009D7496">
                    <w:rPr>
                      <w:rFonts w:cs="Arial"/>
                      <w:color w:val="000000"/>
                      <w:lang w:eastAsia="en-GB"/>
                    </w:rPr>
                    <w:t>Female participants</w:t>
                  </w:r>
                </w:p>
              </w:tc>
              <w:tc>
                <w:tcPr>
                  <w:tcW w:w="2155" w:type="dxa"/>
                  <w:shd w:val="clear" w:color="auto" w:fill="auto"/>
                  <w:noWrap/>
                  <w:vAlign w:val="center"/>
                  <w:hideMark/>
                </w:tcPr>
                <w:p w14:paraId="254D2751" w14:textId="77777777" w:rsidR="00BF2FB8" w:rsidRPr="009D7496" w:rsidRDefault="00BF2FB8" w:rsidP="00A653BB">
                  <w:pPr>
                    <w:jc w:val="center"/>
                    <w:rPr>
                      <w:rFonts w:cs="Arial"/>
                      <w:bCs/>
                      <w:color w:val="000000"/>
                      <w:lang w:eastAsia="en-GB"/>
                    </w:rPr>
                  </w:pPr>
                  <w:r w:rsidRPr="009D7496">
                    <w:rPr>
                      <w:rFonts w:cs="Arial"/>
                      <w:bCs/>
                      <w:color w:val="000000"/>
                      <w:lang w:eastAsia="en-GB"/>
                    </w:rPr>
                    <w:t>46%</w:t>
                  </w:r>
                </w:p>
              </w:tc>
            </w:tr>
            <w:tr w:rsidR="00BF2FB8" w:rsidRPr="009D7496" w14:paraId="254D2755" w14:textId="77777777" w:rsidTr="00A2424D">
              <w:trPr>
                <w:trHeight w:val="20"/>
              </w:trPr>
              <w:tc>
                <w:tcPr>
                  <w:tcW w:w="4395" w:type="dxa"/>
                  <w:shd w:val="clear" w:color="auto" w:fill="auto"/>
                  <w:vAlign w:val="center"/>
                  <w:hideMark/>
                </w:tcPr>
                <w:p w14:paraId="254D2753" w14:textId="77777777" w:rsidR="00BF2FB8" w:rsidRPr="009D7496" w:rsidRDefault="00BF2FB8" w:rsidP="00A653BB">
                  <w:pPr>
                    <w:rPr>
                      <w:rFonts w:cs="Arial"/>
                      <w:color w:val="000000"/>
                      <w:lang w:eastAsia="en-GB"/>
                    </w:rPr>
                  </w:pPr>
                  <w:r w:rsidRPr="009D7496">
                    <w:rPr>
                      <w:rFonts w:cs="Arial"/>
                      <w:color w:val="000000"/>
                      <w:lang w:eastAsia="en-GB"/>
                    </w:rPr>
                    <w:lastRenderedPageBreak/>
                    <w:t>Participants with a disability or health problems</w:t>
                  </w:r>
                </w:p>
              </w:tc>
              <w:tc>
                <w:tcPr>
                  <w:tcW w:w="2155" w:type="dxa"/>
                  <w:shd w:val="clear" w:color="auto" w:fill="auto"/>
                  <w:noWrap/>
                  <w:vAlign w:val="center"/>
                  <w:hideMark/>
                </w:tcPr>
                <w:p w14:paraId="254D2754" w14:textId="77777777" w:rsidR="00BF2FB8" w:rsidRPr="009D7496" w:rsidRDefault="00BF2FB8" w:rsidP="00A653BB">
                  <w:pPr>
                    <w:jc w:val="center"/>
                    <w:rPr>
                      <w:rFonts w:cs="Arial"/>
                      <w:bCs/>
                      <w:color w:val="000000"/>
                      <w:lang w:eastAsia="en-GB"/>
                    </w:rPr>
                  </w:pPr>
                  <w:r w:rsidRPr="009D7496">
                    <w:rPr>
                      <w:rFonts w:cs="Arial"/>
                      <w:bCs/>
                      <w:color w:val="000000"/>
                      <w:lang w:eastAsia="en-GB"/>
                    </w:rPr>
                    <w:t>10%</w:t>
                  </w:r>
                </w:p>
              </w:tc>
            </w:tr>
            <w:tr w:rsidR="00BF2FB8" w:rsidRPr="009D7496" w14:paraId="254D2758" w14:textId="77777777" w:rsidTr="00A2424D">
              <w:trPr>
                <w:trHeight w:val="20"/>
              </w:trPr>
              <w:tc>
                <w:tcPr>
                  <w:tcW w:w="4395" w:type="dxa"/>
                  <w:shd w:val="clear" w:color="auto" w:fill="auto"/>
                  <w:vAlign w:val="center"/>
                  <w:hideMark/>
                </w:tcPr>
                <w:p w14:paraId="254D2756" w14:textId="77777777" w:rsidR="00BF2FB8" w:rsidRPr="009D7496" w:rsidRDefault="00BF2FB8" w:rsidP="00A653BB">
                  <w:pPr>
                    <w:rPr>
                      <w:rFonts w:cs="Arial"/>
                      <w:color w:val="000000"/>
                      <w:lang w:eastAsia="en-GB"/>
                    </w:rPr>
                  </w:pPr>
                  <w:r w:rsidRPr="009D7496">
                    <w:rPr>
                      <w:rFonts w:cs="Arial"/>
                      <w:color w:val="000000"/>
                      <w:lang w:eastAsia="en-GB"/>
                    </w:rPr>
                    <w:t>Participants who are lone parents</w:t>
                  </w:r>
                </w:p>
              </w:tc>
              <w:tc>
                <w:tcPr>
                  <w:tcW w:w="2155" w:type="dxa"/>
                  <w:shd w:val="clear" w:color="auto" w:fill="auto"/>
                  <w:noWrap/>
                  <w:vAlign w:val="center"/>
                  <w:hideMark/>
                </w:tcPr>
                <w:p w14:paraId="254D2757" w14:textId="77777777" w:rsidR="00BF2FB8" w:rsidRPr="009D7496" w:rsidRDefault="00BF2FB8" w:rsidP="00A653BB">
                  <w:pPr>
                    <w:jc w:val="center"/>
                    <w:rPr>
                      <w:rFonts w:cs="Arial"/>
                      <w:bCs/>
                      <w:color w:val="000000"/>
                      <w:lang w:eastAsia="en-GB"/>
                    </w:rPr>
                  </w:pPr>
                  <w:r w:rsidRPr="009D7496">
                    <w:rPr>
                      <w:rFonts w:cs="Arial"/>
                      <w:bCs/>
                      <w:color w:val="000000"/>
                      <w:lang w:eastAsia="en-GB"/>
                    </w:rPr>
                    <w:t>6%</w:t>
                  </w:r>
                </w:p>
              </w:tc>
            </w:tr>
            <w:tr w:rsidR="00BF2FB8" w:rsidRPr="009D7496" w14:paraId="254D275B" w14:textId="77777777" w:rsidTr="00A2424D">
              <w:trPr>
                <w:trHeight w:val="20"/>
              </w:trPr>
              <w:tc>
                <w:tcPr>
                  <w:tcW w:w="4395" w:type="dxa"/>
                  <w:shd w:val="clear" w:color="auto" w:fill="auto"/>
                  <w:vAlign w:val="center"/>
                  <w:hideMark/>
                </w:tcPr>
                <w:p w14:paraId="254D2759" w14:textId="77777777" w:rsidR="00BF2FB8" w:rsidRPr="009D7496" w:rsidRDefault="00BF2FB8" w:rsidP="00A653BB">
                  <w:pPr>
                    <w:rPr>
                      <w:rFonts w:cs="Arial"/>
                      <w:color w:val="000000"/>
                      <w:lang w:eastAsia="en-GB"/>
                    </w:rPr>
                  </w:pPr>
                  <w:r w:rsidRPr="009D7496">
                    <w:rPr>
                      <w:rFonts w:cs="Arial"/>
                      <w:color w:val="000000"/>
                      <w:lang w:eastAsia="en-GB"/>
                    </w:rPr>
                    <w:t>Participants without basic skills</w:t>
                  </w:r>
                </w:p>
              </w:tc>
              <w:tc>
                <w:tcPr>
                  <w:tcW w:w="2155" w:type="dxa"/>
                  <w:shd w:val="clear" w:color="auto" w:fill="auto"/>
                  <w:noWrap/>
                  <w:vAlign w:val="center"/>
                  <w:hideMark/>
                </w:tcPr>
                <w:p w14:paraId="254D275A" w14:textId="77777777" w:rsidR="00BF2FB8" w:rsidRPr="009D7496" w:rsidRDefault="00BF2FB8" w:rsidP="00A653BB">
                  <w:pPr>
                    <w:jc w:val="center"/>
                    <w:rPr>
                      <w:rFonts w:cs="Arial"/>
                      <w:bCs/>
                      <w:color w:val="000000"/>
                      <w:lang w:eastAsia="en-GB"/>
                    </w:rPr>
                  </w:pPr>
                  <w:r w:rsidRPr="009D7496">
                    <w:rPr>
                      <w:rFonts w:cs="Arial"/>
                      <w:bCs/>
                      <w:color w:val="000000"/>
                      <w:lang w:eastAsia="en-GB"/>
                    </w:rPr>
                    <w:t>18%</w:t>
                  </w:r>
                </w:p>
              </w:tc>
            </w:tr>
          </w:tbl>
          <w:p w14:paraId="254D275C" w14:textId="77777777" w:rsidR="00A653BB" w:rsidRPr="009D7496" w:rsidRDefault="00A653BB" w:rsidP="00A005EF">
            <w:pPr>
              <w:rPr>
                <w:rFonts w:cs="Arial"/>
                <w:highlight w:val="green"/>
              </w:rPr>
            </w:pPr>
          </w:p>
          <w:p w14:paraId="254D275D" w14:textId="77777777" w:rsidR="00FD3B0A" w:rsidRPr="009D7496" w:rsidRDefault="00FD3B0A">
            <w:pPr>
              <w:rPr>
                <w:rFonts w:cs="Arial"/>
                <w:color w:val="000000"/>
              </w:rPr>
            </w:pPr>
          </w:p>
        </w:tc>
      </w:tr>
      <w:tr w:rsidR="00967429" w:rsidRPr="009D7496" w14:paraId="254D2760" w14:textId="77777777" w:rsidTr="009A6BFF">
        <w:trPr>
          <w:trHeight w:val="567"/>
        </w:trPr>
        <w:tc>
          <w:tcPr>
            <w:tcW w:w="10060" w:type="dxa"/>
            <w:shd w:val="clear" w:color="auto" w:fill="D9D9D9" w:themeFill="background1" w:themeFillShade="D9"/>
            <w:vAlign w:val="center"/>
          </w:tcPr>
          <w:p w14:paraId="254D275F" w14:textId="77777777" w:rsidR="00967429" w:rsidRPr="00921B50" w:rsidRDefault="00A005EF" w:rsidP="005E37D8">
            <w:pPr>
              <w:spacing w:before="120" w:after="120"/>
              <w:rPr>
                <w:rFonts w:cs="Arial"/>
                <w:b/>
                <w:bCs/>
              </w:rPr>
            </w:pPr>
            <w:r w:rsidRPr="00921B50">
              <w:rPr>
                <w:rFonts w:cs="Arial"/>
                <w:b/>
              </w:rPr>
              <w:lastRenderedPageBreak/>
              <w:t>GEOGRAPHY / AREA OF DELIVERY</w:t>
            </w:r>
          </w:p>
        </w:tc>
      </w:tr>
      <w:tr w:rsidR="00967429" w:rsidRPr="009D7496" w14:paraId="254D2769" w14:textId="77777777" w:rsidTr="00921B50">
        <w:trPr>
          <w:trHeight w:val="983"/>
        </w:trPr>
        <w:tc>
          <w:tcPr>
            <w:tcW w:w="10060" w:type="dxa"/>
          </w:tcPr>
          <w:p w14:paraId="254D2761" w14:textId="77777777" w:rsidR="00A005EF" w:rsidRPr="00921B50" w:rsidRDefault="00A005EF" w:rsidP="00A005EF">
            <w:pPr>
              <w:rPr>
                <w:rFonts w:cs="Arial"/>
              </w:rPr>
            </w:pPr>
          </w:p>
          <w:p w14:paraId="254D2762" w14:textId="77777777" w:rsidR="007E7731" w:rsidRPr="00921B50" w:rsidRDefault="007E7731" w:rsidP="00A005EF">
            <w:pPr>
              <w:rPr>
                <w:rFonts w:cs="Arial"/>
                <w:b/>
              </w:rPr>
            </w:pPr>
            <w:r w:rsidRPr="00921B50">
              <w:rPr>
                <w:rFonts w:cs="Arial"/>
                <w:b/>
              </w:rPr>
              <w:t>LEP Specific</w:t>
            </w:r>
          </w:p>
          <w:p w14:paraId="254D2764" w14:textId="77777777" w:rsidR="00787807" w:rsidRDefault="00A005EF" w:rsidP="00A005EF">
            <w:pPr>
              <w:autoSpaceDE w:val="0"/>
              <w:autoSpaceDN w:val="0"/>
              <w:adjustRightInd w:val="0"/>
              <w:rPr>
                <w:rFonts w:cs="Arial"/>
              </w:rPr>
            </w:pPr>
            <w:r w:rsidRPr="009D7496">
              <w:rPr>
                <w:rFonts w:cs="Arial"/>
              </w:rPr>
              <w:t>The Service</w:t>
            </w:r>
            <w:r w:rsidR="00123C60" w:rsidRPr="009D7496">
              <w:rPr>
                <w:rFonts w:cs="Arial"/>
              </w:rPr>
              <w:t>s</w:t>
            </w:r>
            <w:r w:rsidRPr="009D7496">
              <w:rPr>
                <w:rFonts w:cs="Arial"/>
              </w:rPr>
              <w:t xml:space="preserve"> will be delivered </w:t>
            </w:r>
            <w:r w:rsidR="00105A7C" w:rsidRPr="009D7496">
              <w:rPr>
                <w:rFonts w:cs="Arial"/>
              </w:rPr>
              <w:t>within the</w:t>
            </w:r>
            <w:r w:rsidRPr="009D7496">
              <w:rPr>
                <w:rFonts w:cs="Arial"/>
              </w:rPr>
              <w:t xml:space="preserve"> </w:t>
            </w:r>
            <w:r w:rsidR="00BF2FB8" w:rsidRPr="009D7496">
              <w:rPr>
                <w:rFonts w:cs="Arial"/>
              </w:rPr>
              <w:t>Greater Lincolnshire</w:t>
            </w:r>
            <w:r w:rsidR="000304B2" w:rsidRPr="009D7496">
              <w:rPr>
                <w:rFonts w:cs="Arial"/>
              </w:rPr>
              <w:t xml:space="preserve"> </w:t>
            </w:r>
            <w:r w:rsidR="00105A7C" w:rsidRPr="009D7496">
              <w:rPr>
                <w:rFonts w:cs="Arial"/>
              </w:rPr>
              <w:t>Local Enterprise Partnership area</w:t>
            </w:r>
            <w:r w:rsidR="007C2B80" w:rsidRPr="009D7496">
              <w:rPr>
                <w:rFonts w:cs="Arial"/>
              </w:rPr>
              <w:t>.</w:t>
            </w:r>
          </w:p>
          <w:p w14:paraId="254D2765" w14:textId="77777777" w:rsidR="00556FF1" w:rsidRPr="009D7496" w:rsidRDefault="00556FF1" w:rsidP="00A005EF">
            <w:pPr>
              <w:autoSpaceDE w:val="0"/>
              <w:autoSpaceDN w:val="0"/>
              <w:adjustRightInd w:val="0"/>
              <w:rPr>
                <w:rFonts w:cs="Arial"/>
              </w:rPr>
            </w:pPr>
          </w:p>
          <w:p w14:paraId="254D2767" w14:textId="18292B09" w:rsidR="00431500" w:rsidRPr="009D7496" w:rsidRDefault="004825CA" w:rsidP="00A005EF">
            <w:pPr>
              <w:autoSpaceDE w:val="0"/>
              <w:autoSpaceDN w:val="0"/>
              <w:adjustRightInd w:val="0"/>
              <w:rPr>
                <w:rFonts w:cs="Arial"/>
              </w:rPr>
            </w:pPr>
            <w:r w:rsidRPr="009D7496">
              <w:rPr>
                <w:rFonts w:cs="Arial"/>
              </w:rPr>
              <w:t xml:space="preserve">This area </w:t>
            </w:r>
            <w:r w:rsidR="00795CD9">
              <w:rPr>
                <w:rFonts w:cs="Arial"/>
                <w:b/>
                <w:i/>
              </w:rPr>
              <w:t>is</w:t>
            </w:r>
            <w:r w:rsidRPr="009D7496">
              <w:rPr>
                <w:rFonts w:cs="Arial"/>
              </w:rPr>
              <w:t xml:space="preserve"> a transitional area (see </w:t>
            </w:r>
            <w:r w:rsidR="00394F36" w:rsidRPr="009D7496">
              <w:rPr>
                <w:rFonts w:cs="Arial"/>
              </w:rPr>
              <w:t xml:space="preserve">funding rules </w:t>
            </w:r>
            <w:r w:rsidRPr="009D7496">
              <w:rPr>
                <w:rFonts w:cs="Arial"/>
              </w:rPr>
              <w:t>re delivery locations)</w:t>
            </w:r>
            <w:r w:rsidR="00795CD9">
              <w:rPr>
                <w:rFonts w:cs="Arial"/>
              </w:rPr>
              <w:t>.</w:t>
            </w:r>
          </w:p>
          <w:p w14:paraId="254D2768" w14:textId="77777777" w:rsidR="007C2B80" w:rsidRPr="00921B50" w:rsidRDefault="007C2B80" w:rsidP="00105A7C">
            <w:pPr>
              <w:autoSpaceDE w:val="0"/>
              <w:autoSpaceDN w:val="0"/>
              <w:adjustRightInd w:val="0"/>
              <w:rPr>
                <w:rFonts w:cs="Arial"/>
              </w:rPr>
            </w:pPr>
          </w:p>
        </w:tc>
      </w:tr>
      <w:tr w:rsidR="00967429" w:rsidRPr="009D7496" w14:paraId="254D276B" w14:textId="77777777" w:rsidTr="009A6BFF">
        <w:trPr>
          <w:trHeight w:val="567"/>
        </w:trPr>
        <w:tc>
          <w:tcPr>
            <w:tcW w:w="10060" w:type="dxa"/>
            <w:shd w:val="clear" w:color="auto" w:fill="D9D9D9" w:themeFill="background1" w:themeFillShade="D9"/>
            <w:vAlign w:val="center"/>
          </w:tcPr>
          <w:p w14:paraId="254D276A" w14:textId="77777777" w:rsidR="00967429" w:rsidRPr="00921B50" w:rsidRDefault="00A005EF" w:rsidP="00DA3E5E">
            <w:pPr>
              <w:spacing w:before="120" w:after="120"/>
              <w:rPr>
                <w:rFonts w:cs="Arial"/>
                <w:b/>
                <w:bCs/>
              </w:rPr>
            </w:pPr>
            <w:r w:rsidRPr="00921B50">
              <w:rPr>
                <w:rFonts w:cs="Arial"/>
                <w:b/>
              </w:rPr>
              <w:t>FUNDING AND DELIVERABLES</w:t>
            </w:r>
          </w:p>
        </w:tc>
      </w:tr>
      <w:tr w:rsidR="00967429" w:rsidRPr="009D7496" w14:paraId="254D27B7" w14:textId="77777777" w:rsidTr="00921B50">
        <w:trPr>
          <w:trHeight w:val="1408"/>
        </w:trPr>
        <w:tc>
          <w:tcPr>
            <w:tcW w:w="10060" w:type="dxa"/>
          </w:tcPr>
          <w:p w14:paraId="254D276C" w14:textId="77777777" w:rsidR="007E7731" w:rsidRPr="009D7496" w:rsidRDefault="007E7731" w:rsidP="00A005EF">
            <w:pPr>
              <w:rPr>
                <w:rFonts w:cs="Arial"/>
              </w:rPr>
            </w:pPr>
          </w:p>
          <w:p w14:paraId="254D276D" w14:textId="77777777" w:rsidR="007E7731" w:rsidRPr="009D7496" w:rsidRDefault="007E7731" w:rsidP="00A005EF">
            <w:pPr>
              <w:rPr>
                <w:rFonts w:cs="Arial"/>
                <w:b/>
              </w:rPr>
            </w:pPr>
            <w:r w:rsidRPr="009D7496">
              <w:rPr>
                <w:rFonts w:cs="Arial"/>
                <w:b/>
              </w:rPr>
              <w:t>LEP Specific</w:t>
            </w:r>
          </w:p>
          <w:p w14:paraId="254D276F" w14:textId="77777777" w:rsidR="00A005EF" w:rsidRPr="009D7496" w:rsidRDefault="00475879" w:rsidP="00A005EF">
            <w:pPr>
              <w:rPr>
                <w:rFonts w:cs="Arial"/>
              </w:rPr>
            </w:pPr>
            <w:r w:rsidRPr="009D7496">
              <w:rPr>
                <w:rFonts w:cs="Arial"/>
              </w:rPr>
              <w:t>Currently</w:t>
            </w:r>
            <w:r w:rsidR="00A005EF" w:rsidRPr="009D7496">
              <w:rPr>
                <w:rFonts w:cs="Arial"/>
              </w:rPr>
              <w:t xml:space="preserve"> </w:t>
            </w:r>
            <w:r w:rsidR="000C7049" w:rsidRPr="00921B50">
              <w:rPr>
                <w:rFonts w:cs="Arial"/>
              </w:rPr>
              <w:t>£</w:t>
            </w:r>
            <w:r w:rsidR="00795CD9" w:rsidRPr="00795CD9">
              <w:rPr>
                <w:rFonts w:cs="Arial"/>
              </w:rPr>
              <w:t>350,000</w:t>
            </w:r>
            <w:r w:rsidR="000C7049" w:rsidRPr="009D7496">
              <w:rPr>
                <w:rFonts w:cs="Arial"/>
              </w:rPr>
              <w:t xml:space="preserve"> </w:t>
            </w:r>
            <w:r w:rsidR="009552C2" w:rsidRPr="009D7496">
              <w:rPr>
                <w:rFonts w:cs="Arial"/>
              </w:rPr>
              <w:t>will be available</w:t>
            </w:r>
            <w:r w:rsidR="00C107CE" w:rsidRPr="009D7496">
              <w:rPr>
                <w:rFonts w:cs="Arial"/>
              </w:rPr>
              <w:t xml:space="preserve"> for the period from </w:t>
            </w:r>
            <w:r w:rsidR="00556FF1">
              <w:rPr>
                <w:rFonts w:cs="Arial"/>
              </w:rPr>
              <w:t xml:space="preserve">September </w:t>
            </w:r>
            <w:r w:rsidR="006A28A1" w:rsidRPr="009D7496">
              <w:rPr>
                <w:rFonts w:cs="Arial"/>
              </w:rPr>
              <w:t>2016</w:t>
            </w:r>
            <w:r w:rsidR="00C107CE" w:rsidRPr="009D7496">
              <w:rPr>
                <w:rFonts w:cs="Arial"/>
              </w:rPr>
              <w:t xml:space="preserve"> to </w:t>
            </w:r>
            <w:r w:rsidR="006A28A1" w:rsidRPr="009D7496">
              <w:rPr>
                <w:rFonts w:cs="Arial"/>
              </w:rPr>
              <w:t>March 2018</w:t>
            </w:r>
            <w:r w:rsidR="00556FF1">
              <w:rPr>
                <w:rFonts w:cs="Arial"/>
              </w:rPr>
              <w:t>.  T</w:t>
            </w:r>
            <w:r w:rsidR="00C107CE" w:rsidRPr="009D7496">
              <w:rPr>
                <w:rFonts w:cs="Arial"/>
              </w:rPr>
              <w:t xml:space="preserve">his </w:t>
            </w:r>
            <w:r w:rsidR="009552C2" w:rsidRPr="009D7496">
              <w:rPr>
                <w:rFonts w:cs="Arial"/>
              </w:rPr>
              <w:t xml:space="preserve">may be increased if </w:t>
            </w:r>
            <w:r w:rsidRPr="009D7496">
              <w:rPr>
                <w:rFonts w:cs="Arial"/>
              </w:rPr>
              <w:t>additional funding</w:t>
            </w:r>
            <w:r w:rsidR="009552C2" w:rsidRPr="009D7496">
              <w:rPr>
                <w:rFonts w:cs="Arial"/>
              </w:rPr>
              <w:t xml:space="preserve"> becomes available</w:t>
            </w:r>
            <w:r w:rsidR="00C107CE" w:rsidRPr="009D7496">
              <w:rPr>
                <w:rFonts w:cs="Arial"/>
              </w:rPr>
              <w:t>.</w:t>
            </w:r>
          </w:p>
          <w:p w14:paraId="254D2770" w14:textId="77777777" w:rsidR="00A005EF" w:rsidRPr="00921B50" w:rsidRDefault="00A005EF" w:rsidP="00A005EF">
            <w:pPr>
              <w:rPr>
                <w:rFonts w:cs="Arial"/>
                <w:b/>
              </w:rPr>
            </w:pPr>
          </w:p>
          <w:p w14:paraId="254D2771" w14:textId="77777777" w:rsidR="00394F36" w:rsidRPr="009D7496" w:rsidRDefault="00394F36" w:rsidP="00394F36">
            <w:pPr>
              <w:rPr>
                <w:rFonts w:cs="Arial"/>
              </w:rPr>
            </w:pPr>
            <w:r w:rsidRPr="009D7496">
              <w:rPr>
                <w:rFonts w:cs="Arial"/>
              </w:rPr>
              <w:t xml:space="preserve">The table below shows the initial planned outcomes, but performance management may change the volumes and mix during the life of the contract.  From the funding available on the non-regulated lines, the provider must plan to deliver the appropriate education &amp; training for each participant to enable them to progress. </w:t>
            </w:r>
          </w:p>
          <w:p w14:paraId="254D2772" w14:textId="77777777" w:rsidR="00795CD9" w:rsidRDefault="00795CD9" w:rsidP="00172AB9">
            <w:pPr>
              <w:autoSpaceDE w:val="0"/>
              <w:autoSpaceDN w:val="0"/>
              <w:adjustRightInd w:val="0"/>
              <w:rPr>
                <w:rFonts w:cs="Arial"/>
              </w:rPr>
            </w:pPr>
          </w:p>
          <w:p w14:paraId="254D2773" w14:textId="77777777" w:rsidR="00172AB9" w:rsidRPr="009D7496" w:rsidRDefault="00172AB9" w:rsidP="00172AB9">
            <w:pPr>
              <w:autoSpaceDE w:val="0"/>
              <w:autoSpaceDN w:val="0"/>
              <w:adjustRightInd w:val="0"/>
              <w:rPr>
                <w:rFonts w:cs="Arial"/>
              </w:rPr>
            </w:pPr>
            <w:r w:rsidRPr="009D7496">
              <w:rPr>
                <w:rFonts w:cs="Arial"/>
              </w:rPr>
              <w:t xml:space="preserve">Aspiration and Inspiration: NEET Information, Advice and Guidance (IP1.2) </w:t>
            </w:r>
            <w:r w:rsidRPr="00921B50">
              <w:rPr>
                <w:rFonts w:cs="Arial"/>
              </w:rPr>
              <w:t>£350,000</w:t>
            </w:r>
          </w:p>
          <w:p w14:paraId="254D2774" w14:textId="77777777" w:rsidR="00172AB9" w:rsidRPr="009D7496" w:rsidRDefault="00172AB9" w:rsidP="004608D1">
            <w:pPr>
              <w:rPr>
                <w:rFonts w:cs="Arial"/>
                <w:b/>
                <w:highlight w:val="yellow"/>
              </w:rPr>
            </w:pPr>
          </w:p>
          <w:tbl>
            <w:tblPr>
              <w:tblW w:w="8387" w:type="dxa"/>
              <w:tblLayout w:type="fixed"/>
              <w:tblLook w:val="04A0" w:firstRow="1" w:lastRow="0" w:firstColumn="1" w:lastColumn="0" w:noHBand="0" w:noVBand="1"/>
            </w:tblPr>
            <w:tblGrid>
              <w:gridCol w:w="3710"/>
              <w:gridCol w:w="1275"/>
              <w:gridCol w:w="1701"/>
              <w:gridCol w:w="1701"/>
            </w:tblGrid>
            <w:tr w:rsidR="00412378" w:rsidRPr="00556FF1" w14:paraId="254D2779" w14:textId="77777777" w:rsidTr="00921B50">
              <w:trPr>
                <w:trHeight w:val="1050"/>
              </w:trPr>
              <w:tc>
                <w:tcPr>
                  <w:tcW w:w="371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54D2775" w14:textId="77777777" w:rsidR="00412378" w:rsidRPr="00556FF1" w:rsidRDefault="00412378" w:rsidP="00412378">
                  <w:pPr>
                    <w:rPr>
                      <w:rFonts w:cs="Arial"/>
                      <w:b/>
                      <w:bCs/>
                      <w:color w:val="000000"/>
                      <w:sz w:val="20"/>
                      <w:szCs w:val="20"/>
                      <w:lang w:eastAsia="en-GB"/>
                    </w:rPr>
                  </w:pPr>
                  <w:r w:rsidRPr="00556FF1">
                    <w:rPr>
                      <w:rFonts w:cs="Arial"/>
                      <w:b/>
                      <w:bCs/>
                      <w:color w:val="000000"/>
                      <w:sz w:val="20"/>
                      <w:szCs w:val="20"/>
                      <w:lang w:eastAsia="en-GB"/>
                    </w:rPr>
                    <w:t>Description</w:t>
                  </w:r>
                  <w:r w:rsidRPr="00556FF1">
                    <w:rPr>
                      <w:rFonts w:cs="Arial"/>
                      <w:b/>
                      <w:bCs/>
                      <w:color w:val="000000"/>
                      <w:sz w:val="20"/>
                      <w:szCs w:val="20"/>
                      <w:lang w:eastAsia="en-GB"/>
                    </w:rPr>
                    <w:br/>
                  </w: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54D2776" w14:textId="77777777" w:rsidR="00412378" w:rsidRPr="00556FF1" w:rsidRDefault="00412378" w:rsidP="00412378">
                  <w:pPr>
                    <w:jc w:val="center"/>
                    <w:rPr>
                      <w:rFonts w:cs="Arial"/>
                      <w:b/>
                      <w:bCs/>
                      <w:color w:val="000000"/>
                      <w:sz w:val="20"/>
                      <w:szCs w:val="20"/>
                      <w:lang w:eastAsia="en-GB"/>
                    </w:rPr>
                  </w:pPr>
                  <w:r w:rsidRPr="00556FF1">
                    <w:rPr>
                      <w:rFonts w:cs="Arial"/>
                      <w:b/>
                      <w:bCs/>
                      <w:color w:val="000000"/>
                      <w:sz w:val="20"/>
                      <w:szCs w:val="20"/>
                      <w:lang w:eastAsia="en-GB"/>
                    </w:rPr>
                    <w:t>Volumes</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54D2777" w14:textId="77777777" w:rsidR="00412378" w:rsidRPr="00556FF1" w:rsidRDefault="00412378" w:rsidP="00412378">
                  <w:pPr>
                    <w:jc w:val="center"/>
                    <w:rPr>
                      <w:rFonts w:cs="Arial"/>
                      <w:b/>
                      <w:bCs/>
                      <w:color w:val="000000"/>
                      <w:sz w:val="20"/>
                      <w:szCs w:val="20"/>
                      <w:lang w:eastAsia="en-GB"/>
                    </w:rPr>
                  </w:pPr>
                  <w:r w:rsidRPr="00556FF1">
                    <w:rPr>
                      <w:rFonts w:cs="Arial"/>
                      <w:b/>
                      <w:bCs/>
                      <w:color w:val="000000"/>
                      <w:sz w:val="20"/>
                      <w:szCs w:val="20"/>
                      <w:lang w:eastAsia="en-GB"/>
                    </w:rPr>
                    <w:t xml:space="preserve">Unit Cost </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54D2778" w14:textId="77777777" w:rsidR="00412378" w:rsidRPr="00556FF1" w:rsidRDefault="00412378" w:rsidP="00412378">
                  <w:pPr>
                    <w:jc w:val="center"/>
                    <w:rPr>
                      <w:rFonts w:cs="Arial"/>
                      <w:b/>
                      <w:bCs/>
                      <w:color w:val="000000"/>
                      <w:sz w:val="20"/>
                      <w:szCs w:val="20"/>
                      <w:lang w:eastAsia="en-GB"/>
                    </w:rPr>
                  </w:pPr>
                  <w:r w:rsidRPr="00556FF1">
                    <w:rPr>
                      <w:rFonts w:cs="Arial"/>
                      <w:b/>
                      <w:bCs/>
                      <w:color w:val="000000"/>
                      <w:sz w:val="20"/>
                      <w:szCs w:val="20"/>
                      <w:lang w:eastAsia="en-GB"/>
                    </w:rPr>
                    <w:t>£</w:t>
                  </w:r>
                </w:p>
              </w:tc>
            </w:tr>
            <w:tr w:rsidR="00412378" w:rsidRPr="00556FF1" w14:paraId="254D277E" w14:textId="77777777" w:rsidTr="00921B50">
              <w:trPr>
                <w:trHeight w:val="450"/>
              </w:trPr>
              <w:tc>
                <w:tcPr>
                  <w:tcW w:w="371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54D277A" w14:textId="77777777" w:rsidR="00412378" w:rsidRPr="00556FF1" w:rsidRDefault="00412378" w:rsidP="00412378">
                  <w:pPr>
                    <w:rPr>
                      <w:rFonts w:cs="Arial"/>
                      <w:color w:val="000000"/>
                      <w:sz w:val="20"/>
                      <w:szCs w:val="20"/>
                      <w:lang w:eastAsia="en-GB"/>
                    </w:rPr>
                  </w:pPr>
                  <w:r w:rsidRPr="00556FF1">
                    <w:rPr>
                      <w:rFonts w:cs="Arial"/>
                      <w:color w:val="000000"/>
                      <w:sz w:val="20"/>
                      <w:szCs w:val="20"/>
                      <w:lang w:eastAsia="en-GB"/>
                    </w:rPr>
                    <w:t>ST01 Learner Assessment and Plan</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4D277B"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208</w:t>
                  </w:r>
                </w:p>
              </w:tc>
              <w:tc>
                <w:tcPr>
                  <w:tcW w:w="170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54D277C"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£300</w:t>
                  </w:r>
                </w:p>
              </w:tc>
              <w:tc>
                <w:tcPr>
                  <w:tcW w:w="170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54D277D"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£62,400</w:t>
                  </w:r>
                </w:p>
              </w:tc>
            </w:tr>
            <w:tr w:rsidR="00412378" w:rsidRPr="00556FF1" w14:paraId="254D2783" w14:textId="77777777" w:rsidTr="00921B50">
              <w:trPr>
                <w:trHeight w:val="450"/>
              </w:trPr>
              <w:tc>
                <w:tcPr>
                  <w:tcW w:w="371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54D277F" w14:textId="77777777" w:rsidR="00412378" w:rsidRPr="00556FF1" w:rsidRDefault="00412378" w:rsidP="00412378">
                  <w:pPr>
                    <w:rPr>
                      <w:rFonts w:cs="Arial"/>
                      <w:color w:val="000000"/>
                      <w:sz w:val="20"/>
                      <w:szCs w:val="20"/>
                      <w:lang w:eastAsia="en-GB"/>
                    </w:rPr>
                  </w:pPr>
                  <w:r w:rsidRPr="00556FF1">
                    <w:rPr>
                      <w:rFonts w:cs="Arial"/>
                      <w:color w:val="000000"/>
                      <w:sz w:val="20"/>
                      <w:szCs w:val="20"/>
                      <w:lang w:eastAsia="en-GB"/>
                    </w:rPr>
                    <w:t>NR01 Non Regulated Activity</w:t>
                  </w:r>
                </w:p>
              </w:tc>
              <w:tc>
                <w:tcPr>
                  <w:tcW w:w="127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54D2780" w14:textId="77777777" w:rsidR="00412378" w:rsidRPr="00556FF1" w:rsidRDefault="00412378" w:rsidP="00412378">
                  <w:pPr>
                    <w:jc w:val="center"/>
                    <w:rPr>
                      <w:rFonts w:cs="Arial"/>
                      <w:color w:val="000000"/>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D2781" w14:textId="77777777" w:rsidR="00412378" w:rsidRPr="00556FF1" w:rsidRDefault="00412378" w:rsidP="00412378">
                  <w:pPr>
                    <w:jc w:val="center"/>
                    <w:rPr>
                      <w:rFonts w:cs="Arial"/>
                      <w:color w:val="000000"/>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D2782"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£113,300</w:t>
                  </w:r>
                </w:p>
              </w:tc>
            </w:tr>
            <w:tr w:rsidR="00412378" w:rsidRPr="00556FF1" w14:paraId="254D2788" w14:textId="77777777" w:rsidTr="00921B50">
              <w:trPr>
                <w:trHeight w:val="450"/>
              </w:trPr>
              <w:tc>
                <w:tcPr>
                  <w:tcW w:w="371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54D2784" w14:textId="77777777" w:rsidR="00412378" w:rsidRPr="00556FF1" w:rsidRDefault="00412378" w:rsidP="00412378">
                  <w:pPr>
                    <w:rPr>
                      <w:rFonts w:cs="Arial"/>
                      <w:color w:val="000000"/>
                      <w:sz w:val="20"/>
                      <w:szCs w:val="20"/>
                      <w:lang w:eastAsia="en-GB"/>
                    </w:rPr>
                  </w:pPr>
                  <w:r w:rsidRPr="00556FF1">
                    <w:rPr>
                      <w:rFonts w:cs="Arial"/>
                      <w:color w:val="000000"/>
                      <w:sz w:val="20"/>
                      <w:szCs w:val="20"/>
                      <w:lang w:eastAsia="en-GB"/>
                    </w:rPr>
                    <w:t>PG01 Progression Paid Employment (EMP)</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4D2785"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55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4D2786"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£900</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4D2787"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£49,500</w:t>
                  </w:r>
                </w:p>
              </w:tc>
            </w:tr>
            <w:tr w:rsidR="00412378" w:rsidRPr="00556FF1" w14:paraId="254D278D" w14:textId="77777777" w:rsidTr="00921B50">
              <w:trPr>
                <w:trHeight w:val="450"/>
              </w:trPr>
              <w:tc>
                <w:tcPr>
                  <w:tcW w:w="371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54D2789" w14:textId="77777777" w:rsidR="00412378" w:rsidRPr="00556FF1" w:rsidRDefault="00412378" w:rsidP="00412378">
                  <w:pPr>
                    <w:rPr>
                      <w:rFonts w:cs="Arial"/>
                      <w:color w:val="000000"/>
                      <w:sz w:val="20"/>
                      <w:szCs w:val="20"/>
                      <w:lang w:eastAsia="en-GB"/>
                    </w:rPr>
                  </w:pPr>
                  <w:r w:rsidRPr="00556FF1">
                    <w:rPr>
                      <w:rFonts w:cs="Arial"/>
                      <w:color w:val="000000"/>
                      <w:sz w:val="20"/>
                      <w:szCs w:val="20"/>
                      <w:lang w:eastAsia="en-GB"/>
                    </w:rPr>
                    <w:t>PG02 Progression Unpaid Employment (VOL)</w:t>
                  </w:r>
                </w:p>
              </w:tc>
              <w:tc>
                <w:tcPr>
                  <w:tcW w:w="127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54D278A"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D278B"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D278C"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£13,500</w:t>
                  </w:r>
                </w:p>
              </w:tc>
            </w:tr>
            <w:tr w:rsidR="00412378" w:rsidRPr="00556FF1" w14:paraId="254D2792" w14:textId="77777777" w:rsidTr="00921B50">
              <w:trPr>
                <w:trHeight w:val="450"/>
              </w:trPr>
              <w:tc>
                <w:tcPr>
                  <w:tcW w:w="371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4D278E" w14:textId="77777777" w:rsidR="00412378" w:rsidRPr="00556FF1" w:rsidRDefault="00412378" w:rsidP="00412378">
                  <w:pPr>
                    <w:rPr>
                      <w:rFonts w:cs="Arial"/>
                      <w:sz w:val="20"/>
                      <w:szCs w:val="20"/>
                      <w:lang w:eastAsia="en-GB"/>
                    </w:rPr>
                  </w:pPr>
                  <w:r w:rsidRPr="00556FF1">
                    <w:rPr>
                      <w:rFonts w:cs="Arial"/>
                      <w:sz w:val="20"/>
                      <w:szCs w:val="20"/>
                      <w:lang w:eastAsia="en-GB"/>
                    </w:rPr>
                    <w:t>PG03 Progression Education (EDU)</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4D278F"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40</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4D2790"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£900</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4D2791"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£36,000</w:t>
                  </w:r>
                </w:p>
              </w:tc>
            </w:tr>
            <w:tr w:rsidR="00412378" w:rsidRPr="00556FF1" w14:paraId="254D2797" w14:textId="77777777" w:rsidTr="00921B50">
              <w:trPr>
                <w:trHeight w:val="450"/>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D2793" w14:textId="77777777" w:rsidR="00412378" w:rsidRPr="00556FF1" w:rsidRDefault="00412378" w:rsidP="00412378">
                  <w:pPr>
                    <w:rPr>
                      <w:rFonts w:cs="Arial"/>
                      <w:sz w:val="20"/>
                      <w:szCs w:val="20"/>
                      <w:lang w:eastAsia="en-GB"/>
                    </w:rPr>
                  </w:pPr>
                  <w:r w:rsidRPr="00556FF1">
                    <w:rPr>
                      <w:rFonts w:cs="Arial"/>
                      <w:sz w:val="20"/>
                      <w:szCs w:val="20"/>
                      <w:lang w:eastAsia="en-GB"/>
                    </w:rPr>
                    <w:t>PG04 Progression Apprenticeship (EDU)</w:t>
                  </w:r>
                </w:p>
              </w:tc>
              <w:tc>
                <w:tcPr>
                  <w:tcW w:w="127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54D2794"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D2795"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D2796"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£55,800</w:t>
                  </w:r>
                </w:p>
              </w:tc>
            </w:tr>
            <w:tr w:rsidR="00412378" w:rsidRPr="00556FF1" w14:paraId="254D279C" w14:textId="77777777" w:rsidTr="00921B50">
              <w:trPr>
                <w:trHeight w:val="450"/>
              </w:trPr>
              <w:tc>
                <w:tcPr>
                  <w:tcW w:w="371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54D2798" w14:textId="77777777" w:rsidR="00412378" w:rsidRPr="00556FF1" w:rsidRDefault="00412378" w:rsidP="00412378">
                  <w:pPr>
                    <w:rPr>
                      <w:rFonts w:cs="Arial"/>
                      <w:color w:val="000000"/>
                      <w:sz w:val="20"/>
                      <w:szCs w:val="20"/>
                      <w:lang w:eastAsia="en-GB"/>
                    </w:rPr>
                  </w:pPr>
                  <w:r w:rsidRPr="00556FF1">
                    <w:rPr>
                      <w:rFonts w:cs="Arial"/>
                      <w:color w:val="000000"/>
                      <w:sz w:val="20"/>
                      <w:szCs w:val="20"/>
                      <w:lang w:eastAsia="en-GB"/>
                    </w:rPr>
                    <w:t>PG05 Progression Traineeship (EDU)</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4D2799"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15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4D279A"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£900</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4D279B"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£13,500</w:t>
                  </w:r>
                </w:p>
              </w:tc>
            </w:tr>
            <w:tr w:rsidR="00412378" w:rsidRPr="00556FF1" w14:paraId="254D27A1" w14:textId="77777777" w:rsidTr="00556FF1">
              <w:trPr>
                <w:trHeight w:val="450"/>
              </w:trPr>
              <w:tc>
                <w:tcPr>
                  <w:tcW w:w="371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54D279D" w14:textId="77777777" w:rsidR="00412378" w:rsidRPr="00556FF1" w:rsidRDefault="00412378" w:rsidP="00412378">
                  <w:pPr>
                    <w:rPr>
                      <w:rFonts w:cs="Arial"/>
                      <w:color w:val="000000"/>
                      <w:sz w:val="20"/>
                      <w:szCs w:val="20"/>
                      <w:lang w:eastAsia="en-GB"/>
                    </w:rPr>
                  </w:pPr>
                  <w:r w:rsidRPr="00556FF1">
                    <w:rPr>
                      <w:rFonts w:cs="Arial"/>
                      <w:color w:val="000000"/>
                      <w:sz w:val="20"/>
                      <w:szCs w:val="20"/>
                      <w:lang w:eastAsia="en-GB"/>
                    </w:rPr>
                    <w:t>SD01 Report exploring barriers facing local NEET</w:t>
                  </w:r>
                </w:p>
              </w:tc>
              <w:tc>
                <w:tcPr>
                  <w:tcW w:w="127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54D279E"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D279F"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£6,000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D27A0"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£6,000</w:t>
                  </w:r>
                </w:p>
              </w:tc>
            </w:tr>
            <w:tr w:rsidR="00412378" w:rsidRPr="00556FF1" w14:paraId="254D27A6" w14:textId="77777777" w:rsidTr="00556FF1">
              <w:trPr>
                <w:trHeight w:val="450"/>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D27A2" w14:textId="77777777" w:rsidR="00412378" w:rsidRPr="00556FF1" w:rsidRDefault="00412378" w:rsidP="00412378">
                  <w:pPr>
                    <w:rPr>
                      <w:rFonts w:cs="Arial"/>
                      <w:color w:val="000000"/>
                      <w:sz w:val="20"/>
                      <w:szCs w:val="20"/>
                      <w:lang w:eastAsia="en-GB"/>
                    </w:rPr>
                  </w:pPr>
                  <w:r w:rsidRPr="00556FF1">
                    <w:rPr>
                      <w:rFonts w:cs="Arial"/>
                      <w:color w:val="000000"/>
                      <w:sz w:val="20"/>
                      <w:szCs w:val="20"/>
                      <w:lang w:eastAsia="en-GB"/>
                    </w:rPr>
                    <w:t>Total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4D27A3" w14:textId="77777777" w:rsidR="00412378" w:rsidRPr="00556FF1" w:rsidRDefault="00412378" w:rsidP="00412378">
                  <w:pPr>
                    <w:jc w:val="center"/>
                    <w:rPr>
                      <w:rFonts w:cs="Arial"/>
                      <w:sz w:val="20"/>
                      <w:szCs w:val="20"/>
                      <w:lang w:eastAsia="en-GB"/>
                    </w:rPr>
                  </w:pPr>
                  <w:r w:rsidRPr="00556FF1">
                    <w:rPr>
                      <w:rFonts w:cs="Arial"/>
                      <w:sz w:val="20"/>
                      <w:szCs w:val="20"/>
                      <w:lang w:eastAsia="en-GB"/>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54D27A4"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54D27A5" w14:textId="77777777" w:rsidR="00412378" w:rsidRPr="00556FF1" w:rsidRDefault="00412378" w:rsidP="00412378">
                  <w:pPr>
                    <w:jc w:val="center"/>
                    <w:rPr>
                      <w:rFonts w:cs="Arial"/>
                      <w:color w:val="000000"/>
                      <w:sz w:val="20"/>
                      <w:szCs w:val="20"/>
                      <w:lang w:eastAsia="en-GB"/>
                    </w:rPr>
                  </w:pPr>
                  <w:r w:rsidRPr="00556FF1">
                    <w:rPr>
                      <w:rFonts w:cs="Arial"/>
                      <w:color w:val="000000"/>
                      <w:sz w:val="20"/>
                      <w:szCs w:val="20"/>
                      <w:lang w:eastAsia="en-GB"/>
                    </w:rPr>
                    <w:t>£350,000</w:t>
                  </w:r>
                </w:p>
              </w:tc>
            </w:tr>
          </w:tbl>
          <w:p w14:paraId="254D27A7" w14:textId="77777777" w:rsidR="00172AB9" w:rsidRPr="009D7496" w:rsidRDefault="00172AB9" w:rsidP="004608D1">
            <w:pPr>
              <w:rPr>
                <w:rFonts w:cs="Arial"/>
                <w:b/>
                <w:highlight w:val="yellow"/>
              </w:rPr>
            </w:pPr>
          </w:p>
          <w:p w14:paraId="254D27A8" w14:textId="77777777" w:rsidR="006B2F23" w:rsidRPr="009D7496" w:rsidRDefault="006B2F23" w:rsidP="004608D1">
            <w:pPr>
              <w:rPr>
                <w:rFonts w:cs="Arial"/>
              </w:rPr>
            </w:pPr>
            <w:r w:rsidRPr="00921B50">
              <w:rPr>
                <w:rFonts w:cs="Arial"/>
              </w:rPr>
              <w:t xml:space="preserve">Contract deliverables evidence requirements are published here </w:t>
            </w:r>
          </w:p>
          <w:p w14:paraId="254D27B6" w14:textId="214016FF" w:rsidR="00627E01" w:rsidRPr="009D7496" w:rsidRDefault="002A7472" w:rsidP="00DF1A43">
            <w:pPr>
              <w:rPr>
                <w:rFonts w:cs="Arial"/>
                <w:b/>
              </w:rPr>
            </w:pPr>
            <w:hyperlink r:id="rId17" w:history="1">
              <w:r w:rsidR="00084057" w:rsidRPr="00921B50">
                <w:rPr>
                  <w:rStyle w:val="Hyperlink"/>
                  <w:sz w:val="24"/>
                  <w:szCs w:val="24"/>
                </w:rPr>
                <w:t>https://www.gov.uk/government/publications/sfa-funding-rules-2015-to-2016</w:t>
              </w:r>
            </w:hyperlink>
            <w:r w:rsidR="00084057" w:rsidRPr="009D7496">
              <w:rPr>
                <w:rFonts w:cs="Arial"/>
              </w:rPr>
              <w:t xml:space="preserve"> </w:t>
            </w:r>
          </w:p>
        </w:tc>
      </w:tr>
    </w:tbl>
    <w:p w14:paraId="254D27B8" w14:textId="77777777" w:rsidR="00A005EF" w:rsidRDefault="00A005EF">
      <w:pPr>
        <w:rPr>
          <w:rFonts w:cs="Arial"/>
        </w:rPr>
      </w:pPr>
    </w:p>
    <w:p w14:paraId="7E8754DF" w14:textId="77777777" w:rsidR="005B3DFD" w:rsidRDefault="005B3DFD">
      <w:pPr>
        <w:rPr>
          <w:rFonts w:cs="Arial"/>
        </w:rPr>
      </w:pPr>
    </w:p>
    <w:p w14:paraId="28CFDBBC" w14:textId="77777777" w:rsidR="005B3DFD" w:rsidRDefault="005B3DFD">
      <w:pPr>
        <w:rPr>
          <w:rFonts w:cs="Arial"/>
        </w:rPr>
      </w:pPr>
    </w:p>
    <w:p w14:paraId="492D845A" w14:textId="77777777" w:rsidR="005B3DFD" w:rsidRDefault="005B3DFD">
      <w:pPr>
        <w:rPr>
          <w:rFonts w:cs="Arial"/>
        </w:rPr>
      </w:pPr>
    </w:p>
    <w:p w14:paraId="723B4E5A" w14:textId="77777777" w:rsidR="005B3DFD" w:rsidRDefault="005B3DFD">
      <w:pPr>
        <w:rPr>
          <w:rFonts w:cs="Arial"/>
        </w:rPr>
      </w:pPr>
    </w:p>
    <w:p w14:paraId="6839D4D8" w14:textId="77777777" w:rsidR="005B3DFD" w:rsidRDefault="005B3DFD">
      <w:pPr>
        <w:rPr>
          <w:rFonts w:cs="Arial"/>
        </w:rPr>
      </w:pPr>
    </w:p>
    <w:p w14:paraId="0DA74FF1" w14:textId="77777777" w:rsidR="005B3DFD" w:rsidRDefault="005B3DFD">
      <w:pPr>
        <w:rPr>
          <w:rFonts w:cs="Arial"/>
        </w:rPr>
      </w:pPr>
    </w:p>
    <w:p w14:paraId="66B2927C" w14:textId="77777777" w:rsidR="005B3DFD" w:rsidRDefault="005B3DFD">
      <w:pPr>
        <w:rPr>
          <w:rFonts w:cs="Arial"/>
        </w:rPr>
      </w:pPr>
    </w:p>
    <w:p w14:paraId="6BAA9941" w14:textId="77777777" w:rsidR="005B3DFD" w:rsidRDefault="005B3DFD">
      <w:pPr>
        <w:rPr>
          <w:rFonts w:cs="Arial"/>
        </w:rPr>
      </w:pPr>
    </w:p>
    <w:p w14:paraId="0AC63646" w14:textId="77777777" w:rsidR="005B3DFD" w:rsidRDefault="005B3DFD">
      <w:pPr>
        <w:rPr>
          <w:rFonts w:cs="Arial"/>
        </w:rPr>
      </w:pPr>
    </w:p>
    <w:p w14:paraId="711CBF05" w14:textId="77777777" w:rsidR="005B3DFD" w:rsidRDefault="005B3DFD">
      <w:pPr>
        <w:rPr>
          <w:rFonts w:cs="Arial"/>
        </w:rPr>
      </w:pPr>
    </w:p>
    <w:p w14:paraId="76D9075E" w14:textId="77777777" w:rsidR="005B3DFD" w:rsidRDefault="005B3DFD">
      <w:pPr>
        <w:rPr>
          <w:rFonts w:cs="Arial"/>
        </w:rPr>
      </w:pPr>
    </w:p>
    <w:p w14:paraId="7EFC985B" w14:textId="77777777" w:rsidR="005B3DFD" w:rsidRDefault="005B3DFD">
      <w:pPr>
        <w:rPr>
          <w:rFonts w:cs="Arial"/>
        </w:rPr>
      </w:pPr>
    </w:p>
    <w:p w14:paraId="3B6DDAF6" w14:textId="77777777" w:rsidR="005B3DFD" w:rsidRDefault="005B3DFD">
      <w:pPr>
        <w:rPr>
          <w:rFonts w:cs="Arial"/>
        </w:rPr>
      </w:pPr>
    </w:p>
    <w:p w14:paraId="0075EB9C" w14:textId="77777777" w:rsidR="005B3DFD" w:rsidRDefault="005B3DFD">
      <w:pPr>
        <w:rPr>
          <w:rFonts w:cs="Arial"/>
        </w:rPr>
      </w:pPr>
    </w:p>
    <w:p w14:paraId="46DC63CA" w14:textId="77777777" w:rsidR="005B3DFD" w:rsidRDefault="005B3DFD">
      <w:pPr>
        <w:rPr>
          <w:rFonts w:cs="Arial"/>
        </w:rPr>
      </w:pPr>
    </w:p>
    <w:p w14:paraId="0FED04FE" w14:textId="77777777" w:rsidR="005B3DFD" w:rsidRDefault="005B3DFD">
      <w:pPr>
        <w:rPr>
          <w:rFonts w:cs="Arial"/>
        </w:rPr>
      </w:pPr>
    </w:p>
    <w:p w14:paraId="12E54397" w14:textId="77777777" w:rsidR="005B3DFD" w:rsidRDefault="005B3DFD">
      <w:pPr>
        <w:rPr>
          <w:rFonts w:cs="Arial"/>
        </w:rPr>
      </w:pPr>
    </w:p>
    <w:p w14:paraId="005EBDFE" w14:textId="77777777" w:rsidR="005B3DFD" w:rsidRDefault="005B3DFD">
      <w:pPr>
        <w:rPr>
          <w:rFonts w:cs="Arial"/>
        </w:rPr>
      </w:pPr>
    </w:p>
    <w:p w14:paraId="4DAB6D59" w14:textId="77777777" w:rsidR="005B3DFD" w:rsidRDefault="005B3DFD">
      <w:pPr>
        <w:rPr>
          <w:rFonts w:cs="Arial"/>
        </w:rPr>
      </w:pPr>
    </w:p>
    <w:p w14:paraId="448ED264" w14:textId="77777777" w:rsidR="005B3DFD" w:rsidRDefault="005B3DFD">
      <w:pPr>
        <w:rPr>
          <w:rFonts w:cs="Arial"/>
        </w:rPr>
      </w:pPr>
    </w:p>
    <w:p w14:paraId="362A0D23" w14:textId="77777777" w:rsidR="005B3DFD" w:rsidRDefault="005B3DFD">
      <w:pPr>
        <w:rPr>
          <w:rFonts w:cs="Arial"/>
        </w:rPr>
      </w:pPr>
    </w:p>
    <w:p w14:paraId="0646C425" w14:textId="77777777" w:rsidR="005B3DFD" w:rsidRDefault="005B3DFD">
      <w:pPr>
        <w:rPr>
          <w:rFonts w:cs="Arial"/>
        </w:rPr>
      </w:pPr>
    </w:p>
    <w:p w14:paraId="63DF7D68" w14:textId="77777777" w:rsidR="005B3DFD" w:rsidRDefault="005B3DFD">
      <w:pPr>
        <w:rPr>
          <w:rFonts w:cs="Arial"/>
        </w:rPr>
      </w:pPr>
    </w:p>
    <w:p w14:paraId="0FDAE0F1" w14:textId="77777777" w:rsidR="005B3DFD" w:rsidRDefault="005B3DFD">
      <w:pPr>
        <w:rPr>
          <w:rFonts w:cs="Arial"/>
        </w:rPr>
      </w:pPr>
    </w:p>
    <w:p w14:paraId="5AF42F14" w14:textId="77777777" w:rsidR="005B3DFD" w:rsidRDefault="005B3DFD">
      <w:pPr>
        <w:rPr>
          <w:rFonts w:cs="Arial"/>
        </w:rPr>
      </w:pPr>
    </w:p>
    <w:p w14:paraId="64BEEE93" w14:textId="77777777" w:rsidR="005B3DFD" w:rsidRDefault="005B3DFD">
      <w:pPr>
        <w:rPr>
          <w:rFonts w:cs="Arial"/>
        </w:rPr>
      </w:pPr>
    </w:p>
    <w:p w14:paraId="0BD37537" w14:textId="77777777" w:rsidR="005B3DFD" w:rsidRDefault="005B3DFD">
      <w:pPr>
        <w:rPr>
          <w:rFonts w:cs="Arial"/>
        </w:rPr>
      </w:pPr>
    </w:p>
    <w:p w14:paraId="4A448377" w14:textId="77777777" w:rsidR="005B3DFD" w:rsidRDefault="005B3DFD">
      <w:pPr>
        <w:rPr>
          <w:rFonts w:cs="Arial"/>
        </w:rPr>
      </w:pPr>
    </w:p>
    <w:p w14:paraId="417446D2" w14:textId="77777777" w:rsidR="005B3DFD" w:rsidRDefault="005B3DFD">
      <w:pPr>
        <w:rPr>
          <w:rFonts w:cs="Arial"/>
        </w:rPr>
      </w:pPr>
    </w:p>
    <w:p w14:paraId="24CDB0EB" w14:textId="77777777" w:rsidR="005B3DFD" w:rsidRDefault="005B3DFD">
      <w:pPr>
        <w:rPr>
          <w:rFonts w:cs="Arial"/>
        </w:rPr>
      </w:pPr>
    </w:p>
    <w:p w14:paraId="0208FDEB" w14:textId="77777777" w:rsidR="005B3DFD" w:rsidRDefault="005B3DFD">
      <w:pPr>
        <w:rPr>
          <w:rFonts w:cs="Arial"/>
        </w:rPr>
      </w:pPr>
    </w:p>
    <w:p w14:paraId="2E01CBFB" w14:textId="77777777" w:rsidR="005B3DFD" w:rsidRDefault="005B3DFD">
      <w:pPr>
        <w:rPr>
          <w:rFonts w:cs="Arial"/>
        </w:rPr>
      </w:pPr>
    </w:p>
    <w:p w14:paraId="15FB2B17" w14:textId="77777777" w:rsidR="005B3DFD" w:rsidRDefault="005B3DFD">
      <w:pPr>
        <w:rPr>
          <w:rFonts w:cs="Arial"/>
        </w:rPr>
      </w:pPr>
    </w:p>
    <w:p w14:paraId="5FB0BFBC" w14:textId="77777777" w:rsidR="005B3DFD" w:rsidRDefault="005B3DFD">
      <w:pPr>
        <w:rPr>
          <w:rFonts w:cs="Arial"/>
        </w:rPr>
      </w:pPr>
    </w:p>
    <w:p w14:paraId="1AB879D9" w14:textId="77777777" w:rsidR="005B3DFD" w:rsidRDefault="005B3DFD">
      <w:pPr>
        <w:rPr>
          <w:rFonts w:cs="Arial"/>
        </w:rPr>
      </w:pPr>
    </w:p>
    <w:p w14:paraId="3227388C" w14:textId="77777777" w:rsidR="005B3DFD" w:rsidRDefault="005B3DFD">
      <w:pPr>
        <w:rPr>
          <w:rFonts w:cs="Arial"/>
        </w:rPr>
      </w:pPr>
    </w:p>
    <w:p w14:paraId="25B12DF9" w14:textId="77777777" w:rsidR="005B3DFD" w:rsidRDefault="005B3DFD">
      <w:pPr>
        <w:rPr>
          <w:rFonts w:cs="Arial"/>
        </w:rPr>
      </w:pPr>
    </w:p>
    <w:p w14:paraId="193D7E81" w14:textId="77777777" w:rsidR="005B3DFD" w:rsidRDefault="005B3DFD">
      <w:pPr>
        <w:rPr>
          <w:rFonts w:cs="Arial"/>
        </w:rPr>
      </w:pPr>
    </w:p>
    <w:p w14:paraId="672AD48E" w14:textId="77777777" w:rsidR="005B3DFD" w:rsidRDefault="005B3DFD">
      <w:pPr>
        <w:rPr>
          <w:rFonts w:cs="Arial"/>
        </w:rPr>
      </w:pPr>
    </w:p>
    <w:p w14:paraId="7129468A" w14:textId="77777777" w:rsidR="005B3DFD" w:rsidRDefault="005B3DFD">
      <w:pPr>
        <w:rPr>
          <w:rFonts w:cs="Arial"/>
        </w:rPr>
      </w:pPr>
    </w:p>
    <w:p w14:paraId="57841F1B" w14:textId="77777777" w:rsidR="005B3DFD" w:rsidRDefault="005B3DFD">
      <w:pPr>
        <w:rPr>
          <w:rFonts w:cs="Arial"/>
        </w:rPr>
      </w:pPr>
    </w:p>
    <w:p w14:paraId="02AA3C22" w14:textId="77777777" w:rsidR="005B3DFD" w:rsidRDefault="005B3DFD">
      <w:pPr>
        <w:rPr>
          <w:rFonts w:cs="Arial"/>
        </w:rPr>
      </w:pPr>
    </w:p>
    <w:p w14:paraId="57D1985A" w14:textId="77777777" w:rsidR="005B3DFD" w:rsidRDefault="005B3DFD">
      <w:pPr>
        <w:rPr>
          <w:rFonts w:cs="Arial"/>
        </w:rPr>
      </w:pPr>
    </w:p>
    <w:sectPr w:rsidR="005B3DFD"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1F929" w14:textId="77777777" w:rsidR="002A7472" w:rsidRDefault="002A7472">
      <w:r>
        <w:separator/>
      </w:r>
    </w:p>
  </w:endnote>
  <w:endnote w:type="continuationSeparator" w:id="0">
    <w:p w14:paraId="7BE49B5B" w14:textId="77777777" w:rsidR="002A7472" w:rsidRDefault="002A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54D27C6" w14:textId="77777777" w:rsidR="009D7496" w:rsidRDefault="009D7496">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390"/>
        </w:tblGrid>
        <w:tr w:rsidR="009D7496" w14:paraId="254D27C9" w14:textId="77777777" w:rsidTr="00921B50">
          <w:tc>
            <w:tcPr>
              <w:tcW w:w="5387" w:type="dxa"/>
            </w:tcPr>
            <w:p w14:paraId="254D27C7" w14:textId="77777777" w:rsidR="009D7496" w:rsidRDefault="009D7496" w:rsidP="009808AC">
              <w:pPr>
                <w:pStyle w:val="Footer"/>
              </w:pPr>
            </w:p>
          </w:tc>
          <w:tc>
            <w:tcPr>
              <w:tcW w:w="3390" w:type="dxa"/>
            </w:tcPr>
            <w:p w14:paraId="254D27C8" w14:textId="77777777" w:rsidR="009D7496" w:rsidRDefault="009D7496"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00197F">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0197F">
                <w:rPr>
                  <w:b/>
                  <w:bCs/>
                  <w:noProof/>
                </w:rPr>
                <w:t>11</w:t>
              </w:r>
              <w:r>
                <w:rPr>
                  <w:b/>
                  <w:bCs/>
                </w:rPr>
                <w:fldChar w:fldCharType="end"/>
              </w:r>
            </w:p>
          </w:tc>
        </w:tr>
      </w:tbl>
      <w:p w14:paraId="254D27CA" w14:textId="77777777" w:rsidR="009D7496" w:rsidRDefault="002A7472">
        <w:pPr>
          <w:pStyle w:val="Footer"/>
          <w:jc w:val="right"/>
        </w:pPr>
      </w:p>
    </w:sdtContent>
  </w:sdt>
  <w:p w14:paraId="254D27CB" w14:textId="77777777" w:rsidR="009D7496" w:rsidRDefault="009D7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A557F" w14:textId="77777777" w:rsidR="002A7472" w:rsidRDefault="002A7472">
      <w:r>
        <w:separator/>
      </w:r>
    </w:p>
  </w:footnote>
  <w:footnote w:type="continuationSeparator" w:id="0">
    <w:p w14:paraId="0D770092" w14:textId="77777777" w:rsidR="002A7472" w:rsidRDefault="002A7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254D27C5" w14:textId="77777777" w:rsidR="009D7496" w:rsidRDefault="002A7472">
        <w:pPr>
          <w:pStyle w:val="Header"/>
        </w:pPr>
        <w:r>
          <w:rPr>
            <w:noProof/>
            <w:lang w:val="en-US"/>
          </w:rPr>
          <w:pict w14:anchorId="254D2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394269"/>
    <w:multiLevelType w:val="hybridMultilevel"/>
    <w:tmpl w:val="5E20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7184A"/>
    <w:multiLevelType w:val="hybridMultilevel"/>
    <w:tmpl w:val="0E6A3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F61D0"/>
    <w:multiLevelType w:val="hybridMultilevel"/>
    <w:tmpl w:val="6E66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1" w15:restartNumberingAfterBreak="0">
    <w:nsid w:val="54E06837"/>
    <w:multiLevelType w:val="hybridMultilevel"/>
    <w:tmpl w:val="B15C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4" w15:restartNumberingAfterBreak="0">
    <w:nsid w:val="686C559B"/>
    <w:multiLevelType w:val="hybridMultilevel"/>
    <w:tmpl w:val="AE06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23"/>
  </w:num>
  <w:num w:numId="4">
    <w:abstractNumId w:val="23"/>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20"/>
  </w:num>
  <w:num w:numId="11">
    <w:abstractNumId w:val="17"/>
  </w:num>
  <w:num w:numId="12">
    <w:abstractNumId w:val="27"/>
  </w:num>
  <w:num w:numId="13">
    <w:abstractNumId w:val="22"/>
  </w:num>
  <w:num w:numId="14">
    <w:abstractNumId w:val="15"/>
  </w:num>
  <w:num w:numId="15">
    <w:abstractNumId w:val="11"/>
  </w:num>
  <w:num w:numId="16">
    <w:abstractNumId w:val="9"/>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6"/>
  </w:num>
  <w:num w:numId="27">
    <w:abstractNumId w:val="10"/>
  </w:num>
  <w:num w:numId="28">
    <w:abstractNumId w:val="14"/>
  </w:num>
  <w:num w:numId="29">
    <w:abstractNumId w:val="5"/>
  </w:num>
  <w:num w:numId="30">
    <w:abstractNumId w:val="7"/>
  </w:num>
  <w:num w:numId="31">
    <w:abstractNumId w:val="24"/>
  </w:num>
  <w:num w:numId="32">
    <w:abstractNumId w:val="6"/>
  </w:num>
  <w:num w:numId="33">
    <w:abstractNumId w:val="1"/>
  </w:num>
  <w:num w:numId="34">
    <w:abstractNumId w:val="18"/>
  </w:num>
  <w:num w:numId="35">
    <w:abstractNumId w:val="21"/>
  </w:num>
  <w:num w:numId="3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197F"/>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5CF"/>
    <w:rsid w:val="00065977"/>
    <w:rsid w:val="0006613A"/>
    <w:rsid w:val="00066B72"/>
    <w:rsid w:val="0006724D"/>
    <w:rsid w:val="0007093F"/>
    <w:rsid w:val="000730F1"/>
    <w:rsid w:val="000753DC"/>
    <w:rsid w:val="00084057"/>
    <w:rsid w:val="000871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049"/>
    <w:rsid w:val="000C7A51"/>
    <w:rsid w:val="000D0395"/>
    <w:rsid w:val="000D3936"/>
    <w:rsid w:val="000D4283"/>
    <w:rsid w:val="000D4950"/>
    <w:rsid w:val="000D51DE"/>
    <w:rsid w:val="000E4725"/>
    <w:rsid w:val="000E4FA1"/>
    <w:rsid w:val="000E66D3"/>
    <w:rsid w:val="000F0F49"/>
    <w:rsid w:val="000F1295"/>
    <w:rsid w:val="000F1BF3"/>
    <w:rsid w:val="00101C79"/>
    <w:rsid w:val="00105A7C"/>
    <w:rsid w:val="00110113"/>
    <w:rsid w:val="00111F99"/>
    <w:rsid w:val="0012138E"/>
    <w:rsid w:val="00123B61"/>
    <w:rsid w:val="00123C60"/>
    <w:rsid w:val="00131443"/>
    <w:rsid w:val="0013204A"/>
    <w:rsid w:val="00133A11"/>
    <w:rsid w:val="00136327"/>
    <w:rsid w:val="00137737"/>
    <w:rsid w:val="00143A7D"/>
    <w:rsid w:val="0014799D"/>
    <w:rsid w:val="0015011A"/>
    <w:rsid w:val="001535BC"/>
    <w:rsid w:val="001545B4"/>
    <w:rsid w:val="001548A1"/>
    <w:rsid w:val="00155553"/>
    <w:rsid w:val="00162B5B"/>
    <w:rsid w:val="0017038F"/>
    <w:rsid w:val="00171CCB"/>
    <w:rsid w:val="00172AB9"/>
    <w:rsid w:val="0017418C"/>
    <w:rsid w:val="00174E73"/>
    <w:rsid w:val="001866C4"/>
    <w:rsid w:val="00186C06"/>
    <w:rsid w:val="00191EFE"/>
    <w:rsid w:val="0019279D"/>
    <w:rsid w:val="001931FA"/>
    <w:rsid w:val="00194CEF"/>
    <w:rsid w:val="00195C99"/>
    <w:rsid w:val="001A0525"/>
    <w:rsid w:val="001A1174"/>
    <w:rsid w:val="001A34A6"/>
    <w:rsid w:val="001A3E9E"/>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3491"/>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1D44"/>
    <w:rsid w:val="0025417A"/>
    <w:rsid w:val="00254DC6"/>
    <w:rsid w:val="00261A57"/>
    <w:rsid w:val="00261BD3"/>
    <w:rsid w:val="00266C21"/>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A7472"/>
    <w:rsid w:val="002B2730"/>
    <w:rsid w:val="002B2B9C"/>
    <w:rsid w:val="002B505F"/>
    <w:rsid w:val="002B7967"/>
    <w:rsid w:val="002C3DD0"/>
    <w:rsid w:val="002C62CF"/>
    <w:rsid w:val="002C72A2"/>
    <w:rsid w:val="002D5A8E"/>
    <w:rsid w:val="002D7D91"/>
    <w:rsid w:val="002E25F4"/>
    <w:rsid w:val="002E3B40"/>
    <w:rsid w:val="002E53B9"/>
    <w:rsid w:val="002F22A1"/>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17982"/>
    <w:rsid w:val="00320393"/>
    <w:rsid w:val="003242A9"/>
    <w:rsid w:val="00325BC2"/>
    <w:rsid w:val="00325EB2"/>
    <w:rsid w:val="00331FD0"/>
    <w:rsid w:val="00332E13"/>
    <w:rsid w:val="003341FC"/>
    <w:rsid w:val="003372BE"/>
    <w:rsid w:val="0034251F"/>
    <w:rsid w:val="003436BF"/>
    <w:rsid w:val="003437A8"/>
    <w:rsid w:val="003441FF"/>
    <w:rsid w:val="00344FA1"/>
    <w:rsid w:val="003531F2"/>
    <w:rsid w:val="0035514D"/>
    <w:rsid w:val="00363111"/>
    <w:rsid w:val="0036417A"/>
    <w:rsid w:val="00364F09"/>
    <w:rsid w:val="00365815"/>
    <w:rsid w:val="00370ADD"/>
    <w:rsid w:val="003711BA"/>
    <w:rsid w:val="00372BC6"/>
    <w:rsid w:val="00375F41"/>
    <w:rsid w:val="00376B4D"/>
    <w:rsid w:val="003815F3"/>
    <w:rsid w:val="003817E6"/>
    <w:rsid w:val="003844A2"/>
    <w:rsid w:val="00384AE2"/>
    <w:rsid w:val="003900BE"/>
    <w:rsid w:val="00391879"/>
    <w:rsid w:val="00391DA7"/>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E0C7F"/>
    <w:rsid w:val="003E3DEA"/>
    <w:rsid w:val="003E657D"/>
    <w:rsid w:val="003F57F0"/>
    <w:rsid w:val="00404490"/>
    <w:rsid w:val="004050CC"/>
    <w:rsid w:val="00407ED0"/>
    <w:rsid w:val="00412378"/>
    <w:rsid w:val="00412EFF"/>
    <w:rsid w:val="0041542B"/>
    <w:rsid w:val="00415643"/>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08D1"/>
    <w:rsid w:val="00464432"/>
    <w:rsid w:val="00464787"/>
    <w:rsid w:val="00466FA7"/>
    <w:rsid w:val="00471029"/>
    <w:rsid w:val="00475879"/>
    <w:rsid w:val="00476E85"/>
    <w:rsid w:val="004815E5"/>
    <w:rsid w:val="004819A8"/>
    <w:rsid w:val="004825CA"/>
    <w:rsid w:val="00486791"/>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4F104C"/>
    <w:rsid w:val="004F53DA"/>
    <w:rsid w:val="005005F6"/>
    <w:rsid w:val="0050287E"/>
    <w:rsid w:val="00503222"/>
    <w:rsid w:val="00503817"/>
    <w:rsid w:val="00505AA1"/>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6FF1"/>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DFD"/>
    <w:rsid w:val="005B3F9D"/>
    <w:rsid w:val="005B4B9E"/>
    <w:rsid w:val="005B629B"/>
    <w:rsid w:val="005C04A2"/>
    <w:rsid w:val="005C350D"/>
    <w:rsid w:val="005C44C5"/>
    <w:rsid w:val="005C5018"/>
    <w:rsid w:val="005C5996"/>
    <w:rsid w:val="005C5B32"/>
    <w:rsid w:val="005C74C2"/>
    <w:rsid w:val="005D2318"/>
    <w:rsid w:val="005D2D1A"/>
    <w:rsid w:val="005D2FF1"/>
    <w:rsid w:val="005D3214"/>
    <w:rsid w:val="005D3E38"/>
    <w:rsid w:val="005D55AD"/>
    <w:rsid w:val="005D571A"/>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54BD"/>
    <w:rsid w:val="00627E01"/>
    <w:rsid w:val="006321E9"/>
    <w:rsid w:val="00651A1C"/>
    <w:rsid w:val="00655180"/>
    <w:rsid w:val="00655E68"/>
    <w:rsid w:val="00663C28"/>
    <w:rsid w:val="006640FB"/>
    <w:rsid w:val="006701D5"/>
    <w:rsid w:val="00670BF4"/>
    <w:rsid w:val="0067125E"/>
    <w:rsid w:val="00673325"/>
    <w:rsid w:val="006769F9"/>
    <w:rsid w:val="00680408"/>
    <w:rsid w:val="00683123"/>
    <w:rsid w:val="00683FE3"/>
    <w:rsid w:val="00684125"/>
    <w:rsid w:val="0068445E"/>
    <w:rsid w:val="00685FB5"/>
    <w:rsid w:val="00692A78"/>
    <w:rsid w:val="00692CED"/>
    <w:rsid w:val="00697265"/>
    <w:rsid w:val="006A28A1"/>
    <w:rsid w:val="006A4FD3"/>
    <w:rsid w:val="006B0A4D"/>
    <w:rsid w:val="006B2902"/>
    <w:rsid w:val="006B2F23"/>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6F59E0"/>
    <w:rsid w:val="007002C7"/>
    <w:rsid w:val="0070487E"/>
    <w:rsid w:val="0070702A"/>
    <w:rsid w:val="007118CF"/>
    <w:rsid w:val="007121E9"/>
    <w:rsid w:val="007167C9"/>
    <w:rsid w:val="0072012D"/>
    <w:rsid w:val="007219BC"/>
    <w:rsid w:val="00721D14"/>
    <w:rsid w:val="007221B7"/>
    <w:rsid w:val="00731391"/>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53B1"/>
    <w:rsid w:val="007779B8"/>
    <w:rsid w:val="00780C7F"/>
    <w:rsid w:val="00784172"/>
    <w:rsid w:val="00785103"/>
    <w:rsid w:val="00787807"/>
    <w:rsid w:val="00794997"/>
    <w:rsid w:val="00795CD9"/>
    <w:rsid w:val="00795FB8"/>
    <w:rsid w:val="007977E5"/>
    <w:rsid w:val="00797BD3"/>
    <w:rsid w:val="007A1505"/>
    <w:rsid w:val="007A1663"/>
    <w:rsid w:val="007A2BAF"/>
    <w:rsid w:val="007A38DA"/>
    <w:rsid w:val="007A3B66"/>
    <w:rsid w:val="007A4AE0"/>
    <w:rsid w:val="007A4CDA"/>
    <w:rsid w:val="007A63F7"/>
    <w:rsid w:val="007B305F"/>
    <w:rsid w:val="007B33D4"/>
    <w:rsid w:val="007C1168"/>
    <w:rsid w:val="007C1C00"/>
    <w:rsid w:val="007C294F"/>
    <w:rsid w:val="007C2B80"/>
    <w:rsid w:val="007C6DA6"/>
    <w:rsid w:val="007D184B"/>
    <w:rsid w:val="007D25C3"/>
    <w:rsid w:val="007E2C13"/>
    <w:rsid w:val="007E2F31"/>
    <w:rsid w:val="007E39F7"/>
    <w:rsid w:val="007E51DD"/>
    <w:rsid w:val="007E5629"/>
    <w:rsid w:val="007E7731"/>
    <w:rsid w:val="007F51F2"/>
    <w:rsid w:val="007F575A"/>
    <w:rsid w:val="007F61A6"/>
    <w:rsid w:val="008040A8"/>
    <w:rsid w:val="00806C56"/>
    <w:rsid w:val="00812EC6"/>
    <w:rsid w:val="008139C0"/>
    <w:rsid w:val="0081783D"/>
    <w:rsid w:val="008441FE"/>
    <w:rsid w:val="00845EC7"/>
    <w:rsid w:val="00860D0C"/>
    <w:rsid w:val="0086257F"/>
    <w:rsid w:val="00865DD0"/>
    <w:rsid w:val="00866F8D"/>
    <w:rsid w:val="00871CDC"/>
    <w:rsid w:val="008751AB"/>
    <w:rsid w:val="008755C5"/>
    <w:rsid w:val="00884042"/>
    <w:rsid w:val="00884D80"/>
    <w:rsid w:val="00885437"/>
    <w:rsid w:val="00887561"/>
    <w:rsid w:val="00887CC4"/>
    <w:rsid w:val="008914FB"/>
    <w:rsid w:val="00891C05"/>
    <w:rsid w:val="00892D58"/>
    <w:rsid w:val="00893B59"/>
    <w:rsid w:val="00894725"/>
    <w:rsid w:val="008A35F2"/>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6320"/>
    <w:rsid w:val="008F34BD"/>
    <w:rsid w:val="00900D0A"/>
    <w:rsid w:val="009029D4"/>
    <w:rsid w:val="0090511E"/>
    <w:rsid w:val="00906ED1"/>
    <w:rsid w:val="009100F8"/>
    <w:rsid w:val="00911515"/>
    <w:rsid w:val="009116BD"/>
    <w:rsid w:val="00911A56"/>
    <w:rsid w:val="00912377"/>
    <w:rsid w:val="00914BB9"/>
    <w:rsid w:val="00914DF9"/>
    <w:rsid w:val="00920D7A"/>
    <w:rsid w:val="00921B50"/>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6BFF"/>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D7496"/>
    <w:rsid w:val="009E0CB1"/>
    <w:rsid w:val="009E20A3"/>
    <w:rsid w:val="009E7A30"/>
    <w:rsid w:val="009F1166"/>
    <w:rsid w:val="009F51A8"/>
    <w:rsid w:val="00A005EF"/>
    <w:rsid w:val="00A0389B"/>
    <w:rsid w:val="00A06583"/>
    <w:rsid w:val="00A077AE"/>
    <w:rsid w:val="00A11AEC"/>
    <w:rsid w:val="00A1546F"/>
    <w:rsid w:val="00A1567A"/>
    <w:rsid w:val="00A205A2"/>
    <w:rsid w:val="00A2101B"/>
    <w:rsid w:val="00A22603"/>
    <w:rsid w:val="00A2263A"/>
    <w:rsid w:val="00A228E4"/>
    <w:rsid w:val="00A2424D"/>
    <w:rsid w:val="00A254AE"/>
    <w:rsid w:val="00A26FC4"/>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1617"/>
    <w:rsid w:val="00A926B4"/>
    <w:rsid w:val="00A933DA"/>
    <w:rsid w:val="00A93F46"/>
    <w:rsid w:val="00A940C1"/>
    <w:rsid w:val="00AA0653"/>
    <w:rsid w:val="00AA0B4C"/>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2E02"/>
    <w:rsid w:val="00AF0CF1"/>
    <w:rsid w:val="00AF3545"/>
    <w:rsid w:val="00AF6AC9"/>
    <w:rsid w:val="00B02931"/>
    <w:rsid w:val="00B048EE"/>
    <w:rsid w:val="00B05C27"/>
    <w:rsid w:val="00B06A9F"/>
    <w:rsid w:val="00B13229"/>
    <w:rsid w:val="00B15E45"/>
    <w:rsid w:val="00B20E5C"/>
    <w:rsid w:val="00B20F54"/>
    <w:rsid w:val="00B21ED4"/>
    <w:rsid w:val="00B24D65"/>
    <w:rsid w:val="00B3130F"/>
    <w:rsid w:val="00B31462"/>
    <w:rsid w:val="00B3399A"/>
    <w:rsid w:val="00B348CF"/>
    <w:rsid w:val="00B37256"/>
    <w:rsid w:val="00B505CF"/>
    <w:rsid w:val="00B52D80"/>
    <w:rsid w:val="00B5379B"/>
    <w:rsid w:val="00B5677B"/>
    <w:rsid w:val="00B56C5A"/>
    <w:rsid w:val="00B5729F"/>
    <w:rsid w:val="00B6405E"/>
    <w:rsid w:val="00B64855"/>
    <w:rsid w:val="00B650A9"/>
    <w:rsid w:val="00B6696F"/>
    <w:rsid w:val="00B66CC6"/>
    <w:rsid w:val="00B70FB2"/>
    <w:rsid w:val="00B75047"/>
    <w:rsid w:val="00B83AD0"/>
    <w:rsid w:val="00B85F61"/>
    <w:rsid w:val="00B87752"/>
    <w:rsid w:val="00B93DDE"/>
    <w:rsid w:val="00BA120C"/>
    <w:rsid w:val="00BA1865"/>
    <w:rsid w:val="00BA2334"/>
    <w:rsid w:val="00BB06DA"/>
    <w:rsid w:val="00BC07D7"/>
    <w:rsid w:val="00BC24EC"/>
    <w:rsid w:val="00BC357A"/>
    <w:rsid w:val="00BC3D6D"/>
    <w:rsid w:val="00BC4384"/>
    <w:rsid w:val="00BC7F87"/>
    <w:rsid w:val="00BD16C9"/>
    <w:rsid w:val="00BD40A0"/>
    <w:rsid w:val="00BD660A"/>
    <w:rsid w:val="00BD7BCF"/>
    <w:rsid w:val="00BD7FA4"/>
    <w:rsid w:val="00BE4001"/>
    <w:rsid w:val="00BE49F7"/>
    <w:rsid w:val="00BF0EC3"/>
    <w:rsid w:val="00BF1E26"/>
    <w:rsid w:val="00BF2FB8"/>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711A"/>
    <w:rsid w:val="00C45103"/>
    <w:rsid w:val="00C4536B"/>
    <w:rsid w:val="00C47F4E"/>
    <w:rsid w:val="00C510A4"/>
    <w:rsid w:val="00C5289B"/>
    <w:rsid w:val="00C5423A"/>
    <w:rsid w:val="00C6044B"/>
    <w:rsid w:val="00C60796"/>
    <w:rsid w:val="00C6219F"/>
    <w:rsid w:val="00C641E9"/>
    <w:rsid w:val="00C644F5"/>
    <w:rsid w:val="00C67261"/>
    <w:rsid w:val="00C7641A"/>
    <w:rsid w:val="00C80FAC"/>
    <w:rsid w:val="00C82A80"/>
    <w:rsid w:val="00C8302D"/>
    <w:rsid w:val="00C84DE2"/>
    <w:rsid w:val="00C86B99"/>
    <w:rsid w:val="00C87D58"/>
    <w:rsid w:val="00C87D6D"/>
    <w:rsid w:val="00C90744"/>
    <w:rsid w:val="00C91A91"/>
    <w:rsid w:val="00C92574"/>
    <w:rsid w:val="00C9718A"/>
    <w:rsid w:val="00CA0D58"/>
    <w:rsid w:val="00CA0E8C"/>
    <w:rsid w:val="00CA0F97"/>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30ED0"/>
    <w:rsid w:val="00D40CC3"/>
    <w:rsid w:val="00D4509F"/>
    <w:rsid w:val="00D47BED"/>
    <w:rsid w:val="00D501D9"/>
    <w:rsid w:val="00D52ABC"/>
    <w:rsid w:val="00D535E6"/>
    <w:rsid w:val="00D6167E"/>
    <w:rsid w:val="00D6687E"/>
    <w:rsid w:val="00D67580"/>
    <w:rsid w:val="00D70054"/>
    <w:rsid w:val="00D73447"/>
    <w:rsid w:val="00D75418"/>
    <w:rsid w:val="00D76FA8"/>
    <w:rsid w:val="00D87E29"/>
    <w:rsid w:val="00D90744"/>
    <w:rsid w:val="00D92E9F"/>
    <w:rsid w:val="00D934F2"/>
    <w:rsid w:val="00DA37E3"/>
    <w:rsid w:val="00DA39DA"/>
    <w:rsid w:val="00DA3E5E"/>
    <w:rsid w:val="00DA4EEE"/>
    <w:rsid w:val="00DA7651"/>
    <w:rsid w:val="00DB2FA1"/>
    <w:rsid w:val="00DB3C97"/>
    <w:rsid w:val="00DB5C0F"/>
    <w:rsid w:val="00DB7814"/>
    <w:rsid w:val="00DC0AC4"/>
    <w:rsid w:val="00DC4D27"/>
    <w:rsid w:val="00DC5127"/>
    <w:rsid w:val="00DC7B87"/>
    <w:rsid w:val="00DD1D1E"/>
    <w:rsid w:val="00DD44CA"/>
    <w:rsid w:val="00DD47E2"/>
    <w:rsid w:val="00DD55FC"/>
    <w:rsid w:val="00DD6338"/>
    <w:rsid w:val="00DE0CAB"/>
    <w:rsid w:val="00DE18A3"/>
    <w:rsid w:val="00DE1B57"/>
    <w:rsid w:val="00DE4672"/>
    <w:rsid w:val="00DE4E56"/>
    <w:rsid w:val="00DF1A43"/>
    <w:rsid w:val="00DF4569"/>
    <w:rsid w:val="00DF61FC"/>
    <w:rsid w:val="00E0597D"/>
    <w:rsid w:val="00E0685C"/>
    <w:rsid w:val="00E076C0"/>
    <w:rsid w:val="00E102EF"/>
    <w:rsid w:val="00E11599"/>
    <w:rsid w:val="00E121E1"/>
    <w:rsid w:val="00E2183E"/>
    <w:rsid w:val="00E21F98"/>
    <w:rsid w:val="00E23851"/>
    <w:rsid w:val="00E24CC5"/>
    <w:rsid w:val="00E275C2"/>
    <w:rsid w:val="00E37B6C"/>
    <w:rsid w:val="00E413C6"/>
    <w:rsid w:val="00E41BB7"/>
    <w:rsid w:val="00E43DDB"/>
    <w:rsid w:val="00E44261"/>
    <w:rsid w:val="00E45544"/>
    <w:rsid w:val="00E55D00"/>
    <w:rsid w:val="00E56D8F"/>
    <w:rsid w:val="00E57D32"/>
    <w:rsid w:val="00E627AE"/>
    <w:rsid w:val="00E62E4D"/>
    <w:rsid w:val="00E74099"/>
    <w:rsid w:val="00E751A1"/>
    <w:rsid w:val="00E82E42"/>
    <w:rsid w:val="00E82E45"/>
    <w:rsid w:val="00E838E3"/>
    <w:rsid w:val="00E84720"/>
    <w:rsid w:val="00E93E97"/>
    <w:rsid w:val="00EA180F"/>
    <w:rsid w:val="00EA22BB"/>
    <w:rsid w:val="00EA247E"/>
    <w:rsid w:val="00EA599B"/>
    <w:rsid w:val="00EA61ED"/>
    <w:rsid w:val="00EB0715"/>
    <w:rsid w:val="00EB1337"/>
    <w:rsid w:val="00EB6E31"/>
    <w:rsid w:val="00EC0AD0"/>
    <w:rsid w:val="00EC1414"/>
    <w:rsid w:val="00EC2618"/>
    <w:rsid w:val="00EC2AFC"/>
    <w:rsid w:val="00EC2CBB"/>
    <w:rsid w:val="00EC48EC"/>
    <w:rsid w:val="00EC5F1C"/>
    <w:rsid w:val="00ED0DDC"/>
    <w:rsid w:val="00ED0DEE"/>
    <w:rsid w:val="00ED156A"/>
    <w:rsid w:val="00ED4D0D"/>
    <w:rsid w:val="00ED5F5C"/>
    <w:rsid w:val="00ED67E0"/>
    <w:rsid w:val="00EE3F01"/>
    <w:rsid w:val="00EE6303"/>
    <w:rsid w:val="00EF2392"/>
    <w:rsid w:val="00F0539E"/>
    <w:rsid w:val="00F06729"/>
    <w:rsid w:val="00F06766"/>
    <w:rsid w:val="00F06A90"/>
    <w:rsid w:val="00F10244"/>
    <w:rsid w:val="00F11250"/>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47F20"/>
    <w:rsid w:val="00F523D2"/>
    <w:rsid w:val="00F5468A"/>
    <w:rsid w:val="00F5623E"/>
    <w:rsid w:val="00F5711C"/>
    <w:rsid w:val="00F65D61"/>
    <w:rsid w:val="00F66474"/>
    <w:rsid w:val="00F722BB"/>
    <w:rsid w:val="00F72938"/>
    <w:rsid w:val="00F87D3E"/>
    <w:rsid w:val="00F9192C"/>
    <w:rsid w:val="00F925C5"/>
    <w:rsid w:val="00FA346F"/>
    <w:rsid w:val="00FA5F66"/>
    <w:rsid w:val="00FC0576"/>
    <w:rsid w:val="00FC3A08"/>
    <w:rsid w:val="00FC7AB5"/>
    <w:rsid w:val="00FD0099"/>
    <w:rsid w:val="00FD05D4"/>
    <w:rsid w:val="00FD3B0A"/>
    <w:rsid w:val="00FD4ABD"/>
    <w:rsid w:val="00FD6B67"/>
    <w:rsid w:val="00FE0024"/>
    <w:rsid w:val="00FF0667"/>
    <w:rsid w:val="00FF0769"/>
    <w:rsid w:val="00FF08DF"/>
    <w:rsid w:val="00FF33F2"/>
    <w:rsid w:val="00FF5BCC"/>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4D265B"/>
  <w15:docId w15:val="{B2BD51CC-C7A8-4B5A-91AA-9790AD88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49319548">
      <w:bodyDiv w:val="1"/>
      <w:marLeft w:val="0"/>
      <w:marRight w:val="0"/>
      <w:marTop w:val="0"/>
      <w:marBottom w:val="0"/>
      <w:divBdr>
        <w:top w:val="none" w:sz="0" w:space="0" w:color="auto"/>
        <w:left w:val="none" w:sz="0" w:space="0" w:color="auto"/>
        <w:bottom w:val="none" w:sz="0" w:space="0" w:color="auto"/>
        <w:right w:val="none" w:sz="0" w:space="0" w:color="auto"/>
      </w:divBdr>
    </w:div>
    <w:div w:id="27783422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20498193">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46555647">
      <w:bodyDiv w:val="1"/>
      <w:marLeft w:val="0"/>
      <w:marRight w:val="0"/>
      <w:marTop w:val="0"/>
      <w:marBottom w:val="0"/>
      <w:divBdr>
        <w:top w:val="none" w:sz="0" w:space="0" w:color="auto"/>
        <w:left w:val="none" w:sz="0" w:space="0" w:color="auto"/>
        <w:bottom w:val="none" w:sz="0" w:space="0" w:color="auto"/>
        <w:right w:val="none" w:sz="0" w:space="0" w:color="auto"/>
      </w:divBdr>
    </w:div>
    <w:div w:id="1174491584">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268586168">
      <w:bodyDiv w:val="1"/>
      <w:marLeft w:val="0"/>
      <w:marRight w:val="0"/>
      <w:marTop w:val="0"/>
      <w:marBottom w:val="0"/>
      <w:divBdr>
        <w:top w:val="none" w:sz="0" w:space="0" w:color="auto"/>
        <w:left w:val="none" w:sz="0" w:space="0" w:color="auto"/>
        <w:bottom w:val="none" w:sz="0" w:space="0" w:color="auto"/>
        <w:right w:val="none" w:sz="0" w:space="0" w:color="auto"/>
      </w:divBdr>
    </w:div>
    <w:div w:id="1672566361">
      <w:bodyDiv w:val="1"/>
      <w:marLeft w:val="0"/>
      <w:marRight w:val="0"/>
      <w:marTop w:val="0"/>
      <w:marBottom w:val="0"/>
      <w:divBdr>
        <w:top w:val="none" w:sz="0" w:space="0" w:color="auto"/>
        <w:left w:val="none" w:sz="0" w:space="0" w:color="auto"/>
        <w:bottom w:val="none" w:sz="0" w:space="0" w:color="auto"/>
        <w:right w:val="none" w:sz="0" w:space="0" w:color="auto"/>
      </w:divBdr>
    </w:div>
    <w:div w:id="1978102477">
      <w:bodyDiv w:val="1"/>
      <w:marLeft w:val="0"/>
      <w:marRight w:val="0"/>
      <w:marTop w:val="0"/>
      <w:marBottom w:val="0"/>
      <w:divBdr>
        <w:top w:val="none" w:sz="0" w:space="0" w:color="auto"/>
        <w:left w:val="none" w:sz="0" w:space="0" w:color="auto"/>
        <w:bottom w:val="none" w:sz="0" w:space="0" w:color="auto"/>
        <w:right w:val="none" w:sz="0" w:space="0" w:color="auto"/>
      </w:divBdr>
    </w:div>
    <w:div w:id="2021857225">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reaterlincolnshirelep.co.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7589C3D8-9BDE-48AD-8B7D-AA98EAE46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0FEB29-86F3-4C4F-93A0-B3F5EA95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3414</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22832</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4</cp:revision>
  <cp:lastPrinted>2016-06-21T10:35:00Z</cp:lastPrinted>
  <dcterms:created xsi:type="dcterms:W3CDTF">2016-07-08T11:44:00Z</dcterms:created>
  <dcterms:modified xsi:type="dcterms:W3CDTF">2016-07-08T12:13:00Z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