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bookmarkStart w:id="0" w:name="_GoBack"/>
      <w:bookmarkEnd w:id="0"/>
    </w:p>
    <w:p w14:paraId="5EA87523" w14:textId="77777777" w:rsidR="00893A3F" w:rsidRDefault="00893A3F" w:rsidP="008F2B68">
      <w:pPr>
        <w:pStyle w:val="Norma"/>
        <w:rPr>
          <w:rFonts w:ascii="Calibri" w:hAnsi="Calibri" w:cs="Calibri"/>
          <w:b/>
          <w:sz w:val="32"/>
          <w:szCs w:val="32"/>
        </w:rPr>
      </w:pPr>
    </w:p>
    <w:p w14:paraId="5EA87524" w14:textId="550C95CA" w:rsidR="00FE0B21" w:rsidRDefault="00CA7099" w:rsidP="00FE0B21">
      <w:pPr>
        <w:pStyle w:val="Norma"/>
        <w:rPr>
          <w:rFonts w:cs="Arial"/>
          <w:b/>
          <w:sz w:val="36"/>
          <w:szCs w:val="36"/>
        </w:rPr>
      </w:pPr>
      <w:r>
        <w:rPr>
          <w:rFonts w:cs="Arial"/>
          <w:b/>
          <w:sz w:val="36"/>
          <w:szCs w:val="36"/>
        </w:rPr>
        <w:t>Specification</w:t>
      </w:r>
      <w:r w:rsidR="009521EB">
        <w:rPr>
          <w:rFonts w:cs="Arial"/>
          <w:b/>
          <w:sz w:val="36"/>
          <w:szCs w:val="36"/>
        </w:rPr>
        <w:t xml:space="preserve"> for Assessing the public acceptability of the use of </w:t>
      </w:r>
      <w:r w:rsidR="008D375F">
        <w:rPr>
          <w:rFonts w:cs="Arial"/>
          <w:b/>
          <w:sz w:val="36"/>
          <w:szCs w:val="36"/>
        </w:rPr>
        <w:t>hydrogen</w:t>
      </w:r>
      <w:r w:rsidR="009521EB">
        <w:rPr>
          <w:rFonts w:cs="Arial"/>
          <w:b/>
          <w:sz w:val="36"/>
          <w:szCs w:val="36"/>
        </w:rPr>
        <w:t xml:space="preserve"> for heating and cooking</w:t>
      </w:r>
      <w:r w:rsidR="00D62A7B">
        <w:rPr>
          <w:rFonts w:cs="Arial"/>
          <w:b/>
          <w:sz w:val="36"/>
          <w:szCs w:val="36"/>
        </w:rPr>
        <w:t xml:space="preserve"> in the home</w:t>
      </w:r>
      <w:r w:rsidR="009521EB">
        <w:rPr>
          <w:rFonts w:cs="Arial"/>
          <w:b/>
          <w:sz w:val="36"/>
          <w:szCs w:val="36"/>
        </w:rPr>
        <w:t>.</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080EED70"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584647">
        <w:rPr>
          <w:rFonts w:cs="Arial"/>
          <w:sz w:val="36"/>
          <w:szCs w:val="36"/>
        </w:rPr>
        <w:t>ED/0218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6761F" w:rsidRDefault="00F6761F" w:rsidP="003E5C19">
                            <w:pPr>
                              <w:pStyle w:val="Norma"/>
                              <w:jc w:val="center"/>
                              <w:rPr>
                                <w:b/>
                                <w:sz w:val="28"/>
                                <w:szCs w:val="28"/>
                              </w:rPr>
                            </w:pPr>
                          </w:p>
                          <w:p w14:paraId="5EA87636" w14:textId="77777777" w:rsidR="00F6761F" w:rsidRDefault="00F6761F" w:rsidP="003E5C19">
                            <w:pPr>
                              <w:pStyle w:val="Norma"/>
                              <w:jc w:val="center"/>
                              <w:rPr>
                                <w:b/>
                                <w:sz w:val="28"/>
                                <w:szCs w:val="28"/>
                              </w:rPr>
                            </w:pPr>
                          </w:p>
                          <w:p w14:paraId="5EA87637" w14:textId="77777777" w:rsidR="00F6761F" w:rsidRPr="003E5C19" w:rsidRDefault="00F6761F" w:rsidP="003E5C19">
                            <w:pPr>
                              <w:pStyle w:val="Norma"/>
                              <w:jc w:val="center"/>
                              <w:rPr>
                                <w:rFonts w:cs="Arial"/>
                                <w:b/>
                                <w:sz w:val="36"/>
                                <w:szCs w:val="36"/>
                              </w:rPr>
                            </w:pPr>
                            <w:r w:rsidRPr="003E5C19">
                              <w:rPr>
                                <w:b/>
                                <w:sz w:val="36"/>
                                <w:szCs w:val="36"/>
                              </w:rPr>
                              <w:t>Specification of Requirements</w:t>
                            </w:r>
                          </w:p>
                          <w:p w14:paraId="5EA87638" w14:textId="77777777" w:rsidR="00F6761F" w:rsidRDefault="00F6761F">
                            <w:pPr>
                              <w:pStyle w:val="Norma"/>
                            </w:pPr>
                          </w:p>
                          <w:p w14:paraId="5EA87639" w14:textId="77777777" w:rsidR="00F6761F" w:rsidRDefault="00F6761F">
                            <w:pPr>
                              <w:pStyle w:val="Norma"/>
                            </w:pPr>
                          </w:p>
                          <w:p w14:paraId="58D01528" w14:textId="77777777" w:rsidR="00540D66" w:rsidRPr="00540D66" w:rsidRDefault="00F6761F" w:rsidP="00540D66">
                            <w:pPr>
                              <w:pStyle w:val="Norma"/>
                              <w:rPr>
                                <w:rFonts w:cs="Arial"/>
                                <w:b/>
                                <w:sz w:val="24"/>
                                <w:szCs w:val="24"/>
                              </w:rPr>
                            </w:pPr>
                            <w:r w:rsidRPr="0000739E">
                              <w:rPr>
                                <w:rFonts w:cs="Arial"/>
                              </w:rPr>
                              <w:t>Invitation to Tender for</w:t>
                            </w:r>
                            <w:r w:rsidRPr="006D645F">
                              <w:rPr>
                                <w:rFonts w:cs="Arial"/>
                              </w:rPr>
                              <w:t xml:space="preserve"> </w:t>
                            </w:r>
                            <w:r w:rsidR="00540D66" w:rsidRPr="00540D66">
                              <w:rPr>
                                <w:rFonts w:cs="Arial"/>
                                <w:b/>
                                <w:sz w:val="24"/>
                                <w:szCs w:val="24"/>
                              </w:rPr>
                              <w:t>Assessing the public acceptability of the use of hydrogen for heating and cooking in the home.</w:t>
                            </w:r>
                          </w:p>
                          <w:p w14:paraId="5EA8763A" w14:textId="464155D8" w:rsidR="00F6761F" w:rsidRPr="00DD521A" w:rsidRDefault="00F6761F" w:rsidP="00405192">
                            <w:pPr>
                              <w:pStyle w:val="Norma"/>
                              <w:rPr>
                                <w:rFonts w:cs="Arial"/>
                                <w:color w:val="FF0000"/>
                              </w:rPr>
                            </w:pPr>
                          </w:p>
                          <w:p w14:paraId="5EA8763B" w14:textId="42FA976E" w:rsidR="00F6761F" w:rsidRPr="0000739E" w:rsidRDefault="00F6761F" w:rsidP="00405192">
                            <w:pPr>
                              <w:pStyle w:val="Norma"/>
                              <w:rPr>
                                <w:rFonts w:cs="Arial"/>
                              </w:rPr>
                            </w:pPr>
                            <w:r>
                              <w:rPr>
                                <w:rFonts w:cs="Arial"/>
                              </w:rPr>
                              <w:t>Tender Reference Number:</w:t>
                            </w:r>
                            <w:r w:rsidR="00540D66">
                              <w:rPr>
                                <w:rFonts w:cs="Arial"/>
                              </w:rPr>
                              <w:t xml:space="preserve"> ED/0218</w:t>
                            </w:r>
                          </w:p>
                          <w:p w14:paraId="5EA8763C" w14:textId="21811B34" w:rsidR="00F6761F" w:rsidRDefault="00F6761F" w:rsidP="00405192">
                            <w:pPr>
                              <w:pStyle w:val="Norma"/>
                              <w:rPr>
                                <w:rFonts w:cs="Arial"/>
                              </w:rPr>
                            </w:pPr>
                            <w:r w:rsidRPr="0000739E">
                              <w:rPr>
                                <w:rFonts w:cs="Arial"/>
                              </w:rPr>
                              <w:t>Deadline for Tender Responses:</w:t>
                            </w:r>
                            <w:r w:rsidRPr="006D645F">
                              <w:rPr>
                                <w:rFonts w:cs="Arial"/>
                                <w:sz w:val="24"/>
                                <w:szCs w:val="24"/>
                              </w:rPr>
                              <w:t xml:space="preserve"> </w:t>
                            </w:r>
                            <w:r w:rsidR="00540D66" w:rsidRPr="00540D66">
                              <w:rPr>
                                <w:rFonts w:ascii="Calibri" w:hAnsi="Calibri"/>
                                <w:b/>
                                <w:sz w:val="28"/>
                                <w:szCs w:val="28"/>
                              </w:rPr>
                              <w:t>9 am on 19</w:t>
                            </w:r>
                            <w:r w:rsidR="00540D66" w:rsidRPr="00540D66">
                              <w:rPr>
                                <w:rFonts w:ascii="Calibri" w:hAnsi="Calibri"/>
                                <w:b/>
                                <w:sz w:val="28"/>
                                <w:szCs w:val="28"/>
                                <w:vertAlign w:val="superscript"/>
                              </w:rPr>
                              <w:t>th</w:t>
                            </w:r>
                            <w:r w:rsidR="00540D66" w:rsidRPr="00540D66">
                              <w:rPr>
                                <w:rFonts w:ascii="Calibri" w:hAnsi="Calibri"/>
                                <w:b/>
                                <w:sz w:val="28"/>
                                <w:szCs w:val="28"/>
                              </w:rPr>
                              <w:t xml:space="preserve"> February</w:t>
                            </w:r>
                            <w:r w:rsidR="00540D66" w:rsidRPr="00DD521A">
                              <w:rPr>
                                <w:rFonts w:cs="Arial"/>
                                <w:color w:val="FF0000"/>
                                <w:sz w:val="24"/>
                                <w:szCs w:val="24"/>
                              </w:rPr>
                              <w:t xml:space="preserve"> </w:t>
                            </w:r>
                            <w:r w:rsidRPr="00DD521A">
                              <w:rPr>
                                <w:rFonts w:cs="Arial"/>
                                <w:color w:val="FF0000"/>
                                <w:sz w:val="24"/>
                                <w:szCs w:val="24"/>
                              </w:rPr>
                              <w:t>…</w:t>
                            </w:r>
                          </w:p>
                          <w:p w14:paraId="5EA8763D" w14:textId="77777777" w:rsidR="00F6761F" w:rsidRDefault="00F6761F" w:rsidP="00790CE1">
                            <w:pPr>
                              <w:pStyle w:val="Norma"/>
                              <w:rPr>
                                <w:rFonts w:cs="Arial"/>
                              </w:rPr>
                            </w:pPr>
                          </w:p>
                          <w:p w14:paraId="5EA8763E" w14:textId="77777777" w:rsidR="00F6761F" w:rsidRDefault="00F6761F" w:rsidP="00790CE1">
                            <w:pPr>
                              <w:pStyle w:val="Norma"/>
                              <w:rPr>
                                <w:rFonts w:cs="Arial"/>
                              </w:rPr>
                            </w:pPr>
                          </w:p>
                          <w:p w14:paraId="5EA8763F" w14:textId="77777777" w:rsidR="00F6761F" w:rsidRPr="0000739E" w:rsidRDefault="00F6761F" w:rsidP="00790CE1">
                            <w:pPr>
                              <w:pStyle w:val="Norma"/>
                              <w:rPr>
                                <w:rFonts w:cs="Arial"/>
                              </w:rPr>
                            </w:pPr>
                          </w:p>
                          <w:p w14:paraId="5EA87640" w14:textId="77777777" w:rsidR="00F6761F" w:rsidRDefault="00F6761F">
                            <w:pPr>
                              <w:pStyle w:val="Norma"/>
                            </w:pPr>
                          </w:p>
                          <w:p w14:paraId="5EA87641" w14:textId="77777777" w:rsidR="00F6761F" w:rsidRDefault="00F6761F">
                            <w:pPr>
                              <w:pStyle w:val="Norma"/>
                            </w:pPr>
                          </w:p>
                          <w:p w14:paraId="5EA87642" w14:textId="77777777" w:rsidR="00F6761F" w:rsidRDefault="00F6761F">
                            <w:pPr>
                              <w:pStyle w:val="Norma"/>
                            </w:pPr>
                          </w:p>
                          <w:p w14:paraId="5EA87643" w14:textId="77777777" w:rsidR="00F6761F" w:rsidRDefault="00F6761F">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6761F" w:rsidRDefault="00F6761F" w:rsidP="003E5C19">
                      <w:pPr>
                        <w:pStyle w:val="Norma"/>
                        <w:jc w:val="center"/>
                        <w:rPr>
                          <w:b/>
                          <w:sz w:val="28"/>
                          <w:szCs w:val="28"/>
                        </w:rPr>
                      </w:pPr>
                    </w:p>
                    <w:p w14:paraId="5EA87636" w14:textId="77777777" w:rsidR="00F6761F" w:rsidRDefault="00F6761F" w:rsidP="003E5C19">
                      <w:pPr>
                        <w:pStyle w:val="Norma"/>
                        <w:jc w:val="center"/>
                        <w:rPr>
                          <w:b/>
                          <w:sz w:val="28"/>
                          <w:szCs w:val="28"/>
                        </w:rPr>
                      </w:pPr>
                    </w:p>
                    <w:p w14:paraId="5EA87637" w14:textId="77777777" w:rsidR="00F6761F" w:rsidRPr="003E5C19" w:rsidRDefault="00F6761F" w:rsidP="003E5C19">
                      <w:pPr>
                        <w:pStyle w:val="Norma"/>
                        <w:jc w:val="center"/>
                        <w:rPr>
                          <w:rFonts w:cs="Arial"/>
                          <w:b/>
                          <w:sz w:val="36"/>
                          <w:szCs w:val="36"/>
                        </w:rPr>
                      </w:pPr>
                      <w:r w:rsidRPr="003E5C19">
                        <w:rPr>
                          <w:b/>
                          <w:sz w:val="36"/>
                          <w:szCs w:val="36"/>
                        </w:rPr>
                        <w:t>Specification of Requirements</w:t>
                      </w:r>
                    </w:p>
                    <w:p w14:paraId="5EA87638" w14:textId="77777777" w:rsidR="00F6761F" w:rsidRDefault="00F6761F">
                      <w:pPr>
                        <w:pStyle w:val="Norma"/>
                      </w:pPr>
                    </w:p>
                    <w:p w14:paraId="5EA87639" w14:textId="77777777" w:rsidR="00F6761F" w:rsidRDefault="00F6761F">
                      <w:pPr>
                        <w:pStyle w:val="Norma"/>
                      </w:pPr>
                    </w:p>
                    <w:p w14:paraId="58D01528" w14:textId="77777777" w:rsidR="00540D66" w:rsidRPr="00540D66" w:rsidRDefault="00F6761F" w:rsidP="00540D66">
                      <w:pPr>
                        <w:pStyle w:val="Norma"/>
                        <w:rPr>
                          <w:rFonts w:cs="Arial"/>
                          <w:b/>
                          <w:sz w:val="24"/>
                          <w:szCs w:val="24"/>
                        </w:rPr>
                      </w:pPr>
                      <w:r w:rsidRPr="0000739E">
                        <w:rPr>
                          <w:rFonts w:cs="Arial"/>
                        </w:rPr>
                        <w:t>Invitation to Tender for</w:t>
                      </w:r>
                      <w:r w:rsidRPr="006D645F">
                        <w:rPr>
                          <w:rFonts w:cs="Arial"/>
                        </w:rPr>
                        <w:t xml:space="preserve"> </w:t>
                      </w:r>
                      <w:r w:rsidR="00540D66" w:rsidRPr="00540D66">
                        <w:rPr>
                          <w:rFonts w:cs="Arial"/>
                          <w:b/>
                          <w:sz w:val="24"/>
                          <w:szCs w:val="24"/>
                        </w:rPr>
                        <w:t>Assessing the public acceptability of the use of hydrogen for heating and cooking in the home.</w:t>
                      </w:r>
                    </w:p>
                    <w:p w14:paraId="5EA8763A" w14:textId="464155D8" w:rsidR="00F6761F" w:rsidRPr="00DD521A" w:rsidRDefault="00F6761F" w:rsidP="00405192">
                      <w:pPr>
                        <w:pStyle w:val="Norma"/>
                        <w:rPr>
                          <w:rFonts w:cs="Arial"/>
                          <w:color w:val="FF0000"/>
                        </w:rPr>
                      </w:pPr>
                    </w:p>
                    <w:p w14:paraId="5EA8763B" w14:textId="42FA976E" w:rsidR="00F6761F" w:rsidRPr="0000739E" w:rsidRDefault="00F6761F" w:rsidP="00405192">
                      <w:pPr>
                        <w:pStyle w:val="Norma"/>
                        <w:rPr>
                          <w:rFonts w:cs="Arial"/>
                        </w:rPr>
                      </w:pPr>
                      <w:r>
                        <w:rPr>
                          <w:rFonts w:cs="Arial"/>
                        </w:rPr>
                        <w:t>Tender Reference Number:</w:t>
                      </w:r>
                      <w:r w:rsidR="00540D66">
                        <w:rPr>
                          <w:rFonts w:cs="Arial"/>
                        </w:rPr>
                        <w:t xml:space="preserve"> ED/0218</w:t>
                      </w:r>
                    </w:p>
                    <w:p w14:paraId="5EA8763C" w14:textId="21811B34" w:rsidR="00F6761F" w:rsidRDefault="00F6761F" w:rsidP="00405192">
                      <w:pPr>
                        <w:pStyle w:val="Norma"/>
                        <w:rPr>
                          <w:rFonts w:cs="Arial"/>
                        </w:rPr>
                      </w:pPr>
                      <w:r w:rsidRPr="0000739E">
                        <w:rPr>
                          <w:rFonts w:cs="Arial"/>
                        </w:rPr>
                        <w:t>Deadline for Tender Responses:</w:t>
                      </w:r>
                      <w:r w:rsidRPr="006D645F">
                        <w:rPr>
                          <w:rFonts w:cs="Arial"/>
                          <w:sz w:val="24"/>
                          <w:szCs w:val="24"/>
                        </w:rPr>
                        <w:t xml:space="preserve"> </w:t>
                      </w:r>
                      <w:r w:rsidR="00540D66" w:rsidRPr="00540D66">
                        <w:rPr>
                          <w:rFonts w:ascii="Calibri" w:hAnsi="Calibri"/>
                          <w:b/>
                          <w:sz w:val="28"/>
                          <w:szCs w:val="28"/>
                        </w:rPr>
                        <w:t>9 am on 19</w:t>
                      </w:r>
                      <w:r w:rsidR="00540D66" w:rsidRPr="00540D66">
                        <w:rPr>
                          <w:rFonts w:ascii="Calibri" w:hAnsi="Calibri"/>
                          <w:b/>
                          <w:sz w:val="28"/>
                          <w:szCs w:val="28"/>
                          <w:vertAlign w:val="superscript"/>
                        </w:rPr>
                        <w:t>th</w:t>
                      </w:r>
                      <w:r w:rsidR="00540D66" w:rsidRPr="00540D66">
                        <w:rPr>
                          <w:rFonts w:ascii="Calibri" w:hAnsi="Calibri"/>
                          <w:b/>
                          <w:sz w:val="28"/>
                          <w:szCs w:val="28"/>
                        </w:rPr>
                        <w:t xml:space="preserve"> February</w:t>
                      </w:r>
                      <w:r w:rsidR="00540D66" w:rsidRPr="00DD521A">
                        <w:rPr>
                          <w:rFonts w:cs="Arial"/>
                          <w:color w:val="FF0000"/>
                          <w:sz w:val="24"/>
                          <w:szCs w:val="24"/>
                        </w:rPr>
                        <w:t xml:space="preserve"> </w:t>
                      </w:r>
                      <w:r w:rsidRPr="00DD521A">
                        <w:rPr>
                          <w:rFonts w:cs="Arial"/>
                          <w:color w:val="FF0000"/>
                          <w:sz w:val="24"/>
                          <w:szCs w:val="24"/>
                        </w:rPr>
                        <w:t>…</w:t>
                      </w:r>
                    </w:p>
                    <w:p w14:paraId="5EA8763D" w14:textId="77777777" w:rsidR="00F6761F" w:rsidRDefault="00F6761F" w:rsidP="00790CE1">
                      <w:pPr>
                        <w:pStyle w:val="Norma"/>
                        <w:rPr>
                          <w:rFonts w:cs="Arial"/>
                        </w:rPr>
                      </w:pPr>
                    </w:p>
                    <w:p w14:paraId="5EA8763E" w14:textId="77777777" w:rsidR="00F6761F" w:rsidRDefault="00F6761F" w:rsidP="00790CE1">
                      <w:pPr>
                        <w:pStyle w:val="Norma"/>
                        <w:rPr>
                          <w:rFonts w:cs="Arial"/>
                        </w:rPr>
                      </w:pPr>
                    </w:p>
                    <w:p w14:paraId="5EA8763F" w14:textId="77777777" w:rsidR="00F6761F" w:rsidRPr="0000739E" w:rsidRDefault="00F6761F" w:rsidP="00790CE1">
                      <w:pPr>
                        <w:pStyle w:val="Norma"/>
                        <w:rPr>
                          <w:rFonts w:cs="Arial"/>
                        </w:rPr>
                      </w:pPr>
                    </w:p>
                    <w:p w14:paraId="5EA87640" w14:textId="77777777" w:rsidR="00F6761F" w:rsidRDefault="00F6761F">
                      <w:pPr>
                        <w:pStyle w:val="Norma"/>
                      </w:pPr>
                    </w:p>
                    <w:p w14:paraId="5EA87641" w14:textId="77777777" w:rsidR="00F6761F" w:rsidRDefault="00F6761F">
                      <w:pPr>
                        <w:pStyle w:val="Norma"/>
                      </w:pPr>
                    </w:p>
                    <w:p w14:paraId="5EA87642" w14:textId="77777777" w:rsidR="00F6761F" w:rsidRDefault="00F6761F">
                      <w:pPr>
                        <w:pStyle w:val="Norma"/>
                      </w:pPr>
                    </w:p>
                    <w:p w14:paraId="5EA87643" w14:textId="77777777" w:rsidR="00F6761F" w:rsidRDefault="00F6761F">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4D52FF24"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DD521A">
        <w:rPr>
          <w:rFonts w:cs="Arial"/>
          <w:noProof/>
        </w:rPr>
        <w:t>Preamble</w:t>
      </w:r>
      <w:r w:rsidR="0040149D">
        <w:rPr>
          <w:noProof/>
        </w:rPr>
        <w:tab/>
      </w:r>
      <w:r w:rsidR="00945F76">
        <w:rPr>
          <w:noProof/>
        </w:rPr>
        <w:t>3</w:t>
      </w:r>
    </w:p>
    <w:p w14:paraId="5EA87542" w14:textId="0412E43E"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945F76">
        <w:rPr>
          <w:noProof/>
        </w:rPr>
        <w:t>3</w:t>
      </w:r>
    </w:p>
    <w:p w14:paraId="5EA87543" w14:textId="63CAE208"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945F76">
        <w:rPr>
          <w:noProof/>
        </w:rPr>
        <w:t>4</w:t>
      </w:r>
    </w:p>
    <w:p w14:paraId="5EA87544" w14:textId="794E3FFE"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945F76">
        <w:rPr>
          <w:noProof/>
        </w:rPr>
        <w:t>6</w:t>
      </w:r>
    </w:p>
    <w:p w14:paraId="5EA87547" w14:textId="49F9F37A" w:rsidR="0040149D" w:rsidRDefault="00B612A7">
      <w:pPr>
        <w:pStyle w:val="TOC1"/>
        <w:rPr>
          <w:rFonts w:asciiTheme="minorHAnsi" w:eastAsiaTheme="minorEastAsia" w:hAnsiTheme="minorHAnsi" w:cstheme="minorBidi"/>
          <w:noProof/>
        </w:rPr>
      </w:pPr>
      <w:r>
        <w:rPr>
          <w:rFonts w:cs="Arial"/>
          <w:noProof/>
        </w:rPr>
        <w:t>5</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945F76">
        <w:rPr>
          <w:noProof/>
        </w:rPr>
        <w:t>7</w:t>
      </w:r>
    </w:p>
    <w:p w14:paraId="5EA87548" w14:textId="14FE6112" w:rsidR="0040149D" w:rsidRDefault="00B612A7">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Pr>
          <w:rFonts w:eastAsiaTheme="minorEastAsia" w:cs="Arial"/>
          <w:noProof/>
        </w:rPr>
        <w:t xml:space="preserve">Outputs required and </w:t>
      </w:r>
      <w:r>
        <w:rPr>
          <w:rFonts w:cs="Arial"/>
          <w:noProof/>
        </w:rPr>
        <w:t>T</w:t>
      </w:r>
      <w:r w:rsidR="0040149D" w:rsidRPr="003B33DA">
        <w:rPr>
          <w:rFonts w:cs="Arial"/>
          <w:noProof/>
        </w:rPr>
        <w:t>imetable</w:t>
      </w:r>
      <w:r w:rsidR="0040149D">
        <w:rPr>
          <w:noProof/>
        </w:rPr>
        <w:tab/>
      </w:r>
      <w:r w:rsidR="00945F76">
        <w:rPr>
          <w:noProof/>
        </w:rPr>
        <w:t>7</w:t>
      </w:r>
    </w:p>
    <w:p w14:paraId="5EA87549" w14:textId="7DDEA988" w:rsidR="0040149D" w:rsidRDefault="00B612A7">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Challenges</w:t>
      </w:r>
      <w:r w:rsidR="0040149D">
        <w:rPr>
          <w:noProof/>
        </w:rPr>
        <w:tab/>
      </w:r>
      <w:r w:rsidR="00945F76">
        <w:rPr>
          <w:noProof/>
        </w:rPr>
        <w:t>8</w:t>
      </w:r>
    </w:p>
    <w:p w14:paraId="5EA8754A" w14:textId="621AB6DF" w:rsidR="0040149D" w:rsidRDefault="00B612A7">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Ethics</w:t>
      </w:r>
      <w:r w:rsidR="0040149D">
        <w:rPr>
          <w:noProof/>
        </w:rPr>
        <w:tab/>
      </w:r>
      <w:r w:rsidR="00945F76">
        <w:rPr>
          <w:noProof/>
        </w:rPr>
        <w:t>8</w:t>
      </w:r>
    </w:p>
    <w:p w14:paraId="5EA8754B" w14:textId="35E67B94" w:rsidR="0040149D" w:rsidRDefault="00B612A7">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945F76">
        <w:rPr>
          <w:noProof/>
        </w:rPr>
        <w:t>9</w:t>
      </w:r>
    </w:p>
    <w:p w14:paraId="5EA8754C" w14:textId="661FAC30" w:rsidR="0040149D" w:rsidRDefault="00B612A7">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945F76">
        <w:rPr>
          <w:noProof/>
        </w:rPr>
        <w:t>9</w:t>
      </w:r>
    </w:p>
    <w:p w14:paraId="5EA8754D" w14:textId="681D9BF4" w:rsidR="0040149D" w:rsidRDefault="00B612A7">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945F76">
        <w:rPr>
          <w:noProof/>
        </w:rPr>
        <w:t>9</w:t>
      </w:r>
    </w:p>
    <w:p w14:paraId="5EA8754E" w14:textId="52F4DCC5" w:rsidR="0040149D" w:rsidRDefault="00B612A7">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945F76">
        <w:rPr>
          <w:noProof/>
        </w:rPr>
        <w:t>10</w:t>
      </w:r>
    </w:p>
    <w:p w14:paraId="5EA8754F" w14:textId="16C65872" w:rsidR="0040149D" w:rsidRDefault="00B612A7">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945F76">
        <w:rPr>
          <w:noProof/>
        </w:rPr>
        <w:t>10</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2CEB1A1F" w:rsidR="00FE1227" w:rsidRDefault="00EB43D8" w:rsidP="001B2C13">
      <w:pPr>
        <w:pStyle w:val="Heading1"/>
        <w:numPr>
          <w:ilvl w:val="0"/>
          <w:numId w:val="1"/>
        </w:numPr>
        <w:rPr>
          <w:rFonts w:ascii="Arial" w:hAnsi="Arial" w:cs="Arial"/>
          <w:sz w:val="24"/>
          <w:szCs w:val="24"/>
        </w:rPr>
      </w:pPr>
      <w:r w:rsidRPr="002D4038">
        <w:br w:type="page"/>
      </w:r>
      <w:bookmarkStart w:id="3" w:name="SectionTwo"/>
      <w:r w:rsidR="00DD521A">
        <w:rPr>
          <w:rFonts w:ascii="Arial" w:hAnsi="Arial" w:cs="Arial"/>
          <w:sz w:val="24"/>
          <w:szCs w:val="24"/>
        </w:rPr>
        <w:lastRenderedPageBreak/>
        <w:t xml:space="preserve"> Preamble</w:t>
      </w:r>
    </w:p>
    <w:p w14:paraId="2B4F7458" w14:textId="77777777" w:rsidR="00DD521A" w:rsidRDefault="00DD521A" w:rsidP="00DD521A">
      <w:pPr>
        <w:pStyle w:val="Norma"/>
      </w:pPr>
    </w:p>
    <w:p w14:paraId="0D306654" w14:textId="77777777" w:rsidR="00835D12" w:rsidRDefault="00835D12" w:rsidP="00835D12">
      <w:pPr>
        <w:pStyle w:val="Norma"/>
      </w:pPr>
    </w:p>
    <w:p w14:paraId="14D26AA7" w14:textId="77777777" w:rsidR="00835D12" w:rsidRPr="007831D3" w:rsidRDefault="00835D12" w:rsidP="00835D12">
      <w:pPr>
        <w:pStyle w:val="Norma"/>
        <w:rPr>
          <w:color w:val="000000" w:themeColor="text1"/>
        </w:rPr>
      </w:pPr>
      <w:r w:rsidRPr="007831D3">
        <w:rPr>
          <w:color w:val="000000" w:themeColor="text1"/>
        </w:rPr>
        <w:t>The Committee on Climate Change (CCC) is an independent, statutory body established under the 2008 Climate Change Act. The CCC is tasked with:</w:t>
      </w:r>
    </w:p>
    <w:p w14:paraId="67523CBE" w14:textId="77777777" w:rsidR="00835D12" w:rsidRPr="007831D3" w:rsidRDefault="00835D12" w:rsidP="001B2C13">
      <w:pPr>
        <w:pStyle w:val="Norma"/>
        <w:numPr>
          <w:ilvl w:val="0"/>
          <w:numId w:val="6"/>
        </w:numPr>
        <w:rPr>
          <w:color w:val="000000" w:themeColor="text1"/>
        </w:rPr>
      </w:pPr>
      <w:r w:rsidRPr="007831D3">
        <w:rPr>
          <w:color w:val="000000" w:themeColor="text1"/>
        </w:rPr>
        <w:t xml:space="preserve">Providing independent advice to Government on setting and meeting carbon budgets and preparing for Climate change. </w:t>
      </w:r>
    </w:p>
    <w:p w14:paraId="58F12814" w14:textId="77777777" w:rsidR="00835D12" w:rsidRPr="007831D3" w:rsidRDefault="00835D12" w:rsidP="001B2C13">
      <w:pPr>
        <w:pStyle w:val="Norma"/>
        <w:numPr>
          <w:ilvl w:val="0"/>
          <w:numId w:val="6"/>
        </w:numPr>
        <w:rPr>
          <w:color w:val="000000" w:themeColor="text1"/>
        </w:rPr>
      </w:pPr>
      <w:r w:rsidRPr="007831D3">
        <w:rPr>
          <w:color w:val="000000" w:themeColor="text1"/>
        </w:rPr>
        <w:t>Monitoring progress in reducing emissions and achieving Carbon Budgets.</w:t>
      </w:r>
    </w:p>
    <w:p w14:paraId="52EBD7B4" w14:textId="77777777" w:rsidR="004E6E47" w:rsidRPr="00285114" w:rsidRDefault="004E6E47" w:rsidP="00622E6B">
      <w:pPr>
        <w:pStyle w:val="Norma"/>
        <w:rPr>
          <w:color w:val="000000" w:themeColor="text1"/>
        </w:rPr>
      </w:pPr>
    </w:p>
    <w:p w14:paraId="5EA87558" w14:textId="77777777" w:rsidR="001F4630" w:rsidRDefault="001F4630" w:rsidP="001B2C13">
      <w:pPr>
        <w:pStyle w:val="Heading1"/>
        <w:numPr>
          <w:ilvl w:val="0"/>
          <w:numId w:val="1"/>
        </w:numPr>
        <w:rPr>
          <w:rFonts w:ascii="Arial" w:hAnsi="Arial" w:cs="Arial"/>
          <w:sz w:val="24"/>
          <w:szCs w:val="24"/>
        </w:rPr>
      </w:pPr>
      <w:bookmarkStart w:id="4" w:name="_Ref357535668"/>
      <w:bookmarkStart w:id="5" w:name="_Toc381969507"/>
      <w:bookmarkStart w:id="6" w:name="_Toc405888456"/>
      <w:r w:rsidRPr="00C4141B">
        <w:rPr>
          <w:rFonts w:ascii="Arial" w:hAnsi="Arial" w:cs="Arial"/>
          <w:sz w:val="24"/>
          <w:szCs w:val="24"/>
        </w:rPr>
        <w:t>Background</w:t>
      </w:r>
      <w:bookmarkEnd w:id="4"/>
      <w:bookmarkEnd w:id="5"/>
      <w:bookmarkEnd w:id="6"/>
    </w:p>
    <w:p w14:paraId="28429234" w14:textId="1B1B221D" w:rsidR="008D375F" w:rsidRDefault="008D375F" w:rsidP="00835D12">
      <w:pPr>
        <w:pStyle w:val="Norma"/>
      </w:pPr>
      <w:bookmarkStart w:id="7" w:name="_Ref357535689"/>
      <w:bookmarkStart w:id="8" w:name="_Toc381969508"/>
      <w:bookmarkStart w:id="9" w:name="_Toc405888457"/>
      <w:r>
        <w:t xml:space="preserve">Heating and hot water for buildings make up 40% of energy use and 20% of greenhouse gas emissions in the UK. These emissions need to be reduced by </w:t>
      </w:r>
      <w:r w:rsidR="00E207CF">
        <w:t>at least</w:t>
      </w:r>
      <w:r>
        <w:t xml:space="preserve"> 20% to 2030, with a near complete decarbonisation to 2050, as a contribution to the legally-binding targets set by Parliament </w:t>
      </w:r>
      <w:r w:rsidR="00E207CF">
        <w:t>under</w:t>
      </w:r>
      <w:r>
        <w:t xml:space="preserve"> the</w:t>
      </w:r>
      <w:r w:rsidR="00E207CF">
        <w:t xml:space="preserve"> 2008</w:t>
      </w:r>
      <w:r>
        <w:t xml:space="preserve"> Climate Change Act.</w:t>
      </w:r>
      <w:r>
        <w:rPr>
          <w:rStyle w:val="FootnoteReference"/>
        </w:rPr>
        <w:footnoteReference w:id="1"/>
      </w:r>
      <w:r>
        <w:t xml:space="preserve"> This reduction requires a combination of improved energy efficiency and a large-scale shift from gas boilers to </w:t>
      </w:r>
      <w:r w:rsidR="003D4ADC">
        <w:t xml:space="preserve">a low-carbon heating technology. </w:t>
      </w:r>
    </w:p>
    <w:p w14:paraId="3F165810" w14:textId="77777777" w:rsidR="003D4ADC" w:rsidRDefault="003D4ADC" w:rsidP="00835D12">
      <w:pPr>
        <w:pStyle w:val="Norma"/>
      </w:pPr>
    </w:p>
    <w:p w14:paraId="23C37DDD" w14:textId="7BA16418" w:rsidR="003D4ADC" w:rsidRDefault="003D4ADC" w:rsidP="00835D12">
      <w:pPr>
        <w:pStyle w:val="Norma"/>
      </w:pPr>
      <w:r>
        <w:t xml:space="preserve">Whilst some options are clear now, such as ensuring that new buildings are low-carbon, injecting </w:t>
      </w:r>
      <w:proofErr w:type="spellStart"/>
      <w:r>
        <w:t>biomethane</w:t>
      </w:r>
      <w:proofErr w:type="spellEnd"/>
      <w:r>
        <w:t xml:space="preserve"> into the grid and the installation of low-carbon heat networks in densely populated urban areas where they are economic, this leaves </w:t>
      </w:r>
      <w:r w:rsidR="00E207CF">
        <w:t>over</w:t>
      </w:r>
      <w:r>
        <w:t xml:space="preserve"> 20 million homes currently connected to the gas grid where a solution is needed, as shown in Figure </w:t>
      </w:r>
      <w:r w:rsidR="008678D5">
        <w:t>1</w:t>
      </w:r>
      <w:r>
        <w:t>.</w:t>
      </w:r>
      <w:r w:rsidR="008678D5" w:rsidRPr="009D3A27">
        <w:rPr>
          <w:vertAlign w:val="superscript"/>
        </w:rPr>
        <w:t>1</w:t>
      </w:r>
      <w:r>
        <w:t xml:space="preserve"> The two main options currently known</w:t>
      </w:r>
      <w:r w:rsidR="00C50773">
        <w:t xml:space="preserve"> for a switch away from the use of natural gas</w:t>
      </w:r>
      <w:r>
        <w:t xml:space="preserve"> are electrification through the use of highly efficient heat pumps, or potentially by switching the gas supply over to hydrogen. </w:t>
      </w:r>
    </w:p>
    <w:p w14:paraId="72D4472A" w14:textId="77777777" w:rsidR="003D4ADC" w:rsidRDefault="003D4ADC" w:rsidP="00835D12">
      <w:pPr>
        <w:pStyle w:val="Norma"/>
        <w:rPr>
          <w:color w:val="000000" w:themeColor="text1"/>
        </w:rPr>
      </w:pPr>
    </w:p>
    <w:p w14:paraId="3079B0F8" w14:textId="7989F815" w:rsidR="003D4ADC" w:rsidRDefault="003D4ADC" w:rsidP="00835D12">
      <w:pPr>
        <w:pStyle w:val="Norma"/>
        <w:rPr>
          <w:color w:val="000000" w:themeColor="text1"/>
        </w:rPr>
      </w:pPr>
    </w:p>
    <w:tbl>
      <w:tblPr>
        <w:tblW w:w="9639" w:type="dxa"/>
        <w:tblInd w:w="108" w:type="dxa"/>
        <w:tblBorders>
          <w:top w:val="single" w:sz="4" w:space="0" w:color="869621"/>
          <w:left w:val="single" w:sz="4" w:space="0" w:color="869621"/>
          <w:bottom w:val="single" w:sz="4" w:space="0" w:color="869621"/>
          <w:right w:val="single" w:sz="4" w:space="0" w:color="869621"/>
        </w:tblBorders>
        <w:tblCellMar>
          <w:top w:w="113" w:type="dxa"/>
          <w:bottom w:w="113" w:type="dxa"/>
        </w:tblCellMar>
        <w:tblLook w:val="04A0" w:firstRow="1" w:lastRow="0" w:firstColumn="1" w:lastColumn="0" w:noHBand="0" w:noVBand="1"/>
      </w:tblPr>
      <w:tblGrid>
        <w:gridCol w:w="9639"/>
      </w:tblGrid>
      <w:tr w:rsidR="008678D5" w14:paraId="2A2C46B6" w14:textId="77777777" w:rsidTr="00277F38">
        <w:trPr>
          <w:tblHeader/>
        </w:trPr>
        <w:tc>
          <w:tcPr>
            <w:tcW w:w="9639" w:type="dxa"/>
            <w:shd w:val="clear" w:color="auto" w:fill="869621"/>
          </w:tcPr>
          <w:p w14:paraId="1C920DE8" w14:textId="282E5E53" w:rsidR="008678D5" w:rsidRPr="00DB2DE9" w:rsidRDefault="008678D5" w:rsidP="00277F38">
            <w:pPr>
              <w:pStyle w:val="FigureHeading"/>
            </w:pPr>
            <w:r>
              <w:rPr>
                <w:rStyle w:val="BoxFigureTableheadingbold"/>
              </w:rPr>
              <w:t>Figure 1</w:t>
            </w:r>
            <w:r w:rsidRPr="00DB2DE9">
              <w:rPr>
                <w:rStyle w:val="BoxFigureTableheadingbold"/>
              </w:rPr>
              <w:t>.</w:t>
            </w:r>
            <w:r w:rsidRPr="00DB2DE9">
              <w:t xml:space="preserve"> Low-regrets measures and the remaining challenge for existing buildings on the gas grid</w:t>
            </w:r>
          </w:p>
        </w:tc>
      </w:tr>
      <w:tr w:rsidR="008678D5" w14:paraId="73DB4128" w14:textId="77777777" w:rsidTr="00277F38">
        <w:tc>
          <w:tcPr>
            <w:tcW w:w="9639" w:type="dxa"/>
            <w:shd w:val="clear" w:color="auto" w:fill="auto"/>
          </w:tcPr>
          <w:p w14:paraId="7FA18E41" w14:textId="77777777" w:rsidR="008678D5" w:rsidRPr="00DB2DE9" w:rsidRDefault="008678D5" w:rsidP="00277F38">
            <w:pPr>
              <w:pStyle w:val="BoxBody"/>
              <w:jc w:val="center"/>
            </w:pPr>
            <w:r>
              <w:rPr>
                <w:noProof/>
                <w:lang w:eastAsia="en-GB"/>
              </w:rPr>
              <w:drawing>
                <wp:inline distT="0" distB="0" distL="0" distR="0" wp14:anchorId="7B89D7D8" wp14:editId="722A62BE">
                  <wp:extent cx="5020574" cy="2666035"/>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emf"/>
                          <pic:cNvPicPr/>
                        </pic:nvPicPr>
                        <pic:blipFill rotWithShape="1">
                          <a:blip r:embed="rId11" cstate="print">
                            <a:extLst>
                              <a:ext uri="{28A0092B-C50C-407E-A947-70E740481C1C}">
                                <a14:useLocalDpi xmlns:a14="http://schemas.microsoft.com/office/drawing/2010/main" val="0"/>
                              </a:ext>
                            </a:extLst>
                          </a:blip>
                          <a:srcRect r="9026"/>
                          <a:stretch/>
                        </pic:blipFill>
                        <pic:spPr bwMode="auto">
                          <a:xfrm>
                            <a:off x="0" y="0"/>
                            <a:ext cx="5031758" cy="2671974"/>
                          </a:xfrm>
                          <a:prstGeom prst="rect">
                            <a:avLst/>
                          </a:prstGeom>
                          <a:ln>
                            <a:noFill/>
                          </a:ln>
                          <a:extLst>
                            <a:ext uri="{53640926-AAD7-44D8-BBD7-CCE9431645EC}">
                              <a14:shadowObscured xmlns:a14="http://schemas.microsoft.com/office/drawing/2010/main"/>
                            </a:ext>
                          </a:extLst>
                        </pic:spPr>
                      </pic:pic>
                    </a:graphicData>
                  </a:graphic>
                </wp:inline>
              </w:drawing>
            </w:r>
          </w:p>
        </w:tc>
      </w:tr>
      <w:tr w:rsidR="008678D5" w14:paraId="15626A04" w14:textId="77777777" w:rsidTr="00277F38">
        <w:tc>
          <w:tcPr>
            <w:tcW w:w="9639" w:type="dxa"/>
            <w:shd w:val="clear" w:color="auto" w:fill="F1F6D6"/>
          </w:tcPr>
          <w:p w14:paraId="3D5F8AF3" w14:textId="77777777" w:rsidR="008678D5" w:rsidRPr="00DB2DE9" w:rsidRDefault="008678D5" w:rsidP="00277F38">
            <w:pPr>
              <w:pStyle w:val="BoxFootnote"/>
            </w:pPr>
            <w:r w:rsidRPr="00CA7A19">
              <w:rPr>
                <w:rStyle w:val="Boxfootnotebold"/>
              </w:rPr>
              <w:t>Notes:</w:t>
            </w:r>
            <w:r w:rsidRPr="00DB2DE9">
              <w:t xml:space="preserve"> The size</w:t>
            </w:r>
            <w:r>
              <w:t>s</w:t>
            </w:r>
            <w:r w:rsidRPr="00DB2DE9">
              <w:t xml:space="preserve"> of the blocks broadly reflect the scale</w:t>
            </w:r>
            <w:r>
              <w:t xml:space="preserve"> of emissions reduction, but do</w:t>
            </w:r>
            <w:r w:rsidRPr="00DB2DE9">
              <w:t xml:space="preserve"> not do so precisely.</w:t>
            </w:r>
            <w:r>
              <w:t xml:space="preserve"> Some potential for heat networks will be in new-build and off the gas grid, rather than all on-grid as presented. Biomass for heat may also play a role in hard-to-insulate rural properties.</w:t>
            </w:r>
          </w:p>
        </w:tc>
      </w:tr>
    </w:tbl>
    <w:p w14:paraId="0C7A450C" w14:textId="77777777" w:rsidR="008678D5" w:rsidRDefault="008678D5" w:rsidP="00835D12">
      <w:pPr>
        <w:pStyle w:val="Norma"/>
        <w:rPr>
          <w:color w:val="000000" w:themeColor="text1"/>
        </w:rPr>
      </w:pPr>
    </w:p>
    <w:p w14:paraId="4786EB2B" w14:textId="77777777" w:rsidR="003D4ADC" w:rsidRDefault="003D4ADC" w:rsidP="00835D12">
      <w:pPr>
        <w:pStyle w:val="Norma"/>
        <w:rPr>
          <w:color w:val="000000" w:themeColor="text1"/>
        </w:rPr>
      </w:pPr>
    </w:p>
    <w:p w14:paraId="0F60536B" w14:textId="54BB1C14" w:rsidR="00891330" w:rsidRDefault="00835D12" w:rsidP="00835D12">
      <w:pPr>
        <w:pStyle w:val="Norma"/>
        <w:rPr>
          <w:color w:val="000000" w:themeColor="text1"/>
        </w:rPr>
      </w:pPr>
      <w:r>
        <w:rPr>
          <w:color w:val="000000" w:themeColor="text1"/>
        </w:rPr>
        <w:t xml:space="preserve">More evidence about the preferences of households is required. Where heat pumps have been installed correctly, satisfaction levels appear to be high, even though installations are often disruptive and heat pumps operate in different ways to gas and oil boilers. </w:t>
      </w:r>
    </w:p>
    <w:p w14:paraId="58151F94" w14:textId="77777777" w:rsidR="00891330" w:rsidRDefault="00891330" w:rsidP="00835D12">
      <w:pPr>
        <w:pStyle w:val="Norma"/>
        <w:rPr>
          <w:color w:val="000000" w:themeColor="text1"/>
        </w:rPr>
      </w:pPr>
    </w:p>
    <w:p w14:paraId="3289698E" w14:textId="7D6CF58D" w:rsidR="00835D12" w:rsidRDefault="00835D12" w:rsidP="00835D12">
      <w:pPr>
        <w:pStyle w:val="Norma"/>
        <w:rPr>
          <w:color w:val="000000" w:themeColor="text1"/>
        </w:rPr>
      </w:pPr>
      <w:r>
        <w:rPr>
          <w:color w:val="000000" w:themeColor="text1"/>
        </w:rPr>
        <w:t>Hydrogen for heating would, in some ways, require less change in behaviour from consumers since hydrogen shares many characteristics with natural gas (e.g. the ability to increase heat supply very responsively). However, as hydrogen will likely be pumped through the gas grid, most consumers and businesses in a given area would need to switch over</w:t>
      </w:r>
      <w:r w:rsidR="00786AFF">
        <w:rPr>
          <w:color w:val="000000" w:themeColor="text1"/>
        </w:rPr>
        <w:t xml:space="preserve"> their domestic gas boilers, cookers and gas fires</w:t>
      </w:r>
      <w:r>
        <w:rPr>
          <w:color w:val="000000" w:themeColor="text1"/>
        </w:rPr>
        <w:t xml:space="preserve"> at the same time, and will likely need reassurance that the change will be safe, affordable and minimally disruptive. </w:t>
      </w:r>
    </w:p>
    <w:p w14:paraId="7139BC0C" w14:textId="77777777" w:rsidR="00786AFF" w:rsidRDefault="00786AFF" w:rsidP="00835D12">
      <w:pPr>
        <w:pStyle w:val="Norma"/>
        <w:rPr>
          <w:color w:val="000000" w:themeColor="text1"/>
        </w:rPr>
      </w:pPr>
    </w:p>
    <w:p w14:paraId="4EF01364" w14:textId="31C05E35" w:rsidR="00786AFF" w:rsidRDefault="00786AFF" w:rsidP="00835D12">
      <w:pPr>
        <w:pStyle w:val="Norma"/>
        <w:rPr>
          <w:color w:val="000000" w:themeColor="text1"/>
        </w:rPr>
      </w:pPr>
      <w:r>
        <w:rPr>
          <w:color w:val="000000" w:themeColor="text1"/>
        </w:rPr>
        <w:t>The CCC recommends that the government</w:t>
      </w:r>
      <w:r w:rsidR="003D4ADC">
        <w:rPr>
          <w:color w:val="000000" w:themeColor="text1"/>
        </w:rPr>
        <w:t xml:space="preserve"> puts in place a programme of research on hydrogen to build towards a decision on the future of the gas</w:t>
      </w:r>
      <w:r w:rsidR="004F7D9C">
        <w:rPr>
          <w:color w:val="000000" w:themeColor="text1"/>
        </w:rPr>
        <w:t xml:space="preserve"> grid in 2025.</w:t>
      </w:r>
      <w:r>
        <w:rPr>
          <w:color w:val="000000" w:themeColor="text1"/>
        </w:rPr>
        <w:t xml:space="preserve"> </w:t>
      </w:r>
      <w:r w:rsidR="004F7D9C">
        <w:rPr>
          <w:color w:val="000000" w:themeColor="text1"/>
        </w:rPr>
        <w:t xml:space="preserve">This timeline is designed so as to keep in play the option of an extensive conversion from 2030. </w:t>
      </w:r>
      <w:r>
        <w:rPr>
          <w:color w:val="000000" w:themeColor="text1"/>
        </w:rPr>
        <w:t>Pilots where hydrogen is injected into the gas grid in particular regions should begin and be of a sufficient scale and diversity to understand whether hydrogen can be a genuine option at large scale.</w:t>
      </w:r>
      <w:r w:rsidR="00E76A98">
        <w:rPr>
          <w:color w:val="000000" w:themeColor="text1"/>
        </w:rPr>
        <w:t xml:space="preserve"> Northern Gas Networks have und</w:t>
      </w:r>
      <w:r w:rsidR="00891330">
        <w:rPr>
          <w:color w:val="000000" w:themeColor="text1"/>
        </w:rPr>
        <w:t>ertaken a study to examine how</w:t>
      </w:r>
      <w:r w:rsidR="00E76A98">
        <w:rPr>
          <w:color w:val="000000" w:themeColor="text1"/>
        </w:rPr>
        <w:t xml:space="preserve"> the low-pressure gas network in Leeds could be converted to 100% hydrogen and Cadent have explored the potential to introduce hydrogen into the gas grid into the Liverpool-Manchester area.</w:t>
      </w:r>
      <w:r w:rsidR="00891330">
        <w:rPr>
          <w:rStyle w:val="FootnoteReference"/>
          <w:color w:val="000000" w:themeColor="text1"/>
        </w:rPr>
        <w:footnoteReference w:id="2"/>
      </w:r>
      <w:r w:rsidR="00E76A98">
        <w:rPr>
          <w:color w:val="000000" w:themeColor="text1"/>
        </w:rPr>
        <w:t xml:space="preserve"> </w:t>
      </w:r>
    </w:p>
    <w:p w14:paraId="3BEADCCA" w14:textId="77777777" w:rsidR="004F7D9C" w:rsidRDefault="004F7D9C" w:rsidP="00835D12">
      <w:pPr>
        <w:pStyle w:val="Norma"/>
        <w:rPr>
          <w:color w:val="000000" w:themeColor="text1"/>
        </w:rPr>
      </w:pPr>
    </w:p>
    <w:p w14:paraId="5CA32EBF" w14:textId="370C2F82" w:rsidR="00835D12" w:rsidRDefault="004F7D9C" w:rsidP="00835D12">
      <w:pPr>
        <w:pStyle w:val="Norma"/>
        <w:rPr>
          <w:color w:val="000000" w:themeColor="text1"/>
        </w:rPr>
      </w:pPr>
      <w:r>
        <w:rPr>
          <w:color w:val="000000" w:themeColor="text1"/>
        </w:rPr>
        <w:t>The central focus of the work is on the use of hydrogen for heating, as there is already an existing body of research on the acceptability for heat pumps.</w:t>
      </w:r>
      <w:r w:rsidR="005E2A65">
        <w:rPr>
          <w:rStyle w:val="FootnoteReference"/>
          <w:color w:val="000000" w:themeColor="text1"/>
        </w:rPr>
        <w:footnoteReference w:id="3"/>
      </w:r>
      <w:r>
        <w:rPr>
          <w:color w:val="000000" w:themeColor="text1"/>
        </w:rPr>
        <w:t xml:space="preserve"> </w:t>
      </w:r>
      <w:r w:rsidR="00E76A98">
        <w:rPr>
          <w:color w:val="000000" w:themeColor="text1"/>
        </w:rPr>
        <w:t xml:space="preserve">The CCC recognises the value in assessing the public acceptability of the use of hydrogen in homes prior to making further recommendations about the use </w:t>
      </w:r>
      <w:r w:rsidR="00C50773">
        <w:rPr>
          <w:color w:val="000000" w:themeColor="text1"/>
        </w:rPr>
        <w:t>of hydrogen and heat pumps</w:t>
      </w:r>
      <w:r w:rsidR="00E76A98">
        <w:rPr>
          <w:color w:val="000000" w:themeColor="text1"/>
        </w:rPr>
        <w:t xml:space="preserve">. </w:t>
      </w:r>
      <w:r w:rsidR="00D62A7B">
        <w:rPr>
          <w:color w:val="000000" w:themeColor="text1"/>
        </w:rPr>
        <w:t xml:space="preserve">If there are barriers to the introduction of these technologies due to negative public opinion, the CCC would like to understand the factors that underlie these opinions, whether opinions would improve if further information is provided and how widely held any negative views are.  </w:t>
      </w:r>
    </w:p>
    <w:p w14:paraId="2FEA66B6" w14:textId="77777777" w:rsidR="00AA133E" w:rsidRDefault="00AA133E" w:rsidP="00835D12">
      <w:pPr>
        <w:pStyle w:val="Norma"/>
        <w:rPr>
          <w:color w:val="000000" w:themeColor="text1"/>
        </w:rPr>
      </w:pPr>
    </w:p>
    <w:p w14:paraId="35A33A3D" w14:textId="6E0E2690" w:rsidR="009B7CD8" w:rsidRPr="00AA133E" w:rsidRDefault="00016416" w:rsidP="00AA133E">
      <w:pPr>
        <w:pStyle w:val="Heading1"/>
        <w:numPr>
          <w:ilvl w:val="0"/>
          <w:numId w:val="1"/>
        </w:numPr>
        <w:jc w:val="both"/>
        <w:rPr>
          <w:rFonts w:ascii="Arial" w:hAnsi="Arial" w:cs="Arial"/>
          <w:sz w:val="24"/>
          <w:szCs w:val="24"/>
        </w:rPr>
      </w:pPr>
      <w:r w:rsidRPr="007963DA">
        <w:rPr>
          <w:rFonts w:ascii="Arial" w:hAnsi="Arial" w:cs="Arial"/>
          <w:sz w:val="24"/>
          <w:szCs w:val="24"/>
        </w:rPr>
        <w:t>Aims and Objectives</w:t>
      </w:r>
      <w:bookmarkEnd w:id="7"/>
      <w:bookmarkEnd w:id="8"/>
      <w:bookmarkEnd w:id="9"/>
    </w:p>
    <w:p w14:paraId="19343453" w14:textId="77777777" w:rsidR="00DD521A" w:rsidRDefault="00DD521A" w:rsidP="00DD521A">
      <w:pPr>
        <w:pStyle w:val="Norma"/>
      </w:pPr>
    </w:p>
    <w:p w14:paraId="02C8120C" w14:textId="12F5EDF9" w:rsidR="00DD521A" w:rsidRDefault="00C37FF4" w:rsidP="00DD521A">
      <w:pPr>
        <w:pStyle w:val="Norma"/>
      </w:pPr>
      <w:r w:rsidRPr="00C37FF4">
        <w:t xml:space="preserve">The aim of the current project is to identify what reactions people have to </w:t>
      </w:r>
      <w:r w:rsidR="005340A3">
        <w:t>the choice</w:t>
      </w:r>
      <w:r w:rsidR="008678D5">
        <w:t xml:space="preserve"> for heating and cooking</w:t>
      </w:r>
      <w:r w:rsidR="005340A3">
        <w:t xml:space="preserve"> of the use of</w:t>
      </w:r>
      <w:r w:rsidR="008678D5">
        <w:t xml:space="preserve"> </w:t>
      </w:r>
      <w:r w:rsidR="008678D5" w:rsidRPr="009D3A27">
        <w:rPr>
          <w:i/>
        </w:rPr>
        <w:t>either</w:t>
      </w:r>
      <w:r w:rsidR="005340A3">
        <w:t xml:space="preserve"> heat pumps</w:t>
      </w:r>
      <w:r w:rsidR="008678D5">
        <w:t xml:space="preserve"> and electric or immersion hobs</w:t>
      </w:r>
      <w:r w:rsidR="005340A3">
        <w:t xml:space="preserve"> </w:t>
      </w:r>
      <w:r w:rsidR="005340A3" w:rsidRPr="009D3A27">
        <w:rPr>
          <w:i/>
        </w:rPr>
        <w:t>or</w:t>
      </w:r>
      <w:r w:rsidR="005340A3">
        <w:t xml:space="preserve"> </w:t>
      </w:r>
      <w:r w:rsidR="008678D5">
        <w:t xml:space="preserve">alternatively </w:t>
      </w:r>
      <w:r w:rsidR="005340A3">
        <w:t>hydrogen in their home</w:t>
      </w:r>
      <w:r w:rsidR="009C3342">
        <w:t xml:space="preserve"> given the need to end the use of natural gas in homes</w:t>
      </w:r>
      <w:r w:rsidRPr="00C37FF4">
        <w:t xml:space="preserve"> and whether these reactions constitute a significant barrier to </w:t>
      </w:r>
      <w:r w:rsidR="008678E4">
        <w:t>a wide r</w:t>
      </w:r>
      <w:r w:rsidR="004F7D9C">
        <w:t>oll-out of hydrogen or heat pumps.</w:t>
      </w:r>
      <w:r w:rsidR="00D62A7B">
        <w:rPr>
          <w:color w:val="000000" w:themeColor="text1"/>
        </w:rPr>
        <w:t xml:space="preserve"> </w:t>
      </w:r>
      <w:r w:rsidR="00D62A7B" w:rsidRPr="005340A3">
        <w:rPr>
          <w:color w:val="000000" w:themeColor="text1"/>
        </w:rPr>
        <w:t xml:space="preserve">Crucially, the acceptability must be judged as a comparison between hydrogen and </w:t>
      </w:r>
      <w:r w:rsidR="005340A3">
        <w:rPr>
          <w:color w:val="000000" w:themeColor="text1"/>
        </w:rPr>
        <w:t>heat pumps</w:t>
      </w:r>
      <w:r w:rsidR="00D62A7B" w:rsidRPr="005340A3">
        <w:rPr>
          <w:color w:val="000000" w:themeColor="text1"/>
        </w:rPr>
        <w:t>, rather than the current heating options used by the participants.</w:t>
      </w:r>
      <w:r w:rsidR="00D62A7B">
        <w:rPr>
          <w:color w:val="000000" w:themeColor="text1"/>
        </w:rPr>
        <w:t xml:space="preserve"> The study should aim to identify whether there is a significant preference for either the use of hydrogen or </w:t>
      </w:r>
      <w:r w:rsidR="005340A3">
        <w:rPr>
          <w:color w:val="000000" w:themeColor="text1"/>
        </w:rPr>
        <w:t>heat pumps</w:t>
      </w:r>
      <w:r w:rsidR="00EA45C4">
        <w:rPr>
          <w:color w:val="000000" w:themeColor="text1"/>
        </w:rPr>
        <w:t xml:space="preserve"> </w:t>
      </w:r>
      <w:r w:rsidR="00E207CF">
        <w:rPr>
          <w:color w:val="000000" w:themeColor="text1"/>
        </w:rPr>
        <w:t xml:space="preserve">with electric or </w:t>
      </w:r>
      <w:r w:rsidR="00EA45C4">
        <w:rPr>
          <w:color w:val="000000" w:themeColor="text1"/>
        </w:rPr>
        <w:t>immersion hobs</w:t>
      </w:r>
      <w:r w:rsidR="005340A3">
        <w:rPr>
          <w:color w:val="000000" w:themeColor="text1"/>
        </w:rPr>
        <w:t xml:space="preserve"> </w:t>
      </w:r>
      <w:r w:rsidR="00D62A7B">
        <w:rPr>
          <w:color w:val="000000" w:themeColor="text1"/>
        </w:rPr>
        <w:t xml:space="preserve">for cooking and heating in the home. </w:t>
      </w:r>
      <w:r w:rsidR="004F7D9C">
        <w:t xml:space="preserve"> </w:t>
      </w:r>
    </w:p>
    <w:p w14:paraId="6790E376" w14:textId="7F3DC5B9" w:rsidR="00C37FF4" w:rsidRDefault="000534B6" w:rsidP="00DD521A">
      <w:pPr>
        <w:pStyle w:val="Norma"/>
      </w:pPr>
      <w:r>
        <w:t>The key areas of interest for the CCC include</w:t>
      </w:r>
      <w:r w:rsidR="00C37FF4">
        <w:t>:</w:t>
      </w:r>
    </w:p>
    <w:p w14:paraId="413F62F2" w14:textId="49A2610B" w:rsidR="000534B6" w:rsidRDefault="008678E4" w:rsidP="00C37FF4">
      <w:pPr>
        <w:pStyle w:val="Norma"/>
        <w:numPr>
          <w:ilvl w:val="0"/>
          <w:numId w:val="9"/>
        </w:numPr>
      </w:pPr>
      <w:r>
        <w:t xml:space="preserve">What </w:t>
      </w:r>
      <w:r w:rsidR="009B7CD8">
        <w:t xml:space="preserve">is the </w:t>
      </w:r>
      <w:r w:rsidR="000534B6">
        <w:t>range of</w:t>
      </w:r>
      <w:r>
        <w:t xml:space="preserve"> fa</w:t>
      </w:r>
      <w:r w:rsidR="009521EB">
        <w:t xml:space="preserve">ctors that would influence a </w:t>
      </w:r>
      <w:r w:rsidR="009521EB" w:rsidRPr="005340A3">
        <w:t>member of the public’s</w:t>
      </w:r>
      <w:r w:rsidRPr="005340A3">
        <w:t xml:space="preserve"> decision to install or their </w:t>
      </w:r>
      <w:r w:rsidR="005340A3" w:rsidRPr="005340A3">
        <w:t>decision to support a change to hydrogen or heat pumps within thei</w:t>
      </w:r>
      <w:r w:rsidR="005340A3" w:rsidRPr="000B4FFA">
        <w:t>r local area</w:t>
      </w:r>
      <w:r w:rsidRPr="000B4FFA">
        <w:t>?</w:t>
      </w:r>
      <w:r w:rsidR="000534B6">
        <w:t xml:space="preserve"> Which of these factors are most significant in driving preferences for one technology over another?</w:t>
      </w:r>
    </w:p>
    <w:p w14:paraId="76D64EB6" w14:textId="37C3A9E5" w:rsidR="008678E4" w:rsidRPr="00C37FF4" w:rsidRDefault="008678E4" w:rsidP="00C37FF4">
      <w:pPr>
        <w:pStyle w:val="Norma"/>
        <w:numPr>
          <w:ilvl w:val="0"/>
          <w:numId w:val="9"/>
        </w:numPr>
      </w:pPr>
      <w:r>
        <w:t xml:space="preserve"> Factors considered should include the following:</w:t>
      </w:r>
    </w:p>
    <w:p w14:paraId="4C016211" w14:textId="22E20054" w:rsidR="008678E4" w:rsidRDefault="00BB0C5E" w:rsidP="008678E4">
      <w:pPr>
        <w:pStyle w:val="Norma"/>
        <w:numPr>
          <w:ilvl w:val="1"/>
          <w:numId w:val="9"/>
        </w:numPr>
        <w:rPr>
          <w:color w:val="000000" w:themeColor="text1"/>
        </w:rPr>
      </w:pPr>
      <w:r>
        <w:rPr>
          <w:color w:val="000000" w:themeColor="text1"/>
        </w:rPr>
        <w:t xml:space="preserve">Would they prefer a higher upfront cost, </w:t>
      </w:r>
      <w:r w:rsidR="00E51010">
        <w:rPr>
          <w:color w:val="000000" w:themeColor="text1"/>
        </w:rPr>
        <w:t>followed by lower heating costs</w:t>
      </w:r>
      <w:r>
        <w:rPr>
          <w:color w:val="000000" w:themeColor="text1"/>
        </w:rPr>
        <w:t xml:space="preserve"> or </w:t>
      </w:r>
      <w:r>
        <w:rPr>
          <w:color w:val="000000" w:themeColor="text1"/>
        </w:rPr>
        <w:lastRenderedPageBreak/>
        <w:t>higher heating costs but wit</w:t>
      </w:r>
      <w:r w:rsidR="00E51010">
        <w:rPr>
          <w:color w:val="000000" w:themeColor="text1"/>
        </w:rPr>
        <w:t>h no large upfront cost?</w:t>
      </w:r>
    </w:p>
    <w:p w14:paraId="6C1BF60C" w14:textId="5BB5D152" w:rsidR="008678E4" w:rsidRDefault="00547482" w:rsidP="008678E4">
      <w:pPr>
        <w:pStyle w:val="Norma"/>
        <w:numPr>
          <w:ilvl w:val="1"/>
          <w:numId w:val="9"/>
        </w:numPr>
        <w:rPr>
          <w:color w:val="000000" w:themeColor="text1"/>
        </w:rPr>
      </w:pPr>
      <w:r>
        <w:rPr>
          <w:color w:val="000000" w:themeColor="text1"/>
        </w:rPr>
        <w:t>How do they feel about having lowe</w:t>
      </w:r>
      <w:r w:rsidR="00E51010">
        <w:rPr>
          <w:color w:val="000000" w:themeColor="text1"/>
        </w:rPr>
        <w:t>r levels</w:t>
      </w:r>
      <w:r>
        <w:rPr>
          <w:color w:val="000000" w:themeColor="text1"/>
        </w:rPr>
        <w:t xml:space="preserve"> of heat supplied</w:t>
      </w:r>
      <w:r w:rsidR="00E51010">
        <w:rPr>
          <w:color w:val="000000" w:themeColor="text1"/>
        </w:rPr>
        <w:t xml:space="preserve"> over longer time periods</w:t>
      </w:r>
      <w:r>
        <w:rPr>
          <w:color w:val="000000" w:themeColor="text1"/>
        </w:rPr>
        <w:t xml:space="preserve"> by a heat pump</w:t>
      </w:r>
      <w:r w:rsidR="005340A3">
        <w:rPr>
          <w:color w:val="000000" w:themeColor="text1"/>
        </w:rPr>
        <w:t>, still resulting in the same temperature and comfort levels in the home overall</w:t>
      </w:r>
      <w:r>
        <w:rPr>
          <w:color w:val="000000" w:themeColor="text1"/>
        </w:rPr>
        <w:t>? Would they s</w:t>
      </w:r>
      <w:r w:rsidR="00E51010">
        <w:rPr>
          <w:color w:val="000000" w:themeColor="text1"/>
        </w:rPr>
        <w:t>trongly prefer the more</w:t>
      </w:r>
      <w:r>
        <w:rPr>
          <w:color w:val="000000" w:themeColor="text1"/>
        </w:rPr>
        <w:t xml:space="preserve"> responsive system that could be provided by a hydrogen boiler? </w:t>
      </w:r>
    </w:p>
    <w:p w14:paraId="58DA31DF" w14:textId="3AEFAB4C" w:rsidR="00C50773" w:rsidRPr="00C50773" w:rsidRDefault="00C50773" w:rsidP="00C50773">
      <w:pPr>
        <w:pStyle w:val="Norma"/>
        <w:numPr>
          <w:ilvl w:val="1"/>
          <w:numId w:val="9"/>
        </w:numPr>
        <w:rPr>
          <w:color w:val="000000" w:themeColor="text1"/>
        </w:rPr>
      </w:pPr>
      <w:r>
        <w:rPr>
          <w:color w:val="000000" w:themeColor="text1"/>
        </w:rPr>
        <w:t xml:space="preserve">Heat pumps are large and work most effectively when combined with larger radiators and underfloor heating. What factors matter to </w:t>
      </w:r>
      <w:r w:rsidR="00E46196">
        <w:rPr>
          <w:color w:val="000000" w:themeColor="text1"/>
        </w:rPr>
        <w:t>them</w:t>
      </w:r>
      <w:r>
        <w:rPr>
          <w:color w:val="000000" w:themeColor="text1"/>
        </w:rPr>
        <w:t xml:space="preserve"> about the space taken up by and the location of </w:t>
      </w:r>
      <w:r w:rsidR="00E46196">
        <w:rPr>
          <w:color w:val="000000" w:themeColor="text1"/>
        </w:rPr>
        <w:t xml:space="preserve">their </w:t>
      </w:r>
      <w:r>
        <w:rPr>
          <w:color w:val="000000" w:themeColor="text1"/>
        </w:rPr>
        <w:t xml:space="preserve">heating system? </w:t>
      </w:r>
    </w:p>
    <w:p w14:paraId="07BB1C54" w14:textId="520B146C" w:rsidR="008678E4" w:rsidRDefault="00D62A7B" w:rsidP="008678E4">
      <w:pPr>
        <w:pStyle w:val="Norma"/>
        <w:numPr>
          <w:ilvl w:val="1"/>
          <w:numId w:val="9"/>
        </w:numPr>
        <w:rPr>
          <w:color w:val="000000" w:themeColor="text1"/>
        </w:rPr>
      </w:pPr>
      <w:r>
        <w:rPr>
          <w:color w:val="000000" w:themeColor="text1"/>
        </w:rPr>
        <w:t xml:space="preserve">If they were told they needed to change their heating to either hydrogen or </w:t>
      </w:r>
      <w:r w:rsidR="009C3342">
        <w:rPr>
          <w:color w:val="000000" w:themeColor="text1"/>
        </w:rPr>
        <w:t>heat pumps</w:t>
      </w:r>
      <w:r w:rsidR="00BB0C5E">
        <w:rPr>
          <w:color w:val="000000" w:themeColor="text1"/>
        </w:rPr>
        <w:t xml:space="preserve">, would they feel confident and trust that they will still be provided the same level of heat and comfort? </w:t>
      </w:r>
    </w:p>
    <w:p w14:paraId="303A80A2" w14:textId="46730705" w:rsidR="008678E4" w:rsidRDefault="00547482" w:rsidP="008678E4">
      <w:pPr>
        <w:pStyle w:val="Norma"/>
        <w:numPr>
          <w:ilvl w:val="1"/>
          <w:numId w:val="9"/>
        </w:numPr>
        <w:rPr>
          <w:color w:val="000000" w:themeColor="text1"/>
        </w:rPr>
      </w:pPr>
      <w:r>
        <w:rPr>
          <w:color w:val="000000" w:themeColor="text1"/>
        </w:rPr>
        <w:t xml:space="preserve">How do they feel about hydrogen being piped into their homes? Is there a concern about safety when it is burnt within a boiler, a cooker or a gas fire? </w:t>
      </w:r>
      <w:r w:rsidR="00BB0C5E">
        <w:rPr>
          <w:color w:val="000000" w:themeColor="text1"/>
        </w:rPr>
        <w:t>Do their concerns about safety stem from risks of explosion, their ability to smell or detect t</w:t>
      </w:r>
      <w:r w:rsidR="005E2A65">
        <w:rPr>
          <w:color w:val="000000" w:themeColor="text1"/>
        </w:rPr>
        <w:t xml:space="preserve">he gas, air quality concerns, </w:t>
      </w:r>
      <w:r w:rsidR="00BB0C5E">
        <w:rPr>
          <w:color w:val="000000" w:themeColor="text1"/>
        </w:rPr>
        <w:t>public health concerns</w:t>
      </w:r>
      <w:r w:rsidR="005E2A65">
        <w:rPr>
          <w:color w:val="000000" w:themeColor="text1"/>
        </w:rPr>
        <w:t xml:space="preserve"> or other</w:t>
      </w:r>
      <w:r w:rsidR="00BB0C5E">
        <w:rPr>
          <w:color w:val="000000" w:themeColor="text1"/>
        </w:rPr>
        <w:t xml:space="preserve">? </w:t>
      </w:r>
      <w:r w:rsidR="008678D5">
        <w:rPr>
          <w:color w:val="000000" w:themeColor="text1"/>
        </w:rPr>
        <w:t xml:space="preserve">How well informed are these concerns and what might be done to address them effectively? </w:t>
      </w:r>
    </w:p>
    <w:p w14:paraId="396CE740" w14:textId="724EF2C4" w:rsidR="005340A3" w:rsidRDefault="000B4FFA" w:rsidP="008678E4">
      <w:pPr>
        <w:pStyle w:val="Norma"/>
        <w:numPr>
          <w:ilvl w:val="1"/>
          <w:numId w:val="9"/>
        </w:numPr>
        <w:rPr>
          <w:color w:val="000000" w:themeColor="text1"/>
        </w:rPr>
      </w:pPr>
      <w:r>
        <w:rPr>
          <w:color w:val="000000" w:themeColor="text1"/>
        </w:rPr>
        <w:t>How would they feel about the decision making process to switch their local area to hydrogen or heat pumps? If there was a collective decision making process, would they feel willing to support one over the other? What would be their response if their non-preferred choice ended up being chosen?</w:t>
      </w:r>
    </w:p>
    <w:p w14:paraId="4F659095" w14:textId="55471A95" w:rsidR="008678E4" w:rsidRDefault="00547482" w:rsidP="008678E4">
      <w:pPr>
        <w:pStyle w:val="Norma"/>
        <w:numPr>
          <w:ilvl w:val="1"/>
          <w:numId w:val="9"/>
        </w:numPr>
        <w:rPr>
          <w:color w:val="000000" w:themeColor="text1"/>
        </w:rPr>
      </w:pPr>
      <w:r>
        <w:rPr>
          <w:color w:val="000000" w:themeColor="text1"/>
        </w:rPr>
        <w:t xml:space="preserve">If </w:t>
      </w:r>
      <w:r w:rsidR="00E207CF">
        <w:rPr>
          <w:color w:val="000000" w:themeColor="text1"/>
        </w:rPr>
        <w:t>their</w:t>
      </w:r>
      <w:r>
        <w:rPr>
          <w:color w:val="000000" w:themeColor="text1"/>
        </w:rPr>
        <w:t xml:space="preserve"> area is switched over to hydrogen, how would </w:t>
      </w:r>
      <w:r w:rsidR="00E207CF">
        <w:rPr>
          <w:color w:val="000000" w:themeColor="text1"/>
        </w:rPr>
        <w:t>they</w:t>
      </w:r>
      <w:r>
        <w:rPr>
          <w:color w:val="000000" w:themeColor="text1"/>
        </w:rPr>
        <w:t xml:space="preserve"> feel about having to change </w:t>
      </w:r>
      <w:r w:rsidR="00E46196">
        <w:rPr>
          <w:color w:val="000000" w:themeColor="text1"/>
        </w:rPr>
        <w:t>their</w:t>
      </w:r>
      <w:r>
        <w:rPr>
          <w:color w:val="000000" w:themeColor="text1"/>
        </w:rPr>
        <w:t xml:space="preserve"> gas cooker to a hydrogen cooker if they were functionally equivalent? </w:t>
      </w:r>
      <w:r w:rsidR="00E207CF">
        <w:rPr>
          <w:color w:val="000000" w:themeColor="text1"/>
        </w:rPr>
        <w:t>They</w:t>
      </w:r>
      <w:r>
        <w:rPr>
          <w:color w:val="000000" w:themeColor="text1"/>
        </w:rPr>
        <w:t xml:space="preserve"> could also choose to switch to an electric or induction cooker at this time.</w:t>
      </w:r>
      <w:r w:rsidR="000B4FFA">
        <w:rPr>
          <w:color w:val="000000" w:themeColor="text1"/>
        </w:rPr>
        <w:t xml:space="preserve"> </w:t>
      </w:r>
      <w:r w:rsidR="00E46196">
        <w:rPr>
          <w:color w:val="000000" w:themeColor="text1"/>
        </w:rPr>
        <w:t>If their area is switched over to heat pumps, how would they feel about having to switch to an electric or induction hob?</w:t>
      </w:r>
    </w:p>
    <w:p w14:paraId="3CD72928" w14:textId="0D29F613" w:rsidR="00BB0C5E" w:rsidRDefault="00BB0C5E" w:rsidP="008678E4">
      <w:pPr>
        <w:pStyle w:val="Norma"/>
        <w:numPr>
          <w:ilvl w:val="1"/>
          <w:numId w:val="9"/>
        </w:numPr>
        <w:rPr>
          <w:color w:val="000000" w:themeColor="text1"/>
        </w:rPr>
      </w:pPr>
      <w:r>
        <w:rPr>
          <w:color w:val="000000" w:themeColor="text1"/>
        </w:rPr>
        <w:t xml:space="preserve">How would </w:t>
      </w:r>
      <w:r w:rsidR="00E207CF">
        <w:rPr>
          <w:color w:val="000000" w:themeColor="text1"/>
        </w:rPr>
        <w:t>they</w:t>
      </w:r>
      <w:r>
        <w:rPr>
          <w:color w:val="000000" w:themeColor="text1"/>
        </w:rPr>
        <w:t xml:space="preserve"> feel about having a different smell (compared to the odour added to natural gas) to tell </w:t>
      </w:r>
      <w:r w:rsidR="00E46196">
        <w:rPr>
          <w:color w:val="000000" w:themeColor="text1"/>
        </w:rPr>
        <w:t>them</w:t>
      </w:r>
      <w:r>
        <w:rPr>
          <w:color w:val="000000" w:themeColor="text1"/>
        </w:rPr>
        <w:t xml:space="preserve"> that</w:t>
      </w:r>
      <w:r w:rsidR="00E207CF">
        <w:rPr>
          <w:color w:val="000000" w:themeColor="text1"/>
        </w:rPr>
        <w:t xml:space="preserve"> their</w:t>
      </w:r>
      <w:r>
        <w:rPr>
          <w:color w:val="000000" w:themeColor="text1"/>
        </w:rPr>
        <w:t xml:space="preserve"> gas supply was leaking? </w:t>
      </w:r>
    </w:p>
    <w:p w14:paraId="2EFC7BA6" w14:textId="5D1DE88B" w:rsidR="00D62A7B" w:rsidRPr="00D62A7B" w:rsidRDefault="00D62A7B" w:rsidP="00D62A7B">
      <w:pPr>
        <w:pStyle w:val="Norma"/>
        <w:numPr>
          <w:ilvl w:val="1"/>
          <w:numId w:val="9"/>
        </w:numPr>
        <w:rPr>
          <w:color w:val="000000" w:themeColor="text1"/>
        </w:rPr>
      </w:pPr>
      <w:r>
        <w:rPr>
          <w:color w:val="000000" w:themeColor="text1"/>
        </w:rPr>
        <w:t xml:space="preserve">How would </w:t>
      </w:r>
      <w:r w:rsidR="00E207CF">
        <w:rPr>
          <w:color w:val="000000" w:themeColor="text1"/>
        </w:rPr>
        <w:t>they</w:t>
      </w:r>
      <w:r>
        <w:rPr>
          <w:color w:val="000000" w:themeColor="text1"/>
        </w:rPr>
        <w:t xml:space="preserve"> feel if the government told </w:t>
      </w:r>
      <w:r w:rsidR="00E207CF">
        <w:rPr>
          <w:color w:val="000000" w:themeColor="text1"/>
        </w:rPr>
        <w:t>them</w:t>
      </w:r>
      <w:r>
        <w:rPr>
          <w:color w:val="000000" w:themeColor="text1"/>
        </w:rPr>
        <w:t xml:space="preserve"> a different gas would be provided to </w:t>
      </w:r>
      <w:r w:rsidR="00E207CF">
        <w:rPr>
          <w:color w:val="000000" w:themeColor="text1"/>
        </w:rPr>
        <w:t>them</w:t>
      </w:r>
      <w:r>
        <w:rPr>
          <w:color w:val="000000" w:themeColor="text1"/>
        </w:rPr>
        <w:t xml:space="preserve"> in </w:t>
      </w:r>
      <w:r w:rsidR="00E207CF">
        <w:rPr>
          <w:color w:val="000000" w:themeColor="text1"/>
        </w:rPr>
        <w:t>their</w:t>
      </w:r>
      <w:r>
        <w:rPr>
          <w:color w:val="000000" w:themeColor="text1"/>
        </w:rPr>
        <w:t xml:space="preserve"> home and that the</w:t>
      </w:r>
      <w:r w:rsidR="00E207CF">
        <w:rPr>
          <w:color w:val="000000" w:themeColor="text1"/>
        </w:rPr>
        <w:t>y</w:t>
      </w:r>
      <w:r>
        <w:rPr>
          <w:color w:val="000000" w:themeColor="text1"/>
        </w:rPr>
        <w:t xml:space="preserve"> would need to change </w:t>
      </w:r>
      <w:r w:rsidR="00E207CF">
        <w:rPr>
          <w:color w:val="000000" w:themeColor="text1"/>
        </w:rPr>
        <w:t>their</w:t>
      </w:r>
      <w:r>
        <w:rPr>
          <w:color w:val="000000" w:themeColor="text1"/>
        </w:rPr>
        <w:t xml:space="preserve"> boiler, cooker and gas fire? Would </w:t>
      </w:r>
      <w:r w:rsidR="00E207CF">
        <w:rPr>
          <w:color w:val="000000" w:themeColor="text1"/>
        </w:rPr>
        <w:t>their</w:t>
      </w:r>
      <w:r>
        <w:rPr>
          <w:color w:val="000000" w:themeColor="text1"/>
        </w:rPr>
        <w:t xml:space="preserve"> opinion of this vary if this only applied to </w:t>
      </w:r>
      <w:r w:rsidR="00E207CF">
        <w:rPr>
          <w:color w:val="000000" w:themeColor="text1"/>
        </w:rPr>
        <w:t>their</w:t>
      </w:r>
      <w:r>
        <w:rPr>
          <w:color w:val="000000" w:themeColor="text1"/>
        </w:rPr>
        <w:t xml:space="preserve"> local area?</w:t>
      </w:r>
      <w:r w:rsidR="005340A3">
        <w:rPr>
          <w:color w:val="000000" w:themeColor="text1"/>
        </w:rPr>
        <w:t xml:space="preserve"> </w:t>
      </w:r>
      <w:r w:rsidR="009C3342">
        <w:rPr>
          <w:color w:val="000000" w:themeColor="text1"/>
        </w:rPr>
        <w:t>How would</w:t>
      </w:r>
      <w:r w:rsidR="00E207CF">
        <w:rPr>
          <w:color w:val="000000" w:themeColor="text1"/>
        </w:rPr>
        <w:t xml:space="preserve"> they</w:t>
      </w:r>
      <w:r w:rsidR="009C3342">
        <w:rPr>
          <w:color w:val="000000" w:themeColor="text1"/>
        </w:rPr>
        <w:t xml:space="preserve"> feel during this switchover </w:t>
      </w:r>
      <w:r w:rsidR="000B4FFA">
        <w:rPr>
          <w:color w:val="000000" w:themeColor="text1"/>
        </w:rPr>
        <w:t xml:space="preserve">if the government could provide a particular appliance for free but </w:t>
      </w:r>
      <w:r w:rsidR="00E207CF">
        <w:rPr>
          <w:color w:val="000000" w:themeColor="text1"/>
        </w:rPr>
        <w:t>they</w:t>
      </w:r>
      <w:r w:rsidR="000B4FFA">
        <w:rPr>
          <w:color w:val="000000" w:themeColor="text1"/>
        </w:rPr>
        <w:t xml:space="preserve"> may need to pay more to upgrade if </w:t>
      </w:r>
      <w:r w:rsidR="00E207CF">
        <w:rPr>
          <w:color w:val="000000" w:themeColor="text1"/>
        </w:rPr>
        <w:t>they</w:t>
      </w:r>
      <w:r w:rsidR="000B4FFA">
        <w:rPr>
          <w:color w:val="000000" w:themeColor="text1"/>
        </w:rPr>
        <w:t xml:space="preserve"> would prefer a different choice of appliance?</w:t>
      </w:r>
      <w:r w:rsidR="008678D5">
        <w:rPr>
          <w:color w:val="000000" w:themeColor="text1"/>
        </w:rPr>
        <w:t xml:space="preserve"> Do participants have different levels of trust for different institutions that might be involved in a transition and why (including government, local government, energy suppliers and local tradespersons)? Are there steps that can be taken to ensure a trusting relationship between consumers and these actors?</w:t>
      </w:r>
      <w:r w:rsidR="000B4FFA">
        <w:rPr>
          <w:color w:val="000000" w:themeColor="text1"/>
        </w:rPr>
        <w:t xml:space="preserve"> </w:t>
      </w:r>
    </w:p>
    <w:p w14:paraId="066873C8" w14:textId="3527813F" w:rsidR="008678E4" w:rsidRDefault="000B4FFA" w:rsidP="008678E4">
      <w:pPr>
        <w:pStyle w:val="Norma"/>
        <w:numPr>
          <w:ilvl w:val="1"/>
          <w:numId w:val="9"/>
        </w:numPr>
        <w:rPr>
          <w:color w:val="000000" w:themeColor="text1"/>
        </w:rPr>
      </w:pPr>
      <w:r>
        <w:rPr>
          <w:color w:val="000000" w:themeColor="text1"/>
        </w:rPr>
        <w:t xml:space="preserve">As the grid will be switched from one gas to another on a particular day, it would be necessary for all homes connected to that part of the grid to be switched over at the same time. </w:t>
      </w:r>
      <w:r w:rsidR="00BB0C5E">
        <w:rPr>
          <w:color w:val="000000" w:themeColor="text1"/>
        </w:rPr>
        <w:t xml:space="preserve">Would </w:t>
      </w:r>
      <w:r w:rsidR="00E207CF">
        <w:rPr>
          <w:color w:val="000000" w:themeColor="text1"/>
        </w:rPr>
        <w:t>they</w:t>
      </w:r>
      <w:r w:rsidR="00BB0C5E">
        <w:rPr>
          <w:color w:val="000000" w:themeColor="text1"/>
        </w:rPr>
        <w:t xml:space="preserve"> be happy for people to come into </w:t>
      </w:r>
      <w:r w:rsidR="00E207CF">
        <w:rPr>
          <w:color w:val="000000" w:themeColor="text1"/>
        </w:rPr>
        <w:t>their</w:t>
      </w:r>
      <w:r w:rsidR="00BB0C5E">
        <w:rPr>
          <w:color w:val="000000" w:themeColor="text1"/>
        </w:rPr>
        <w:t xml:space="preserve"> home and switch over </w:t>
      </w:r>
      <w:r w:rsidR="00E207CF">
        <w:rPr>
          <w:color w:val="000000" w:themeColor="text1"/>
        </w:rPr>
        <w:t>their</w:t>
      </w:r>
      <w:r w:rsidR="00BB0C5E">
        <w:rPr>
          <w:color w:val="000000" w:themeColor="text1"/>
        </w:rPr>
        <w:t xml:space="preserve"> heating technology at a particular time if they were fully licensed and registered?</w:t>
      </w:r>
      <w:r>
        <w:rPr>
          <w:color w:val="000000" w:themeColor="text1"/>
        </w:rPr>
        <w:t xml:space="preserve"> How important to </w:t>
      </w:r>
      <w:r w:rsidR="00E207CF">
        <w:rPr>
          <w:color w:val="000000" w:themeColor="text1"/>
        </w:rPr>
        <w:t>them</w:t>
      </w:r>
      <w:r>
        <w:rPr>
          <w:color w:val="000000" w:themeColor="text1"/>
        </w:rPr>
        <w:t xml:space="preserve"> is the option to choose </w:t>
      </w:r>
      <w:r w:rsidR="00E207CF">
        <w:rPr>
          <w:color w:val="000000" w:themeColor="text1"/>
        </w:rPr>
        <w:t>their</w:t>
      </w:r>
      <w:r>
        <w:rPr>
          <w:color w:val="000000" w:themeColor="text1"/>
        </w:rPr>
        <w:t xml:space="preserve"> own installer for this particular day?  </w:t>
      </w:r>
    </w:p>
    <w:p w14:paraId="4B70A9CB" w14:textId="5F6F0A44" w:rsidR="008678E4" w:rsidRDefault="000534B6" w:rsidP="00D62A7B">
      <w:pPr>
        <w:pStyle w:val="Norma"/>
        <w:numPr>
          <w:ilvl w:val="0"/>
          <w:numId w:val="9"/>
        </w:numPr>
        <w:rPr>
          <w:color w:val="000000" w:themeColor="text1"/>
        </w:rPr>
      </w:pPr>
      <w:r>
        <w:rPr>
          <w:color w:val="000000" w:themeColor="text1"/>
        </w:rPr>
        <w:t xml:space="preserve">To what extent could </w:t>
      </w:r>
      <w:r w:rsidR="00EA45C4">
        <w:rPr>
          <w:color w:val="000000" w:themeColor="text1"/>
        </w:rPr>
        <w:t xml:space="preserve">any </w:t>
      </w:r>
      <w:r>
        <w:rPr>
          <w:color w:val="000000" w:themeColor="text1"/>
        </w:rPr>
        <w:t xml:space="preserve">concerns be alleviated through the provision of information? How do preferences and priorities change following further information and education? </w:t>
      </w:r>
      <w:r w:rsidR="008678D5">
        <w:rPr>
          <w:color w:val="000000" w:themeColor="text1"/>
        </w:rPr>
        <w:t xml:space="preserve">Do participants in this research feel that their views and concerns are being taken into consideration? Do they have anything to say about what kind of information they want or need and how they would like to receive it? </w:t>
      </w:r>
    </w:p>
    <w:p w14:paraId="187C0AA4" w14:textId="69B100A7" w:rsidR="008678D5" w:rsidRPr="00D62A7B" w:rsidRDefault="008678D5" w:rsidP="00D62A7B">
      <w:pPr>
        <w:pStyle w:val="Norma"/>
        <w:numPr>
          <w:ilvl w:val="0"/>
          <w:numId w:val="9"/>
        </w:numPr>
        <w:rPr>
          <w:color w:val="000000" w:themeColor="text1"/>
        </w:rPr>
      </w:pPr>
      <w:r>
        <w:rPr>
          <w:color w:val="000000" w:themeColor="text1"/>
        </w:rPr>
        <w:t>What do the public want from their heating and in what ways to hydrogen and heat pumps match those needs?</w:t>
      </w:r>
    </w:p>
    <w:p w14:paraId="26C0B32E" w14:textId="41E9B083" w:rsidR="000534B6" w:rsidRDefault="00C50773" w:rsidP="000534B6">
      <w:pPr>
        <w:pStyle w:val="Norma"/>
        <w:numPr>
          <w:ilvl w:val="0"/>
          <w:numId w:val="9"/>
        </w:numPr>
        <w:rPr>
          <w:color w:val="000000" w:themeColor="text1"/>
        </w:rPr>
      </w:pPr>
      <w:r>
        <w:rPr>
          <w:color w:val="000000" w:themeColor="text1"/>
        </w:rPr>
        <w:t>Is the use of heat pumps</w:t>
      </w:r>
      <w:r w:rsidR="00E207CF">
        <w:rPr>
          <w:color w:val="000000" w:themeColor="text1"/>
        </w:rPr>
        <w:t xml:space="preserve"> and electric/immersion hobs</w:t>
      </w:r>
      <w:r>
        <w:rPr>
          <w:color w:val="000000" w:themeColor="text1"/>
        </w:rPr>
        <w:t xml:space="preserve"> or the use of hydrogen</w:t>
      </w:r>
      <w:r w:rsidR="009521EB">
        <w:rPr>
          <w:color w:val="000000" w:themeColor="text1"/>
        </w:rPr>
        <w:t xml:space="preserve"> preferable to the public? </w:t>
      </w:r>
      <w:r>
        <w:rPr>
          <w:color w:val="000000" w:themeColor="text1"/>
        </w:rPr>
        <w:t>Is either of</w:t>
      </w:r>
      <w:r w:rsidR="000534B6">
        <w:rPr>
          <w:color w:val="000000" w:themeColor="text1"/>
        </w:rPr>
        <w:t xml:space="preserve"> the technologies deemed unacceptable</w:t>
      </w:r>
      <w:r w:rsidR="008678D5">
        <w:rPr>
          <w:color w:val="000000" w:themeColor="text1"/>
        </w:rPr>
        <w:t xml:space="preserve"> and if so, why</w:t>
      </w:r>
      <w:r w:rsidR="000534B6">
        <w:rPr>
          <w:color w:val="000000" w:themeColor="text1"/>
        </w:rPr>
        <w:t xml:space="preserve">? </w:t>
      </w:r>
    </w:p>
    <w:p w14:paraId="7B03EC3E" w14:textId="49A6A8C7" w:rsidR="009521EB" w:rsidRPr="000534B6" w:rsidRDefault="000534B6" w:rsidP="000534B6">
      <w:pPr>
        <w:pStyle w:val="Norma"/>
        <w:numPr>
          <w:ilvl w:val="0"/>
          <w:numId w:val="9"/>
        </w:numPr>
        <w:rPr>
          <w:color w:val="000000" w:themeColor="text1"/>
        </w:rPr>
      </w:pPr>
      <w:r>
        <w:rPr>
          <w:color w:val="000000" w:themeColor="text1"/>
        </w:rPr>
        <w:lastRenderedPageBreak/>
        <w:t>Do preferences vary by demographic (e.g. geographical location, educational background, income, health)</w:t>
      </w:r>
      <w:r w:rsidR="009521EB">
        <w:rPr>
          <w:color w:val="000000" w:themeColor="text1"/>
        </w:rPr>
        <w:t>?</w:t>
      </w:r>
      <w:r>
        <w:rPr>
          <w:color w:val="000000" w:themeColor="text1"/>
        </w:rPr>
        <w:t xml:space="preserve"> If so how?</w:t>
      </w:r>
      <w:r w:rsidR="009521EB" w:rsidRPr="000534B6">
        <w:rPr>
          <w:color w:val="000000" w:themeColor="text1"/>
        </w:rPr>
        <w:t xml:space="preserve"> </w:t>
      </w:r>
    </w:p>
    <w:p w14:paraId="5EA8755B" w14:textId="77777777" w:rsidR="007963DA" w:rsidRDefault="007963DA" w:rsidP="005E2A65">
      <w:pPr>
        <w:pStyle w:val="Norma"/>
      </w:pPr>
    </w:p>
    <w:p w14:paraId="21A8ED95" w14:textId="4E789485" w:rsidR="005E2A65" w:rsidRDefault="005E2A65" w:rsidP="005E2A65">
      <w:pPr>
        <w:pStyle w:val="Norma"/>
      </w:pPr>
      <w:r>
        <w:t>The above questions are key areas of interest for the CCC, but the CCC would also welcome the opportunity to work with the successful bidder in generating key questions that would offer insight.</w:t>
      </w:r>
    </w:p>
    <w:p w14:paraId="5EA8755C" w14:textId="77777777" w:rsidR="00C4141B" w:rsidRDefault="00E85ED1" w:rsidP="001B2C13">
      <w:pPr>
        <w:pStyle w:val="Heading1"/>
        <w:numPr>
          <w:ilvl w:val="0"/>
          <w:numId w:val="3"/>
        </w:numPr>
        <w:rPr>
          <w:rFonts w:ascii="Arial" w:hAnsi="Arial" w:cs="Arial"/>
          <w:sz w:val="24"/>
          <w:szCs w:val="24"/>
        </w:rPr>
      </w:pPr>
      <w:bookmarkStart w:id="10" w:name="_Toc381969509"/>
      <w:bookmarkStart w:id="11" w:name="_Toc405888458"/>
      <w:r w:rsidRPr="00E85ED1">
        <w:rPr>
          <w:rFonts w:ascii="Arial" w:hAnsi="Arial" w:cs="Arial"/>
          <w:sz w:val="24"/>
          <w:szCs w:val="24"/>
        </w:rPr>
        <w:t>Methodology</w:t>
      </w:r>
      <w:bookmarkEnd w:id="10"/>
      <w:bookmarkEnd w:id="11"/>
    </w:p>
    <w:p w14:paraId="5A1BB8BA" w14:textId="2DBC2867" w:rsidR="00DD521A" w:rsidRDefault="00DD521A" w:rsidP="00DD521A">
      <w:pPr>
        <w:pStyle w:val="Norma"/>
      </w:pPr>
    </w:p>
    <w:p w14:paraId="18315CF0" w14:textId="77777777" w:rsidR="001101D1" w:rsidRDefault="001101D1" w:rsidP="00675091">
      <w:pPr>
        <w:pStyle w:val="Norma"/>
        <w:rPr>
          <w:color w:val="000000" w:themeColor="text1"/>
        </w:rPr>
      </w:pPr>
    </w:p>
    <w:p w14:paraId="3AB0129A" w14:textId="004A936A" w:rsidR="001101D1" w:rsidRDefault="00675091" w:rsidP="00675091">
      <w:pPr>
        <w:pStyle w:val="Norma"/>
        <w:rPr>
          <w:color w:val="000000" w:themeColor="text1"/>
        </w:rPr>
      </w:pPr>
      <w:r>
        <w:rPr>
          <w:color w:val="000000" w:themeColor="text1"/>
        </w:rPr>
        <w:t xml:space="preserve">As the CCC undertakes a review of the uses of </w:t>
      </w:r>
      <w:r w:rsidR="008678D5">
        <w:rPr>
          <w:color w:val="000000" w:themeColor="text1"/>
        </w:rPr>
        <w:t>h</w:t>
      </w:r>
      <w:r>
        <w:rPr>
          <w:color w:val="000000" w:themeColor="text1"/>
        </w:rPr>
        <w:t xml:space="preserve">ydrogen across the economy, the </w:t>
      </w:r>
      <w:r w:rsidR="009521EB">
        <w:rPr>
          <w:color w:val="000000" w:themeColor="text1"/>
        </w:rPr>
        <w:t xml:space="preserve">CCC recognises the need to assess the </w:t>
      </w:r>
      <w:r>
        <w:rPr>
          <w:color w:val="000000" w:themeColor="text1"/>
        </w:rPr>
        <w:t>acceptability to the public of the</w:t>
      </w:r>
      <w:r w:rsidR="009521EB">
        <w:rPr>
          <w:color w:val="000000" w:themeColor="text1"/>
        </w:rPr>
        <w:t xml:space="preserve"> use of hydrogen in their homes</w:t>
      </w:r>
      <w:r w:rsidR="00AA133E">
        <w:rPr>
          <w:color w:val="000000" w:themeColor="text1"/>
        </w:rPr>
        <w:t xml:space="preserve"> in both a qualitative and quantitative way</w:t>
      </w:r>
      <w:r w:rsidR="009521EB">
        <w:rPr>
          <w:color w:val="000000" w:themeColor="text1"/>
        </w:rPr>
        <w:t>, whilst</w:t>
      </w:r>
      <w:r>
        <w:rPr>
          <w:color w:val="000000" w:themeColor="text1"/>
        </w:rPr>
        <w:t xml:space="preserve"> developing different future scenarios. This project aims to engage a sample of homeowners and renters across the UK in informed discussion about the potential for uptake of low-carbon heating</w:t>
      </w:r>
      <w:r w:rsidR="00E207CF">
        <w:rPr>
          <w:color w:val="000000" w:themeColor="text1"/>
        </w:rPr>
        <w:t xml:space="preserve"> and cooking</w:t>
      </w:r>
      <w:r>
        <w:rPr>
          <w:color w:val="000000" w:themeColor="text1"/>
        </w:rPr>
        <w:t xml:space="preserve"> technologies, which should include</w:t>
      </w:r>
      <w:r w:rsidR="00D04B1E">
        <w:rPr>
          <w:color w:val="000000" w:themeColor="text1"/>
        </w:rPr>
        <w:t xml:space="preserve"> hydrogen, compared to an alternative of electrification using heat pumps</w:t>
      </w:r>
      <w:r w:rsidR="00E207CF">
        <w:rPr>
          <w:color w:val="000000" w:themeColor="text1"/>
        </w:rPr>
        <w:t xml:space="preserve"> and electric cookers</w:t>
      </w:r>
      <w:r>
        <w:rPr>
          <w:color w:val="000000" w:themeColor="text1"/>
        </w:rPr>
        <w:t xml:space="preserve">. </w:t>
      </w:r>
      <w:r w:rsidR="00C50773">
        <w:rPr>
          <w:color w:val="000000" w:themeColor="text1"/>
        </w:rPr>
        <w:t>Qualitative insights gathered should be tested using robust quantitative methods.</w:t>
      </w:r>
    </w:p>
    <w:p w14:paraId="19D4441F" w14:textId="77777777" w:rsidR="000534B6" w:rsidRDefault="000534B6" w:rsidP="00675091">
      <w:pPr>
        <w:pStyle w:val="Norma"/>
        <w:rPr>
          <w:color w:val="000000" w:themeColor="text1"/>
        </w:rPr>
      </w:pPr>
    </w:p>
    <w:p w14:paraId="11E9E0C0" w14:textId="357B1868" w:rsidR="004F35F5" w:rsidRDefault="004F35F5" w:rsidP="00675091">
      <w:pPr>
        <w:pStyle w:val="Norma"/>
        <w:rPr>
          <w:color w:val="000000" w:themeColor="text1"/>
        </w:rPr>
      </w:pPr>
      <w:r>
        <w:rPr>
          <w:color w:val="000000" w:themeColor="text1"/>
        </w:rPr>
        <w:t xml:space="preserve">This sample should be as demographically representative as possible, whilst focusing on those who are most likely to be affected by this choice – people who live in areas connected to the gas grid outside of dense urban areas. Where possible to accommodate, we are interested in collecting views from the fuel poor and those with heat related health conditions. The CCC has a responsibility to advise both the UK government and the devolved administrations, so would welcome the inclusion of participants from Scotland, Wales and Northern Ireland where possible. </w:t>
      </w:r>
    </w:p>
    <w:p w14:paraId="199648FF" w14:textId="77777777" w:rsidR="004F35F5" w:rsidRDefault="004F35F5" w:rsidP="00675091">
      <w:pPr>
        <w:pStyle w:val="Norma"/>
        <w:rPr>
          <w:color w:val="000000" w:themeColor="text1"/>
        </w:rPr>
      </w:pPr>
    </w:p>
    <w:p w14:paraId="283BA42A" w14:textId="0E673134" w:rsidR="00675091" w:rsidRDefault="004F35F5" w:rsidP="00675091">
      <w:pPr>
        <w:pStyle w:val="Norma"/>
        <w:rPr>
          <w:color w:val="000000" w:themeColor="text1"/>
        </w:rPr>
      </w:pPr>
      <w:r>
        <w:rPr>
          <w:color w:val="000000" w:themeColor="text1"/>
        </w:rPr>
        <w:t>It is important that we get results which are as robust and representative as possible, and that insights are gained about the key factors influencing people’s reactions to the technologies</w:t>
      </w:r>
      <w:r w:rsidR="00547482">
        <w:rPr>
          <w:color w:val="000000" w:themeColor="text1"/>
        </w:rPr>
        <w:t xml:space="preserve"> and how their views may change given the provision of information.</w:t>
      </w:r>
      <w:r>
        <w:rPr>
          <w:color w:val="000000" w:themeColor="text1"/>
        </w:rPr>
        <w:t xml:space="preserve"> </w:t>
      </w:r>
      <w:r w:rsidR="00547482">
        <w:rPr>
          <w:color w:val="000000" w:themeColor="text1"/>
        </w:rPr>
        <w:t>If it is identified that there are strongly held views against a particular technology, it is important to identify how widespread these views might be.</w:t>
      </w:r>
      <w:r w:rsidR="009D3A27">
        <w:rPr>
          <w:color w:val="000000" w:themeColor="text1"/>
        </w:rPr>
        <w:t xml:space="preserve"> It is also important to understand why they hold those views and how government might better engage with those concerns.</w:t>
      </w:r>
      <w:r w:rsidR="00547482">
        <w:rPr>
          <w:color w:val="000000" w:themeColor="text1"/>
        </w:rPr>
        <w:t xml:space="preserve"> With these aims in mind, o</w:t>
      </w:r>
      <w:r w:rsidR="00CA717F">
        <w:rPr>
          <w:color w:val="000000" w:themeColor="text1"/>
        </w:rPr>
        <w:t>ur current view is that we</w:t>
      </w:r>
      <w:r w:rsidR="00711EFF">
        <w:rPr>
          <w:color w:val="000000" w:themeColor="text1"/>
        </w:rPr>
        <w:t xml:space="preserve"> would prefer</w:t>
      </w:r>
      <w:r w:rsidR="00CA717F">
        <w:rPr>
          <w:color w:val="000000" w:themeColor="text1"/>
        </w:rPr>
        <w:t xml:space="preserve"> a methodology involving both focus groups</w:t>
      </w:r>
      <w:r w:rsidR="00C50773">
        <w:rPr>
          <w:color w:val="000000" w:themeColor="text1"/>
        </w:rPr>
        <w:t xml:space="preserve"> (or interviews)</w:t>
      </w:r>
      <w:r w:rsidR="00CA717F">
        <w:rPr>
          <w:color w:val="000000" w:themeColor="text1"/>
        </w:rPr>
        <w:t xml:space="preserve"> and a survey (the results from the former informing the development of the latter), but we would welcom</w:t>
      </w:r>
      <w:r w:rsidR="00711EFF">
        <w:rPr>
          <w:color w:val="000000" w:themeColor="text1"/>
        </w:rPr>
        <w:t xml:space="preserve">e feedback at tender about how potential providers would recommend approaching this within the set budget. </w:t>
      </w:r>
    </w:p>
    <w:p w14:paraId="62DB18E2" w14:textId="77777777" w:rsidR="00675091" w:rsidRDefault="00675091" w:rsidP="00675091">
      <w:pPr>
        <w:pStyle w:val="Norma"/>
        <w:rPr>
          <w:color w:val="000000" w:themeColor="text1"/>
        </w:rPr>
      </w:pPr>
    </w:p>
    <w:p w14:paraId="23585898" w14:textId="29D5D23F" w:rsidR="009521EB" w:rsidRDefault="00CA717F" w:rsidP="00675091">
      <w:pPr>
        <w:pStyle w:val="Norma"/>
        <w:rPr>
          <w:color w:val="000000" w:themeColor="text1"/>
        </w:rPr>
      </w:pPr>
      <w:r>
        <w:rPr>
          <w:color w:val="000000" w:themeColor="text1"/>
        </w:rPr>
        <w:t xml:space="preserve">Our </w:t>
      </w:r>
      <w:r w:rsidR="00EA45C4">
        <w:rPr>
          <w:color w:val="000000" w:themeColor="text1"/>
        </w:rPr>
        <w:t xml:space="preserve">provisional preferred </w:t>
      </w:r>
      <w:r>
        <w:rPr>
          <w:color w:val="000000" w:themeColor="text1"/>
        </w:rPr>
        <w:t>appr</w:t>
      </w:r>
      <w:r w:rsidR="00711EFF">
        <w:rPr>
          <w:color w:val="000000" w:themeColor="text1"/>
        </w:rPr>
        <w:t>oach would be to begin</w:t>
      </w:r>
      <w:r w:rsidR="00D04B1E">
        <w:rPr>
          <w:color w:val="000000" w:themeColor="text1"/>
        </w:rPr>
        <w:t xml:space="preserve"> with focus groups</w:t>
      </w:r>
      <w:r w:rsidR="00C50773">
        <w:rPr>
          <w:color w:val="000000" w:themeColor="text1"/>
        </w:rPr>
        <w:t xml:space="preserve"> or interviews</w:t>
      </w:r>
      <w:r w:rsidR="00D04B1E">
        <w:rPr>
          <w:color w:val="000000" w:themeColor="text1"/>
        </w:rPr>
        <w:t xml:space="preserve"> with a wide demographic spread who live in areas connected to the gas grid outside of dense urban areas</w:t>
      </w:r>
      <w:r w:rsidR="003A1C89">
        <w:rPr>
          <w:color w:val="000000" w:themeColor="text1"/>
        </w:rPr>
        <w:t xml:space="preserve">. </w:t>
      </w:r>
      <w:r w:rsidR="00675091">
        <w:rPr>
          <w:color w:val="000000" w:themeColor="text1"/>
        </w:rPr>
        <w:t>Concerns about the instal</w:t>
      </w:r>
      <w:r w:rsidR="003A1C89">
        <w:rPr>
          <w:color w:val="000000" w:themeColor="text1"/>
        </w:rPr>
        <w:t>lation and use of hydrogen in the home should be identified, and uninformed and informed views should be gathe</w:t>
      </w:r>
      <w:r w:rsidR="006301DE">
        <w:rPr>
          <w:color w:val="000000" w:themeColor="text1"/>
        </w:rPr>
        <w:t xml:space="preserve">red. A suggested structure </w:t>
      </w:r>
      <w:r w:rsidR="00711EFF">
        <w:rPr>
          <w:color w:val="000000" w:themeColor="text1"/>
        </w:rPr>
        <w:t>would involve</w:t>
      </w:r>
      <w:r w:rsidR="006301DE">
        <w:rPr>
          <w:color w:val="000000" w:themeColor="text1"/>
        </w:rPr>
        <w:t xml:space="preserve"> assess</w:t>
      </w:r>
      <w:r w:rsidR="00711EFF">
        <w:rPr>
          <w:color w:val="000000" w:themeColor="text1"/>
        </w:rPr>
        <w:t>ing</w:t>
      </w:r>
      <w:r w:rsidR="006301DE">
        <w:rPr>
          <w:color w:val="000000" w:themeColor="text1"/>
        </w:rPr>
        <w:t xml:space="preserve"> knowledge at the start of the focus group</w:t>
      </w:r>
      <w:r w:rsidR="00C50773">
        <w:rPr>
          <w:color w:val="000000" w:themeColor="text1"/>
        </w:rPr>
        <w:t xml:space="preserve"> or interview</w:t>
      </w:r>
      <w:r w:rsidR="009521EB">
        <w:rPr>
          <w:color w:val="000000" w:themeColor="text1"/>
        </w:rPr>
        <w:t xml:space="preserve"> (including awareness of the need to reduce emissions from homes</w:t>
      </w:r>
      <w:r w:rsidR="00C50773">
        <w:rPr>
          <w:color w:val="000000" w:themeColor="text1"/>
        </w:rPr>
        <w:t xml:space="preserve"> and the likely need to switch away from natural gas</w:t>
      </w:r>
      <w:r w:rsidR="009521EB">
        <w:rPr>
          <w:color w:val="000000" w:themeColor="text1"/>
        </w:rPr>
        <w:t>)</w:t>
      </w:r>
      <w:r w:rsidR="006301DE">
        <w:rPr>
          <w:color w:val="000000" w:themeColor="text1"/>
        </w:rPr>
        <w:t>, i</w:t>
      </w:r>
      <w:r w:rsidR="00711EFF">
        <w:rPr>
          <w:color w:val="000000" w:themeColor="text1"/>
        </w:rPr>
        <w:t xml:space="preserve">ntroducing the idea of </w:t>
      </w:r>
      <w:r w:rsidR="006301DE">
        <w:rPr>
          <w:color w:val="000000" w:themeColor="text1"/>
        </w:rPr>
        <w:t xml:space="preserve">hydrogen </w:t>
      </w:r>
      <w:r w:rsidR="00D04B1E">
        <w:rPr>
          <w:color w:val="000000" w:themeColor="text1"/>
        </w:rPr>
        <w:t xml:space="preserve">and heat pumps </w:t>
      </w:r>
      <w:r w:rsidR="006301DE">
        <w:rPr>
          <w:color w:val="000000" w:themeColor="text1"/>
        </w:rPr>
        <w:t>and gather</w:t>
      </w:r>
      <w:r w:rsidR="00711EFF">
        <w:rPr>
          <w:color w:val="000000" w:themeColor="text1"/>
        </w:rPr>
        <w:t>ing</w:t>
      </w:r>
      <w:r w:rsidR="006301DE">
        <w:rPr>
          <w:color w:val="000000" w:themeColor="text1"/>
        </w:rPr>
        <w:t xml:space="preserve"> an uninformed reaction. This could be followed by discussion of various practical aspects of installing and using hydrogen</w:t>
      </w:r>
      <w:r w:rsidR="00D04B1E">
        <w:rPr>
          <w:color w:val="000000" w:themeColor="text1"/>
        </w:rPr>
        <w:t xml:space="preserve"> and heat pumps</w:t>
      </w:r>
      <w:r w:rsidR="006301DE">
        <w:rPr>
          <w:color w:val="000000" w:themeColor="text1"/>
        </w:rPr>
        <w:t>, with a final gathering of views at the end.</w:t>
      </w:r>
    </w:p>
    <w:p w14:paraId="21A7A7CE" w14:textId="77777777" w:rsidR="00675091" w:rsidRDefault="00675091" w:rsidP="00675091">
      <w:pPr>
        <w:pStyle w:val="Norma"/>
        <w:rPr>
          <w:color w:val="000000" w:themeColor="text1"/>
        </w:rPr>
      </w:pPr>
    </w:p>
    <w:p w14:paraId="27D74BBE" w14:textId="524FDD49" w:rsidR="009D3A27" w:rsidRDefault="00E207CF" w:rsidP="00675091">
      <w:pPr>
        <w:pStyle w:val="Norma"/>
        <w:rPr>
          <w:color w:val="000000" w:themeColor="text1"/>
        </w:rPr>
      </w:pPr>
      <w:r>
        <w:rPr>
          <w:color w:val="000000" w:themeColor="text1"/>
        </w:rPr>
        <w:t>Our preferred approach is to use the</w:t>
      </w:r>
      <w:r w:rsidR="003A1C89">
        <w:rPr>
          <w:color w:val="000000" w:themeColor="text1"/>
        </w:rPr>
        <w:t xml:space="preserve"> results of the focus groups</w:t>
      </w:r>
      <w:r w:rsidR="00C50773">
        <w:rPr>
          <w:color w:val="000000" w:themeColor="text1"/>
        </w:rPr>
        <w:t xml:space="preserve"> or interviews</w:t>
      </w:r>
      <w:r w:rsidR="003A1C89">
        <w:rPr>
          <w:color w:val="000000" w:themeColor="text1"/>
        </w:rPr>
        <w:t xml:space="preserve"> to develop a survey to gauge opinion from</w:t>
      </w:r>
      <w:r w:rsidR="00711EFF">
        <w:rPr>
          <w:color w:val="000000" w:themeColor="text1"/>
        </w:rPr>
        <w:t xml:space="preserve"> a wider number of participants, to enable the qualitative</w:t>
      </w:r>
      <w:r w:rsidR="009521EB">
        <w:rPr>
          <w:color w:val="000000" w:themeColor="text1"/>
        </w:rPr>
        <w:t xml:space="preserve"> insights gathered from the groups </w:t>
      </w:r>
      <w:r w:rsidR="00711EFF">
        <w:rPr>
          <w:color w:val="000000" w:themeColor="text1"/>
        </w:rPr>
        <w:t>to be tested</w:t>
      </w:r>
      <w:r w:rsidR="009521EB">
        <w:rPr>
          <w:color w:val="000000" w:themeColor="text1"/>
        </w:rPr>
        <w:t xml:space="preserve"> using robust quantitative methods.</w:t>
      </w:r>
      <w:r w:rsidR="003A1C89">
        <w:rPr>
          <w:color w:val="000000" w:themeColor="text1"/>
        </w:rPr>
        <w:t xml:space="preserve"> </w:t>
      </w:r>
      <w:r w:rsidR="00675091">
        <w:rPr>
          <w:color w:val="000000" w:themeColor="text1"/>
        </w:rPr>
        <w:t>The survey will be used to identify whether the use of hydrogen</w:t>
      </w:r>
      <w:r w:rsidR="00D04B1E">
        <w:rPr>
          <w:color w:val="000000" w:themeColor="text1"/>
        </w:rPr>
        <w:t xml:space="preserve"> or </w:t>
      </w:r>
      <w:r w:rsidR="009521EB">
        <w:rPr>
          <w:color w:val="000000" w:themeColor="text1"/>
        </w:rPr>
        <w:t xml:space="preserve">heat pumps </w:t>
      </w:r>
      <w:r w:rsidR="00675091">
        <w:rPr>
          <w:color w:val="000000" w:themeColor="text1"/>
        </w:rPr>
        <w:t>in heating is feasible from a pu</w:t>
      </w:r>
      <w:r w:rsidR="00547482">
        <w:rPr>
          <w:color w:val="000000" w:themeColor="text1"/>
        </w:rPr>
        <w:t xml:space="preserve">blic acceptability perspective. If there is strong resistance to one technology or another in the focus groups, the survey will enable the CCC to understand </w:t>
      </w:r>
      <w:r w:rsidR="00547482">
        <w:rPr>
          <w:color w:val="000000" w:themeColor="text1"/>
        </w:rPr>
        <w:lastRenderedPageBreak/>
        <w:t>how widely held these views</w:t>
      </w:r>
      <w:r>
        <w:rPr>
          <w:color w:val="000000" w:themeColor="text1"/>
        </w:rPr>
        <w:t xml:space="preserve"> are</w:t>
      </w:r>
      <w:r w:rsidR="009D3A27">
        <w:rPr>
          <w:color w:val="000000" w:themeColor="text1"/>
        </w:rPr>
        <w:t xml:space="preserve"> and how the government can better engage with the public over those </w:t>
      </w:r>
      <w:proofErr w:type="gramStart"/>
      <w:r w:rsidR="009D3A27">
        <w:rPr>
          <w:color w:val="000000" w:themeColor="text1"/>
        </w:rPr>
        <w:t>concerns</w:t>
      </w:r>
      <w:r w:rsidR="00547482">
        <w:rPr>
          <w:color w:val="000000" w:themeColor="text1"/>
        </w:rPr>
        <w:t>.</w:t>
      </w:r>
      <w:proofErr w:type="gramEnd"/>
      <w:r w:rsidR="00547482">
        <w:rPr>
          <w:color w:val="000000" w:themeColor="text1"/>
        </w:rPr>
        <w:t xml:space="preserve"> </w:t>
      </w:r>
    </w:p>
    <w:p w14:paraId="49053122" w14:textId="77777777" w:rsidR="009D3A27" w:rsidRDefault="009D3A27" w:rsidP="00675091">
      <w:pPr>
        <w:pStyle w:val="Norma"/>
        <w:rPr>
          <w:color w:val="000000" w:themeColor="text1"/>
        </w:rPr>
      </w:pPr>
    </w:p>
    <w:p w14:paraId="50EC43AB" w14:textId="0981862D" w:rsidR="00E207CF" w:rsidRDefault="00675091" w:rsidP="00675091">
      <w:pPr>
        <w:pStyle w:val="Norma"/>
        <w:rPr>
          <w:color w:val="000000" w:themeColor="text1"/>
        </w:rPr>
      </w:pPr>
      <w:r>
        <w:rPr>
          <w:color w:val="000000" w:themeColor="text1"/>
        </w:rPr>
        <w:t>Crucially, the acceptability must be judged</w:t>
      </w:r>
      <w:r w:rsidR="009C3342">
        <w:rPr>
          <w:color w:val="000000" w:themeColor="text1"/>
        </w:rPr>
        <w:t>,</w:t>
      </w:r>
      <w:r>
        <w:rPr>
          <w:color w:val="000000" w:themeColor="text1"/>
        </w:rPr>
        <w:t xml:space="preserve"> </w:t>
      </w:r>
      <w:r w:rsidR="009C3342">
        <w:rPr>
          <w:color w:val="000000" w:themeColor="text1"/>
        </w:rPr>
        <w:t xml:space="preserve">given the fact that it will not be possible to continue to use natural gas, </w:t>
      </w:r>
      <w:r w:rsidR="00D04B1E">
        <w:rPr>
          <w:color w:val="000000" w:themeColor="text1"/>
        </w:rPr>
        <w:t>as a comparison between hydrogen and</w:t>
      </w:r>
      <w:r w:rsidR="009C3342">
        <w:rPr>
          <w:color w:val="000000" w:themeColor="text1"/>
        </w:rPr>
        <w:t xml:space="preserve"> heat pumps</w:t>
      </w:r>
      <w:r w:rsidR="00D04B1E">
        <w:rPr>
          <w:color w:val="000000" w:themeColor="text1"/>
        </w:rPr>
        <w:t xml:space="preserve">, </w:t>
      </w:r>
      <w:r>
        <w:rPr>
          <w:color w:val="000000" w:themeColor="text1"/>
        </w:rPr>
        <w:t>rather than</w:t>
      </w:r>
      <w:r w:rsidR="00C50773">
        <w:rPr>
          <w:color w:val="000000" w:themeColor="text1"/>
        </w:rPr>
        <w:t xml:space="preserve"> a comparison with</w:t>
      </w:r>
      <w:r>
        <w:rPr>
          <w:color w:val="000000" w:themeColor="text1"/>
        </w:rPr>
        <w:t xml:space="preserve"> the current heating options used by those surveyed. </w:t>
      </w:r>
      <w:r w:rsidR="003A1C89">
        <w:rPr>
          <w:color w:val="000000" w:themeColor="text1"/>
        </w:rPr>
        <w:t>A represent</w:t>
      </w:r>
      <w:r w:rsidR="00711EFF">
        <w:rPr>
          <w:color w:val="000000" w:themeColor="text1"/>
        </w:rPr>
        <w:t>ative sample</w:t>
      </w:r>
      <w:r w:rsidR="00E207CF">
        <w:rPr>
          <w:color w:val="000000" w:themeColor="text1"/>
        </w:rPr>
        <w:t xml:space="preserve"> of people connected to the gas grid outside of dense urban areas</w:t>
      </w:r>
      <w:r w:rsidR="00711EFF">
        <w:rPr>
          <w:color w:val="000000" w:themeColor="text1"/>
        </w:rPr>
        <w:t xml:space="preserve"> should be surveyed, and the survey should aim to identify whether there is a significant preference for one type of low carbon heating and co</w:t>
      </w:r>
      <w:r w:rsidR="00D04B1E">
        <w:rPr>
          <w:color w:val="000000" w:themeColor="text1"/>
        </w:rPr>
        <w:t>oking technology over the other</w:t>
      </w:r>
      <w:r w:rsidR="00711EFF">
        <w:rPr>
          <w:color w:val="000000" w:themeColor="text1"/>
        </w:rPr>
        <w:t>.</w:t>
      </w:r>
      <w:r w:rsidR="008678E4">
        <w:rPr>
          <w:color w:val="000000" w:themeColor="text1"/>
        </w:rPr>
        <w:t xml:space="preserve"> </w:t>
      </w:r>
      <w:r>
        <w:rPr>
          <w:color w:val="000000" w:themeColor="text1"/>
        </w:rPr>
        <w:t xml:space="preserve">The outcome of the survey will be used to inform a scenario </w:t>
      </w:r>
      <w:r w:rsidR="00547482">
        <w:rPr>
          <w:color w:val="000000" w:themeColor="text1"/>
        </w:rPr>
        <w:t xml:space="preserve">in our modelling </w:t>
      </w:r>
      <w:r>
        <w:rPr>
          <w:color w:val="000000" w:themeColor="text1"/>
        </w:rPr>
        <w:t>which explicitly considers consumer preferences in the choice of heating technology.</w:t>
      </w:r>
    </w:p>
    <w:p w14:paraId="716E7D76" w14:textId="77777777" w:rsidR="00E207CF" w:rsidRDefault="00E207CF" w:rsidP="00675091">
      <w:pPr>
        <w:pStyle w:val="Norma"/>
        <w:rPr>
          <w:color w:val="000000" w:themeColor="text1"/>
        </w:rPr>
      </w:pPr>
    </w:p>
    <w:p w14:paraId="01690C0C" w14:textId="77777777" w:rsidR="00E207CF" w:rsidRDefault="00E207CF" w:rsidP="00675091">
      <w:pPr>
        <w:pStyle w:val="Norma"/>
        <w:rPr>
          <w:color w:val="000000" w:themeColor="text1"/>
        </w:rPr>
      </w:pPr>
      <w:r>
        <w:rPr>
          <w:color w:val="000000" w:themeColor="text1"/>
        </w:rPr>
        <w:t>Bids should make clear how they intend to deal with the challenges of:</w:t>
      </w:r>
    </w:p>
    <w:p w14:paraId="36D00723" w14:textId="5ADF5424" w:rsidR="00E207CF" w:rsidRDefault="00E207CF" w:rsidP="00E207CF">
      <w:pPr>
        <w:pStyle w:val="Norma"/>
        <w:numPr>
          <w:ilvl w:val="0"/>
          <w:numId w:val="13"/>
        </w:numPr>
        <w:rPr>
          <w:color w:val="000000" w:themeColor="text1"/>
        </w:rPr>
      </w:pPr>
      <w:r>
        <w:rPr>
          <w:color w:val="000000" w:themeColor="text1"/>
        </w:rPr>
        <w:t xml:space="preserve">Giving survey participants sufficient information about the choice between hydrogen and heat pumps (with electric cookers) to enable them to engage with the survey. </w:t>
      </w:r>
    </w:p>
    <w:p w14:paraId="1F8F7C3F" w14:textId="16845A67" w:rsidR="003B0CA1" w:rsidRDefault="00E207CF" w:rsidP="003B0CA1">
      <w:pPr>
        <w:pStyle w:val="Norma"/>
        <w:numPr>
          <w:ilvl w:val="0"/>
          <w:numId w:val="13"/>
        </w:numPr>
        <w:rPr>
          <w:color w:val="000000" w:themeColor="text1"/>
        </w:rPr>
      </w:pPr>
      <w:r>
        <w:rPr>
          <w:color w:val="000000" w:themeColor="text1"/>
        </w:rPr>
        <w:t>Gathering views on more sensitive topics such as safety without influencing the answers participants give.</w:t>
      </w:r>
    </w:p>
    <w:p w14:paraId="211F2A4B" w14:textId="77777777" w:rsidR="00E207CF" w:rsidRDefault="00E207CF" w:rsidP="00675091">
      <w:pPr>
        <w:pStyle w:val="Norma"/>
        <w:rPr>
          <w:color w:val="000000" w:themeColor="text1"/>
        </w:rPr>
      </w:pPr>
    </w:p>
    <w:p w14:paraId="643AC773" w14:textId="4B8A17F2" w:rsidR="00675091" w:rsidRDefault="00E207CF" w:rsidP="00675091">
      <w:pPr>
        <w:pStyle w:val="Norma"/>
        <w:rPr>
          <w:color w:val="000000" w:themeColor="text1"/>
        </w:rPr>
      </w:pPr>
      <w:r>
        <w:rPr>
          <w:color w:val="000000" w:themeColor="text1"/>
        </w:rPr>
        <w:t>It is critical that the work should build on rather than duplicate existing research (e.g. the three studies referenced in the previous section) and replicate best practice in survey and focus group design. The CCC would welcome the opportunity for a small number of staff to observe these focus groups or interviews. Bids should be explicit about the number of and location of focus groups or interviews</w:t>
      </w:r>
      <w:r w:rsidR="002B6EFA">
        <w:rPr>
          <w:color w:val="000000" w:themeColor="text1"/>
        </w:rPr>
        <w:t xml:space="preserve"> and the number of survey participants</w:t>
      </w:r>
      <w:r>
        <w:rPr>
          <w:color w:val="000000" w:themeColor="text1"/>
        </w:rPr>
        <w:t>.</w:t>
      </w:r>
      <w:r w:rsidR="002B6EFA" w:rsidRPr="002B6EFA">
        <w:rPr>
          <w:color w:val="000000" w:themeColor="text1"/>
        </w:rPr>
        <w:t xml:space="preserve"> </w:t>
      </w:r>
      <w:r w:rsidR="002B6EFA">
        <w:rPr>
          <w:color w:val="000000" w:themeColor="text1"/>
        </w:rPr>
        <w:t xml:space="preserve">Bidders should also clearly explain their expertise in the area of low carbon heating and cooking technologies. Bidders without expertise in this area should consider bidding in consortium with an expert in low carbon heating and cooking technologies.  </w:t>
      </w:r>
    </w:p>
    <w:p w14:paraId="53C8200E" w14:textId="77777777" w:rsidR="00DD521A" w:rsidRPr="00DD521A" w:rsidRDefault="00DD521A" w:rsidP="00DD521A">
      <w:pPr>
        <w:pStyle w:val="Norma"/>
      </w:pPr>
      <w:bookmarkStart w:id="12" w:name="_Ref373505205"/>
      <w:bookmarkStart w:id="13" w:name="_Ref357541720"/>
    </w:p>
    <w:p w14:paraId="5EA87562" w14:textId="77777777" w:rsidR="006700D3" w:rsidRDefault="00936F29" w:rsidP="001B2C13">
      <w:pPr>
        <w:pStyle w:val="Heading1"/>
        <w:numPr>
          <w:ilvl w:val="0"/>
          <w:numId w:val="3"/>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12"/>
    </w:p>
    <w:p w14:paraId="7C05295D" w14:textId="77777777" w:rsidR="00DD521A" w:rsidRDefault="00DD521A" w:rsidP="00DD521A">
      <w:pPr>
        <w:pStyle w:val="Norma"/>
      </w:pPr>
    </w:p>
    <w:p w14:paraId="317F400D" w14:textId="77777777" w:rsidR="00835D12" w:rsidRDefault="00835D12" w:rsidP="00835D12">
      <w:pPr>
        <w:pStyle w:val="Norma"/>
      </w:pPr>
      <w:r>
        <w:t>All research tasks and modelling must be quality assured and documented. Contractors should:</w:t>
      </w:r>
    </w:p>
    <w:p w14:paraId="79C911BB" w14:textId="77777777" w:rsidR="00835D12" w:rsidRDefault="00835D12" w:rsidP="001B2C13">
      <w:pPr>
        <w:pStyle w:val="Norma"/>
        <w:numPr>
          <w:ilvl w:val="0"/>
          <w:numId w:val="5"/>
        </w:numPr>
      </w:pPr>
      <w:r>
        <w:t>Include a quality assurance (QA) plan that they will apply to the modelling</w:t>
      </w:r>
    </w:p>
    <w:p w14:paraId="31BA1910" w14:textId="77777777" w:rsidR="00835D12" w:rsidRDefault="00835D12" w:rsidP="001B2C13">
      <w:pPr>
        <w:pStyle w:val="Norma"/>
        <w:numPr>
          <w:ilvl w:val="0"/>
          <w:numId w:val="5"/>
        </w:numPr>
      </w:pPr>
      <w:r>
        <w:t xml:space="preserve">Specify who will take lead responsibility for ensuring quality assurance. This responsibility should rest with an individual not directly involved in the research, analysis or model development. </w:t>
      </w:r>
    </w:p>
    <w:p w14:paraId="4B604477" w14:textId="77777777" w:rsidR="00835D12" w:rsidRDefault="00835D12" w:rsidP="001B2C13">
      <w:pPr>
        <w:pStyle w:val="Norma"/>
        <w:numPr>
          <w:ilvl w:val="0"/>
          <w:numId w:val="5"/>
        </w:numPr>
      </w:pPr>
      <w:r>
        <w:t xml:space="preserve">Provide a QA log to demonstrate the QA undertaken, which must identify who undertook the QA and the scope, type and level of QA that has been undertaken. </w:t>
      </w:r>
    </w:p>
    <w:p w14:paraId="472F7846" w14:textId="77777777" w:rsidR="00835D12" w:rsidRDefault="00835D12" w:rsidP="00835D12">
      <w:pPr>
        <w:pStyle w:val="Norma"/>
      </w:pPr>
    </w:p>
    <w:p w14:paraId="0325F69E" w14:textId="77777777" w:rsidR="00835D12" w:rsidRDefault="00835D12" w:rsidP="00835D12">
      <w:pPr>
        <w:pStyle w:val="Norma"/>
      </w:pPr>
      <w: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6272AF10" w14:textId="77777777" w:rsidR="00835D12" w:rsidRDefault="00835D12" w:rsidP="00835D12">
      <w:pPr>
        <w:pStyle w:val="Norma"/>
      </w:pPr>
    </w:p>
    <w:p w14:paraId="64B2E456" w14:textId="77777777" w:rsidR="00835D12" w:rsidRDefault="00835D12" w:rsidP="00835D12">
      <w:pPr>
        <w:pStyle w:val="Norma"/>
      </w:pPr>
      <w:r>
        <w:t xml:space="preserve">The successful bidder will be responsible for any work supplied by sub-contractors and should therefore provide assurance that all work in the contact is undertaken in accordance with the quality assurance expectation agreed at the beginning of the project. </w:t>
      </w:r>
    </w:p>
    <w:p w14:paraId="5EA87563" w14:textId="77777777" w:rsidR="006700D3" w:rsidRPr="005A7FBC" w:rsidRDefault="006700D3" w:rsidP="007963DA">
      <w:pPr>
        <w:pStyle w:val="Norma"/>
        <w:ind w:left="360"/>
        <w:jc w:val="both"/>
        <w:rPr>
          <w:rFonts w:cs="Arial"/>
          <w:b/>
          <w:bCs/>
          <w:iCs/>
          <w:sz w:val="24"/>
          <w:szCs w:val="24"/>
        </w:rPr>
      </w:pPr>
    </w:p>
    <w:p w14:paraId="5EA87564" w14:textId="2A7FA87A" w:rsidR="0038006D" w:rsidRDefault="00B612A7" w:rsidP="001B2C13">
      <w:pPr>
        <w:pStyle w:val="Heading1"/>
        <w:numPr>
          <w:ilvl w:val="0"/>
          <w:numId w:val="3"/>
        </w:numPr>
        <w:rPr>
          <w:rFonts w:ascii="Arial" w:hAnsi="Arial" w:cs="Arial"/>
          <w:sz w:val="24"/>
          <w:szCs w:val="24"/>
        </w:rPr>
      </w:pPr>
      <w:bookmarkStart w:id="14" w:name="_Ref373505215"/>
      <w:bookmarkStart w:id="15" w:name="_Toc381969513"/>
      <w:bookmarkStart w:id="16" w:name="_Toc405888462"/>
      <w:r>
        <w:rPr>
          <w:rFonts w:ascii="Arial" w:hAnsi="Arial" w:cs="Arial"/>
          <w:sz w:val="24"/>
          <w:szCs w:val="24"/>
        </w:rPr>
        <w:t xml:space="preserve">Outputs required and </w:t>
      </w:r>
      <w:r w:rsidR="0038006D" w:rsidRPr="002D32D5">
        <w:rPr>
          <w:rFonts w:ascii="Arial" w:hAnsi="Arial" w:cs="Arial"/>
          <w:sz w:val="24"/>
          <w:szCs w:val="24"/>
        </w:rPr>
        <w:t>Timetable</w:t>
      </w:r>
      <w:bookmarkEnd w:id="13"/>
      <w:bookmarkEnd w:id="14"/>
      <w:bookmarkEnd w:id="15"/>
      <w:bookmarkEnd w:id="16"/>
    </w:p>
    <w:p w14:paraId="1D6D4321" w14:textId="77777777" w:rsidR="00B612A7" w:rsidRDefault="00B612A7" w:rsidP="00C37FF4">
      <w:pPr>
        <w:pStyle w:val="Norma"/>
      </w:pPr>
    </w:p>
    <w:p w14:paraId="4AA65B33" w14:textId="4D413583" w:rsidR="00C37FF4" w:rsidRDefault="00C37FF4" w:rsidP="00C37FF4">
      <w:pPr>
        <w:pStyle w:val="Norma"/>
      </w:pPr>
      <w:r>
        <w:t>The outputs from this project will include:</w:t>
      </w:r>
    </w:p>
    <w:p w14:paraId="6B058160" w14:textId="3903FFBA" w:rsidR="00C37FF4" w:rsidRDefault="00C37FF4" w:rsidP="00C37FF4">
      <w:pPr>
        <w:pStyle w:val="Norma"/>
        <w:numPr>
          <w:ilvl w:val="0"/>
          <w:numId w:val="7"/>
        </w:numPr>
      </w:pPr>
      <w:r>
        <w:t>Presentation of results from the focus groups and surveys to members of the CCC secretariat and other interested parties.</w:t>
      </w:r>
    </w:p>
    <w:p w14:paraId="2853FC55" w14:textId="7C8A7C66" w:rsidR="00C37FF4" w:rsidRDefault="00C37FF4" w:rsidP="00C37FF4">
      <w:pPr>
        <w:pStyle w:val="Norma"/>
        <w:numPr>
          <w:ilvl w:val="0"/>
          <w:numId w:val="7"/>
        </w:numPr>
      </w:pPr>
      <w:r>
        <w:lastRenderedPageBreak/>
        <w:t>Transparent excel spreadsheets containing results from the survey.</w:t>
      </w:r>
    </w:p>
    <w:p w14:paraId="69765AE9" w14:textId="3243CDAC" w:rsidR="00C37FF4" w:rsidRDefault="00C37FF4" w:rsidP="00C37FF4">
      <w:pPr>
        <w:pStyle w:val="Norma"/>
        <w:numPr>
          <w:ilvl w:val="0"/>
          <w:numId w:val="7"/>
        </w:numPr>
      </w:pPr>
      <w:r>
        <w:t xml:space="preserve">Transcripts of the focus groups. </w:t>
      </w:r>
    </w:p>
    <w:p w14:paraId="5038B4DF" w14:textId="48060321" w:rsidR="00B612A7" w:rsidRPr="00B612A7" w:rsidRDefault="00C37FF4" w:rsidP="00B612A7">
      <w:pPr>
        <w:pStyle w:val="Norma"/>
        <w:numPr>
          <w:ilvl w:val="0"/>
          <w:numId w:val="7"/>
        </w:numPr>
        <w:rPr>
          <w:color w:val="000000" w:themeColor="text1"/>
        </w:rPr>
      </w:pPr>
      <w:r>
        <w:t>A report summarising the results from both the focus groups and surveys, covering the key concerns id</w:t>
      </w:r>
      <w:r w:rsidR="00D04B1E">
        <w:t xml:space="preserve">entified by participants about hydrogen and </w:t>
      </w:r>
      <w:r w:rsidR="009C3342">
        <w:t>heat pumps</w:t>
      </w:r>
      <w:r>
        <w:t xml:space="preserve">. </w:t>
      </w:r>
      <w:r w:rsidR="00B612A7">
        <w:rPr>
          <w:color w:val="000000" w:themeColor="text1"/>
        </w:rPr>
        <w:t>This final report should include a summary of the results and should capture what the supplier judges to be the most significant insights that they have identified. Recommendations for ways the government could address these concerns</w:t>
      </w:r>
      <w:r w:rsidR="00BB0C5E">
        <w:rPr>
          <w:color w:val="000000" w:themeColor="text1"/>
        </w:rPr>
        <w:t xml:space="preserve"> with the provision of information</w:t>
      </w:r>
      <w:r w:rsidR="00B612A7">
        <w:rPr>
          <w:color w:val="000000" w:themeColor="text1"/>
        </w:rPr>
        <w:t xml:space="preserve"> should also be included where covered.</w:t>
      </w:r>
      <w:r w:rsidR="00BB0C5E">
        <w:rPr>
          <w:color w:val="000000" w:themeColor="text1"/>
        </w:rPr>
        <w:t xml:space="preserve"> Within the report,</w:t>
      </w:r>
      <w:r w:rsidR="009D3A27">
        <w:rPr>
          <w:color w:val="000000" w:themeColor="text1"/>
        </w:rPr>
        <w:t xml:space="preserve"> as well as a more detailed discussion of the issues, </w:t>
      </w:r>
      <w:r w:rsidR="00BB0C5E">
        <w:rPr>
          <w:color w:val="000000" w:themeColor="text1"/>
        </w:rPr>
        <w:t>the underlying concerns should be RAG rated, ranging from red to indicate a substantial barrier that will be hard to remove, amber for barriers that could be alleviated given the provision of sufficient information to green for factors that aren’t considered barriers by the participants.</w:t>
      </w:r>
      <w:r w:rsidR="00B612A7">
        <w:rPr>
          <w:color w:val="000000" w:themeColor="text1"/>
        </w:rPr>
        <w:t xml:space="preserve"> The final report will be published on the CCC’s website as supporting evidence for our Hydrogen Review.</w:t>
      </w:r>
    </w:p>
    <w:p w14:paraId="0F755DEB" w14:textId="77777777" w:rsidR="00DD521A" w:rsidRDefault="00DD521A" w:rsidP="00DD521A">
      <w:pPr>
        <w:pStyle w:val="Norma"/>
      </w:pPr>
    </w:p>
    <w:p w14:paraId="4086697E" w14:textId="2D2307E2" w:rsidR="00835D12" w:rsidRDefault="00835D12" w:rsidP="00DD521A">
      <w:pPr>
        <w:pStyle w:val="Norma"/>
      </w:pPr>
      <w:r>
        <w:t>The proposed timetable for the project is set out in the following table:</w:t>
      </w:r>
    </w:p>
    <w:p w14:paraId="3B5DD454" w14:textId="15A84532" w:rsidR="00C37FF4" w:rsidRDefault="00C37FF4" w:rsidP="00C37FF4">
      <w:pPr>
        <w:pStyle w:val="Norma"/>
        <w:numPr>
          <w:ilvl w:val="0"/>
          <w:numId w:val="8"/>
        </w:numPr>
      </w:pPr>
      <w:r>
        <w:t xml:space="preserve">At least </w:t>
      </w:r>
      <w:r w:rsidR="00A37EFF">
        <w:t>70</w:t>
      </w:r>
      <w:r>
        <w:t xml:space="preserve">% of the project should be completed by end March 2018, with the remainder to be completed by mid-April. </w:t>
      </w:r>
    </w:p>
    <w:p w14:paraId="7F89F07E" w14:textId="77777777" w:rsidR="00835D12" w:rsidRDefault="00835D12" w:rsidP="00DD521A">
      <w:pPr>
        <w:pStyle w:val="Norma"/>
      </w:pPr>
    </w:p>
    <w:tbl>
      <w:tblPr>
        <w:tblStyle w:val="TableGrid"/>
        <w:tblW w:w="0" w:type="auto"/>
        <w:tblLook w:val="04A0" w:firstRow="1" w:lastRow="0" w:firstColumn="1" w:lastColumn="0" w:noHBand="0" w:noVBand="1"/>
      </w:tblPr>
      <w:tblGrid>
        <w:gridCol w:w="4498"/>
        <w:gridCol w:w="4518"/>
      </w:tblGrid>
      <w:tr w:rsidR="00835D12" w:rsidRPr="00543B00" w14:paraId="14AC2A17" w14:textId="77777777" w:rsidTr="00F6761F">
        <w:tc>
          <w:tcPr>
            <w:tcW w:w="4621" w:type="dxa"/>
            <w:shd w:val="clear" w:color="auto" w:fill="808080" w:themeFill="background1" w:themeFillShade="80"/>
            <w:hideMark/>
          </w:tcPr>
          <w:p w14:paraId="1835700A" w14:textId="77777777" w:rsidR="00835D12" w:rsidRPr="00543B00" w:rsidRDefault="00835D12" w:rsidP="00F6761F">
            <w:pPr>
              <w:rPr>
                <w:rFonts w:ascii="Arial" w:hAnsi="Arial" w:cs="Arial"/>
                <w:b/>
              </w:rPr>
            </w:pPr>
            <w:r w:rsidRPr="00543B00">
              <w:rPr>
                <w:rFonts w:ascii="Arial" w:hAnsi="Arial" w:cs="Arial"/>
                <w:b/>
              </w:rPr>
              <w:t>Date</w:t>
            </w:r>
          </w:p>
        </w:tc>
        <w:tc>
          <w:tcPr>
            <w:tcW w:w="4621" w:type="dxa"/>
            <w:shd w:val="clear" w:color="auto" w:fill="808080" w:themeFill="background1" w:themeFillShade="80"/>
            <w:hideMark/>
          </w:tcPr>
          <w:p w14:paraId="5517FF5B" w14:textId="77777777" w:rsidR="00835D12" w:rsidRPr="00543B00" w:rsidRDefault="00835D12" w:rsidP="00F6761F">
            <w:pPr>
              <w:rPr>
                <w:rFonts w:ascii="Arial" w:hAnsi="Arial" w:cs="Arial"/>
                <w:b/>
              </w:rPr>
            </w:pPr>
            <w:r w:rsidRPr="00543B00">
              <w:rPr>
                <w:rFonts w:ascii="Arial" w:hAnsi="Arial" w:cs="Arial"/>
                <w:b/>
              </w:rPr>
              <w:t>Action/Deliverable</w:t>
            </w:r>
          </w:p>
        </w:tc>
      </w:tr>
      <w:tr w:rsidR="00835D12" w14:paraId="099226AC" w14:textId="77777777" w:rsidTr="00F6761F">
        <w:tc>
          <w:tcPr>
            <w:tcW w:w="4621" w:type="dxa"/>
            <w:hideMark/>
          </w:tcPr>
          <w:p w14:paraId="2BD77AA4" w14:textId="22CAFA55" w:rsidR="00835D12" w:rsidRDefault="00A37EFF" w:rsidP="00F6761F">
            <w:pPr>
              <w:rPr>
                <w:rFonts w:ascii="Arial" w:hAnsi="Arial" w:cs="Arial"/>
              </w:rPr>
            </w:pPr>
            <w:r>
              <w:rPr>
                <w:rFonts w:ascii="Arial" w:hAnsi="Arial" w:cs="Arial"/>
              </w:rPr>
              <w:t>19</w:t>
            </w:r>
            <w:r w:rsidR="00AA133E">
              <w:rPr>
                <w:rFonts w:ascii="Arial" w:hAnsi="Arial" w:cs="Arial"/>
              </w:rPr>
              <w:t>th</w:t>
            </w:r>
            <w:r w:rsidR="00675091">
              <w:rPr>
                <w:rFonts w:ascii="Arial" w:hAnsi="Arial" w:cs="Arial"/>
              </w:rPr>
              <w:t xml:space="preserve"> February</w:t>
            </w:r>
          </w:p>
        </w:tc>
        <w:tc>
          <w:tcPr>
            <w:tcW w:w="4621" w:type="dxa"/>
            <w:hideMark/>
          </w:tcPr>
          <w:p w14:paraId="0488A798" w14:textId="77777777" w:rsidR="00835D12" w:rsidRDefault="00835D12" w:rsidP="00F6761F">
            <w:pPr>
              <w:rPr>
                <w:rFonts w:ascii="Arial" w:hAnsi="Arial" w:cs="Arial"/>
              </w:rPr>
            </w:pPr>
            <w:r>
              <w:rPr>
                <w:rFonts w:ascii="Arial" w:hAnsi="Arial" w:cs="Arial"/>
              </w:rPr>
              <w:t>Deadline for response to ITT</w:t>
            </w:r>
          </w:p>
        </w:tc>
      </w:tr>
      <w:tr w:rsidR="00835D12" w14:paraId="48111AB6" w14:textId="77777777" w:rsidTr="00F6761F">
        <w:tc>
          <w:tcPr>
            <w:tcW w:w="4621" w:type="dxa"/>
            <w:hideMark/>
          </w:tcPr>
          <w:p w14:paraId="46E24DA8" w14:textId="4D31F41D" w:rsidR="00835D12" w:rsidRDefault="00A37EFF" w:rsidP="00F6761F">
            <w:pPr>
              <w:rPr>
                <w:rFonts w:ascii="Arial" w:hAnsi="Arial" w:cs="Arial"/>
              </w:rPr>
            </w:pPr>
            <w:r>
              <w:rPr>
                <w:rFonts w:ascii="Arial" w:hAnsi="Arial" w:cs="Arial"/>
              </w:rPr>
              <w:t>21</w:t>
            </w:r>
            <w:r w:rsidRPr="00A37EFF">
              <w:rPr>
                <w:rFonts w:ascii="Arial" w:hAnsi="Arial" w:cs="Arial"/>
                <w:vertAlign w:val="superscript"/>
              </w:rPr>
              <w:t>st</w:t>
            </w:r>
            <w:r>
              <w:rPr>
                <w:rFonts w:ascii="Arial" w:hAnsi="Arial" w:cs="Arial"/>
              </w:rPr>
              <w:t>/22</w:t>
            </w:r>
            <w:r w:rsidRPr="00A37EFF">
              <w:rPr>
                <w:rFonts w:ascii="Arial" w:hAnsi="Arial" w:cs="Arial"/>
                <w:vertAlign w:val="superscript"/>
              </w:rPr>
              <w:t>nd</w:t>
            </w:r>
            <w:r>
              <w:rPr>
                <w:rFonts w:ascii="Arial" w:hAnsi="Arial" w:cs="Arial"/>
              </w:rPr>
              <w:t xml:space="preserve">  </w:t>
            </w:r>
            <w:r w:rsidR="00835D12">
              <w:rPr>
                <w:rFonts w:ascii="Arial" w:hAnsi="Arial" w:cs="Arial"/>
              </w:rPr>
              <w:t>February</w:t>
            </w:r>
          </w:p>
        </w:tc>
        <w:tc>
          <w:tcPr>
            <w:tcW w:w="4621" w:type="dxa"/>
            <w:hideMark/>
          </w:tcPr>
          <w:p w14:paraId="72C9F035" w14:textId="77777777" w:rsidR="00835D12" w:rsidRDefault="00835D12" w:rsidP="00F6761F">
            <w:pPr>
              <w:rPr>
                <w:rFonts w:ascii="Arial" w:hAnsi="Arial" w:cs="Arial"/>
              </w:rPr>
            </w:pPr>
            <w:r>
              <w:rPr>
                <w:rFonts w:ascii="Arial" w:hAnsi="Arial" w:cs="Arial"/>
              </w:rPr>
              <w:t>Interviews</w:t>
            </w:r>
          </w:p>
        </w:tc>
      </w:tr>
      <w:tr w:rsidR="00835D12" w14:paraId="75878286" w14:textId="77777777" w:rsidTr="00F6761F">
        <w:tc>
          <w:tcPr>
            <w:tcW w:w="4621" w:type="dxa"/>
            <w:hideMark/>
          </w:tcPr>
          <w:p w14:paraId="533AA2E4" w14:textId="4E3A7C98" w:rsidR="00835D12" w:rsidRDefault="00A37EFF" w:rsidP="00F6761F">
            <w:pPr>
              <w:rPr>
                <w:rFonts w:ascii="Arial" w:hAnsi="Arial" w:cs="Arial"/>
              </w:rPr>
            </w:pPr>
            <w:r>
              <w:rPr>
                <w:rFonts w:ascii="Arial" w:hAnsi="Arial" w:cs="Arial"/>
              </w:rPr>
              <w:t>28</w:t>
            </w:r>
            <w:r w:rsidR="00835D12" w:rsidRPr="00835D12">
              <w:rPr>
                <w:rFonts w:ascii="Arial" w:hAnsi="Arial" w:cs="Arial"/>
                <w:vertAlign w:val="superscript"/>
              </w:rPr>
              <w:t>th</w:t>
            </w:r>
            <w:r w:rsidR="00835D12">
              <w:rPr>
                <w:rFonts w:ascii="Arial" w:hAnsi="Arial" w:cs="Arial"/>
              </w:rPr>
              <w:t xml:space="preserve"> February</w:t>
            </w:r>
          </w:p>
        </w:tc>
        <w:tc>
          <w:tcPr>
            <w:tcW w:w="4621" w:type="dxa"/>
            <w:hideMark/>
          </w:tcPr>
          <w:p w14:paraId="0B87D874" w14:textId="77777777" w:rsidR="00835D12" w:rsidRDefault="00835D12" w:rsidP="00F6761F">
            <w:pPr>
              <w:rPr>
                <w:rFonts w:ascii="Arial" w:hAnsi="Arial" w:cs="Arial"/>
              </w:rPr>
            </w:pPr>
            <w:r>
              <w:rPr>
                <w:rFonts w:ascii="Arial" w:hAnsi="Arial" w:cs="Arial"/>
              </w:rPr>
              <w:t>Kick-off meeting</w:t>
            </w:r>
          </w:p>
        </w:tc>
      </w:tr>
      <w:tr w:rsidR="00835D12" w14:paraId="4197D16B" w14:textId="77777777" w:rsidTr="00F6761F">
        <w:tc>
          <w:tcPr>
            <w:tcW w:w="4621" w:type="dxa"/>
            <w:hideMark/>
          </w:tcPr>
          <w:p w14:paraId="6AA74B35" w14:textId="1DCDA272" w:rsidR="00835D12" w:rsidRDefault="00835D12" w:rsidP="00F6761F">
            <w:pPr>
              <w:rPr>
                <w:rFonts w:ascii="Arial" w:hAnsi="Arial" w:cs="Arial"/>
              </w:rPr>
            </w:pPr>
            <w:r>
              <w:rPr>
                <w:rFonts w:ascii="Arial" w:hAnsi="Arial" w:cs="Arial"/>
              </w:rPr>
              <w:t>Late February</w:t>
            </w:r>
            <w:r w:rsidR="00AA133E">
              <w:rPr>
                <w:rFonts w:ascii="Arial" w:hAnsi="Arial" w:cs="Arial"/>
              </w:rPr>
              <w:t>/Early March</w:t>
            </w:r>
          </w:p>
        </w:tc>
        <w:tc>
          <w:tcPr>
            <w:tcW w:w="4621" w:type="dxa"/>
            <w:hideMark/>
          </w:tcPr>
          <w:p w14:paraId="2EFD2C43" w14:textId="7ACCEA54" w:rsidR="00835D12" w:rsidRDefault="00835D12" w:rsidP="00F6761F">
            <w:pPr>
              <w:rPr>
                <w:rFonts w:ascii="Arial" w:hAnsi="Arial" w:cs="Arial"/>
              </w:rPr>
            </w:pPr>
            <w:r>
              <w:rPr>
                <w:rFonts w:ascii="Arial" w:hAnsi="Arial" w:cs="Arial"/>
              </w:rPr>
              <w:t>Focus Groups</w:t>
            </w:r>
          </w:p>
        </w:tc>
      </w:tr>
      <w:tr w:rsidR="00835D12" w14:paraId="2978D48E" w14:textId="77777777" w:rsidTr="00F6761F">
        <w:tc>
          <w:tcPr>
            <w:tcW w:w="4621" w:type="dxa"/>
            <w:hideMark/>
          </w:tcPr>
          <w:p w14:paraId="7849CFDB" w14:textId="5F4C7F63" w:rsidR="00835D12" w:rsidRDefault="00A37EFF" w:rsidP="00F6761F">
            <w:pPr>
              <w:rPr>
                <w:rFonts w:ascii="Arial" w:hAnsi="Arial" w:cs="Arial"/>
              </w:rPr>
            </w:pPr>
            <w:r>
              <w:rPr>
                <w:rFonts w:ascii="Arial" w:hAnsi="Arial" w:cs="Arial"/>
              </w:rPr>
              <w:t>19</w:t>
            </w:r>
            <w:r w:rsidR="00835D12" w:rsidRPr="00835D12">
              <w:rPr>
                <w:rFonts w:ascii="Arial" w:hAnsi="Arial" w:cs="Arial"/>
                <w:vertAlign w:val="superscript"/>
              </w:rPr>
              <w:t>th</w:t>
            </w:r>
            <w:r w:rsidR="00835D12">
              <w:rPr>
                <w:rFonts w:ascii="Arial" w:hAnsi="Arial" w:cs="Arial"/>
              </w:rPr>
              <w:t xml:space="preserve"> March</w:t>
            </w:r>
          </w:p>
        </w:tc>
        <w:tc>
          <w:tcPr>
            <w:tcW w:w="4621" w:type="dxa"/>
            <w:hideMark/>
          </w:tcPr>
          <w:p w14:paraId="42B80A88" w14:textId="7B001CC7" w:rsidR="00835D12" w:rsidRDefault="00835D12" w:rsidP="00F6761F">
            <w:pPr>
              <w:rPr>
                <w:rFonts w:ascii="Arial" w:hAnsi="Arial" w:cs="Arial"/>
              </w:rPr>
            </w:pPr>
            <w:r>
              <w:rPr>
                <w:rFonts w:ascii="Arial" w:hAnsi="Arial" w:cs="Arial"/>
              </w:rPr>
              <w:t>Interim meeting to</w:t>
            </w:r>
            <w:r w:rsidR="006301DE">
              <w:rPr>
                <w:rFonts w:ascii="Arial" w:hAnsi="Arial" w:cs="Arial"/>
              </w:rPr>
              <w:t xml:space="preserve"> present results from focus groups</w:t>
            </w:r>
            <w:r>
              <w:rPr>
                <w:rFonts w:ascii="Arial" w:hAnsi="Arial" w:cs="Arial"/>
              </w:rPr>
              <w:t xml:space="preserve"> discuss survey development</w:t>
            </w:r>
          </w:p>
        </w:tc>
      </w:tr>
      <w:tr w:rsidR="00835D12" w14:paraId="62BB6E4F" w14:textId="77777777" w:rsidTr="00F6761F">
        <w:tc>
          <w:tcPr>
            <w:tcW w:w="4621" w:type="dxa"/>
            <w:hideMark/>
          </w:tcPr>
          <w:p w14:paraId="1B7F1A90" w14:textId="289556C1" w:rsidR="00835D12" w:rsidRDefault="00A37EFF" w:rsidP="00F6761F">
            <w:pPr>
              <w:rPr>
                <w:rFonts w:ascii="Arial" w:hAnsi="Arial" w:cs="Arial"/>
              </w:rPr>
            </w:pPr>
            <w:r>
              <w:rPr>
                <w:rFonts w:ascii="Arial" w:hAnsi="Arial" w:cs="Arial"/>
              </w:rPr>
              <w:t>29</w:t>
            </w:r>
            <w:r w:rsidRPr="00A37EFF">
              <w:rPr>
                <w:rFonts w:ascii="Arial" w:hAnsi="Arial" w:cs="Arial"/>
                <w:vertAlign w:val="superscript"/>
              </w:rPr>
              <w:t>th</w:t>
            </w:r>
            <w:r>
              <w:rPr>
                <w:rFonts w:ascii="Arial" w:hAnsi="Arial" w:cs="Arial"/>
              </w:rPr>
              <w:t xml:space="preserve"> </w:t>
            </w:r>
            <w:r w:rsidR="00835D12">
              <w:rPr>
                <w:rFonts w:ascii="Arial" w:hAnsi="Arial" w:cs="Arial"/>
              </w:rPr>
              <w:t>March</w:t>
            </w:r>
          </w:p>
        </w:tc>
        <w:tc>
          <w:tcPr>
            <w:tcW w:w="4621" w:type="dxa"/>
            <w:hideMark/>
          </w:tcPr>
          <w:p w14:paraId="762ACB05" w14:textId="56C94E71" w:rsidR="00835D12" w:rsidRDefault="00835D12" w:rsidP="00F6761F">
            <w:pPr>
              <w:rPr>
                <w:rFonts w:ascii="Arial" w:hAnsi="Arial" w:cs="Arial"/>
              </w:rPr>
            </w:pPr>
            <w:r>
              <w:rPr>
                <w:rFonts w:ascii="Arial" w:hAnsi="Arial" w:cs="Arial"/>
              </w:rPr>
              <w:t xml:space="preserve">Survey is live </w:t>
            </w:r>
          </w:p>
        </w:tc>
      </w:tr>
      <w:tr w:rsidR="00835D12" w14:paraId="4CB7C17B" w14:textId="77777777" w:rsidTr="00F6761F">
        <w:tc>
          <w:tcPr>
            <w:tcW w:w="4621" w:type="dxa"/>
            <w:hideMark/>
          </w:tcPr>
          <w:p w14:paraId="4B83B154" w14:textId="38F6E0F0" w:rsidR="00835D12" w:rsidRDefault="00AA133E" w:rsidP="00F6761F">
            <w:pPr>
              <w:rPr>
                <w:rFonts w:ascii="Arial" w:hAnsi="Arial" w:cs="Arial"/>
              </w:rPr>
            </w:pPr>
            <w:r>
              <w:rPr>
                <w:rFonts w:ascii="Arial" w:hAnsi="Arial" w:cs="Arial"/>
              </w:rPr>
              <w:t>9th April</w:t>
            </w:r>
          </w:p>
        </w:tc>
        <w:tc>
          <w:tcPr>
            <w:tcW w:w="4621" w:type="dxa"/>
            <w:hideMark/>
          </w:tcPr>
          <w:p w14:paraId="1636BB2F" w14:textId="2B0CE1D3" w:rsidR="00835D12" w:rsidRDefault="00835D12" w:rsidP="00F6761F">
            <w:pPr>
              <w:rPr>
                <w:rFonts w:ascii="Arial" w:hAnsi="Arial" w:cs="Arial"/>
              </w:rPr>
            </w:pPr>
            <w:r>
              <w:rPr>
                <w:rFonts w:ascii="Arial" w:hAnsi="Arial" w:cs="Arial"/>
              </w:rPr>
              <w:t xml:space="preserve">Final meeting </w:t>
            </w:r>
          </w:p>
        </w:tc>
      </w:tr>
      <w:tr w:rsidR="00835D12" w14:paraId="576E1E3B" w14:textId="77777777" w:rsidTr="00F6761F">
        <w:tc>
          <w:tcPr>
            <w:tcW w:w="4621" w:type="dxa"/>
          </w:tcPr>
          <w:p w14:paraId="270AFDDE" w14:textId="670FC464" w:rsidR="00835D12" w:rsidRDefault="00AA133E" w:rsidP="00F6761F">
            <w:pPr>
              <w:rPr>
                <w:rFonts w:ascii="Arial" w:hAnsi="Arial" w:cs="Arial"/>
              </w:rPr>
            </w:pPr>
            <w:r>
              <w:rPr>
                <w:rFonts w:ascii="Arial" w:hAnsi="Arial" w:cs="Arial"/>
              </w:rPr>
              <w:t>23</w:t>
            </w:r>
            <w:r w:rsidRPr="00E207CF">
              <w:rPr>
                <w:rFonts w:ascii="Arial" w:hAnsi="Arial" w:cs="Arial"/>
                <w:vertAlign w:val="superscript"/>
              </w:rPr>
              <w:t>rd</w:t>
            </w:r>
            <w:r>
              <w:rPr>
                <w:rFonts w:ascii="Arial" w:hAnsi="Arial" w:cs="Arial"/>
              </w:rPr>
              <w:t xml:space="preserve"> April</w:t>
            </w:r>
          </w:p>
        </w:tc>
        <w:tc>
          <w:tcPr>
            <w:tcW w:w="4621" w:type="dxa"/>
          </w:tcPr>
          <w:p w14:paraId="6BB9F162" w14:textId="1D45F2CA" w:rsidR="00835D12" w:rsidRDefault="00835D12" w:rsidP="00F6761F">
            <w:pPr>
              <w:rPr>
                <w:rFonts w:ascii="Arial" w:hAnsi="Arial" w:cs="Arial"/>
              </w:rPr>
            </w:pPr>
            <w:r>
              <w:rPr>
                <w:rFonts w:ascii="Arial" w:hAnsi="Arial" w:cs="Arial"/>
              </w:rPr>
              <w:t>Results provided to CCC.</w:t>
            </w:r>
          </w:p>
        </w:tc>
      </w:tr>
    </w:tbl>
    <w:p w14:paraId="036580B9" w14:textId="77777777" w:rsidR="00E9280A" w:rsidRDefault="00E9280A" w:rsidP="007963DA">
      <w:pPr>
        <w:pStyle w:val="Norma"/>
      </w:pPr>
    </w:p>
    <w:p w14:paraId="3830BEB7" w14:textId="77B33942" w:rsidR="00C37FF4" w:rsidRDefault="00A37EFF" w:rsidP="007963DA">
      <w:pPr>
        <w:pStyle w:val="Norma"/>
      </w:pPr>
      <w:r>
        <w:t>Although the CCC would prefer bids which can meet the deadlines outlined in the timetable above, we are happy to review bids with different suggested timetables if the timetable above is considered unfeasible, as long as t</w:t>
      </w:r>
      <w:r w:rsidR="00E9280A">
        <w:t>he preferred timetable</w:t>
      </w:r>
      <w:r>
        <w:t xml:space="preserve"> is clearly outlined in </w:t>
      </w:r>
      <w:r w:rsidR="00EB7362">
        <w:t>the</w:t>
      </w:r>
      <w:r>
        <w:t xml:space="preserve"> response to this tender.</w:t>
      </w:r>
      <w:r w:rsidR="00C37FF4">
        <w:t xml:space="preserve"> At each meeting, we will expect a </w:t>
      </w:r>
      <w:proofErr w:type="spellStart"/>
      <w:r w:rsidR="00C37FF4">
        <w:t>Powerpoint</w:t>
      </w:r>
      <w:proofErr w:type="spellEnd"/>
      <w:r w:rsidR="00C37FF4">
        <w:t xml:space="preserve"> presentation covering progress and key issues for discussion.</w:t>
      </w:r>
    </w:p>
    <w:p w14:paraId="05224C83" w14:textId="77777777" w:rsidR="003456CF" w:rsidRDefault="003456CF" w:rsidP="007963DA">
      <w:pPr>
        <w:pStyle w:val="Norma"/>
      </w:pPr>
    </w:p>
    <w:p w14:paraId="0FDDEDFF" w14:textId="70F0D120" w:rsidR="003456CF" w:rsidRDefault="003456CF" w:rsidP="007963DA">
      <w:pPr>
        <w:pStyle w:val="Norma"/>
      </w:pPr>
    </w:p>
    <w:p w14:paraId="5EA87566" w14:textId="77777777" w:rsidR="002F59AC" w:rsidRDefault="004C7039" w:rsidP="001B2C13">
      <w:pPr>
        <w:pStyle w:val="Heading1"/>
        <w:numPr>
          <w:ilvl w:val="0"/>
          <w:numId w:val="3"/>
        </w:numPr>
        <w:rPr>
          <w:rFonts w:ascii="Arial" w:hAnsi="Arial" w:cs="Arial"/>
          <w:sz w:val="24"/>
          <w:szCs w:val="24"/>
        </w:rPr>
      </w:pPr>
      <w:bookmarkStart w:id="17" w:name="_Ref357541731"/>
      <w:bookmarkStart w:id="18" w:name="_Toc381969514"/>
      <w:bookmarkStart w:id="19" w:name="_Toc405888463"/>
      <w:r w:rsidRPr="002D32D5">
        <w:rPr>
          <w:rFonts w:ascii="Arial" w:hAnsi="Arial" w:cs="Arial"/>
          <w:sz w:val="24"/>
          <w:szCs w:val="24"/>
        </w:rPr>
        <w:t>C</w:t>
      </w:r>
      <w:r w:rsidR="002F59AC" w:rsidRPr="002D32D5">
        <w:rPr>
          <w:rFonts w:ascii="Arial" w:hAnsi="Arial" w:cs="Arial"/>
          <w:sz w:val="24"/>
          <w:szCs w:val="24"/>
        </w:rPr>
        <w:t>hallenges</w:t>
      </w:r>
      <w:bookmarkEnd w:id="17"/>
      <w:bookmarkEnd w:id="18"/>
      <w:bookmarkEnd w:id="19"/>
    </w:p>
    <w:p w14:paraId="284AE220" w14:textId="77777777" w:rsidR="00DD521A" w:rsidRDefault="00DD521A" w:rsidP="00DD521A">
      <w:pPr>
        <w:pStyle w:val="Norma"/>
      </w:pPr>
    </w:p>
    <w:p w14:paraId="5EA87567" w14:textId="632DEC97" w:rsidR="00585DA5" w:rsidRPr="00C37FF4" w:rsidRDefault="00C37FF4" w:rsidP="007963DA">
      <w:pPr>
        <w:pStyle w:val="Norma"/>
        <w:jc w:val="both"/>
        <w:rPr>
          <w:rFonts w:cs="Arial"/>
          <w:bCs/>
          <w:iCs/>
          <w:sz w:val="24"/>
          <w:szCs w:val="24"/>
        </w:rPr>
      </w:pPr>
      <w:r>
        <w:t xml:space="preserve"> Tenderers should highlight any challenges </w:t>
      </w:r>
      <w:r w:rsidR="00DA6190">
        <w:t xml:space="preserve">or </w:t>
      </w:r>
      <w:r>
        <w:t xml:space="preserve">risks that they envisage in delivering the outputs of the project, whether in terms of the scope of the work, resources or timelines. Alternative suggestions will be considered if the risks are such that the project is unlikely to be able to be delivered in its current form. </w:t>
      </w:r>
    </w:p>
    <w:p w14:paraId="5EA87568" w14:textId="70AF5C79" w:rsidR="008F4BEB" w:rsidRPr="002D32D5" w:rsidRDefault="008F4BEB" w:rsidP="001B2C13">
      <w:pPr>
        <w:pStyle w:val="Heading1"/>
        <w:numPr>
          <w:ilvl w:val="0"/>
          <w:numId w:val="3"/>
        </w:numPr>
        <w:rPr>
          <w:rFonts w:ascii="Arial" w:hAnsi="Arial" w:cs="Arial"/>
          <w:sz w:val="24"/>
          <w:szCs w:val="24"/>
        </w:rPr>
      </w:pPr>
      <w:bookmarkStart w:id="20" w:name="_Toc381969515"/>
      <w:bookmarkStart w:id="21" w:name="_Toc405888464"/>
      <w:bookmarkStart w:id="22" w:name="_Toc271272913"/>
      <w:r w:rsidRPr="002D32D5">
        <w:rPr>
          <w:rFonts w:ascii="Arial" w:hAnsi="Arial" w:cs="Arial"/>
          <w:sz w:val="24"/>
          <w:szCs w:val="24"/>
        </w:rPr>
        <w:t>Ethics</w:t>
      </w:r>
      <w:bookmarkEnd w:id="20"/>
      <w:bookmarkEnd w:id="21"/>
      <w:r w:rsidR="009E2B4B">
        <w:rPr>
          <w:rFonts w:ascii="Arial" w:hAnsi="Arial" w:cs="Arial"/>
          <w:sz w:val="24"/>
          <w:szCs w:val="24"/>
        </w:rPr>
        <w:t xml:space="preserve"> </w:t>
      </w:r>
    </w:p>
    <w:p w14:paraId="5EA87569" w14:textId="77777777" w:rsidR="002D32D5" w:rsidRDefault="002D32D5" w:rsidP="008F4BEB">
      <w:pPr>
        <w:pStyle w:val="ListParagraph"/>
        <w:spacing w:after="0" w:line="240" w:lineRule="auto"/>
        <w:ind w:left="0"/>
        <w:contextualSpacing w:val="0"/>
      </w:pPr>
    </w:p>
    <w:p w14:paraId="5EA8756A"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5EA8756B"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5EA8756C" w14:textId="61939B87"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w:t>
      </w:r>
      <w:r w:rsidR="00B1389D">
        <w:rPr>
          <w:rFonts w:ascii="Arial" w:hAnsi="Arial" w:cs="Arial"/>
          <w:sz w:val="24"/>
          <w:szCs w:val="24"/>
        </w:rPr>
        <w:t>Principles</w:t>
      </w:r>
      <w:r w:rsidR="00D75586">
        <w:rPr>
          <w:rFonts w:ascii="Arial" w:hAnsi="Arial" w:cs="Arial"/>
          <w:sz w:val="24"/>
          <w:szCs w:val="24"/>
        </w:rPr>
        <w:t>:</w:t>
      </w:r>
    </w:p>
    <w:p w14:paraId="5EA8756D" w14:textId="77777777" w:rsidR="00D75586" w:rsidRPr="00BF74E5" w:rsidRDefault="00D75586" w:rsidP="001B2C13">
      <w:pPr>
        <w:pStyle w:val="ListParagraph"/>
        <w:numPr>
          <w:ilvl w:val="0"/>
          <w:numId w:val="2"/>
        </w:numPr>
        <w:rPr>
          <w:rFonts w:ascii="Arial" w:hAnsi="Arial" w:cs="Arial"/>
          <w:iCs/>
          <w:sz w:val="24"/>
          <w:szCs w:val="24"/>
        </w:rPr>
      </w:pPr>
      <w:r w:rsidRPr="00BF74E5">
        <w:rPr>
          <w:rFonts w:ascii="Arial" w:hAnsi="Arial" w:cs="Arial"/>
          <w:iCs/>
          <w:sz w:val="24"/>
          <w:szCs w:val="24"/>
        </w:rPr>
        <w:lastRenderedPageBreak/>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5EA8756E" w14:textId="77777777" w:rsidR="00D75586" w:rsidRPr="00BF74E5" w:rsidRDefault="00D75586" w:rsidP="001B2C13">
      <w:pPr>
        <w:pStyle w:val="ListParagraph"/>
        <w:numPr>
          <w:ilvl w:val="0"/>
          <w:numId w:val="2"/>
        </w:numPr>
        <w:jc w:val="both"/>
        <w:rPr>
          <w:rFonts w:ascii="Arial" w:hAnsi="Arial" w:cs="Arial"/>
          <w:iCs/>
          <w:sz w:val="24"/>
          <w:szCs w:val="24"/>
        </w:rPr>
      </w:pPr>
      <w:r w:rsidRPr="00BF74E5">
        <w:rPr>
          <w:rFonts w:ascii="Arial" w:hAnsi="Arial" w:cs="Arial"/>
          <w:iCs/>
          <w:sz w:val="24"/>
          <w:szCs w:val="24"/>
        </w:rPr>
        <w:t>Participation based on valid consent</w:t>
      </w:r>
    </w:p>
    <w:p w14:paraId="5EA8756F" w14:textId="77777777" w:rsidR="00D75586" w:rsidRPr="00BF74E5" w:rsidRDefault="00D75586" w:rsidP="001B2C13">
      <w:pPr>
        <w:pStyle w:val="ListParagraph"/>
        <w:numPr>
          <w:ilvl w:val="0"/>
          <w:numId w:val="2"/>
        </w:numPr>
        <w:jc w:val="both"/>
        <w:rPr>
          <w:rFonts w:ascii="Arial" w:hAnsi="Arial" w:cs="Arial"/>
          <w:iCs/>
          <w:sz w:val="24"/>
          <w:szCs w:val="24"/>
        </w:rPr>
      </w:pPr>
      <w:r w:rsidRPr="00BF74E5">
        <w:rPr>
          <w:rFonts w:ascii="Arial" w:hAnsi="Arial" w:cs="Arial"/>
          <w:iCs/>
          <w:sz w:val="24"/>
          <w:szCs w:val="24"/>
        </w:rPr>
        <w:t>Enabling participation</w:t>
      </w:r>
    </w:p>
    <w:p w14:paraId="5EA87570" w14:textId="77777777" w:rsidR="00D75586" w:rsidRPr="00BF74E5" w:rsidRDefault="00D75586" w:rsidP="001B2C13">
      <w:pPr>
        <w:pStyle w:val="ListParagraph"/>
        <w:numPr>
          <w:ilvl w:val="0"/>
          <w:numId w:val="2"/>
        </w:numPr>
        <w:jc w:val="both"/>
        <w:rPr>
          <w:rFonts w:ascii="Arial" w:hAnsi="Arial" w:cs="Arial"/>
          <w:iCs/>
          <w:sz w:val="24"/>
          <w:szCs w:val="24"/>
        </w:rPr>
      </w:pPr>
      <w:r w:rsidRPr="00BF74E5">
        <w:rPr>
          <w:rFonts w:ascii="Arial" w:hAnsi="Arial" w:cs="Arial"/>
          <w:iCs/>
          <w:sz w:val="24"/>
          <w:szCs w:val="24"/>
        </w:rPr>
        <w:t>Avoidance of personal harm</w:t>
      </w:r>
    </w:p>
    <w:p w14:paraId="5EA87571" w14:textId="77777777" w:rsidR="00D75586" w:rsidRPr="00BF74E5" w:rsidRDefault="00D75586" w:rsidP="001B2C13">
      <w:pPr>
        <w:pStyle w:val="ListParagraph"/>
        <w:numPr>
          <w:ilvl w:val="0"/>
          <w:numId w:val="2"/>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1B2C13">
      <w:pPr>
        <w:pStyle w:val="Heading1"/>
        <w:numPr>
          <w:ilvl w:val="0"/>
          <w:numId w:val="3"/>
        </w:numPr>
        <w:rPr>
          <w:rFonts w:ascii="Arial" w:hAnsi="Arial" w:cs="Arial"/>
          <w:sz w:val="24"/>
          <w:szCs w:val="24"/>
        </w:rPr>
      </w:pPr>
      <w:bookmarkStart w:id="23" w:name="_Ref338852517"/>
      <w:bookmarkStart w:id="24" w:name="_Toc381969516"/>
      <w:bookmarkStart w:id="25" w:name="_Toc405888465"/>
      <w:bookmarkEnd w:id="22"/>
      <w:r w:rsidRPr="002D32D5">
        <w:rPr>
          <w:rFonts w:ascii="Arial" w:hAnsi="Arial" w:cs="Arial"/>
          <w:sz w:val="24"/>
          <w:szCs w:val="24"/>
        </w:rPr>
        <w:t>Working Arrangements</w:t>
      </w:r>
      <w:bookmarkEnd w:id="23"/>
      <w:bookmarkEnd w:id="24"/>
      <w:bookmarkEnd w:id="25"/>
    </w:p>
    <w:p w14:paraId="5EA87574" w14:textId="77777777" w:rsidR="00AA62E8" w:rsidRPr="005A7FBC" w:rsidRDefault="00AA62E8" w:rsidP="005A7FBC">
      <w:pPr>
        <w:pStyle w:val="Norma"/>
        <w:jc w:val="both"/>
        <w:rPr>
          <w:rFonts w:cs="Arial"/>
          <w:b/>
          <w:bCs/>
          <w:iCs/>
          <w:sz w:val="24"/>
          <w:szCs w:val="24"/>
        </w:rPr>
      </w:pPr>
    </w:p>
    <w:p w14:paraId="5EA87575" w14:textId="52C4E2E5" w:rsidR="00AA62E8" w:rsidRPr="005A7FBC" w:rsidRDefault="00AA62E8" w:rsidP="00293D12">
      <w:pPr>
        <w:pStyle w:val="Norma"/>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r w:rsidR="00B612A7">
        <w:rPr>
          <w:rFonts w:cs="Arial"/>
          <w:bCs/>
          <w:sz w:val="24"/>
          <w:szCs w:val="24"/>
        </w:rPr>
        <w:t>A steering group will also give input to the project.</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1B2C13">
      <w:pPr>
        <w:pStyle w:val="Heading1"/>
        <w:numPr>
          <w:ilvl w:val="0"/>
          <w:numId w:val="3"/>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B960BC" w:rsidRDefault="0097210C" w:rsidP="00E72DB1">
      <w:pPr>
        <w:pStyle w:val="PTablebodyCharCharChar"/>
        <w:tabs>
          <w:tab w:val="clear" w:pos="7823"/>
          <w:tab w:val="right" w:pos="709"/>
        </w:tabs>
        <w:spacing w:after="0"/>
        <w:ind w:left="36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B960BC">
      <w:pPr>
        <w:pStyle w:val="PTablebodyCharCharChar"/>
        <w:spacing w:after="0"/>
        <w:ind w:left="0"/>
        <w:rPr>
          <w:rFonts w:ascii="Arial" w:hAnsi="Arial" w:cs="Arial"/>
        </w:rPr>
      </w:pPr>
    </w:p>
    <w:p w14:paraId="5EA8757D"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B960BC">
      <w:pPr>
        <w:pStyle w:val="PTablebodyCharCharChar"/>
        <w:spacing w:after="0"/>
        <w:ind w:left="0"/>
        <w:rPr>
          <w:rFonts w:ascii="Arial" w:hAnsi="Arial" w:cs="Arial"/>
        </w:rPr>
      </w:pPr>
    </w:p>
    <w:p w14:paraId="5EA8757F" w14:textId="77777777" w:rsidR="00D64BB0" w:rsidRPr="00B960BC" w:rsidRDefault="003C1CE8" w:rsidP="00E72DB1">
      <w:pPr>
        <w:pStyle w:val="Norma"/>
        <w:ind w:left="360"/>
        <w:jc w:val="both"/>
        <w:rPr>
          <w:rFonts w:cs="Arial"/>
          <w:sz w:val="24"/>
          <w:szCs w:val="24"/>
        </w:rPr>
      </w:pPr>
      <w:r w:rsidRPr="00B960BC">
        <w:rPr>
          <w:rFonts w:cs="Arial"/>
          <w:sz w:val="24"/>
          <w:szCs w:val="24"/>
        </w:rPr>
        <w:t>Contractors should identify the individual(s) who will be responsible for managing the project.</w:t>
      </w:r>
      <w:bookmarkStart w:id="26"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1B2C13">
      <w:pPr>
        <w:pStyle w:val="Heading1"/>
        <w:numPr>
          <w:ilvl w:val="0"/>
          <w:numId w:val="3"/>
        </w:numPr>
        <w:rPr>
          <w:rFonts w:ascii="Arial" w:hAnsi="Arial" w:cs="Arial"/>
          <w:sz w:val="24"/>
          <w:szCs w:val="24"/>
        </w:rPr>
      </w:pPr>
      <w:bookmarkStart w:id="27" w:name="_Ref373505239"/>
      <w:bookmarkStart w:id="28" w:name="_Toc381969518"/>
      <w:bookmarkStart w:id="29" w:name="_Toc405888467"/>
      <w:r w:rsidRPr="002D32D5">
        <w:rPr>
          <w:rFonts w:ascii="Arial" w:hAnsi="Arial" w:cs="Arial"/>
          <w:sz w:val="24"/>
          <w:szCs w:val="24"/>
        </w:rPr>
        <w:t>C</w:t>
      </w:r>
      <w:r w:rsidR="00A64B82" w:rsidRPr="002D32D5">
        <w:rPr>
          <w:rFonts w:ascii="Arial" w:hAnsi="Arial" w:cs="Arial"/>
          <w:sz w:val="24"/>
          <w:szCs w:val="24"/>
        </w:rPr>
        <w:t>onsortium Bids</w:t>
      </w:r>
      <w:bookmarkEnd w:id="27"/>
      <w:bookmarkEnd w:id="28"/>
      <w:bookmarkEnd w:id="29"/>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E4650D">
      <w:pPr>
        <w:pStyle w:val="FootnoteText"/>
        <w:ind w:left="567"/>
        <w:jc w:val="both"/>
        <w:rPr>
          <w:rFonts w:ascii="Arial" w:hAnsi="Arial" w:cs="Arial"/>
          <w:sz w:val="24"/>
          <w:szCs w:val="24"/>
          <w:lang w:eastAsia="en-GB"/>
        </w:rPr>
      </w:pPr>
    </w:p>
    <w:p w14:paraId="5EA87585"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E4650D">
      <w:pPr>
        <w:pStyle w:val="FootnoteText"/>
        <w:ind w:left="567"/>
        <w:jc w:val="both"/>
        <w:rPr>
          <w:rFonts w:ascii="Arial" w:hAnsi="Arial" w:cs="Arial"/>
          <w:sz w:val="24"/>
          <w:szCs w:val="24"/>
          <w:lang w:eastAsia="en-GB"/>
        </w:rPr>
      </w:pPr>
    </w:p>
    <w:p w14:paraId="5EA87587" w14:textId="79EB2CDE"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E4650D">
      <w:pPr>
        <w:pStyle w:val="NoSpacing"/>
        <w:jc w:val="both"/>
        <w:rPr>
          <w:rFonts w:ascii="Arial" w:hAnsi="Arial" w:cs="Arial"/>
          <w:sz w:val="24"/>
          <w:szCs w:val="24"/>
        </w:rPr>
      </w:pPr>
    </w:p>
    <w:p w14:paraId="5EA87589" w14:textId="40024243" w:rsidR="00AD130E" w:rsidRPr="00E4650D" w:rsidRDefault="0097210C" w:rsidP="00E72DB1">
      <w:pPr>
        <w:pStyle w:val="NoSpacing"/>
        <w:ind w:left="360"/>
        <w:jc w:val="both"/>
        <w:rPr>
          <w:rFonts w:ascii="Arial" w:hAnsi="Arial" w:cs="Arial"/>
          <w:sz w:val="24"/>
          <w:szCs w:val="24"/>
        </w:rPr>
      </w:pPr>
      <w:r>
        <w:rPr>
          <w:rFonts w:ascii="Arial" w:hAnsi="Arial" w:cs="Arial"/>
          <w:sz w:val="24"/>
          <w:szCs w:val="24"/>
        </w:rPr>
        <w:lastRenderedPageBreak/>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1B2C13">
      <w:pPr>
        <w:pStyle w:val="Heading1"/>
        <w:numPr>
          <w:ilvl w:val="0"/>
          <w:numId w:val="3"/>
        </w:numPr>
        <w:rPr>
          <w:rFonts w:ascii="Arial" w:hAnsi="Arial" w:cs="Arial"/>
          <w:sz w:val="24"/>
          <w:szCs w:val="24"/>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002D32D5">
        <w:rPr>
          <w:rFonts w:ascii="Arial" w:hAnsi="Arial" w:cs="Arial"/>
          <w:sz w:val="24"/>
          <w:szCs w:val="24"/>
        </w:rPr>
        <w:t>Budget</w:t>
      </w:r>
      <w:bookmarkEnd w:id="30"/>
      <w:bookmarkEnd w:id="31"/>
      <w:bookmarkEnd w:id="32"/>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67D5A3B2" w:rsidR="003C1CE8" w:rsidRPr="00E4650D" w:rsidRDefault="003C1CE8" w:rsidP="007A11CB">
      <w:pPr>
        <w:pStyle w:val="Paragraph"/>
        <w:ind w:hanging="360"/>
      </w:pPr>
      <w:r w:rsidRPr="00E4650D">
        <w:t xml:space="preserve">The budget for this </w:t>
      </w:r>
      <w:r w:rsidRPr="00835D12">
        <w:t xml:space="preserve">project is </w:t>
      </w:r>
      <w:r w:rsidR="00675091">
        <w:t>up to £20</w:t>
      </w:r>
      <w:r w:rsidR="00C37FF4">
        <w:t>,000</w:t>
      </w:r>
      <w:r w:rsidR="00685B87" w:rsidRPr="00835D12">
        <w:t xml:space="preserve"> excluding </w:t>
      </w:r>
      <w:r w:rsidR="00685B87" w:rsidRPr="00E4650D">
        <w:t>VAT</w:t>
      </w:r>
      <w:r w:rsidRPr="00E4650D">
        <w:t>.</w:t>
      </w:r>
      <w:r w:rsidR="00547482">
        <w:t xml:space="preserve"> Bids </w:t>
      </w:r>
      <w:r w:rsidR="009D3A27">
        <w:t>should</w:t>
      </w:r>
      <w:r w:rsidR="00547482">
        <w:t xml:space="preserve"> also </w:t>
      </w:r>
      <w:r w:rsidR="009D3A27">
        <w:t xml:space="preserve">consider </w:t>
      </w:r>
      <w:r w:rsidR="00547482">
        <w:t>includ</w:t>
      </w:r>
      <w:r w:rsidR="009D3A27">
        <w:t xml:space="preserve">ing </w:t>
      </w:r>
      <w:r w:rsidR="00547482">
        <w:t>the cost of providing additional focus group</w:t>
      </w:r>
      <w:r w:rsidR="009D3A27">
        <w:t xml:space="preserve">s and/or more survey participants and/or more complex methodologies </w:t>
      </w:r>
      <w:r w:rsidR="00547482">
        <w:t>to those provided within the set budget</w:t>
      </w:r>
      <w:r w:rsidR="009D3A27">
        <w:t xml:space="preserve"> if the potential provider believes this would significantly improve the quality of the research (up to a maximum of £40,000 excluding VAT)</w:t>
      </w:r>
      <w:r w:rsidR="00547482">
        <w:t>, to enable the CCC to decide</w:t>
      </w:r>
      <w:r w:rsidR="009D3A27">
        <w:t xml:space="preserve"> whether more extensive and complex research</w:t>
      </w:r>
      <w:r w:rsidR="00547482">
        <w:t xml:space="preserve"> would be appropriate.</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p w14:paraId="5EA8758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33"/>
      <w:bookmarkEnd w:id="34"/>
      <w:bookmarkEnd w:id="35"/>
    </w:p>
    <w:p w14:paraId="5EA87590" w14:textId="77777777" w:rsidR="00272E19" w:rsidRPr="00E4650D" w:rsidRDefault="00272E19" w:rsidP="00E4650D">
      <w:pPr>
        <w:pStyle w:val="ListParagraph"/>
        <w:spacing w:line="240" w:lineRule="auto"/>
        <w:ind w:left="0"/>
        <w:jc w:val="both"/>
        <w:rPr>
          <w:rFonts w:ascii="Arial" w:hAnsi="Arial" w:cs="Arial"/>
          <w:sz w:val="24"/>
          <w:szCs w:val="24"/>
        </w:rPr>
      </w:pPr>
    </w:p>
    <w:p w14:paraId="5EA87591" w14:textId="2A72D761" w:rsidR="00220792" w:rsidRPr="00C20EAE" w:rsidRDefault="00220792" w:rsidP="00E72DB1">
      <w:pPr>
        <w:pStyle w:val="ListParagraph"/>
        <w:spacing w:line="240" w:lineRule="auto"/>
        <w:ind w:left="360"/>
        <w:jc w:val="both"/>
        <w:rPr>
          <w:rFonts w:ascii="Arial" w:hAnsi="Arial" w:cs="Arial"/>
          <w:b/>
          <w:color w:val="FF0000"/>
          <w:sz w:val="24"/>
          <w:szCs w:val="24"/>
        </w:rPr>
      </w:pPr>
      <w:r w:rsidRPr="00E4650D">
        <w:rPr>
          <w:rFonts w:ascii="Arial" w:hAnsi="Arial" w:cs="Arial"/>
          <w:sz w:val="24"/>
          <w:szCs w:val="24"/>
        </w:rPr>
        <w:t>Cost will be a criterion against wh</w:t>
      </w:r>
      <w:r w:rsidR="00835D12">
        <w:rPr>
          <w:rFonts w:ascii="Arial" w:hAnsi="Arial" w:cs="Arial"/>
          <w:sz w:val="24"/>
          <w:szCs w:val="24"/>
        </w:rPr>
        <w:t>ich bids which will be assessed.</w:t>
      </w:r>
    </w:p>
    <w:p w14:paraId="5EA87592" w14:textId="77777777" w:rsidR="00220792" w:rsidRPr="00E4650D" w:rsidRDefault="00220792" w:rsidP="00E4650D">
      <w:pPr>
        <w:pStyle w:val="ListParagraph"/>
        <w:spacing w:line="240" w:lineRule="auto"/>
        <w:ind w:left="0"/>
        <w:jc w:val="both"/>
        <w:rPr>
          <w:rFonts w:ascii="Arial" w:hAnsi="Arial" w:cs="Arial"/>
          <w:sz w:val="24"/>
          <w:szCs w:val="24"/>
        </w:rPr>
      </w:pPr>
    </w:p>
    <w:p w14:paraId="5EA87593" w14:textId="4D3B8DF5"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EA87595" w14:textId="77777777" w:rsidR="008261E0" w:rsidRDefault="003C06AA"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E4650D">
      <w:pPr>
        <w:pStyle w:val="Norma"/>
        <w:jc w:val="both"/>
        <w:rPr>
          <w:rFonts w:eastAsia="MS Mincho" w:cs="Arial"/>
          <w:sz w:val="24"/>
          <w:szCs w:val="24"/>
          <w:lang w:eastAsia="en-US"/>
        </w:rPr>
      </w:pPr>
    </w:p>
    <w:p w14:paraId="5EA87597" w14:textId="77777777" w:rsidR="00443DE6" w:rsidRPr="00E4650D" w:rsidRDefault="008261E0" w:rsidP="00E72DB1">
      <w:pPr>
        <w:pStyle w:val="Norma"/>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1B2C13">
      <w:pPr>
        <w:pStyle w:val="Heading1"/>
        <w:numPr>
          <w:ilvl w:val="0"/>
          <w:numId w:val="3"/>
        </w:numPr>
        <w:rPr>
          <w:rFonts w:ascii="Arial" w:hAnsi="Arial" w:cs="Arial"/>
          <w:sz w:val="24"/>
          <w:szCs w:val="24"/>
        </w:rPr>
      </w:pPr>
      <w:bookmarkStart w:id="36" w:name="_Ref357541836"/>
      <w:bookmarkStart w:id="37" w:name="_Toc381969520"/>
      <w:bookmarkStart w:id="38" w:name="_Toc405888469"/>
      <w:r w:rsidRPr="002D32D5">
        <w:rPr>
          <w:rFonts w:ascii="Arial" w:hAnsi="Arial" w:cs="Arial"/>
          <w:sz w:val="24"/>
          <w:szCs w:val="24"/>
        </w:rPr>
        <w:t>Evaluation of Tenders</w:t>
      </w:r>
      <w:bookmarkEnd w:id="36"/>
      <w:bookmarkEnd w:id="37"/>
      <w:bookmarkEnd w:id="38"/>
    </w:p>
    <w:p w14:paraId="5EA8759C" w14:textId="77777777" w:rsidR="00E4650D" w:rsidRPr="00E4650D" w:rsidRDefault="00E4650D" w:rsidP="00E4650D">
      <w:pPr>
        <w:pStyle w:val="Norma"/>
        <w:jc w:val="both"/>
        <w:rPr>
          <w:rFonts w:cs="Arial"/>
          <w:sz w:val="24"/>
          <w:szCs w:val="24"/>
        </w:rPr>
      </w:pPr>
    </w:p>
    <w:p w14:paraId="5EA8759F" w14:textId="66D1713C" w:rsidR="00002825" w:rsidRPr="00804221" w:rsidRDefault="0097210C" w:rsidP="00804221">
      <w:pPr>
        <w:pStyle w:val="NoSpacing"/>
        <w:ind w:left="360"/>
        <w:rPr>
          <w:rFonts w:ascii="Arial" w:hAnsi="Arial" w:cs="Arial"/>
          <w:sz w:val="24"/>
          <w:szCs w:val="24"/>
        </w:rPr>
      </w:pPr>
      <w:r>
        <w:rPr>
          <w:rFonts w:ascii="Arial" w:hAnsi="Arial" w:cs="Arial"/>
          <w:sz w:val="24"/>
          <w:szCs w:val="24"/>
        </w:rPr>
        <w:t>C</w:t>
      </w:r>
      <w:r w:rsidR="003C54D5" w:rsidRPr="00E4650D">
        <w:rPr>
          <w:rFonts w:ascii="Arial" w:hAnsi="Arial" w:cs="Arial"/>
          <w:sz w:val="24"/>
          <w:szCs w:val="24"/>
        </w:rPr>
        <w:t xml:space="preserve">CC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804221">
        <w:rPr>
          <w:rFonts w:ascii="Arial" w:hAnsi="Arial" w:cs="Arial"/>
          <w:sz w:val="24"/>
          <w:szCs w:val="24"/>
        </w:rPr>
        <w:t>eria and weighting listed below</w:t>
      </w:r>
      <w:r w:rsidR="00804221" w:rsidRPr="00804221">
        <w:rPr>
          <w:rFonts w:ascii="Arial" w:hAnsi="Arial" w:cs="Arial"/>
          <w:sz w:val="24"/>
          <w:szCs w:val="24"/>
        </w:rPr>
        <w:t xml:space="preserve">, </w:t>
      </w:r>
      <w:r w:rsidR="00804221">
        <w:rPr>
          <w:rFonts w:ascii="Arial" w:hAnsi="Arial" w:cs="Arial"/>
          <w:sz w:val="24"/>
          <w:szCs w:val="24"/>
        </w:rPr>
        <w:t>s</w:t>
      </w:r>
      <w:r w:rsidR="00002825" w:rsidRPr="00804221">
        <w:rPr>
          <w:rFonts w:ascii="Arial" w:hAnsi="Arial" w:cs="Arial"/>
          <w:sz w:val="24"/>
          <w:szCs w:val="24"/>
        </w:rPr>
        <w:t xml:space="preserve">ee </w:t>
      </w:r>
      <w:r w:rsidR="00EE50B0" w:rsidRPr="00804221">
        <w:rPr>
          <w:rFonts w:ascii="Arial" w:hAnsi="Arial" w:cs="Arial"/>
          <w:sz w:val="24"/>
          <w:szCs w:val="24"/>
        </w:rPr>
        <w:t>the ITT</w:t>
      </w:r>
      <w:r w:rsidR="00002825" w:rsidRPr="00804221">
        <w:rPr>
          <w:rFonts w:ascii="Arial" w:hAnsi="Arial" w:cs="Arial"/>
          <w:sz w:val="24"/>
          <w:szCs w:val="24"/>
        </w:rPr>
        <w:t xml:space="preserve"> for further information</w:t>
      </w:r>
      <w:r w:rsidR="00804221">
        <w:rPr>
          <w:rFonts w:ascii="Arial" w:hAnsi="Arial" w:cs="Arial"/>
          <w:sz w:val="24"/>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6761F">
            <w:pPr>
              <w:pStyle w:val="Heading4"/>
              <w:rPr>
                <w:rFonts w:ascii="Arial" w:hAnsi="Arial" w:cs="Arial"/>
              </w:rPr>
            </w:pPr>
            <w:bookmarkStart w:id="39" w:name="p2"/>
            <w:r w:rsidRPr="00F7796D">
              <w:rPr>
                <w:rFonts w:ascii="Arial" w:hAnsi="Arial" w:cs="Arial"/>
              </w:rPr>
              <w:lastRenderedPageBreak/>
              <w:t>Criterion</w:t>
            </w:r>
            <w:bookmarkEnd w:id="39"/>
          </w:p>
        </w:tc>
        <w:tc>
          <w:tcPr>
            <w:tcW w:w="5638" w:type="dxa"/>
            <w:shd w:val="clear" w:color="auto" w:fill="auto"/>
          </w:tcPr>
          <w:p w14:paraId="5EA875AB" w14:textId="77777777" w:rsidR="001623B7" w:rsidRPr="00F7796D" w:rsidRDefault="001623B7" w:rsidP="00F6761F">
            <w:pPr>
              <w:pStyle w:val="Heading4"/>
              <w:rPr>
                <w:rFonts w:ascii="Arial" w:hAnsi="Arial" w:cs="Arial"/>
              </w:rPr>
            </w:pPr>
            <w:r w:rsidRPr="00F7796D">
              <w:rPr>
                <w:rFonts w:ascii="Arial" w:hAnsi="Arial" w:cs="Arial"/>
              </w:rPr>
              <w:t>Description</w:t>
            </w:r>
          </w:p>
        </w:tc>
        <w:tc>
          <w:tcPr>
            <w:tcW w:w="2693" w:type="dxa"/>
            <w:shd w:val="clear" w:color="auto" w:fill="auto"/>
          </w:tcPr>
          <w:p w14:paraId="5EA875AC" w14:textId="7173A114" w:rsidR="001623B7" w:rsidRPr="00F7796D" w:rsidRDefault="001623B7" w:rsidP="00891330">
            <w:pPr>
              <w:pStyle w:val="Heading4"/>
              <w:rPr>
                <w:rFonts w:ascii="Arial" w:hAnsi="Arial" w:cs="Arial"/>
              </w:rPr>
            </w:pPr>
            <w:r w:rsidRPr="00F7796D">
              <w:rPr>
                <w:rFonts w:ascii="Arial" w:hAnsi="Arial" w:cs="Arial"/>
              </w:rPr>
              <w:t>Weighting</w:t>
            </w:r>
          </w:p>
        </w:tc>
      </w:tr>
      <w:tr w:rsidR="001623B7" w:rsidRPr="00C6546D" w14:paraId="5EA875B1" w14:textId="77777777" w:rsidTr="00FF4DBE">
        <w:tc>
          <w:tcPr>
            <w:tcW w:w="1133" w:type="dxa"/>
          </w:tcPr>
          <w:p w14:paraId="5EA875AE" w14:textId="699A64BB" w:rsidR="001623B7" w:rsidRPr="00F7796D" w:rsidRDefault="00F81BC1" w:rsidP="00F6761F">
            <w:pPr>
              <w:pStyle w:val="Norma"/>
              <w:rPr>
                <w:rFonts w:cs="Arial"/>
              </w:rPr>
            </w:pPr>
            <w:r>
              <w:rPr>
                <w:rFonts w:cs="Arial"/>
              </w:rPr>
              <w:t>1</w:t>
            </w:r>
          </w:p>
        </w:tc>
        <w:tc>
          <w:tcPr>
            <w:tcW w:w="5638" w:type="dxa"/>
            <w:shd w:val="clear" w:color="auto" w:fill="auto"/>
          </w:tcPr>
          <w:p w14:paraId="5EA875AF" w14:textId="644AFD13" w:rsidR="001623B7" w:rsidRPr="00F7796D" w:rsidRDefault="00F81BC1" w:rsidP="00F6761F">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F6761F">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F6761F">
            <w:pPr>
              <w:pStyle w:val="Norma"/>
              <w:rPr>
                <w:rFonts w:cs="Arial"/>
              </w:rPr>
            </w:pPr>
            <w:r>
              <w:rPr>
                <w:rFonts w:cs="Arial"/>
              </w:rPr>
              <w:t>2</w:t>
            </w:r>
          </w:p>
        </w:tc>
        <w:tc>
          <w:tcPr>
            <w:tcW w:w="5638" w:type="dxa"/>
            <w:shd w:val="clear" w:color="auto" w:fill="auto"/>
          </w:tcPr>
          <w:p w14:paraId="5EA875B3" w14:textId="382A88F7" w:rsidR="001623B7" w:rsidRPr="00F7796D" w:rsidRDefault="00F81BC1" w:rsidP="00F6761F">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62BCEEC9" w:rsidR="001623B7" w:rsidRPr="00F7796D" w:rsidRDefault="00327267" w:rsidP="00F6761F">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F6761F">
            <w:pPr>
              <w:pStyle w:val="Norma"/>
              <w:rPr>
                <w:rFonts w:cs="Arial"/>
              </w:rPr>
            </w:pPr>
            <w:r>
              <w:rPr>
                <w:rFonts w:cs="Arial"/>
              </w:rPr>
              <w:t>3</w:t>
            </w:r>
          </w:p>
        </w:tc>
        <w:tc>
          <w:tcPr>
            <w:tcW w:w="5638" w:type="dxa"/>
            <w:shd w:val="clear" w:color="auto" w:fill="auto"/>
          </w:tcPr>
          <w:p w14:paraId="5EA875B7" w14:textId="2D79AC43" w:rsidR="001623B7" w:rsidRPr="00F7796D" w:rsidRDefault="00F81BC1" w:rsidP="00F6761F">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22323499" w:rsidR="001623B7" w:rsidRPr="00F7796D" w:rsidRDefault="00DE76AF" w:rsidP="00F6761F">
            <w:pPr>
              <w:pStyle w:val="Norma"/>
              <w:rPr>
                <w:rFonts w:cs="Arial"/>
              </w:rPr>
            </w:pPr>
            <w:r>
              <w:rPr>
                <w:rFonts w:cs="Arial"/>
              </w:rPr>
              <w:t>10%</w:t>
            </w:r>
          </w:p>
        </w:tc>
      </w:tr>
      <w:tr w:rsidR="00835D12" w:rsidRPr="00C6546D" w14:paraId="5EA875BD" w14:textId="77777777" w:rsidTr="00FF4DBE">
        <w:tc>
          <w:tcPr>
            <w:tcW w:w="1133" w:type="dxa"/>
          </w:tcPr>
          <w:p w14:paraId="5EA875BA" w14:textId="3E205DAC" w:rsidR="00835D12" w:rsidRPr="00F7796D" w:rsidRDefault="00835D12" w:rsidP="00F6761F">
            <w:pPr>
              <w:pStyle w:val="Norma"/>
              <w:rPr>
                <w:rFonts w:cs="Arial"/>
              </w:rPr>
            </w:pPr>
            <w:r>
              <w:rPr>
                <w:rFonts w:cs="Arial"/>
              </w:rPr>
              <w:t>4</w:t>
            </w:r>
          </w:p>
        </w:tc>
        <w:tc>
          <w:tcPr>
            <w:tcW w:w="5638" w:type="dxa"/>
            <w:shd w:val="clear" w:color="auto" w:fill="auto"/>
          </w:tcPr>
          <w:p w14:paraId="5EA875BB" w14:textId="595D8BA5" w:rsidR="00835D12" w:rsidRPr="00F7796D" w:rsidRDefault="00835D12" w:rsidP="00F6761F">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BC" w14:textId="164A1FC2" w:rsidR="00835D12" w:rsidRPr="00F7796D" w:rsidRDefault="00835D12" w:rsidP="00F6761F">
            <w:pPr>
              <w:pStyle w:val="Norma"/>
              <w:rPr>
                <w:rFonts w:cs="Arial"/>
              </w:rPr>
            </w:pPr>
            <w:r>
              <w:rPr>
                <w:rFonts w:cs="Arial"/>
              </w:rPr>
              <w:t>20%</w:t>
            </w:r>
          </w:p>
        </w:tc>
      </w:tr>
      <w:tr w:rsidR="00835D12" w:rsidRPr="00C6546D" w14:paraId="5EA875C1" w14:textId="77777777" w:rsidTr="00FF4DBE">
        <w:tc>
          <w:tcPr>
            <w:tcW w:w="1133" w:type="dxa"/>
          </w:tcPr>
          <w:p w14:paraId="5EA875BE" w14:textId="7AB65F34" w:rsidR="00835D12" w:rsidRPr="00F7796D" w:rsidRDefault="00835D12" w:rsidP="00F6761F">
            <w:pPr>
              <w:pStyle w:val="Norma"/>
              <w:rPr>
                <w:rFonts w:cs="Arial"/>
              </w:rPr>
            </w:pPr>
            <w:r>
              <w:rPr>
                <w:rFonts w:cs="Arial"/>
              </w:rPr>
              <w:t>5</w:t>
            </w:r>
          </w:p>
        </w:tc>
        <w:tc>
          <w:tcPr>
            <w:tcW w:w="5638" w:type="dxa"/>
            <w:shd w:val="clear" w:color="auto" w:fill="auto"/>
          </w:tcPr>
          <w:p w14:paraId="5EA875BF" w14:textId="7699EADE" w:rsidR="00835D12" w:rsidRPr="00F7796D" w:rsidRDefault="00835D12" w:rsidP="00F6761F">
            <w:pPr>
              <w:pStyle w:val="Norma"/>
              <w:rPr>
                <w:rFonts w:cs="Arial"/>
              </w:rPr>
            </w:pPr>
            <w:r w:rsidRPr="00334AEE">
              <w:rPr>
                <w:rFonts w:ascii="Calibri" w:hAnsi="Calibri"/>
                <w:b/>
              </w:rPr>
              <w:t>METHOD, ABILITY AND TECHNICAL CAPACITY</w:t>
            </w:r>
            <w:r>
              <w:rPr>
                <w:rFonts w:ascii="Calibri" w:hAnsi="Calibri"/>
                <w:b/>
              </w:rPr>
              <w:t xml:space="preserve"> – </w:t>
            </w:r>
          </w:p>
        </w:tc>
        <w:tc>
          <w:tcPr>
            <w:tcW w:w="2693" w:type="dxa"/>
            <w:shd w:val="clear" w:color="auto" w:fill="auto"/>
          </w:tcPr>
          <w:p w14:paraId="5EA875C0" w14:textId="3F337EC1" w:rsidR="00835D12" w:rsidRPr="00F7796D" w:rsidRDefault="00094F34" w:rsidP="00F6761F">
            <w:pPr>
              <w:pStyle w:val="Norma"/>
              <w:rPr>
                <w:rFonts w:cs="Arial"/>
              </w:rPr>
            </w:pPr>
            <w:r>
              <w:rPr>
                <w:rFonts w:cs="Arial"/>
              </w:rPr>
              <w:t>3</w:t>
            </w:r>
            <w:r w:rsidR="00835D12">
              <w:rPr>
                <w:rFonts w:cs="Arial"/>
              </w:rPr>
              <w:t>0%</w:t>
            </w:r>
          </w:p>
        </w:tc>
      </w:tr>
      <w:tr w:rsidR="00835D12" w:rsidRPr="00C6546D" w14:paraId="5EA875C5" w14:textId="77777777" w:rsidTr="00FF4DBE">
        <w:tc>
          <w:tcPr>
            <w:tcW w:w="1133" w:type="dxa"/>
          </w:tcPr>
          <w:p w14:paraId="5EA875C2" w14:textId="416F5849" w:rsidR="00835D12" w:rsidRPr="00F7796D" w:rsidRDefault="00835D12" w:rsidP="00F6761F">
            <w:pPr>
              <w:pStyle w:val="Norma"/>
              <w:rPr>
                <w:rFonts w:cs="Arial"/>
              </w:rPr>
            </w:pPr>
            <w:r>
              <w:rPr>
                <w:rFonts w:cs="Arial"/>
              </w:rPr>
              <w:t>6</w:t>
            </w:r>
          </w:p>
        </w:tc>
        <w:tc>
          <w:tcPr>
            <w:tcW w:w="5638" w:type="dxa"/>
            <w:shd w:val="clear" w:color="auto" w:fill="auto"/>
          </w:tcPr>
          <w:p w14:paraId="5EA875C3" w14:textId="5AC3FEA4" w:rsidR="00835D12" w:rsidRPr="00F7796D" w:rsidRDefault="00835D12" w:rsidP="00835D12">
            <w:pPr>
              <w:pStyle w:val="Norma"/>
              <w:rPr>
                <w:rFonts w:cs="Arial"/>
              </w:rPr>
            </w:pPr>
            <w:r w:rsidRPr="00334AEE">
              <w:rPr>
                <w:rFonts w:ascii="Calibri" w:hAnsi="Calibri"/>
                <w:b/>
              </w:rPr>
              <w:t>UNDERSTANDING OF REQUIREMENTS</w:t>
            </w:r>
          </w:p>
        </w:tc>
        <w:tc>
          <w:tcPr>
            <w:tcW w:w="2693" w:type="dxa"/>
            <w:shd w:val="clear" w:color="auto" w:fill="auto"/>
          </w:tcPr>
          <w:p w14:paraId="5EA875C4" w14:textId="014B5F04" w:rsidR="00835D12" w:rsidRPr="00F7796D" w:rsidRDefault="00835D12" w:rsidP="00F6761F">
            <w:pPr>
              <w:pStyle w:val="Norma"/>
              <w:rPr>
                <w:rFonts w:cs="Arial"/>
              </w:rPr>
            </w:pPr>
            <w:r>
              <w:rPr>
                <w:rFonts w:cs="Arial"/>
              </w:rPr>
              <w:t>10%</w:t>
            </w:r>
          </w:p>
        </w:tc>
      </w:tr>
      <w:tr w:rsidR="00835D12" w:rsidRPr="00C6546D" w14:paraId="5EA875C9" w14:textId="77777777" w:rsidTr="00FF4DBE">
        <w:tc>
          <w:tcPr>
            <w:tcW w:w="1133" w:type="dxa"/>
          </w:tcPr>
          <w:p w14:paraId="5EA875C6" w14:textId="679AAEE0" w:rsidR="00835D12" w:rsidRPr="00F7796D" w:rsidRDefault="00835D12" w:rsidP="00F6761F">
            <w:pPr>
              <w:pStyle w:val="Norma"/>
              <w:rPr>
                <w:rFonts w:cs="Arial"/>
              </w:rPr>
            </w:pPr>
            <w:r>
              <w:rPr>
                <w:rFonts w:cs="Arial"/>
              </w:rPr>
              <w:t>7</w:t>
            </w:r>
          </w:p>
        </w:tc>
        <w:tc>
          <w:tcPr>
            <w:tcW w:w="5638" w:type="dxa"/>
            <w:shd w:val="clear" w:color="auto" w:fill="auto"/>
          </w:tcPr>
          <w:p w14:paraId="5EA875C7" w14:textId="7460FAD4" w:rsidR="00835D12" w:rsidRPr="00F7796D" w:rsidRDefault="00835D12" w:rsidP="00F6761F">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5EA875C8" w14:textId="71F3D992" w:rsidR="00835D12" w:rsidRPr="00F7796D" w:rsidRDefault="00327267" w:rsidP="00F6761F">
            <w:pPr>
              <w:pStyle w:val="Norma"/>
              <w:rPr>
                <w:rFonts w:cs="Arial"/>
              </w:rPr>
            </w:pPr>
            <w:r>
              <w:rPr>
                <w:rFonts w:cs="Arial"/>
              </w:rPr>
              <w:t>5</w:t>
            </w:r>
            <w:r w:rsidR="00835D12">
              <w:rPr>
                <w:rFonts w:cs="Arial"/>
              </w:rPr>
              <w:t>%</w:t>
            </w:r>
          </w:p>
        </w:tc>
      </w:tr>
      <w:tr w:rsidR="00835D12" w:rsidRPr="00C6546D" w14:paraId="2E6C8FB4" w14:textId="77777777" w:rsidTr="00FF4DBE">
        <w:tc>
          <w:tcPr>
            <w:tcW w:w="1133" w:type="dxa"/>
          </w:tcPr>
          <w:p w14:paraId="1E560CCE" w14:textId="05AF8EEA" w:rsidR="00835D12" w:rsidRPr="00F7796D" w:rsidRDefault="00835D12" w:rsidP="00F6761F">
            <w:pPr>
              <w:pStyle w:val="Norma"/>
              <w:rPr>
                <w:rFonts w:cs="Arial"/>
              </w:rPr>
            </w:pPr>
          </w:p>
        </w:tc>
        <w:tc>
          <w:tcPr>
            <w:tcW w:w="5638" w:type="dxa"/>
            <w:shd w:val="clear" w:color="auto" w:fill="auto"/>
          </w:tcPr>
          <w:p w14:paraId="66360B15" w14:textId="0C2B1015" w:rsidR="00835D12" w:rsidRPr="00F7796D" w:rsidRDefault="00835D12" w:rsidP="00F6761F">
            <w:pPr>
              <w:pStyle w:val="Norma"/>
              <w:rPr>
                <w:rFonts w:cs="Arial"/>
              </w:rPr>
            </w:pPr>
          </w:p>
        </w:tc>
        <w:tc>
          <w:tcPr>
            <w:tcW w:w="2693" w:type="dxa"/>
            <w:shd w:val="clear" w:color="auto" w:fill="auto"/>
          </w:tcPr>
          <w:p w14:paraId="42541313" w14:textId="6B149D90" w:rsidR="00835D12" w:rsidRPr="00F7796D" w:rsidRDefault="00835D12" w:rsidP="00F6761F">
            <w:pPr>
              <w:pStyle w:val="Norma"/>
              <w:rPr>
                <w:rFonts w:cs="Arial"/>
              </w:rPr>
            </w:pPr>
          </w:p>
        </w:tc>
      </w:tr>
      <w:tr w:rsidR="00835D12" w:rsidRPr="00C6546D" w14:paraId="1D5C5230" w14:textId="77777777" w:rsidTr="00F6761F">
        <w:tc>
          <w:tcPr>
            <w:tcW w:w="1133" w:type="dxa"/>
          </w:tcPr>
          <w:p w14:paraId="2768895F" w14:textId="77777777" w:rsidR="00835D12" w:rsidRPr="00F7796D" w:rsidRDefault="00835D12" w:rsidP="00F6761F">
            <w:pPr>
              <w:pStyle w:val="Norma"/>
              <w:rPr>
                <w:rFonts w:cs="Arial"/>
              </w:rPr>
            </w:pPr>
          </w:p>
        </w:tc>
        <w:tc>
          <w:tcPr>
            <w:tcW w:w="5638" w:type="dxa"/>
            <w:shd w:val="clear" w:color="auto" w:fill="auto"/>
          </w:tcPr>
          <w:p w14:paraId="706ACC83" w14:textId="33E7D064" w:rsidR="00835D12" w:rsidRPr="00F7796D" w:rsidRDefault="00835D12" w:rsidP="00F6761F">
            <w:pPr>
              <w:pStyle w:val="Norma"/>
              <w:rPr>
                <w:rFonts w:cs="Arial"/>
              </w:rPr>
            </w:pPr>
          </w:p>
        </w:tc>
        <w:tc>
          <w:tcPr>
            <w:tcW w:w="2693" w:type="dxa"/>
          </w:tcPr>
          <w:p w14:paraId="4C34B6F9" w14:textId="135B62BE" w:rsidR="00835D12" w:rsidRPr="00F7796D" w:rsidRDefault="00835D12" w:rsidP="00F6761F">
            <w:pPr>
              <w:pStyle w:val="Norma"/>
              <w:rPr>
                <w:rFonts w:cs="Arial"/>
              </w:rPr>
            </w:pPr>
            <w:r>
              <w:rPr>
                <w:rFonts w:cs="Arial"/>
              </w:rPr>
              <w:t>100%</w:t>
            </w:r>
          </w:p>
        </w:tc>
      </w:tr>
      <w:tr w:rsidR="00835D12" w:rsidRPr="00C6546D" w14:paraId="5EA875CC" w14:textId="77777777" w:rsidTr="00FF4DBE">
        <w:tc>
          <w:tcPr>
            <w:tcW w:w="6771" w:type="dxa"/>
            <w:gridSpan w:val="2"/>
          </w:tcPr>
          <w:p w14:paraId="5EA875CA" w14:textId="77777777" w:rsidR="00835D12" w:rsidRPr="00F7796D" w:rsidRDefault="00835D12" w:rsidP="00F6761F">
            <w:pPr>
              <w:pStyle w:val="Norma"/>
              <w:rPr>
                <w:rFonts w:cs="Arial"/>
              </w:rPr>
            </w:pPr>
          </w:p>
        </w:tc>
        <w:tc>
          <w:tcPr>
            <w:tcW w:w="2693" w:type="dxa"/>
            <w:shd w:val="clear" w:color="auto" w:fill="auto"/>
          </w:tcPr>
          <w:p w14:paraId="5EA875CB" w14:textId="012C13B4" w:rsidR="00835D12" w:rsidRPr="00F7796D" w:rsidRDefault="00835D12" w:rsidP="00F6761F">
            <w:pPr>
              <w:pStyle w:val="Norma"/>
              <w:rPr>
                <w:rFonts w:cs="Arial"/>
              </w:rPr>
            </w:pP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5EA875D2" w14:textId="77777777" w:rsidR="00F129F3"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E4650D" w:rsidRDefault="0089389E" w:rsidP="00F129F3">
      <w:pPr>
        <w:pStyle w:val="Norma"/>
        <w:jc w:val="both"/>
        <w:rPr>
          <w:rFonts w:cs="Arial"/>
          <w:sz w:val="24"/>
          <w:szCs w:val="24"/>
        </w:rPr>
      </w:pP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5EA875D6" w14:textId="77777777" w:rsidTr="00F6761F">
        <w:tc>
          <w:tcPr>
            <w:tcW w:w="816" w:type="dxa"/>
          </w:tcPr>
          <w:p w14:paraId="5EA875D4" w14:textId="77777777" w:rsidR="00F129F3" w:rsidRPr="008A0415" w:rsidRDefault="00F129F3" w:rsidP="00F6761F">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F6761F">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F6761F">
        <w:trPr>
          <w:trHeight w:val="313"/>
        </w:trPr>
        <w:tc>
          <w:tcPr>
            <w:tcW w:w="816" w:type="dxa"/>
          </w:tcPr>
          <w:p w14:paraId="5EA875D7" w14:textId="77777777" w:rsidR="00F129F3" w:rsidRPr="008A0415" w:rsidRDefault="00F129F3" w:rsidP="00F6761F">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F6761F">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F6761F">
        <w:tc>
          <w:tcPr>
            <w:tcW w:w="816" w:type="dxa"/>
          </w:tcPr>
          <w:p w14:paraId="5EA875DA" w14:textId="77777777" w:rsidR="00F129F3" w:rsidRPr="008A0415" w:rsidRDefault="00F129F3" w:rsidP="00F6761F">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F6761F">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F6761F">
        <w:tc>
          <w:tcPr>
            <w:tcW w:w="816" w:type="dxa"/>
          </w:tcPr>
          <w:p w14:paraId="5EA875DD" w14:textId="77777777" w:rsidR="00F129F3" w:rsidRPr="008A0415" w:rsidRDefault="00F129F3" w:rsidP="00F6761F">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F6761F">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F6761F">
        <w:tc>
          <w:tcPr>
            <w:tcW w:w="816" w:type="dxa"/>
          </w:tcPr>
          <w:p w14:paraId="5EA875E0" w14:textId="77777777" w:rsidR="00F129F3" w:rsidRPr="008A0415" w:rsidRDefault="00F129F3" w:rsidP="00F6761F">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F6761F">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F6761F">
        <w:tc>
          <w:tcPr>
            <w:tcW w:w="816" w:type="dxa"/>
          </w:tcPr>
          <w:p w14:paraId="5EA875E3" w14:textId="77777777" w:rsidR="00F129F3" w:rsidRPr="008A0415" w:rsidRDefault="00F129F3" w:rsidP="00F6761F">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F6761F">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0" w:name="nine01"/>
      <w:bookmarkEnd w:id="40"/>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only if one candidate emerges from the evaluation stage as significantly stronger than </w:t>
      </w:r>
      <w:r w:rsidR="00222DF8" w:rsidRPr="008A0415">
        <w:rPr>
          <w:rFonts w:cs="Arial"/>
          <w:sz w:val="24"/>
          <w:szCs w:val="24"/>
        </w:rPr>
        <w:lastRenderedPageBreak/>
        <w:t xml:space="preserve">the others.  </w:t>
      </w:r>
    </w:p>
    <w:p w14:paraId="5EA8761E" w14:textId="77777777" w:rsidR="002E198B" w:rsidRPr="008A0415" w:rsidRDefault="002E198B" w:rsidP="008A0415">
      <w:pPr>
        <w:pStyle w:val="Norma"/>
        <w:jc w:val="both"/>
        <w:rPr>
          <w:rFonts w:cs="Arial"/>
          <w:sz w:val="24"/>
          <w:szCs w:val="24"/>
        </w:rPr>
      </w:pPr>
    </w:p>
    <w:p w14:paraId="3DADA445" w14:textId="11F69E2C" w:rsidR="00802C0A" w:rsidRDefault="00802C0A" w:rsidP="00802C0A">
      <w:pPr>
        <w:pStyle w:val="Norma"/>
        <w:jc w:val="both"/>
        <w:rPr>
          <w:rFonts w:cs="Arial"/>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CC will shortlist the top three suppliers with the highest marks from the written proposals. Interviews are provisionally expected to be held</w:t>
      </w:r>
      <w:r w:rsidR="00E9280A">
        <w:rPr>
          <w:rFonts w:cs="Arial"/>
          <w:sz w:val="24"/>
          <w:szCs w:val="24"/>
        </w:rPr>
        <w:t xml:space="preserve"> in the week of the 19</w:t>
      </w:r>
      <w:r w:rsidR="00E9280A" w:rsidRPr="00E9280A">
        <w:rPr>
          <w:rFonts w:cs="Arial"/>
          <w:sz w:val="24"/>
          <w:szCs w:val="24"/>
          <w:vertAlign w:val="superscript"/>
        </w:rPr>
        <w:t>th</w:t>
      </w:r>
      <w:r w:rsidR="00E9280A">
        <w:rPr>
          <w:rFonts w:cs="Arial"/>
          <w:sz w:val="24"/>
          <w:szCs w:val="24"/>
        </w:rPr>
        <w:t xml:space="preserve"> February.</w:t>
      </w:r>
      <w:r w:rsidRPr="00C37FF4">
        <w:rPr>
          <w:rFonts w:cs="Arial"/>
          <w:sz w:val="24"/>
          <w:szCs w:val="24"/>
        </w:rPr>
        <w:t xml:space="preserve"> </w:t>
      </w:r>
      <w:r>
        <w:rPr>
          <w:rFonts w:cs="Arial"/>
          <w:sz w:val="24"/>
          <w:szCs w:val="24"/>
        </w:rPr>
        <w:t>If this date changes, C</w:t>
      </w:r>
      <w:r w:rsidRPr="008A0415">
        <w:rPr>
          <w:rFonts w:cs="Arial"/>
          <w:sz w:val="24"/>
          <w:szCs w:val="24"/>
        </w:rPr>
        <w:t xml:space="preserve">CC will notify applicants. </w:t>
      </w:r>
    </w:p>
    <w:p w14:paraId="1D18D5ED" w14:textId="77777777" w:rsidR="00802C0A" w:rsidRDefault="00802C0A" w:rsidP="008A0415">
      <w:pPr>
        <w:pStyle w:val="Norma"/>
        <w:jc w:val="both"/>
        <w:rPr>
          <w:rFonts w:cs="Arial"/>
          <w:sz w:val="24"/>
          <w:szCs w:val="24"/>
        </w:rPr>
      </w:pP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t>The areas to be covered in the interview,</w:t>
      </w:r>
      <w:r w:rsidRPr="008A0415">
        <w:rPr>
          <w:rFonts w:cs="Arial"/>
          <w:sz w:val="24"/>
          <w:szCs w:val="24"/>
        </w:rPr>
        <w:t xml:space="preserve"> and mar</w:t>
      </w:r>
      <w:r>
        <w:rPr>
          <w:rFonts w:cs="Arial"/>
          <w:sz w:val="24"/>
          <w:szCs w:val="24"/>
        </w:rPr>
        <w:t>kings allocated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4" w14:textId="77777777" w:rsidR="00A54FFC" w:rsidRPr="008A0415" w:rsidRDefault="00A54FFC" w:rsidP="008A0415">
      <w:pPr>
        <w:pStyle w:val="Norma"/>
        <w:jc w:val="both"/>
        <w:rPr>
          <w:rFonts w:cs="Arial"/>
          <w:sz w:val="24"/>
          <w:szCs w:val="24"/>
        </w:rPr>
      </w:pP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3"/>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E52B7" w14:textId="77777777" w:rsidR="00113775" w:rsidRDefault="00113775" w:rsidP="00EB43D8">
      <w:pPr>
        <w:pStyle w:val="Norma"/>
      </w:pPr>
      <w:r>
        <w:separator/>
      </w:r>
    </w:p>
  </w:endnote>
  <w:endnote w:type="continuationSeparator" w:id="0">
    <w:p w14:paraId="3446DCCF" w14:textId="77777777" w:rsidR="00113775" w:rsidRDefault="00113775"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6761F" w:rsidRDefault="00F6761F" w:rsidP="00602CDD">
    <w:pPr>
      <w:pStyle w:val="Footer"/>
      <w:pBdr>
        <w:top w:val="single" w:sz="4" w:space="1" w:color="D9D9D9"/>
      </w:pBdr>
      <w:jc w:val="right"/>
    </w:pPr>
    <w:r>
      <w:fldChar w:fldCharType="begin"/>
    </w:r>
    <w:r>
      <w:instrText xml:space="preserve"> PAGE   \* MERGEFORMAT </w:instrText>
    </w:r>
    <w:r>
      <w:fldChar w:fldCharType="separate"/>
    </w:r>
    <w:r w:rsidR="00F03EE6">
      <w:rPr>
        <w:noProof/>
      </w:rPr>
      <w:t>12</w:t>
    </w:r>
    <w:r>
      <w:rPr>
        <w:noProof/>
      </w:rPr>
      <w:fldChar w:fldCharType="end"/>
    </w:r>
    <w:r>
      <w:t xml:space="preserve"> | </w:t>
    </w:r>
    <w:r w:rsidRPr="00602CDD">
      <w:rPr>
        <w:color w:val="808080"/>
        <w:spacing w:val="60"/>
      </w:rPr>
      <w:t>Page</w:t>
    </w:r>
  </w:p>
  <w:p w14:paraId="5EA87631" w14:textId="77777777" w:rsidR="00F6761F" w:rsidRDefault="00F6761F"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285B" w14:textId="77777777" w:rsidR="00113775" w:rsidRDefault="00113775" w:rsidP="00EB43D8">
      <w:pPr>
        <w:pStyle w:val="Norma"/>
      </w:pPr>
      <w:r>
        <w:separator/>
      </w:r>
    </w:p>
  </w:footnote>
  <w:footnote w:type="continuationSeparator" w:id="0">
    <w:p w14:paraId="09A2C9B4" w14:textId="77777777" w:rsidR="00113775" w:rsidRDefault="00113775" w:rsidP="00EB43D8">
      <w:pPr>
        <w:pStyle w:val="Norma"/>
      </w:pPr>
      <w:r>
        <w:continuationSeparator/>
      </w:r>
    </w:p>
  </w:footnote>
  <w:footnote w:id="1">
    <w:p w14:paraId="6F4498E7" w14:textId="2623A2BC" w:rsidR="00F6761F" w:rsidRDefault="00F6761F">
      <w:pPr>
        <w:pStyle w:val="FootnoteText"/>
      </w:pPr>
      <w:r>
        <w:rPr>
          <w:rStyle w:val="FootnoteReference"/>
        </w:rPr>
        <w:footnoteRef/>
      </w:r>
      <w:r>
        <w:t xml:space="preserve"> CCC (2016) </w:t>
      </w:r>
      <w:r>
        <w:rPr>
          <w:i/>
        </w:rPr>
        <w:t>Next steps for UK Heat Policy</w:t>
      </w:r>
    </w:p>
  </w:footnote>
  <w:footnote w:id="2">
    <w:p w14:paraId="65C89BCF" w14:textId="49F27061" w:rsidR="00F6761F" w:rsidRPr="00891330" w:rsidRDefault="00F6761F">
      <w:pPr>
        <w:pStyle w:val="FootnoteText"/>
      </w:pPr>
      <w:r>
        <w:rPr>
          <w:rStyle w:val="FootnoteReference"/>
        </w:rPr>
        <w:footnoteRef/>
      </w:r>
      <w:r>
        <w:t xml:space="preserve"> Northern Gas Networks (2016) </w:t>
      </w:r>
      <w:r>
        <w:rPr>
          <w:i/>
        </w:rPr>
        <w:t xml:space="preserve">H21 Leeds City Gate; </w:t>
      </w:r>
      <w:r>
        <w:t xml:space="preserve">Progressive Energy Ltd on behalf of Cadent (2017) </w:t>
      </w:r>
      <w:r>
        <w:rPr>
          <w:i/>
        </w:rPr>
        <w:t xml:space="preserve">The Liverpool-Manchester Hydrogen Cluster: A Low Cost, Deliverable Project </w:t>
      </w:r>
    </w:p>
  </w:footnote>
  <w:footnote w:id="3">
    <w:p w14:paraId="63EEB16E" w14:textId="31A03313" w:rsidR="00F6761F" w:rsidRPr="005E2A65" w:rsidRDefault="00F6761F">
      <w:pPr>
        <w:pStyle w:val="FootnoteText"/>
        <w:rPr>
          <w:i/>
        </w:rPr>
      </w:pPr>
      <w:r>
        <w:rPr>
          <w:rStyle w:val="FootnoteReference"/>
        </w:rPr>
        <w:footnoteRef/>
      </w:r>
      <w:r>
        <w:t xml:space="preserve"> IPSOS MORI and Energy Saving Trust on behalf of the Department of Energy and Climate Change (2013) </w:t>
      </w:r>
      <w:r>
        <w:rPr>
          <w:i/>
        </w:rPr>
        <w:t>Homeowner’s Willingness to Take Up More Efficient Heating Systems</w:t>
      </w:r>
      <w:r>
        <w:t xml:space="preserve">; ETI (2014) </w:t>
      </w:r>
      <w:r>
        <w:rPr>
          <w:i/>
        </w:rPr>
        <w:t>Consumer challenges for low carbon heat</w:t>
      </w:r>
      <w:r>
        <w:t xml:space="preserve">; Department for Business, Energy and Industrial Strategy (2017) </w:t>
      </w:r>
      <w:r>
        <w:rPr>
          <w:i/>
        </w:rPr>
        <w:t>Public attitude tracker</w:t>
      </w:r>
      <w:r>
        <w:t xml:space="preserve">; </w:t>
      </w:r>
      <w:proofErr w:type="spellStart"/>
      <w:r>
        <w:t>Sciencewise</w:t>
      </w:r>
      <w:proofErr w:type="spellEnd"/>
      <w:r>
        <w:t xml:space="preserve"> on behalf of the Committee on Climate Change (2016) </w:t>
      </w:r>
      <w:r>
        <w:rPr>
          <w:i/>
        </w:rPr>
        <w:t>Public views on decarbonising heat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6761F" w:rsidRDefault="00F6761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478"/>
    <w:multiLevelType w:val="hybridMultilevel"/>
    <w:tmpl w:val="5AA62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D05C8"/>
    <w:multiLevelType w:val="hybridMultilevel"/>
    <w:tmpl w:val="8B7A42CC"/>
    <w:lvl w:ilvl="0" w:tplc="8416C5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7470D"/>
    <w:multiLevelType w:val="hybridMultilevel"/>
    <w:tmpl w:val="F64A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61E27"/>
    <w:multiLevelType w:val="hybridMultilevel"/>
    <w:tmpl w:val="F036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845E1"/>
    <w:multiLevelType w:val="hybridMultilevel"/>
    <w:tmpl w:val="3ACE75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AE2087"/>
    <w:multiLevelType w:val="hybridMultilevel"/>
    <w:tmpl w:val="FC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72987"/>
    <w:multiLevelType w:val="hybridMultilevel"/>
    <w:tmpl w:val="991653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0F85687"/>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4761179"/>
    <w:multiLevelType w:val="hybridMultilevel"/>
    <w:tmpl w:val="6D92DE22"/>
    <w:lvl w:ilvl="0" w:tplc="CAF259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0"/>
  </w:num>
  <w:num w:numId="5">
    <w:abstractNumId w:val="4"/>
  </w:num>
  <w:num w:numId="6">
    <w:abstractNumId w:val="2"/>
  </w:num>
  <w:num w:numId="7">
    <w:abstractNumId w:val="9"/>
  </w:num>
  <w:num w:numId="8">
    <w:abstractNumId w:val="3"/>
  </w:num>
  <w:num w:numId="9">
    <w:abstractNumId w:val="0"/>
  </w:num>
  <w:num w:numId="10">
    <w:abstractNumId w:val="1"/>
  </w:num>
  <w:num w:numId="11">
    <w:abstractNumId w:val="11"/>
  </w:num>
  <w:num w:numId="12">
    <w:abstractNumId w:val="12"/>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hdrShapeDefaults>
    <o:shapedefaults v:ext="edit" spidmax="1843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E772C98-A89E-481C-A1E8-285D017220BB}"/>
    <w:docVar w:name="dgnword-eventsink" w:val="292484296"/>
  </w:docVars>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4B6"/>
    <w:rsid w:val="00053592"/>
    <w:rsid w:val="00053F76"/>
    <w:rsid w:val="00054C04"/>
    <w:rsid w:val="00055672"/>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4F34"/>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4FFA"/>
    <w:rsid w:val="000B5712"/>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1D1"/>
    <w:rsid w:val="0011055B"/>
    <w:rsid w:val="00111E58"/>
    <w:rsid w:val="00111EBB"/>
    <w:rsid w:val="00111FE9"/>
    <w:rsid w:val="001120A5"/>
    <w:rsid w:val="00112508"/>
    <w:rsid w:val="00113696"/>
    <w:rsid w:val="00113775"/>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8FF"/>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C13"/>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0C2"/>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11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6EFA"/>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267"/>
    <w:rsid w:val="003276C0"/>
    <w:rsid w:val="0032793E"/>
    <w:rsid w:val="00327C8C"/>
    <w:rsid w:val="00332155"/>
    <w:rsid w:val="00332962"/>
    <w:rsid w:val="0033480B"/>
    <w:rsid w:val="00334A22"/>
    <w:rsid w:val="00336ED3"/>
    <w:rsid w:val="00337760"/>
    <w:rsid w:val="0034028F"/>
    <w:rsid w:val="003405CE"/>
    <w:rsid w:val="003413D8"/>
    <w:rsid w:val="00341737"/>
    <w:rsid w:val="00341A18"/>
    <w:rsid w:val="00341D09"/>
    <w:rsid w:val="00343480"/>
    <w:rsid w:val="00343FF5"/>
    <w:rsid w:val="00344F79"/>
    <w:rsid w:val="003452D3"/>
    <w:rsid w:val="003456CF"/>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0131"/>
    <w:rsid w:val="003A1C89"/>
    <w:rsid w:val="003A1EC8"/>
    <w:rsid w:val="003A20B1"/>
    <w:rsid w:val="003A2171"/>
    <w:rsid w:val="003A3424"/>
    <w:rsid w:val="003A461D"/>
    <w:rsid w:val="003A649D"/>
    <w:rsid w:val="003A66CE"/>
    <w:rsid w:val="003A790B"/>
    <w:rsid w:val="003B04D5"/>
    <w:rsid w:val="003B062C"/>
    <w:rsid w:val="003B0CA1"/>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ADC"/>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6E47"/>
    <w:rsid w:val="004E7928"/>
    <w:rsid w:val="004E7982"/>
    <w:rsid w:val="004E7AFD"/>
    <w:rsid w:val="004F061F"/>
    <w:rsid w:val="004F0634"/>
    <w:rsid w:val="004F1892"/>
    <w:rsid w:val="004F1A44"/>
    <w:rsid w:val="004F2655"/>
    <w:rsid w:val="004F2AF6"/>
    <w:rsid w:val="004F35F5"/>
    <w:rsid w:val="004F444A"/>
    <w:rsid w:val="004F66E4"/>
    <w:rsid w:val="004F7D9C"/>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1AB"/>
    <w:rsid w:val="00530343"/>
    <w:rsid w:val="00532695"/>
    <w:rsid w:val="005340A3"/>
    <w:rsid w:val="00534C58"/>
    <w:rsid w:val="00535038"/>
    <w:rsid w:val="005350F8"/>
    <w:rsid w:val="00535ABD"/>
    <w:rsid w:val="00535F0A"/>
    <w:rsid w:val="0053611B"/>
    <w:rsid w:val="00537405"/>
    <w:rsid w:val="00537E6C"/>
    <w:rsid w:val="005401AA"/>
    <w:rsid w:val="00540685"/>
    <w:rsid w:val="00540D66"/>
    <w:rsid w:val="0054142B"/>
    <w:rsid w:val="0054198D"/>
    <w:rsid w:val="00543055"/>
    <w:rsid w:val="00543EE0"/>
    <w:rsid w:val="00544686"/>
    <w:rsid w:val="00544774"/>
    <w:rsid w:val="0054591C"/>
    <w:rsid w:val="00545E0E"/>
    <w:rsid w:val="00547482"/>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647"/>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2A65"/>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1DE"/>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091"/>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1EFF"/>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6AFF"/>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4EC6"/>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2"/>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678D5"/>
    <w:rsid w:val="008678E4"/>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1330"/>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75F"/>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45F76"/>
    <w:rsid w:val="00950092"/>
    <w:rsid w:val="00950E15"/>
    <w:rsid w:val="00952191"/>
    <w:rsid w:val="009521EB"/>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CD8"/>
    <w:rsid w:val="009B7D2F"/>
    <w:rsid w:val="009B7FBC"/>
    <w:rsid w:val="009C0186"/>
    <w:rsid w:val="009C0932"/>
    <w:rsid w:val="009C2990"/>
    <w:rsid w:val="009C3342"/>
    <w:rsid w:val="009C3580"/>
    <w:rsid w:val="009C4157"/>
    <w:rsid w:val="009C42E1"/>
    <w:rsid w:val="009C6D1F"/>
    <w:rsid w:val="009C7F8E"/>
    <w:rsid w:val="009D05EE"/>
    <w:rsid w:val="009D163D"/>
    <w:rsid w:val="009D19B8"/>
    <w:rsid w:val="009D1EC8"/>
    <w:rsid w:val="009D359A"/>
    <w:rsid w:val="009D38FA"/>
    <w:rsid w:val="009D3969"/>
    <w:rsid w:val="009D3A27"/>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8E1"/>
    <w:rsid w:val="00A304E0"/>
    <w:rsid w:val="00A30D84"/>
    <w:rsid w:val="00A30D9B"/>
    <w:rsid w:val="00A31117"/>
    <w:rsid w:val="00A31498"/>
    <w:rsid w:val="00A33517"/>
    <w:rsid w:val="00A3372C"/>
    <w:rsid w:val="00A34E05"/>
    <w:rsid w:val="00A35329"/>
    <w:rsid w:val="00A360F9"/>
    <w:rsid w:val="00A374E1"/>
    <w:rsid w:val="00A37EFF"/>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4DD"/>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0E51"/>
    <w:rsid w:val="00A924AF"/>
    <w:rsid w:val="00A93336"/>
    <w:rsid w:val="00A9428F"/>
    <w:rsid w:val="00A94703"/>
    <w:rsid w:val="00A9582B"/>
    <w:rsid w:val="00A959E2"/>
    <w:rsid w:val="00A9624B"/>
    <w:rsid w:val="00A96D32"/>
    <w:rsid w:val="00A96FF0"/>
    <w:rsid w:val="00A97B03"/>
    <w:rsid w:val="00AA04AA"/>
    <w:rsid w:val="00AA133E"/>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89D"/>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12A7"/>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0C5E"/>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2886"/>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37FF4"/>
    <w:rsid w:val="00C41317"/>
    <w:rsid w:val="00C4141B"/>
    <w:rsid w:val="00C4360B"/>
    <w:rsid w:val="00C43AB5"/>
    <w:rsid w:val="00C44D67"/>
    <w:rsid w:val="00C45977"/>
    <w:rsid w:val="00C45B14"/>
    <w:rsid w:val="00C466B9"/>
    <w:rsid w:val="00C46AA7"/>
    <w:rsid w:val="00C47B8C"/>
    <w:rsid w:val="00C47E6C"/>
    <w:rsid w:val="00C50210"/>
    <w:rsid w:val="00C505C7"/>
    <w:rsid w:val="00C50773"/>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17F"/>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4B1E"/>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2A7B"/>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190"/>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C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196"/>
    <w:rsid w:val="00E4650D"/>
    <w:rsid w:val="00E46E5A"/>
    <w:rsid w:val="00E504DE"/>
    <w:rsid w:val="00E50B2E"/>
    <w:rsid w:val="00E51010"/>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A98"/>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280A"/>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5C4"/>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362"/>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3B9B"/>
    <w:rsid w:val="00EF432A"/>
    <w:rsid w:val="00EF4948"/>
    <w:rsid w:val="00EF6D9C"/>
    <w:rsid w:val="00EF70E8"/>
    <w:rsid w:val="00EF7161"/>
    <w:rsid w:val="00EF7248"/>
    <w:rsid w:val="00EF7A19"/>
    <w:rsid w:val="00F000A0"/>
    <w:rsid w:val="00F001C6"/>
    <w:rsid w:val="00F01223"/>
    <w:rsid w:val="00F022BC"/>
    <w:rsid w:val="00F028B8"/>
    <w:rsid w:val="00F0291F"/>
    <w:rsid w:val="00F03EE6"/>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61F"/>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9F75B890-0A50-430E-BE20-C603BACD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BoxBody">
    <w:name w:val="Box Body"/>
    <w:basedOn w:val="Normal"/>
    <w:link w:val="BoxBodyChar"/>
    <w:uiPriority w:val="3"/>
    <w:qFormat/>
    <w:rsid w:val="008678D5"/>
    <w:pPr>
      <w:spacing w:after="120"/>
    </w:pPr>
    <w:rPr>
      <w:rFonts w:ascii="Myriad Pro" w:eastAsia="Times New Roman" w:hAnsi="Myriad Pro"/>
      <w:sz w:val="22"/>
      <w:szCs w:val="24"/>
      <w:lang w:eastAsia="en-US"/>
    </w:rPr>
  </w:style>
  <w:style w:type="character" w:customStyle="1" w:styleId="BoxBodyChar">
    <w:name w:val="Box Body Char"/>
    <w:link w:val="BoxBody"/>
    <w:uiPriority w:val="3"/>
    <w:rsid w:val="008678D5"/>
    <w:rPr>
      <w:rFonts w:ascii="Myriad Pro" w:eastAsia="Times New Roman" w:hAnsi="Myriad Pro"/>
      <w:sz w:val="22"/>
      <w:szCs w:val="24"/>
      <w:lang w:eastAsia="en-US"/>
    </w:rPr>
  </w:style>
  <w:style w:type="paragraph" w:customStyle="1" w:styleId="BoxFootnote">
    <w:name w:val="Box Footnote"/>
    <w:basedOn w:val="BoxBody"/>
    <w:link w:val="BoxFootnoteChar"/>
    <w:uiPriority w:val="4"/>
    <w:qFormat/>
    <w:rsid w:val="008678D5"/>
    <w:pPr>
      <w:spacing w:after="0"/>
    </w:pPr>
    <w:rPr>
      <w:sz w:val="20"/>
    </w:rPr>
  </w:style>
  <w:style w:type="paragraph" w:customStyle="1" w:styleId="FigureHeading">
    <w:name w:val="Figure Heading"/>
    <w:basedOn w:val="Normal"/>
    <w:next w:val="Normal"/>
    <w:link w:val="FigureHeadingChar"/>
    <w:uiPriority w:val="3"/>
    <w:qFormat/>
    <w:rsid w:val="008678D5"/>
    <w:rPr>
      <w:rFonts w:ascii="Myriad Pro" w:eastAsia="Times New Roman" w:hAnsi="Myriad Pro"/>
      <w:color w:val="FFFFFF"/>
      <w:sz w:val="22"/>
      <w:szCs w:val="24"/>
      <w:lang w:eastAsia="en-US"/>
    </w:rPr>
  </w:style>
  <w:style w:type="character" w:customStyle="1" w:styleId="BoxFootnoteChar">
    <w:name w:val="Box Footnote Char"/>
    <w:link w:val="BoxFootnote"/>
    <w:uiPriority w:val="4"/>
    <w:rsid w:val="008678D5"/>
    <w:rPr>
      <w:rFonts w:ascii="Myriad Pro" w:eastAsia="Times New Roman" w:hAnsi="Myriad Pro"/>
      <w:szCs w:val="24"/>
      <w:lang w:eastAsia="en-US"/>
    </w:rPr>
  </w:style>
  <w:style w:type="character" w:customStyle="1" w:styleId="FigureHeadingChar">
    <w:name w:val="Figure Heading Char"/>
    <w:link w:val="FigureHeading"/>
    <w:uiPriority w:val="3"/>
    <w:rsid w:val="008678D5"/>
    <w:rPr>
      <w:rFonts w:ascii="Myriad Pro" w:eastAsia="Times New Roman" w:hAnsi="Myriad Pro"/>
      <w:color w:val="FFFFFF"/>
      <w:sz w:val="22"/>
      <w:szCs w:val="24"/>
      <w:lang w:eastAsia="en-US"/>
    </w:rPr>
  </w:style>
  <w:style w:type="character" w:customStyle="1" w:styleId="Boxfootnotebold">
    <w:name w:val="Box footnote bold"/>
    <w:uiPriority w:val="3"/>
    <w:rsid w:val="008678D5"/>
    <w:rPr>
      <w:rFonts w:ascii="Myriad Pro" w:hAnsi="Myriad Pro"/>
      <w:b/>
      <w:sz w:val="20"/>
      <w:szCs w:val="24"/>
      <w:lang w:eastAsia="en-US"/>
    </w:rPr>
  </w:style>
  <w:style w:type="character" w:customStyle="1" w:styleId="BoxFigureTableheadingbold">
    <w:name w:val="Box Figure Table heading bold"/>
    <w:uiPriority w:val="3"/>
    <w:rsid w:val="008678D5"/>
    <w:rPr>
      <w:rFonts w:ascii="Myriad Pro" w:hAnsi="Myriad Pro"/>
      <w:b/>
      <w:color w:val="FFFFF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33969-50BE-4601-BB94-5CF0253A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2018-02-01T15:17:00Z</dcterms:created>
  <dcterms:modified xsi:type="dcterms:W3CDTF">2018-02-01T15:17:00Z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