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92" w:rsidRDefault="00DB3292" w:rsidP="0053111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DC7714" w:rsidTr="00B436F8">
        <w:tc>
          <w:tcPr>
            <w:tcW w:w="10682" w:type="dxa"/>
            <w:shd w:val="clear" w:color="auto" w:fill="D6E3BC" w:themeFill="accent3" w:themeFillTint="66"/>
          </w:tcPr>
          <w:p w:rsidR="00DC7714" w:rsidRPr="00DC7714" w:rsidRDefault="00DC7714" w:rsidP="00DC7714">
            <w:pPr>
              <w:spacing w:before="120" w:after="120"/>
              <w:rPr>
                <w:rFonts w:ascii="Arial Bold" w:hAnsi="Arial Bold" w:cs="Arial"/>
                <w:b/>
                <w:caps/>
              </w:rPr>
            </w:pPr>
            <w:r w:rsidRPr="00DC7714">
              <w:rPr>
                <w:rFonts w:ascii="Arial Bold" w:hAnsi="Arial Bold" w:cs="Arial"/>
                <w:b/>
                <w:caps/>
              </w:rPr>
              <w:t>Briefing</w:t>
            </w:r>
          </w:p>
        </w:tc>
      </w:tr>
      <w:tr w:rsidR="00DC7714" w:rsidTr="00DC7714">
        <w:tc>
          <w:tcPr>
            <w:tcW w:w="10682" w:type="dxa"/>
            <w:shd w:val="clear" w:color="auto" w:fill="auto"/>
          </w:tcPr>
          <w:p w:rsidR="00DC7714" w:rsidRPr="00DC7714" w:rsidRDefault="00DC7714" w:rsidP="0053111A">
            <w:pPr>
              <w:rPr>
                <w:rFonts w:ascii="Arial" w:hAnsi="Arial" w:cs="Arial"/>
                <w:b/>
              </w:rPr>
            </w:pPr>
          </w:p>
          <w:p w:rsidR="00DC7714" w:rsidRPr="00DC7714" w:rsidRDefault="00DC7714" w:rsidP="0053111A">
            <w:pPr>
              <w:rPr>
                <w:rFonts w:ascii="Arial" w:hAnsi="Arial" w:cs="Arial"/>
                <w:b/>
              </w:rPr>
            </w:pPr>
            <w:r w:rsidRPr="00DC7714">
              <w:rPr>
                <w:rFonts w:ascii="Arial" w:hAnsi="Arial" w:cs="Arial"/>
                <w:b/>
              </w:rPr>
              <w:t xml:space="preserve">Strategic Market Review </w:t>
            </w:r>
          </w:p>
          <w:p w:rsidR="00DC7714" w:rsidRPr="00DC7714" w:rsidRDefault="00DC7714" w:rsidP="0053111A">
            <w:pPr>
              <w:rPr>
                <w:rFonts w:ascii="Arial" w:hAnsi="Arial" w:cs="Arial"/>
                <w:b/>
              </w:rPr>
            </w:pPr>
          </w:p>
        </w:tc>
      </w:tr>
      <w:tr w:rsidR="00DC7714" w:rsidTr="00B436F8">
        <w:tc>
          <w:tcPr>
            <w:tcW w:w="10682" w:type="dxa"/>
            <w:shd w:val="clear" w:color="auto" w:fill="D6E3BC" w:themeFill="accent3" w:themeFillTint="66"/>
          </w:tcPr>
          <w:p w:rsidR="00DC7714" w:rsidRPr="00DC7714" w:rsidRDefault="00DC7714" w:rsidP="00DC7714">
            <w:pPr>
              <w:spacing w:before="120" w:after="120"/>
              <w:rPr>
                <w:rFonts w:ascii="Arial Bold" w:hAnsi="Arial Bold" w:cs="Arial"/>
                <w:b/>
                <w:caps/>
              </w:rPr>
            </w:pPr>
            <w:r w:rsidRPr="00DC7714">
              <w:rPr>
                <w:rFonts w:ascii="Arial Bold" w:hAnsi="Arial Bold" w:cs="Arial"/>
                <w:b/>
                <w:caps/>
              </w:rPr>
              <w:t>Subject</w:t>
            </w:r>
          </w:p>
        </w:tc>
      </w:tr>
      <w:tr w:rsidR="00DC7714" w:rsidTr="00DC7714">
        <w:tc>
          <w:tcPr>
            <w:tcW w:w="10682" w:type="dxa"/>
            <w:shd w:val="clear" w:color="auto" w:fill="auto"/>
          </w:tcPr>
          <w:p w:rsidR="00DC7714" w:rsidRPr="00DC7714" w:rsidRDefault="00DC7714" w:rsidP="0053111A">
            <w:pPr>
              <w:rPr>
                <w:rFonts w:ascii="Arial" w:hAnsi="Arial" w:cs="Arial"/>
                <w:b/>
              </w:rPr>
            </w:pPr>
          </w:p>
          <w:p w:rsidR="00DC7714" w:rsidRPr="00DC7714" w:rsidRDefault="00DC7714" w:rsidP="0053111A">
            <w:pPr>
              <w:rPr>
                <w:rFonts w:ascii="Arial" w:hAnsi="Arial" w:cs="Arial"/>
                <w:b/>
              </w:rPr>
            </w:pPr>
            <w:r w:rsidRPr="00DC7714">
              <w:rPr>
                <w:rFonts w:ascii="Arial" w:hAnsi="Arial" w:cs="Arial"/>
                <w:b/>
              </w:rPr>
              <w:t>Care Homes (residential and nursing) and Domiciliary Care</w:t>
            </w:r>
          </w:p>
          <w:p w:rsidR="00DC7714" w:rsidRPr="00DC7714" w:rsidRDefault="00DC7714" w:rsidP="0053111A">
            <w:pPr>
              <w:rPr>
                <w:rFonts w:ascii="Arial" w:hAnsi="Arial" w:cs="Arial"/>
                <w:b/>
              </w:rPr>
            </w:pPr>
          </w:p>
        </w:tc>
      </w:tr>
      <w:tr w:rsidR="00B436F8" w:rsidTr="00B436F8">
        <w:tc>
          <w:tcPr>
            <w:tcW w:w="10682" w:type="dxa"/>
            <w:shd w:val="clear" w:color="auto" w:fill="D6E3BC" w:themeFill="accent3" w:themeFillTint="66"/>
          </w:tcPr>
          <w:p w:rsidR="00B436F8" w:rsidRPr="00DC7714" w:rsidRDefault="00DC7714" w:rsidP="00DC7714">
            <w:pPr>
              <w:spacing w:before="120" w:after="120"/>
              <w:rPr>
                <w:rFonts w:ascii="Arial Bold" w:hAnsi="Arial Bold" w:cs="Arial"/>
                <w:b/>
                <w:caps/>
              </w:rPr>
            </w:pPr>
            <w:r>
              <w:rPr>
                <w:rFonts w:ascii="Arial Bold" w:hAnsi="Arial Bold" w:cs="Arial"/>
                <w:b/>
                <w:caps/>
              </w:rPr>
              <w:t>Project overview</w:t>
            </w:r>
          </w:p>
        </w:tc>
      </w:tr>
      <w:tr w:rsidR="00B436F8" w:rsidTr="00B436F8">
        <w:tc>
          <w:tcPr>
            <w:tcW w:w="10682" w:type="dxa"/>
          </w:tcPr>
          <w:p w:rsidR="00DC7714" w:rsidRDefault="00DC7714" w:rsidP="00B436F8">
            <w:pPr>
              <w:rPr>
                <w:rFonts w:ascii="Arial" w:hAnsi="Arial" w:cs="Arial"/>
              </w:rPr>
            </w:pPr>
          </w:p>
          <w:p w:rsidR="00B436F8" w:rsidRDefault="00B436F8" w:rsidP="00B436F8">
            <w:pPr>
              <w:rPr>
                <w:rFonts w:ascii="Arial" w:hAnsi="Arial" w:cs="Arial"/>
              </w:rPr>
            </w:pPr>
            <w:r>
              <w:rPr>
                <w:rFonts w:ascii="Arial" w:hAnsi="Arial" w:cs="Arial"/>
              </w:rPr>
              <w:t>Suffolk County Council, NHS Ipswich &amp; East Suffolk Clinical Commissioning Group and West Suffolk Clinical Commissioning Group (the Partners) are reviewing their commissioning strategies for care homes (residential and nursing) and domiciliary care.  In order to make informed decisions about forward plans to support a new way of working from April, 2017</w:t>
            </w:r>
            <w:r>
              <w:rPr>
                <w:rStyle w:val="FootnoteReference"/>
                <w:rFonts w:ascii="Arial" w:hAnsi="Arial" w:cs="Arial"/>
              </w:rPr>
              <w:t xml:space="preserve"> </w:t>
            </w:r>
            <w:r>
              <w:rPr>
                <w:rFonts w:ascii="Arial" w:hAnsi="Arial" w:cs="Arial"/>
              </w:rPr>
              <w:t xml:space="preserve"> and ensuring services are fit for the future there is a need to bring together market intelligence to ensure that the commissioned services are sustainable, of the right quality and affordable.</w:t>
            </w:r>
          </w:p>
          <w:p w:rsidR="00DC7714" w:rsidRDefault="00DC7714" w:rsidP="0053111A">
            <w:pPr>
              <w:rPr>
                <w:rFonts w:ascii="Arial" w:hAnsi="Arial" w:cs="Arial"/>
              </w:rPr>
            </w:pPr>
          </w:p>
          <w:p w:rsidR="00B436F8" w:rsidRDefault="00B436F8" w:rsidP="0053111A">
            <w:pPr>
              <w:rPr>
                <w:rFonts w:ascii="Arial" w:hAnsi="Arial" w:cs="Arial"/>
              </w:rPr>
            </w:pPr>
            <w:r>
              <w:rPr>
                <w:rFonts w:ascii="Arial" w:hAnsi="Arial" w:cs="Arial"/>
              </w:rPr>
              <w:t>To this end we are looking to jointly commission a time-limited Strategic Market Review to inform our future market development strategy to meet the care and support needs of the people in Suffolk.</w:t>
            </w:r>
          </w:p>
          <w:p w:rsidR="00843B5E" w:rsidRDefault="00843B5E" w:rsidP="0053111A">
            <w:pPr>
              <w:rPr>
                <w:rFonts w:ascii="Arial" w:hAnsi="Arial" w:cs="Arial"/>
              </w:rPr>
            </w:pPr>
          </w:p>
          <w:p w:rsidR="00843B5E" w:rsidRDefault="00843B5E" w:rsidP="0053111A">
            <w:pPr>
              <w:rPr>
                <w:rFonts w:ascii="Arial" w:hAnsi="Arial" w:cs="Arial"/>
              </w:rPr>
            </w:pPr>
            <w:r>
              <w:rPr>
                <w:rFonts w:ascii="Arial" w:hAnsi="Arial" w:cs="Arial"/>
              </w:rPr>
              <w:t>The review would cover the following geographical areas:</w:t>
            </w:r>
          </w:p>
          <w:p w:rsidR="00843B5E" w:rsidRPr="00843B5E" w:rsidRDefault="00843B5E" w:rsidP="00843B5E">
            <w:pPr>
              <w:pStyle w:val="ListParagraph"/>
              <w:numPr>
                <w:ilvl w:val="0"/>
                <w:numId w:val="10"/>
              </w:numPr>
              <w:spacing w:after="0" w:line="240" w:lineRule="auto"/>
              <w:ind w:hanging="426"/>
              <w:rPr>
                <w:rFonts w:ascii="Arial" w:hAnsi="Arial" w:cs="Arial"/>
                <w:sz w:val="24"/>
                <w:szCs w:val="24"/>
              </w:rPr>
            </w:pPr>
            <w:r>
              <w:rPr>
                <w:rFonts w:ascii="Arial" w:hAnsi="Arial" w:cs="Arial"/>
                <w:sz w:val="24"/>
                <w:szCs w:val="24"/>
              </w:rPr>
              <w:t xml:space="preserve">Entirety of the </w:t>
            </w:r>
            <w:r w:rsidRPr="00843B5E">
              <w:rPr>
                <w:rFonts w:ascii="Arial" w:hAnsi="Arial" w:cs="Arial"/>
                <w:sz w:val="24"/>
                <w:szCs w:val="24"/>
              </w:rPr>
              <w:t>Suffolk County Council Locality;</w:t>
            </w:r>
          </w:p>
          <w:p w:rsidR="00843B5E" w:rsidRPr="00843B5E" w:rsidRDefault="00843B5E" w:rsidP="00843B5E">
            <w:pPr>
              <w:pStyle w:val="ListParagraph"/>
              <w:numPr>
                <w:ilvl w:val="0"/>
                <w:numId w:val="10"/>
              </w:numPr>
              <w:spacing w:after="0" w:line="240" w:lineRule="auto"/>
              <w:ind w:hanging="426"/>
              <w:rPr>
                <w:rFonts w:ascii="Arial" w:hAnsi="Arial" w:cs="Arial"/>
                <w:sz w:val="24"/>
                <w:szCs w:val="24"/>
              </w:rPr>
            </w:pPr>
            <w:r w:rsidRPr="00843B5E">
              <w:rPr>
                <w:rFonts w:ascii="Arial" w:hAnsi="Arial" w:cs="Arial"/>
                <w:sz w:val="24"/>
                <w:szCs w:val="24"/>
              </w:rPr>
              <w:t xml:space="preserve">NHS Ipswich &amp; East Suffolk </w:t>
            </w:r>
            <w:r w:rsidRPr="00843B5E">
              <w:rPr>
                <w:rFonts w:ascii="Arial" w:hAnsi="Arial" w:cs="Arial"/>
                <w:sz w:val="24"/>
                <w:szCs w:val="24"/>
              </w:rPr>
              <w:t>Clinical Commissioning Group</w:t>
            </w:r>
            <w:r>
              <w:rPr>
                <w:rFonts w:ascii="Arial" w:hAnsi="Arial" w:cs="Arial"/>
                <w:sz w:val="24"/>
                <w:szCs w:val="24"/>
              </w:rPr>
              <w:t xml:space="preserve"> locality</w:t>
            </w:r>
            <w:r w:rsidRPr="00843B5E">
              <w:rPr>
                <w:rFonts w:ascii="Arial" w:hAnsi="Arial" w:cs="Arial"/>
                <w:sz w:val="24"/>
                <w:szCs w:val="24"/>
              </w:rPr>
              <w:t xml:space="preserve">; </w:t>
            </w:r>
          </w:p>
          <w:p w:rsidR="00843B5E" w:rsidRPr="00843B5E" w:rsidRDefault="00843B5E" w:rsidP="00843B5E">
            <w:pPr>
              <w:pStyle w:val="ListParagraph"/>
              <w:numPr>
                <w:ilvl w:val="0"/>
                <w:numId w:val="10"/>
              </w:numPr>
              <w:spacing w:after="0" w:line="240" w:lineRule="auto"/>
              <w:ind w:hanging="426"/>
              <w:rPr>
                <w:rFonts w:ascii="Arial" w:hAnsi="Arial" w:cs="Arial"/>
                <w:sz w:val="24"/>
                <w:szCs w:val="24"/>
              </w:rPr>
            </w:pPr>
            <w:r w:rsidRPr="00843B5E">
              <w:rPr>
                <w:rFonts w:ascii="Arial" w:hAnsi="Arial" w:cs="Arial"/>
                <w:sz w:val="24"/>
                <w:szCs w:val="24"/>
              </w:rPr>
              <w:t>West Suffolk Clinical Commissioning Group</w:t>
            </w:r>
            <w:r>
              <w:rPr>
                <w:rFonts w:ascii="Arial" w:hAnsi="Arial" w:cs="Arial"/>
                <w:sz w:val="24"/>
                <w:szCs w:val="24"/>
              </w:rPr>
              <w:t xml:space="preserve"> locality</w:t>
            </w:r>
            <w:r w:rsidRPr="00843B5E">
              <w:rPr>
                <w:rFonts w:ascii="Arial" w:hAnsi="Arial" w:cs="Arial"/>
                <w:sz w:val="24"/>
                <w:szCs w:val="24"/>
              </w:rPr>
              <w:t>;</w:t>
            </w:r>
          </w:p>
          <w:p w:rsidR="00843B5E" w:rsidRPr="00843B5E" w:rsidRDefault="00843B5E" w:rsidP="00843B5E">
            <w:pPr>
              <w:pStyle w:val="ListParagraph"/>
              <w:numPr>
                <w:ilvl w:val="0"/>
                <w:numId w:val="10"/>
              </w:numPr>
              <w:spacing w:after="0" w:line="240" w:lineRule="auto"/>
              <w:ind w:hanging="426"/>
              <w:rPr>
                <w:rFonts w:ascii="Arial" w:hAnsi="Arial" w:cs="Arial"/>
                <w:sz w:val="24"/>
                <w:szCs w:val="24"/>
              </w:rPr>
            </w:pPr>
            <w:r w:rsidRPr="00843B5E">
              <w:rPr>
                <w:rFonts w:ascii="Arial" w:hAnsi="Arial" w:cs="Arial"/>
                <w:sz w:val="24"/>
                <w:szCs w:val="24"/>
              </w:rPr>
              <w:t xml:space="preserve">Waveney </w:t>
            </w:r>
            <w:r>
              <w:rPr>
                <w:rFonts w:ascii="Arial" w:hAnsi="Arial" w:cs="Arial"/>
                <w:sz w:val="24"/>
                <w:szCs w:val="24"/>
              </w:rPr>
              <w:t>district</w:t>
            </w:r>
            <w:r w:rsidRPr="00843B5E">
              <w:rPr>
                <w:rFonts w:ascii="Arial" w:hAnsi="Arial" w:cs="Arial"/>
                <w:sz w:val="24"/>
                <w:szCs w:val="24"/>
              </w:rPr>
              <w:t xml:space="preserve"> covered by NHS Great Yarmouth and Waveney; and,</w:t>
            </w:r>
          </w:p>
          <w:p w:rsidR="00843B5E" w:rsidRPr="00843B5E" w:rsidRDefault="00843B5E" w:rsidP="00843B5E">
            <w:pPr>
              <w:pStyle w:val="ListParagraph"/>
              <w:numPr>
                <w:ilvl w:val="0"/>
                <w:numId w:val="10"/>
              </w:numPr>
              <w:spacing w:after="0" w:line="240" w:lineRule="auto"/>
              <w:ind w:hanging="426"/>
              <w:rPr>
                <w:rFonts w:ascii="Arial" w:hAnsi="Arial" w:cs="Arial"/>
                <w:sz w:val="24"/>
                <w:szCs w:val="24"/>
              </w:rPr>
            </w:pPr>
            <w:r w:rsidRPr="00843B5E">
              <w:rPr>
                <w:rFonts w:ascii="Arial" w:hAnsi="Arial" w:cs="Arial"/>
                <w:sz w:val="24"/>
                <w:szCs w:val="24"/>
              </w:rPr>
              <w:t xml:space="preserve">Potentially the Great Yarmouth borough </w:t>
            </w:r>
            <w:r>
              <w:rPr>
                <w:rFonts w:ascii="Arial" w:hAnsi="Arial" w:cs="Arial"/>
                <w:sz w:val="24"/>
                <w:szCs w:val="24"/>
              </w:rPr>
              <w:t xml:space="preserve">within </w:t>
            </w:r>
            <w:r w:rsidRPr="00843B5E">
              <w:rPr>
                <w:rFonts w:ascii="Arial" w:hAnsi="Arial" w:cs="Arial"/>
                <w:sz w:val="24"/>
                <w:szCs w:val="24"/>
              </w:rPr>
              <w:t>NHS Great Yarmouth and Waveney</w:t>
            </w:r>
            <w:r w:rsidRPr="00843B5E">
              <w:rPr>
                <w:rFonts w:ascii="Arial" w:hAnsi="Arial" w:cs="Arial"/>
                <w:sz w:val="24"/>
                <w:szCs w:val="24"/>
              </w:rPr>
              <w:t>.</w:t>
            </w:r>
          </w:p>
          <w:p w:rsidR="00B436F8" w:rsidRPr="00B436F8" w:rsidRDefault="00B436F8" w:rsidP="0053111A">
            <w:pPr>
              <w:rPr>
                <w:rFonts w:ascii="Arial" w:hAnsi="Arial" w:cs="Arial"/>
              </w:rPr>
            </w:pPr>
          </w:p>
        </w:tc>
      </w:tr>
      <w:tr w:rsidR="00B436F8" w:rsidTr="00B436F8">
        <w:tc>
          <w:tcPr>
            <w:tcW w:w="10682" w:type="dxa"/>
            <w:shd w:val="clear" w:color="auto" w:fill="D6E3BC" w:themeFill="accent3" w:themeFillTint="66"/>
          </w:tcPr>
          <w:p w:rsidR="00B436F8" w:rsidRPr="00DC7714" w:rsidRDefault="00B436F8" w:rsidP="00DC7714">
            <w:pPr>
              <w:spacing w:before="120" w:after="120"/>
              <w:rPr>
                <w:rFonts w:ascii="Arial" w:hAnsi="Arial" w:cs="Arial"/>
                <w:b/>
                <w:caps/>
              </w:rPr>
            </w:pPr>
            <w:r w:rsidRPr="00DC7714">
              <w:rPr>
                <w:rFonts w:ascii="Arial" w:hAnsi="Arial" w:cs="Arial"/>
                <w:b/>
                <w:caps/>
              </w:rPr>
              <w:t>Deliverables</w:t>
            </w:r>
            <w:r w:rsidR="009553F9">
              <w:rPr>
                <w:rFonts w:ascii="Arial" w:hAnsi="Arial" w:cs="Arial"/>
                <w:b/>
                <w:caps/>
              </w:rPr>
              <w:t xml:space="preserve"> &amp; Approach</w:t>
            </w:r>
          </w:p>
        </w:tc>
      </w:tr>
      <w:tr w:rsidR="00B436F8" w:rsidTr="00B436F8">
        <w:tc>
          <w:tcPr>
            <w:tcW w:w="10682" w:type="dxa"/>
          </w:tcPr>
          <w:p w:rsidR="00DC7714" w:rsidRDefault="00DC7714" w:rsidP="006840EA">
            <w:pPr>
              <w:rPr>
                <w:rFonts w:ascii="Arial" w:hAnsi="Arial" w:cs="Arial"/>
              </w:rPr>
            </w:pPr>
          </w:p>
          <w:p w:rsidR="006840EA" w:rsidRPr="006840EA" w:rsidRDefault="00B436F8" w:rsidP="006840EA">
            <w:pPr>
              <w:pStyle w:val="ListParagraph"/>
              <w:numPr>
                <w:ilvl w:val="0"/>
                <w:numId w:val="9"/>
              </w:numPr>
              <w:spacing w:after="0" w:line="240" w:lineRule="auto"/>
              <w:ind w:left="426" w:hanging="426"/>
              <w:rPr>
                <w:rFonts w:ascii="Arial" w:hAnsi="Arial" w:cs="Arial"/>
                <w:sz w:val="24"/>
                <w:szCs w:val="24"/>
              </w:rPr>
            </w:pPr>
            <w:r w:rsidRPr="006840EA">
              <w:rPr>
                <w:rFonts w:ascii="Arial" w:hAnsi="Arial" w:cs="Arial"/>
                <w:sz w:val="24"/>
                <w:szCs w:val="24"/>
              </w:rPr>
              <w:t>A commercial review of the</w:t>
            </w:r>
            <w:r w:rsidR="006840EA" w:rsidRPr="006840EA">
              <w:rPr>
                <w:rFonts w:ascii="Arial" w:hAnsi="Arial" w:cs="Arial"/>
                <w:sz w:val="24"/>
                <w:szCs w:val="24"/>
              </w:rPr>
              <w:t xml:space="preserve"> care home market that includ</w:t>
            </w:r>
            <w:bookmarkStart w:id="0" w:name="_GoBack"/>
            <w:bookmarkEnd w:id="0"/>
            <w:r w:rsidR="006840EA" w:rsidRPr="006840EA">
              <w:rPr>
                <w:rFonts w:ascii="Arial" w:hAnsi="Arial" w:cs="Arial"/>
                <w:sz w:val="24"/>
                <w:szCs w:val="24"/>
              </w:rPr>
              <w:t>es</w:t>
            </w:r>
          </w:p>
          <w:p w:rsidR="006840EA" w:rsidRPr="006840EA" w:rsidRDefault="00B436F8" w:rsidP="006840EA">
            <w:pPr>
              <w:pStyle w:val="ListParagraph"/>
              <w:numPr>
                <w:ilvl w:val="1"/>
                <w:numId w:val="9"/>
              </w:numPr>
              <w:spacing w:after="0" w:line="240" w:lineRule="auto"/>
              <w:ind w:left="709" w:hanging="283"/>
              <w:rPr>
                <w:rFonts w:ascii="Arial" w:hAnsi="Arial" w:cs="Arial"/>
                <w:sz w:val="24"/>
                <w:szCs w:val="24"/>
              </w:rPr>
            </w:pPr>
            <w:r w:rsidRPr="006840EA">
              <w:rPr>
                <w:rFonts w:ascii="Arial" w:hAnsi="Arial" w:cs="Arial"/>
                <w:sz w:val="24"/>
                <w:szCs w:val="24"/>
              </w:rPr>
              <w:t>Proposal for a sustainable price point/model for the provision of care that ensures providers can deliver effective high quality services effectively</w:t>
            </w:r>
            <w:r w:rsidR="006840EA" w:rsidRPr="006840EA">
              <w:rPr>
                <w:rFonts w:ascii="Arial" w:hAnsi="Arial" w:cs="Arial"/>
                <w:sz w:val="24"/>
                <w:szCs w:val="24"/>
              </w:rPr>
              <w:t>.</w:t>
            </w:r>
          </w:p>
          <w:p w:rsidR="00B436F8" w:rsidRPr="006840EA" w:rsidRDefault="00B436F8" w:rsidP="006840EA">
            <w:pPr>
              <w:pStyle w:val="ListParagraph"/>
              <w:numPr>
                <w:ilvl w:val="1"/>
                <w:numId w:val="9"/>
              </w:numPr>
              <w:spacing w:after="0" w:line="240" w:lineRule="auto"/>
              <w:ind w:left="709" w:hanging="283"/>
              <w:rPr>
                <w:rFonts w:ascii="Arial" w:hAnsi="Arial" w:cs="Arial"/>
                <w:sz w:val="24"/>
                <w:szCs w:val="24"/>
              </w:rPr>
            </w:pPr>
            <w:r w:rsidRPr="006840EA">
              <w:rPr>
                <w:rFonts w:ascii="Arial" w:hAnsi="Arial" w:cs="Arial"/>
                <w:sz w:val="24"/>
                <w:szCs w:val="24"/>
              </w:rPr>
              <w:t>An assessment of the financial impact of the implementation of a shared pricing framework for the NHS and Social Care</w:t>
            </w:r>
            <w:r w:rsidR="006840EA" w:rsidRPr="006840EA">
              <w:rPr>
                <w:rFonts w:ascii="Arial" w:hAnsi="Arial" w:cs="Arial"/>
                <w:sz w:val="24"/>
                <w:szCs w:val="24"/>
              </w:rPr>
              <w:t>.</w:t>
            </w:r>
          </w:p>
          <w:p w:rsidR="006840EA" w:rsidRDefault="006840EA" w:rsidP="006840EA">
            <w:pPr>
              <w:pStyle w:val="ListParagraph"/>
              <w:spacing w:after="0" w:line="240" w:lineRule="auto"/>
              <w:ind w:left="360"/>
              <w:rPr>
                <w:rFonts w:ascii="Arial" w:hAnsi="Arial" w:cs="Arial"/>
                <w:sz w:val="24"/>
                <w:szCs w:val="24"/>
              </w:rPr>
            </w:pPr>
          </w:p>
          <w:p w:rsidR="00B436F8" w:rsidRPr="006840EA" w:rsidRDefault="00B436F8" w:rsidP="006840EA">
            <w:pPr>
              <w:pStyle w:val="ListParagraph"/>
              <w:numPr>
                <w:ilvl w:val="0"/>
                <w:numId w:val="9"/>
              </w:numPr>
              <w:spacing w:after="0" w:line="240" w:lineRule="auto"/>
              <w:ind w:left="426" w:hanging="426"/>
              <w:rPr>
                <w:rFonts w:ascii="Arial" w:hAnsi="Arial" w:cs="Arial"/>
                <w:sz w:val="24"/>
                <w:szCs w:val="24"/>
              </w:rPr>
            </w:pPr>
            <w:r w:rsidRPr="006840EA">
              <w:rPr>
                <w:rFonts w:ascii="Arial" w:hAnsi="Arial" w:cs="Arial"/>
                <w:sz w:val="24"/>
                <w:szCs w:val="24"/>
              </w:rPr>
              <w:t>Demand model for care, projecting the capacity required over the coming months/years.</w:t>
            </w:r>
          </w:p>
          <w:p w:rsidR="006840EA" w:rsidRPr="006840EA" w:rsidRDefault="006840EA" w:rsidP="006840EA">
            <w:pPr>
              <w:pStyle w:val="ListParagraph"/>
              <w:spacing w:after="0" w:line="240" w:lineRule="auto"/>
              <w:ind w:left="360"/>
              <w:rPr>
                <w:rFonts w:ascii="Arial" w:hAnsi="Arial" w:cs="Arial"/>
                <w:sz w:val="24"/>
                <w:szCs w:val="24"/>
              </w:rPr>
            </w:pPr>
          </w:p>
          <w:p w:rsidR="00B436F8" w:rsidRPr="006840EA" w:rsidRDefault="00B436F8" w:rsidP="006840EA">
            <w:pPr>
              <w:pStyle w:val="ListParagraph"/>
              <w:numPr>
                <w:ilvl w:val="0"/>
                <w:numId w:val="9"/>
              </w:numPr>
              <w:spacing w:after="0" w:line="240" w:lineRule="auto"/>
              <w:ind w:left="426" w:hanging="426"/>
              <w:rPr>
                <w:rFonts w:ascii="Arial" w:hAnsi="Arial" w:cs="Arial"/>
                <w:sz w:val="24"/>
                <w:szCs w:val="24"/>
              </w:rPr>
            </w:pPr>
            <w:r w:rsidRPr="006840EA">
              <w:rPr>
                <w:rFonts w:ascii="Arial" w:hAnsi="Arial" w:cs="Arial"/>
                <w:sz w:val="24"/>
                <w:szCs w:val="24"/>
              </w:rPr>
              <w:t>A directory of care services for Suffolk at boarder providers that includes:</w:t>
            </w:r>
          </w:p>
          <w:p w:rsidR="00B436F8" w:rsidRPr="006840EA" w:rsidRDefault="00B436F8" w:rsidP="006840EA">
            <w:pPr>
              <w:pStyle w:val="ListParagraph"/>
              <w:numPr>
                <w:ilvl w:val="1"/>
                <w:numId w:val="9"/>
              </w:numPr>
              <w:spacing w:after="0" w:line="240" w:lineRule="auto"/>
              <w:ind w:left="709" w:hanging="283"/>
              <w:rPr>
                <w:rFonts w:ascii="Arial" w:hAnsi="Arial" w:cs="Arial"/>
                <w:sz w:val="24"/>
                <w:szCs w:val="24"/>
              </w:rPr>
            </w:pPr>
            <w:r w:rsidRPr="006840EA">
              <w:rPr>
                <w:rFonts w:ascii="Arial" w:hAnsi="Arial" w:cs="Arial"/>
                <w:sz w:val="24"/>
                <w:szCs w:val="24"/>
              </w:rPr>
              <w:t>Capacity</w:t>
            </w:r>
          </w:p>
          <w:p w:rsidR="00B436F8" w:rsidRPr="006840EA" w:rsidRDefault="00B436F8" w:rsidP="006840EA">
            <w:pPr>
              <w:pStyle w:val="ListParagraph"/>
              <w:numPr>
                <w:ilvl w:val="1"/>
                <w:numId w:val="9"/>
              </w:numPr>
              <w:spacing w:after="0" w:line="240" w:lineRule="auto"/>
              <w:ind w:left="709" w:hanging="283"/>
              <w:rPr>
                <w:rFonts w:ascii="Arial" w:hAnsi="Arial" w:cs="Arial"/>
                <w:sz w:val="24"/>
                <w:szCs w:val="24"/>
              </w:rPr>
            </w:pPr>
            <w:r w:rsidRPr="006840EA">
              <w:rPr>
                <w:rFonts w:ascii="Arial" w:hAnsi="Arial" w:cs="Arial"/>
                <w:sz w:val="24"/>
                <w:szCs w:val="24"/>
              </w:rPr>
              <w:t>Capability &amp; Quality</w:t>
            </w:r>
          </w:p>
          <w:p w:rsidR="00B436F8" w:rsidRPr="006840EA" w:rsidRDefault="00B436F8" w:rsidP="006840EA">
            <w:pPr>
              <w:pStyle w:val="ListParagraph"/>
              <w:numPr>
                <w:ilvl w:val="1"/>
                <w:numId w:val="9"/>
              </w:numPr>
              <w:spacing w:after="0" w:line="240" w:lineRule="auto"/>
              <w:ind w:left="709" w:hanging="284"/>
              <w:rPr>
                <w:rFonts w:ascii="Arial" w:hAnsi="Arial" w:cs="Arial"/>
                <w:sz w:val="24"/>
                <w:szCs w:val="24"/>
              </w:rPr>
            </w:pPr>
            <w:r w:rsidRPr="006840EA">
              <w:rPr>
                <w:rFonts w:ascii="Arial" w:hAnsi="Arial" w:cs="Arial"/>
                <w:sz w:val="24"/>
                <w:szCs w:val="24"/>
              </w:rPr>
              <w:t>Price</w:t>
            </w:r>
          </w:p>
          <w:p w:rsidR="006840EA" w:rsidRPr="006840EA" w:rsidRDefault="006840EA" w:rsidP="006840EA">
            <w:pPr>
              <w:rPr>
                <w:rFonts w:ascii="Arial" w:hAnsi="Arial" w:cs="Arial"/>
              </w:rPr>
            </w:pPr>
          </w:p>
          <w:p w:rsidR="006840EA" w:rsidRPr="006840EA" w:rsidRDefault="006840EA" w:rsidP="006840EA">
            <w:pPr>
              <w:pStyle w:val="ListParagraph"/>
              <w:numPr>
                <w:ilvl w:val="0"/>
                <w:numId w:val="9"/>
              </w:numPr>
              <w:spacing w:after="0" w:line="240" w:lineRule="auto"/>
              <w:ind w:left="426" w:hanging="426"/>
              <w:rPr>
                <w:rFonts w:ascii="Arial" w:hAnsi="Arial" w:cs="Arial"/>
                <w:sz w:val="24"/>
                <w:szCs w:val="24"/>
              </w:rPr>
            </w:pPr>
            <w:r w:rsidRPr="006840EA">
              <w:rPr>
                <w:rFonts w:ascii="Arial" w:hAnsi="Arial" w:cs="Arial"/>
                <w:sz w:val="24"/>
                <w:szCs w:val="24"/>
              </w:rPr>
              <w:t>A</w:t>
            </w:r>
            <w:r w:rsidR="00B436F8" w:rsidRPr="006840EA">
              <w:rPr>
                <w:rFonts w:ascii="Arial" w:hAnsi="Arial" w:cs="Arial"/>
                <w:sz w:val="24"/>
                <w:szCs w:val="24"/>
              </w:rPr>
              <w:t>ssessment of market readiness for integration and early intervention/prevention models within residential/nursi</w:t>
            </w:r>
            <w:r w:rsidRPr="006840EA">
              <w:rPr>
                <w:rFonts w:ascii="Arial" w:hAnsi="Arial" w:cs="Arial"/>
                <w:sz w:val="24"/>
                <w:szCs w:val="24"/>
              </w:rPr>
              <w:t>ng and community based settings</w:t>
            </w:r>
          </w:p>
          <w:p w:rsidR="006840EA" w:rsidRDefault="006840EA" w:rsidP="006840EA">
            <w:pPr>
              <w:pStyle w:val="ListParagraph"/>
              <w:spacing w:after="0" w:line="240" w:lineRule="auto"/>
              <w:ind w:left="360"/>
              <w:rPr>
                <w:rFonts w:ascii="Arial" w:hAnsi="Arial" w:cs="Arial"/>
                <w:sz w:val="24"/>
                <w:szCs w:val="24"/>
              </w:rPr>
            </w:pPr>
          </w:p>
          <w:p w:rsidR="00B436F8" w:rsidRDefault="006840EA" w:rsidP="006840EA">
            <w:pPr>
              <w:pStyle w:val="ListParagraph"/>
              <w:numPr>
                <w:ilvl w:val="0"/>
                <w:numId w:val="9"/>
              </w:numPr>
              <w:spacing w:after="0" w:line="240" w:lineRule="auto"/>
              <w:ind w:left="426" w:hanging="426"/>
              <w:rPr>
                <w:rFonts w:ascii="Arial" w:hAnsi="Arial" w:cs="Arial"/>
                <w:sz w:val="24"/>
                <w:szCs w:val="24"/>
              </w:rPr>
            </w:pPr>
            <w:r w:rsidRPr="006840EA">
              <w:rPr>
                <w:rFonts w:ascii="Arial" w:hAnsi="Arial" w:cs="Arial"/>
                <w:sz w:val="24"/>
                <w:szCs w:val="24"/>
              </w:rPr>
              <w:t xml:space="preserve">A road map to take Suffolk from an unstable care market with variable ‘value’, to a sustainable </w:t>
            </w:r>
            <w:r w:rsidRPr="006840EA">
              <w:rPr>
                <w:rFonts w:ascii="Arial" w:hAnsi="Arial" w:cs="Arial"/>
                <w:sz w:val="24"/>
                <w:szCs w:val="24"/>
              </w:rPr>
              <w:lastRenderedPageBreak/>
              <w:t>engaged active care provision.</w:t>
            </w:r>
          </w:p>
          <w:p w:rsidR="006840EA" w:rsidRDefault="006840EA" w:rsidP="006840EA">
            <w:pPr>
              <w:rPr>
                <w:rFonts w:ascii="Arial" w:hAnsi="Arial" w:cs="Arial"/>
              </w:rPr>
            </w:pPr>
          </w:p>
          <w:p w:rsidR="009553F9" w:rsidRPr="009553F9" w:rsidRDefault="009553F9" w:rsidP="009553F9">
            <w:pPr>
              <w:pStyle w:val="ListParagraph"/>
              <w:numPr>
                <w:ilvl w:val="0"/>
                <w:numId w:val="9"/>
              </w:numPr>
              <w:spacing w:after="0" w:line="240" w:lineRule="auto"/>
              <w:ind w:left="426" w:hanging="426"/>
              <w:rPr>
                <w:rFonts w:ascii="Arial" w:hAnsi="Arial" w:cs="Arial"/>
                <w:sz w:val="24"/>
                <w:szCs w:val="24"/>
              </w:rPr>
            </w:pPr>
            <w:r w:rsidRPr="009553F9">
              <w:rPr>
                <w:rFonts w:ascii="Arial" w:hAnsi="Arial" w:cs="Arial"/>
                <w:sz w:val="24"/>
                <w:szCs w:val="24"/>
              </w:rPr>
              <w:t>A robust methodology and approach to the delivery of this time focused work, including</w:t>
            </w:r>
          </w:p>
          <w:p w:rsidR="009553F9" w:rsidRDefault="009553F9" w:rsidP="009553F9">
            <w:pPr>
              <w:pStyle w:val="ListParagraph"/>
              <w:numPr>
                <w:ilvl w:val="1"/>
                <w:numId w:val="9"/>
              </w:numPr>
              <w:spacing w:after="0" w:line="240" w:lineRule="auto"/>
              <w:ind w:left="709" w:hanging="283"/>
              <w:rPr>
                <w:rFonts w:ascii="Arial" w:hAnsi="Arial" w:cs="Arial"/>
                <w:sz w:val="24"/>
                <w:szCs w:val="24"/>
              </w:rPr>
            </w:pPr>
            <w:r>
              <w:rPr>
                <w:rFonts w:ascii="Arial" w:hAnsi="Arial" w:cs="Arial"/>
                <w:sz w:val="24"/>
                <w:szCs w:val="24"/>
              </w:rPr>
              <w:t>Delivered by senior resources with both health and social care experience</w:t>
            </w:r>
          </w:p>
          <w:p w:rsidR="009553F9" w:rsidRDefault="009553F9" w:rsidP="009553F9">
            <w:pPr>
              <w:pStyle w:val="ListParagraph"/>
              <w:numPr>
                <w:ilvl w:val="1"/>
                <w:numId w:val="9"/>
              </w:numPr>
              <w:spacing w:after="0" w:line="240" w:lineRule="auto"/>
              <w:ind w:left="709" w:hanging="283"/>
              <w:rPr>
                <w:rFonts w:ascii="Arial" w:hAnsi="Arial" w:cs="Arial"/>
                <w:sz w:val="24"/>
                <w:szCs w:val="24"/>
              </w:rPr>
            </w:pPr>
            <w:r>
              <w:rPr>
                <w:rFonts w:ascii="Arial" w:hAnsi="Arial" w:cs="Arial"/>
                <w:sz w:val="24"/>
                <w:szCs w:val="24"/>
              </w:rPr>
              <w:t>Experience of the delivery of whole system market reviews including an ability to deliver deep analytics</w:t>
            </w:r>
          </w:p>
          <w:p w:rsidR="009553F9" w:rsidRDefault="009553F9" w:rsidP="009553F9">
            <w:pPr>
              <w:pStyle w:val="ListParagraph"/>
              <w:numPr>
                <w:ilvl w:val="1"/>
                <w:numId w:val="9"/>
              </w:numPr>
              <w:spacing w:after="0" w:line="240" w:lineRule="auto"/>
              <w:ind w:left="709" w:hanging="283"/>
              <w:rPr>
                <w:rFonts w:ascii="Arial" w:hAnsi="Arial" w:cs="Arial"/>
                <w:sz w:val="24"/>
                <w:szCs w:val="24"/>
              </w:rPr>
            </w:pPr>
            <w:r>
              <w:rPr>
                <w:rFonts w:ascii="Arial" w:hAnsi="Arial" w:cs="Arial"/>
                <w:sz w:val="24"/>
                <w:szCs w:val="24"/>
              </w:rPr>
              <w:t>Commercial / financial</w:t>
            </w:r>
            <w:r w:rsidRPr="009553F9">
              <w:rPr>
                <w:rFonts w:ascii="Arial" w:hAnsi="Arial" w:cs="Arial"/>
                <w:sz w:val="24"/>
                <w:szCs w:val="24"/>
              </w:rPr>
              <w:t xml:space="preserve"> forecasting </w:t>
            </w:r>
            <w:r>
              <w:rPr>
                <w:rFonts w:ascii="Arial" w:hAnsi="Arial" w:cs="Arial"/>
                <w:sz w:val="24"/>
                <w:szCs w:val="24"/>
              </w:rPr>
              <w:t>experience / evidence of delivery</w:t>
            </w:r>
          </w:p>
          <w:p w:rsidR="009553F9" w:rsidRPr="009553F9" w:rsidRDefault="009553F9" w:rsidP="009553F9">
            <w:pPr>
              <w:pStyle w:val="ListParagraph"/>
              <w:numPr>
                <w:ilvl w:val="1"/>
                <w:numId w:val="9"/>
              </w:numPr>
              <w:spacing w:after="0" w:line="240" w:lineRule="auto"/>
              <w:ind w:left="709" w:hanging="283"/>
              <w:rPr>
                <w:rFonts w:ascii="Arial" w:hAnsi="Arial" w:cs="Arial"/>
                <w:sz w:val="24"/>
                <w:szCs w:val="24"/>
              </w:rPr>
            </w:pPr>
            <w:r w:rsidRPr="009553F9">
              <w:rPr>
                <w:rFonts w:ascii="Arial" w:hAnsi="Arial" w:cs="Arial"/>
                <w:sz w:val="24"/>
                <w:szCs w:val="24"/>
              </w:rPr>
              <w:t>Proven stakeholder engagement and management methodology.</w:t>
            </w:r>
          </w:p>
          <w:p w:rsidR="009553F9" w:rsidRPr="006840EA" w:rsidRDefault="009553F9" w:rsidP="006840EA">
            <w:pPr>
              <w:rPr>
                <w:rFonts w:ascii="Arial" w:hAnsi="Arial" w:cs="Arial"/>
              </w:rPr>
            </w:pPr>
          </w:p>
        </w:tc>
      </w:tr>
      <w:tr w:rsidR="00B436F8" w:rsidTr="00DC7714">
        <w:tc>
          <w:tcPr>
            <w:tcW w:w="10682" w:type="dxa"/>
            <w:shd w:val="clear" w:color="auto" w:fill="D6E3BC" w:themeFill="accent3" w:themeFillTint="66"/>
          </w:tcPr>
          <w:p w:rsidR="00B436F8" w:rsidRPr="00DC7714" w:rsidRDefault="006840EA" w:rsidP="00DC7714">
            <w:pPr>
              <w:spacing w:before="120" w:after="120"/>
              <w:rPr>
                <w:rFonts w:ascii="Arial" w:hAnsi="Arial" w:cs="Arial"/>
                <w:b/>
                <w:caps/>
              </w:rPr>
            </w:pPr>
            <w:r>
              <w:rPr>
                <w:rFonts w:ascii="Arial" w:hAnsi="Arial" w:cs="Arial"/>
                <w:b/>
                <w:caps/>
              </w:rPr>
              <w:lastRenderedPageBreak/>
              <w:t>INformation to be included</w:t>
            </w:r>
          </w:p>
        </w:tc>
      </w:tr>
      <w:tr w:rsidR="00B436F8" w:rsidTr="00B436F8">
        <w:tc>
          <w:tcPr>
            <w:tcW w:w="10682" w:type="dxa"/>
          </w:tcPr>
          <w:p w:rsidR="006840EA" w:rsidRPr="006840EA" w:rsidRDefault="006840EA" w:rsidP="006840EA">
            <w:pPr>
              <w:rPr>
                <w:rFonts w:ascii="Arial" w:hAnsi="Arial" w:cs="Arial"/>
              </w:rPr>
            </w:pPr>
          </w:p>
          <w:p w:rsidR="00B436F8" w:rsidRPr="006840EA" w:rsidRDefault="00B436F8" w:rsidP="006840EA">
            <w:pPr>
              <w:pStyle w:val="ListParagraph"/>
              <w:numPr>
                <w:ilvl w:val="0"/>
                <w:numId w:val="10"/>
              </w:numPr>
              <w:spacing w:after="0" w:line="240" w:lineRule="auto"/>
              <w:ind w:hanging="426"/>
              <w:rPr>
                <w:rFonts w:ascii="Arial" w:hAnsi="Arial" w:cs="Arial"/>
                <w:sz w:val="24"/>
                <w:szCs w:val="24"/>
              </w:rPr>
            </w:pPr>
            <w:r w:rsidRPr="006840EA">
              <w:rPr>
                <w:rFonts w:ascii="Arial" w:hAnsi="Arial" w:cs="Arial"/>
                <w:sz w:val="24"/>
                <w:szCs w:val="24"/>
              </w:rPr>
              <w:t xml:space="preserve">Increase </w:t>
            </w:r>
            <w:r w:rsidR="006840EA" w:rsidRPr="006840EA">
              <w:rPr>
                <w:rFonts w:ascii="Arial" w:hAnsi="Arial" w:cs="Arial"/>
                <w:sz w:val="24"/>
                <w:szCs w:val="24"/>
              </w:rPr>
              <w:t>commissioners</w:t>
            </w:r>
            <w:r w:rsidRPr="006840EA">
              <w:rPr>
                <w:rFonts w:ascii="Arial" w:hAnsi="Arial" w:cs="Arial"/>
                <w:sz w:val="24"/>
                <w:szCs w:val="24"/>
              </w:rPr>
              <w:t xml:space="preserve"> understanding of the Suffolk care market</w:t>
            </w:r>
            <w:r w:rsidR="006840EA" w:rsidRPr="006840EA">
              <w:rPr>
                <w:rFonts w:ascii="Arial" w:hAnsi="Arial" w:cs="Arial"/>
                <w:sz w:val="24"/>
                <w:szCs w:val="24"/>
              </w:rPr>
              <w:t xml:space="preserve"> (including borders)</w:t>
            </w:r>
            <w:r w:rsidR="006840EA">
              <w:rPr>
                <w:rFonts w:ascii="Arial" w:hAnsi="Arial" w:cs="Arial"/>
                <w:sz w:val="24"/>
                <w:szCs w:val="24"/>
              </w:rPr>
              <w:t xml:space="preserve"> through understanding the </w:t>
            </w:r>
            <w:r w:rsidRPr="006840EA">
              <w:rPr>
                <w:rFonts w:ascii="Arial" w:hAnsi="Arial" w:cs="Arial"/>
                <w:sz w:val="24"/>
                <w:szCs w:val="24"/>
              </w:rPr>
              <w:t xml:space="preserve">key features of the market? i.e. </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provider types (private and voluntary sector)</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types of service provision; including reablement and respite / short break</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 xml:space="preserve">number </w:t>
            </w:r>
            <w:r w:rsidR="006840EA">
              <w:rPr>
                <w:rFonts w:ascii="Arial" w:hAnsi="Arial" w:cs="Arial"/>
                <w:sz w:val="24"/>
                <w:szCs w:val="24"/>
              </w:rPr>
              <w:t xml:space="preserve">of providers </w:t>
            </w:r>
            <w:r>
              <w:rPr>
                <w:rFonts w:ascii="Arial" w:hAnsi="Arial" w:cs="Arial"/>
                <w:sz w:val="24"/>
                <w:szCs w:val="24"/>
              </w:rPr>
              <w:t>and market share</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purchasers of care (self-funders / Local Authority, and, or, NHS funded)</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pricing and market share (private market, SCC and NHS)</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 xml:space="preserve">quality profile / outcomes and trends </w:t>
            </w:r>
          </w:p>
          <w:p w:rsidR="00B436F8" w:rsidRDefault="00B436F8" w:rsidP="006840EA">
            <w:pPr>
              <w:pStyle w:val="ListParagraph"/>
              <w:spacing w:after="0" w:line="240" w:lineRule="auto"/>
              <w:ind w:left="360"/>
              <w:rPr>
                <w:rFonts w:ascii="Arial" w:hAnsi="Arial" w:cs="Arial"/>
                <w:sz w:val="24"/>
                <w:szCs w:val="24"/>
              </w:rPr>
            </w:pPr>
          </w:p>
          <w:p w:rsidR="006840EA" w:rsidRDefault="00B436F8"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Understand current and predicted future growth in demand for care and support services. </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What are the underpinning demographics, drivers and trends and how do we ensure adequate / sustainable supply for the needs for our population?</w:t>
            </w:r>
          </w:p>
          <w:p w:rsidR="00B436F8" w:rsidRDefault="00B436F8" w:rsidP="006840EA">
            <w:pPr>
              <w:pStyle w:val="ListParagraph"/>
              <w:spacing w:after="0" w:line="240" w:lineRule="auto"/>
              <w:ind w:left="360"/>
              <w:rPr>
                <w:rFonts w:ascii="Arial" w:hAnsi="Arial" w:cs="Arial"/>
                <w:sz w:val="24"/>
                <w:szCs w:val="24"/>
              </w:rPr>
            </w:pPr>
          </w:p>
          <w:p w:rsidR="00B436F8" w:rsidRDefault="006840EA"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Intelligence about the </w:t>
            </w:r>
            <w:r w:rsidR="00B436F8">
              <w:rPr>
                <w:rFonts w:ascii="Arial" w:hAnsi="Arial" w:cs="Arial"/>
                <w:sz w:val="24"/>
                <w:szCs w:val="24"/>
              </w:rPr>
              <w:t xml:space="preserve">aspirations, priorities, needs and preferences of those who will need care and support, their families and carers, and the changing care and support needs of people as they progress through their lives. </w:t>
            </w:r>
          </w:p>
          <w:p w:rsidR="00B436F8" w:rsidRDefault="00B436F8" w:rsidP="006840EA">
            <w:pPr>
              <w:pStyle w:val="ListParagraph"/>
              <w:spacing w:after="0" w:line="240" w:lineRule="auto"/>
              <w:ind w:left="360"/>
              <w:rPr>
                <w:rFonts w:ascii="Arial" w:hAnsi="Arial" w:cs="Arial"/>
                <w:sz w:val="24"/>
                <w:szCs w:val="24"/>
              </w:rPr>
            </w:pPr>
          </w:p>
          <w:p w:rsidR="00B436F8" w:rsidRDefault="00B436F8"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What are the key challenges, risks and opportunities facing the community care sector? i.e.</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cost pressures</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nursing and car</w:t>
            </w:r>
            <w:r w:rsidR="006840EA">
              <w:rPr>
                <w:rFonts w:ascii="Arial" w:hAnsi="Arial" w:cs="Arial"/>
                <w:sz w:val="24"/>
                <w:szCs w:val="24"/>
              </w:rPr>
              <w:t xml:space="preserve">e staff workforce availability, retention and </w:t>
            </w:r>
            <w:r>
              <w:rPr>
                <w:rFonts w:ascii="Arial" w:hAnsi="Arial" w:cs="Arial"/>
                <w:sz w:val="24"/>
                <w:szCs w:val="24"/>
              </w:rPr>
              <w:t>development</w:t>
            </w:r>
          </w:p>
          <w:p w:rsidR="00B436F8" w:rsidRDefault="006840EA"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 xml:space="preserve">Impact of increased acuity, </w:t>
            </w:r>
            <w:r w:rsidR="00B436F8">
              <w:rPr>
                <w:rFonts w:ascii="Arial" w:hAnsi="Arial" w:cs="Arial"/>
                <w:sz w:val="24"/>
                <w:szCs w:val="24"/>
              </w:rPr>
              <w:t xml:space="preserve">challenging behaviour </w:t>
            </w:r>
            <w:r>
              <w:rPr>
                <w:rFonts w:ascii="Arial" w:hAnsi="Arial" w:cs="Arial"/>
                <w:sz w:val="24"/>
                <w:szCs w:val="24"/>
              </w:rPr>
              <w:t>(dementia care) and End of Life</w:t>
            </w:r>
          </w:p>
          <w:p w:rsidR="00B436F8" w:rsidRDefault="006840EA"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 xml:space="preserve">Maintaining and driving up </w:t>
            </w:r>
            <w:r w:rsidR="00B436F8">
              <w:rPr>
                <w:rFonts w:ascii="Arial" w:hAnsi="Arial" w:cs="Arial"/>
                <w:sz w:val="24"/>
                <w:szCs w:val="24"/>
              </w:rPr>
              <w:t>quality</w:t>
            </w:r>
          </w:p>
          <w:p w:rsidR="00B436F8" w:rsidRDefault="00B436F8" w:rsidP="006840EA">
            <w:pPr>
              <w:pStyle w:val="ListParagraph"/>
              <w:spacing w:after="0" w:line="240" w:lineRule="auto"/>
              <w:ind w:left="360"/>
              <w:rPr>
                <w:rFonts w:ascii="Arial" w:hAnsi="Arial" w:cs="Arial"/>
                <w:sz w:val="24"/>
                <w:szCs w:val="24"/>
              </w:rPr>
            </w:pPr>
          </w:p>
          <w:p w:rsidR="006840EA" w:rsidRDefault="00B436F8"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Identify gaps in service provision, with reasons and impact i.e. </w:t>
            </w:r>
          </w:p>
          <w:p w:rsidR="006840EA" w:rsidRDefault="006840EA"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Avoidable hospital admissions</w:t>
            </w:r>
          </w:p>
          <w:p w:rsidR="006840EA" w:rsidRDefault="006840EA"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D</w:t>
            </w:r>
            <w:r w:rsidR="00B436F8">
              <w:rPr>
                <w:rFonts w:ascii="Arial" w:hAnsi="Arial" w:cs="Arial"/>
                <w:sz w:val="24"/>
                <w:szCs w:val="24"/>
              </w:rPr>
              <w:t xml:space="preserve">elayed discharges from hospital  </w:t>
            </w:r>
          </w:p>
          <w:p w:rsidR="00B436F8" w:rsidRDefault="00B436F8" w:rsidP="006840EA">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Where in the county is additional care capacity required to meet future demand?</w:t>
            </w:r>
          </w:p>
          <w:p w:rsidR="00B436F8" w:rsidRDefault="00B436F8" w:rsidP="006840EA">
            <w:pPr>
              <w:pStyle w:val="ListParagraph"/>
              <w:spacing w:after="0" w:line="240" w:lineRule="auto"/>
              <w:ind w:left="360"/>
              <w:rPr>
                <w:rFonts w:ascii="Arial" w:hAnsi="Arial" w:cs="Arial"/>
                <w:sz w:val="24"/>
                <w:szCs w:val="24"/>
              </w:rPr>
            </w:pPr>
          </w:p>
          <w:p w:rsidR="00B436F8" w:rsidRDefault="009553F9"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Assess the costs of care; </w:t>
            </w:r>
            <w:r w:rsidR="00B436F8">
              <w:rPr>
                <w:rFonts w:ascii="Arial" w:hAnsi="Arial" w:cs="Arial"/>
                <w:sz w:val="24"/>
                <w:szCs w:val="24"/>
              </w:rPr>
              <w:t>ensuring appropriately resource</w:t>
            </w:r>
            <w:r>
              <w:rPr>
                <w:rFonts w:ascii="Arial" w:hAnsi="Arial" w:cs="Arial"/>
                <w:sz w:val="24"/>
                <w:szCs w:val="24"/>
              </w:rPr>
              <w:t>d</w:t>
            </w:r>
            <w:r w:rsidR="00B436F8">
              <w:rPr>
                <w:rFonts w:ascii="Arial" w:hAnsi="Arial" w:cs="Arial"/>
                <w:sz w:val="24"/>
                <w:szCs w:val="24"/>
              </w:rPr>
              <w:t xml:space="preserve"> care and support  to provide quality services</w:t>
            </w:r>
          </w:p>
          <w:p w:rsidR="00B436F8" w:rsidRDefault="00B436F8" w:rsidP="006840EA">
            <w:pPr>
              <w:pStyle w:val="ListParagraph"/>
              <w:spacing w:after="0" w:line="240" w:lineRule="auto"/>
              <w:ind w:left="360"/>
              <w:rPr>
                <w:rFonts w:ascii="Arial" w:hAnsi="Arial" w:cs="Arial"/>
                <w:sz w:val="24"/>
                <w:szCs w:val="24"/>
              </w:rPr>
            </w:pPr>
          </w:p>
          <w:p w:rsidR="00B436F8" w:rsidRDefault="00B436F8"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Assess the impact of Personal Health Budgets, Individual Service Funds and Direct Payments</w:t>
            </w:r>
          </w:p>
          <w:p w:rsidR="00B436F8" w:rsidRDefault="00B436F8" w:rsidP="009553F9">
            <w:pPr>
              <w:pStyle w:val="ListParagraph"/>
              <w:spacing w:after="0" w:line="240" w:lineRule="auto"/>
              <w:ind w:left="360"/>
              <w:rPr>
                <w:rFonts w:ascii="Arial" w:hAnsi="Arial" w:cs="Arial"/>
                <w:sz w:val="24"/>
                <w:szCs w:val="24"/>
              </w:rPr>
            </w:pPr>
          </w:p>
          <w:p w:rsidR="00B436F8" w:rsidRDefault="00B436F8"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Identify and understand the role and impact of services and support provided by voluntary, community services, supported housing providers, and other groups that make up ‘community assets.’   How can we make sure that the services are provided in a more joined-up way with other services?</w:t>
            </w:r>
          </w:p>
          <w:p w:rsidR="00B436F8" w:rsidRDefault="00B436F8" w:rsidP="009553F9">
            <w:pPr>
              <w:pStyle w:val="ListParagraph"/>
              <w:spacing w:after="0" w:line="240" w:lineRule="auto"/>
              <w:ind w:left="360"/>
              <w:rPr>
                <w:rFonts w:ascii="Arial" w:hAnsi="Arial" w:cs="Arial"/>
                <w:sz w:val="24"/>
                <w:szCs w:val="24"/>
              </w:rPr>
            </w:pPr>
          </w:p>
          <w:p w:rsidR="00B436F8" w:rsidRDefault="00B436F8"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Identify ‘best practice’ examples from commissioning approaches elsewhere and from the local </w:t>
            </w:r>
            <w:r>
              <w:rPr>
                <w:rFonts w:ascii="Arial" w:hAnsi="Arial" w:cs="Arial"/>
                <w:sz w:val="24"/>
                <w:szCs w:val="24"/>
              </w:rPr>
              <w:lastRenderedPageBreak/>
              <w:t xml:space="preserve">market.  </w:t>
            </w:r>
          </w:p>
          <w:p w:rsidR="00B436F8" w:rsidRDefault="00B436F8" w:rsidP="009553F9">
            <w:pPr>
              <w:pStyle w:val="ListParagraph"/>
              <w:spacing w:after="0" w:line="240" w:lineRule="auto"/>
              <w:ind w:left="360"/>
              <w:rPr>
                <w:rFonts w:ascii="Arial" w:hAnsi="Arial" w:cs="Arial"/>
                <w:sz w:val="24"/>
                <w:szCs w:val="24"/>
              </w:rPr>
            </w:pPr>
          </w:p>
          <w:p w:rsidR="00B436F8" w:rsidRDefault="00B436F8"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Identify innovation opportunities for service development and efficiencies through co-production and joint commissioning </w:t>
            </w:r>
            <w:r w:rsidR="009553F9">
              <w:rPr>
                <w:rFonts w:ascii="Arial" w:hAnsi="Arial" w:cs="Arial"/>
                <w:sz w:val="24"/>
                <w:szCs w:val="24"/>
              </w:rPr>
              <w:t>i.e.</w:t>
            </w:r>
            <w:r>
              <w:rPr>
                <w:rFonts w:ascii="Arial" w:hAnsi="Arial" w:cs="Arial"/>
                <w:sz w:val="24"/>
                <w:szCs w:val="24"/>
              </w:rPr>
              <w:t xml:space="preserve"> nursing care provided in residential settings, step up / down / cross service capacity according to need.</w:t>
            </w:r>
          </w:p>
          <w:p w:rsidR="00B436F8" w:rsidRDefault="00B436F8" w:rsidP="009553F9">
            <w:pPr>
              <w:pStyle w:val="ListParagraph"/>
              <w:spacing w:after="0" w:line="240" w:lineRule="auto"/>
              <w:ind w:left="360"/>
              <w:rPr>
                <w:rFonts w:ascii="Arial" w:hAnsi="Arial" w:cs="Arial"/>
                <w:sz w:val="24"/>
                <w:szCs w:val="24"/>
              </w:rPr>
            </w:pPr>
          </w:p>
          <w:p w:rsidR="00B436F8" w:rsidRDefault="009553F9" w:rsidP="006840EA">
            <w:pPr>
              <w:pStyle w:val="ListParagraph"/>
              <w:numPr>
                <w:ilvl w:val="0"/>
                <w:numId w:val="10"/>
              </w:numPr>
              <w:spacing w:after="0" w:line="240" w:lineRule="auto"/>
              <w:rPr>
                <w:rFonts w:ascii="Arial" w:hAnsi="Arial" w:cs="Arial"/>
                <w:sz w:val="24"/>
                <w:szCs w:val="24"/>
              </w:rPr>
            </w:pPr>
            <w:r>
              <w:rPr>
                <w:rFonts w:ascii="Arial" w:hAnsi="Arial" w:cs="Arial"/>
                <w:sz w:val="24"/>
                <w:szCs w:val="24"/>
              </w:rPr>
              <w:t>Ensure ‘future proofing’ suggestions a</w:t>
            </w:r>
            <w:r w:rsidR="00B436F8">
              <w:rPr>
                <w:rFonts w:ascii="Arial" w:hAnsi="Arial" w:cs="Arial"/>
                <w:sz w:val="24"/>
                <w:szCs w:val="24"/>
              </w:rPr>
              <w:t>lign with and support the system (commissioners and providers) in the shaping and development of the future integrated health and care model</w:t>
            </w:r>
            <w:r>
              <w:rPr>
                <w:rFonts w:ascii="Arial" w:hAnsi="Arial" w:cs="Arial"/>
                <w:sz w:val="24"/>
                <w:szCs w:val="24"/>
              </w:rPr>
              <w:t>s</w:t>
            </w:r>
            <w:r w:rsidR="00B436F8">
              <w:rPr>
                <w:rFonts w:ascii="Arial" w:hAnsi="Arial" w:cs="Arial"/>
                <w:sz w:val="24"/>
                <w:szCs w:val="24"/>
              </w:rPr>
              <w:t xml:space="preserve"> as described in the emerging ‘Sustainability and Transformation Plan’.</w:t>
            </w:r>
          </w:p>
          <w:p w:rsidR="00B436F8" w:rsidRDefault="00B436F8" w:rsidP="0053111A">
            <w:pPr>
              <w:rPr>
                <w:rFonts w:ascii="Arial" w:hAnsi="Arial" w:cs="Arial"/>
                <w:b/>
              </w:rPr>
            </w:pPr>
          </w:p>
        </w:tc>
      </w:tr>
      <w:tr w:rsidR="00B436F8" w:rsidTr="00DC7714">
        <w:tc>
          <w:tcPr>
            <w:tcW w:w="10682" w:type="dxa"/>
            <w:shd w:val="clear" w:color="auto" w:fill="D6E3BC" w:themeFill="accent3" w:themeFillTint="66"/>
          </w:tcPr>
          <w:p w:rsidR="00B436F8" w:rsidRDefault="00B436F8" w:rsidP="00DC7714">
            <w:pPr>
              <w:spacing w:before="120" w:after="120"/>
              <w:rPr>
                <w:rFonts w:ascii="Arial" w:hAnsi="Arial" w:cs="Arial"/>
                <w:b/>
              </w:rPr>
            </w:pPr>
            <w:r w:rsidRPr="00DC7714">
              <w:rPr>
                <w:rFonts w:ascii="Arial" w:hAnsi="Arial" w:cs="Arial"/>
                <w:b/>
                <w:caps/>
              </w:rPr>
              <w:lastRenderedPageBreak/>
              <w:t>Approach</w:t>
            </w:r>
          </w:p>
        </w:tc>
      </w:tr>
      <w:tr w:rsidR="00B436F8" w:rsidTr="00B436F8">
        <w:tc>
          <w:tcPr>
            <w:tcW w:w="10682" w:type="dxa"/>
          </w:tcPr>
          <w:p w:rsidR="009553F9" w:rsidRDefault="009553F9" w:rsidP="009553F9">
            <w:pPr>
              <w:pStyle w:val="ListParagraph"/>
              <w:spacing w:after="0" w:line="240" w:lineRule="auto"/>
              <w:ind w:left="360"/>
              <w:rPr>
                <w:rFonts w:ascii="Arial" w:hAnsi="Arial" w:cs="Arial"/>
                <w:sz w:val="24"/>
                <w:szCs w:val="24"/>
              </w:rPr>
            </w:pPr>
          </w:p>
          <w:p w:rsidR="00B436F8" w:rsidRPr="009553F9" w:rsidRDefault="00B436F8" w:rsidP="009553F9">
            <w:pPr>
              <w:pStyle w:val="ListParagraph"/>
              <w:numPr>
                <w:ilvl w:val="0"/>
                <w:numId w:val="10"/>
              </w:numPr>
              <w:spacing w:after="0" w:line="240" w:lineRule="auto"/>
              <w:rPr>
                <w:rFonts w:ascii="Arial" w:hAnsi="Arial" w:cs="Arial"/>
                <w:sz w:val="24"/>
                <w:szCs w:val="24"/>
              </w:rPr>
            </w:pPr>
            <w:r w:rsidRPr="009553F9">
              <w:rPr>
                <w:rFonts w:ascii="Arial" w:hAnsi="Arial" w:cs="Arial"/>
                <w:sz w:val="24"/>
                <w:szCs w:val="24"/>
              </w:rPr>
              <w:t>This work will need to be undertaken using a variety of methods, including;</w:t>
            </w:r>
          </w:p>
          <w:p w:rsidR="00B436F8" w:rsidRDefault="00B436F8" w:rsidP="00B436F8">
            <w:pPr>
              <w:widowControl w:val="0"/>
              <w:rPr>
                <w:rFonts w:ascii="Arial" w:hAnsi="Arial" w:cs="Arial"/>
              </w:rPr>
            </w:pPr>
          </w:p>
          <w:p w:rsidR="00B436F8" w:rsidRDefault="00B436F8" w:rsidP="009553F9">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Analysis and synthesis of Suffolk care market data  / information;</w:t>
            </w:r>
          </w:p>
          <w:p w:rsidR="00B436F8" w:rsidRDefault="00B436F8" w:rsidP="009553F9">
            <w:pPr>
              <w:pStyle w:val="ListParagraph"/>
              <w:numPr>
                <w:ilvl w:val="2"/>
                <w:numId w:val="12"/>
              </w:numPr>
              <w:spacing w:after="0" w:line="240" w:lineRule="auto"/>
              <w:ind w:left="993" w:hanging="284"/>
              <w:rPr>
                <w:rFonts w:ascii="Arial" w:hAnsi="Arial" w:cs="Arial"/>
                <w:sz w:val="24"/>
                <w:szCs w:val="24"/>
              </w:rPr>
            </w:pPr>
            <w:r>
              <w:rPr>
                <w:rFonts w:ascii="Arial" w:hAnsi="Arial" w:cs="Arial"/>
                <w:sz w:val="24"/>
                <w:szCs w:val="24"/>
              </w:rPr>
              <w:t>Commissioner data / information</w:t>
            </w:r>
          </w:p>
          <w:p w:rsidR="00B436F8" w:rsidRDefault="00B436F8" w:rsidP="009553F9">
            <w:pPr>
              <w:pStyle w:val="ListParagraph"/>
              <w:numPr>
                <w:ilvl w:val="2"/>
                <w:numId w:val="12"/>
              </w:numPr>
              <w:spacing w:after="0" w:line="240" w:lineRule="auto"/>
              <w:ind w:left="993" w:hanging="284"/>
              <w:rPr>
                <w:rFonts w:ascii="Arial" w:hAnsi="Arial" w:cs="Arial"/>
                <w:sz w:val="24"/>
                <w:szCs w:val="24"/>
              </w:rPr>
            </w:pPr>
            <w:r>
              <w:rPr>
                <w:rFonts w:ascii="Arial" w:hAnsi="Arial" w:cs="Arial"/>
                <w:sz w:val="24"/>
                <w:szCs w:val="24"/>
              </w:rPr>
              <w:t>Care provider data / information</w:t>
            </w:r>
          </w:p>
          <w:p w:rsidR="00B436F8" w:rsidRDefault="00B436F8" w:rsidP="009553F9">
            <w:pPr>
              <w:pStyle w:val="ListParagraph"/>
              <w:numPr>
                <w:ilvl w:val="2"/>
                <w:numId w:val="12"/>
              </w:numPr>
              <w:spacing w:after="0" w:line="240" w:lineRule="auto"/>
              <w:ind w:left="993" w:hanging="284"/>
              <w:rPr>
                <w:rFonts w:ascii="Arial" w:hAnsi="Arial" w:cs="Arial"/>
                <w:sz w:val="24"/>
                <w:szCs w:val="24"/>
              </w:rPr>
            </w:pPr>
            <w:r>
              <w:rPr>
                <w:rFonts w:ascii="Arial" w:hAnsi="Arial" w:cs="Arial"/>
                <w:sz w:val="24"/>
                <w:szCs w:val="24"/>
              </w:rPr>
              <w:t xml:space="preserve">Other sources i.e. CCN Report, Valuing Care, </w:t>
            </w:r>
            <w:proofErr w:type="gramStart"/>
            <w:r>
              <w:rPr>
                <w:rFonts w:ascii="Arial" w:hAnsi="Arial" w:cs="Arial"/>
                <w:sz w:val="24"/>
                <w:szCs w:val="24"/>
              </w:rPr>
              <w:t>NMDS</w:t>
            </w:r>
            <w:proofErr w:type="gramEnd"/>
            <w:r>
              <w:rPr>
                <w:rFonts w:ascii="Arial" w:hAnsi="Arial" w:cs="Arial"/>
                <w:sz w:val="24"/>
                <w:szCs w:val="24"/>
              </w:rPr>
              <w:t xml:space="preserve">.  </w:t>
            </w:r>
          </w:p>
          <w:p w:rsidR="009553F9" w:rsidRDefault="009553F9" w:rsidP="009553F9">
            <w:pPr>
              <w:pStyle w:val="ListParagraph"/>
              <w:spacing w:after="0" w:line="240" w:lineRule="auto"/>
              <w:ind w:left="709"/>
              <w:rPr>
                <w:rFonts w:ascii="Arial" w:hAnsi="Arial" w:cs="Arial"/>
                <w:sz w:val="24"/>
                <w:szCs w:val="24"/>
              </w:rPr>
            </w:pPr>
          </w:p>
          <w:p w:rsidR="00B436F8" w:rsidRDefault="00B436F8" w:rsidP="009553F9">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Use of mapping tools – geographical distribution of residential and nursing homes</w:t>
            </w:r>
          </w:p>
          <w:p w:rsidR="00B436F8" w:rsidRDefault="00B436F8" w:rsidP="009553F9">
            <w:pPr>
              <w:pStyle w:val="ListParagraph"/>
              <w:spacing w:after="0" w:line="240" w:lineRule="auto"/>
              <w:ind w:left="709"/>
              <w:rPr>
                <w:rFonts w:ascii="Arial" w:hAnsi="Arial" w:cs="Arial"/>
                <w:sz w:val="24"/>
                <w:szCs w:val="24"/>
              </w:rPr>
            </w:pPr>
          </w:p>
          <w:p w:rsidR="00B436F8" w:rsidRDefault="00B436F8" w:rsidP="009553F9">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 xml:space="preserve">Desktop research to identify local, regional and national issues affecting the care market </w:t>
            </w:r>
          </w:p>
          <w:p w:rsidR="009553F9" w:rsidRDefault="009553F9" w:rsidP="009553F9">
            <w:pPr>
              <w:pStyle w:val="ListParagraph"/>
              <w:spacing w:after="0" w:line="240" w:lineRule="auto"/>
              <w:ind w:left="709"/>
              <w:rPr>
                <w:rFonts w:ascii="Arial" w:hAnsi="Arial" w:cs="Arial"/>
                <w:sz w:val="24"/>
                <w:szCs w:val="24"/>
              </w:rPr>
            </w:pPr>
          </w:p>
          <w:p w:rsidR="00B436F8" w:rsidRDefault="00B436F8" w:rsidP="009553F9">
            <w:pPr>
              <w:pStyle w:val="ListParagraph"/>
              <w:numPr>
                <w:ilvl w:val="1"/>
                <w:numId w:val="12"/>
              </w:numPr>
              <w:spacing w:after="0" w:line="240" w:lineRule="auto"/>
              <w:ind w:left="709" w:hanging="283"/>
              <w:rPr>
                <w:rFonts w:ascii="Arial" w:hAnsi="Arial" w:cs="Arial"/>
                <w:sz w:val="24"/>
                <w:szCs w:val="24"/>
              </w:rPr>
            </w:pPr>
            <w:r>
              <w:rPr>
                <w:rFonts w:ascii="Arial" w:hAnsi="Arial" w:cs="Arial"/>
                <w:sz w:val="24"/>
                <w:szCs w:val="24"/>
              </w:rPr>
              <w:t>Direct engagement with; stakeholders, i.e. service users, their families and carers, care providers, other ‘community assets’ providers and commissioners – through a combination of one to one interviews, workshops and questionnaires</w:t>
            </w:r>
            <w:r w:rsidR="009553F9">
              <w:rPr>
                <w:rFonts w:ascii="Arial" w:hAnsi="Arial" w:cs="Arial"/>
                <w:sz w:val="24"/>
                <w:szCs w:val="24"/>
              </w:rPr>
              <w:t>.</w:t>
            </w:r>
          </w:p>
          <w:p w:rsidR="00B436F8" w:rsidRDefault="00B436F8" w:rsidP="0053111A">
            <w:pPr>
              <w:rPr>
                <w:rFonts w:ascii="Arial" w:hAnsi="Arial" w:cs="Arial"/>
                <w:b/>
              </w:rPr>
            </w:pPr>
          </w:p>
        </w:tc>
      </w:tr>
    </w:tbl>
    <w:p w:rsidR="00297A86" w:rsidRDefault="00297A86"/>
    <w:sectPr w:rsidR="00297A86" w:rsidSect="00B436F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EA" w:rsidRDefault="006840EA" w:rsidP="0053111A">
      <w:r>
        <w:separator/>
      </w:r>
    </w:p>
  </w:endnote>
  <w:endnote w:type="continuationSeparator" w:id="0">
    <w:p w:rsidR="006840EA" w:rsidRDefault="006840EA" w:rsidP="0053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EA" w:rsidRDefault="006840EA" w:rsidP="0053111A">
      <w:r>
        <w:separator/>
      </w:r>
    </w:p>
  </w:footnote>
  <w:footnote w:type="continuationSeparator" w:id="0">
    <w:p w:rsidR="006840EA" w:rsidRDefault="006840EA" w:rsidP="0053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EA" w:rsidRDefault="006840EA" w:rsidP="004A7745">
    <w:pPr>
      <w:pStyle w:val="Header"/>
      <w:tabs>
        <w:tab w:val="clear" w:pos="9026"/>
        <w:tab w:val="right" w:pos="10490"/>
      </w:tabs>
    </w:pPr>
    <w:r>
      <w:rPr>
        <w:noProof/>
        <w:lang w:eastAsia="en-GB"/>
      </w:rPr>
      <w:drawing>
        <wp:inline distT="0" distB="0" distL="0" distR="0">
          <wp:extent cx="1549908" cy="4709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jpg"/>
                  <pic:cNvPicPr/>
                </pic:nvPicPr>
                <pic:blipFill>
                  <a:blip r:embed="rId1">
                    <a:extLst>
                      <a:ext uri="{28A0092B-C50C-407E-A947-70E740481C1C}">
                        <a14:useLocalDpi xmlns:a14="http://schemas.microsoft.com/office/drawing/2010/main" val="0"/>
                      </a:ext>
                    </a:extLst>
                  </a:blip>
                  <a:stretch>
                    <a:fillRect/>
                  </a:stretch>
                </pic:blipFill>
                <pic:spPr>
                  <a:xfrm>
                    <a:off x="0" y="0"/>
                    <a:ext cx="1549908" cy="470916"/>
                  </a:xfrm>
                  <a:prstGeom prst="rect">
                    <a:avLst/>
                  </a:prstGeom>
                </pic:spPr>
              </pic:pic>
            </a:graphicData>
          </a:graphic>
        </wp:inline>
      </w:drawing>
    </w:r>
    <w:r>
      <w:tab/>
    </w:r>
    <w:r>
      <w:tab/>
    </w:r>
    <w:r>
      <w:rPr>
        <w:noProof/>
        <w:lang w:eastAsia="en-GB"/>
      </w:rPr>
      <w:drawing>
        <wp:inline distT="0" distB="0" distL="0" distR="0">
          <wp:extent cx="1193367" cy="48535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a:blip r:embed="rId2">
                    <a:extLst>
                      <a:ext uri="{28A0092B-C50C-407E-A947-70E740481C1C}">
                        <a14:useLocalDpi xmlns:a14="http://schemas.microsoft.com/office/drawing/2010/main" val="0"/>
                      </a:ext>
                    </a:extLst>
                  </a:blip>
                  <a:stretch>
                    <a:fillRect/>
                  </a:stretch>
                </pic:blipFill>
                <pic:spPr>
                  <a:xfrm>
                    <a:off x="0" y="0"/>
                    <a:ext cx="1196341" cy="486563"/>
                  </a:xfrm>
                  <a:prstGeom prst="rect">
                    <a:avLst/>
                  </a:prstGeom>
                </pic:spPr>
              </pic:pic>
            </a:graphicData>
          </a:graphic>
        </wp:inline>
      </w:drawing>
    </w:r>
  </w:p>
  <w:p w:rsidR="006840EA" w:rsidRDefault="006840EA" w:rsidP="004A7745">
    <w:pPr>
      <w:pStyle w:val="Header"/>
      <w:tabs>
        <w:tab w:val="clear" w:pos="9026"/>
        <w:tab w:val="right" w:pos="10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E54"/>
    <w:multiLevelType w:val="hybridMultilevel"/>
    <w:tmpl w:val="E32488B4"/>
    <w:lvl w:ilvl="0" w:tplc="7E88AA9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182F6B6F"/>
    <w:multiLevelType w:val="hybridMultilevel"/>
    <w:tmpl w:val="67DE1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604E0F"/>
    <w:multiLevelType w:val="hybridMultilevel"/>
    <w:tmpl w:val="C1243E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6700C1"/>
    <w:multiLevelType w:val="hybridMultilevel"/>
    <w:tmpl w:val="40521A8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4">
    <w:nsid w:val="31AA76A4"/>
    <w:multiLevelType w:val="hybridMultilevel"/>
    <w:tmpl w:val="9564B06E"/>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457C42"/>
    <w:multiLevelType w:val="hybridMultilevel"/>
    <w:tmpl w:val="7742B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C4034EB"/>
    <w:multiLevelType w:val="hybridMultilevel"/>
    <w:tmpl w:val="7D884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3C4E464">
      <w:start w:val="1"/>
      <w:numFmt w:val="bullet"/>
      <w:lvlText w:val="-"/>
      <w:lvlJc w:val="left"/>
      <w:pPr>
        <w:ind w:left="1800" w:hanging="180"/>
      </w:pPr>
      <w:rPr>
        <w:rFonts w:ascii="Arial" w:eastAsia="Calibr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A760EB"/>
    <w:multiLevelType w:val="hybridMultilevel"/>
    <w:tmpl w:val="DB5855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413F47"/>
    <w:multiLevelType w:val="hybridMultilevel"/>
    <w:tmpl w:val="8E9A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A250969"/>
    <w:multiLevelType w:val="hybridMultilevel"/>
    <w:tmpl w:val="943675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61222733"/>
    <w:multiLevelType w:val="hybridMultilevel"/>
    <w:tmpl w:val="8FD8C216"/>
    <w:lvl w:ilvl="0" w:tplc="B3C4E464">
      <w:start w:val="1"/>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1A"/>
    <w:rsid w:val="00297A86"/>
    <w:rsid w:val="003F065A"/>
    <w:rsid w:val="004A5424"/>
    <w:rsid w:val="004A7745"/>
    <w:rsid w:val="0053111A"/>
    <w:rsid w:val="006840EA"/>
    <w:rsid w:val="00843B5E"/>
    <w:rsid w:val="009553F9"/>
    <w:rsid w:val="00B436F8"/>
    <w:rsid w:val="00DB3292"/>
    <w:rsid w:val="00DC7714"/>
    <w:rsid w:val="00F7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1A"/>
    <w:pPr>
      <w:spacing w:after="200" w:line="276"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53111A"/>
    <w:rPr>
      <w:vertAlign w:val="superscript"/>
    </w:rPr>
  </w:style>
  <w:style w:type="paragraph" w:styleId="Header">
    <w:name w:val="header"/>
    <w:basedOn w:val="Normal"/>
    <w:link w:val="HeaderChar"/>
    <w:uiPriority w:val="99"/>
    <w:unhideWhenUsed/>
    <w:rsid w:val="0053111A"/>
    <w:pPr>
      <w:tabs>
        <w:tab w:val="center" w:pos="4513"/>
        <w:tab w:val="right" w:pos="9026"/>
      </w:tabs>
    </w:pPr>
  </w:style>
  <w:style w:type="character" w:customStyle="1" w:styleId="HeaderChar">
    <w:name w:val="Header Char"/>
    <w:basedOn w:val="DefaultParagraphFont"/>
    <w:link w:val="Header"/>
    <w:uiPriority w:val="99"/>
    <w:rsid w:val="005311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11A"/>
    <w:pPr>
      <w:tabs>
        <w:tab w:val="center" w:pos="4513"/>
        <w:tab w:val="right" w:pos="9026"/>
      </w:tabs>
    </w:pPr>
  </w:style>
  <w:style w:type="character" w:customStyle="1" w:styleId="FooterChar">
    <w:name w:val="Footer Char"/>
    <w:basedOn w:val="DefaultParagraphFont"/>
    <w:link w:val="Footer"/>
    <w:uiPriority w:val="99"/>
    <w:rsid w:val="005311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424"/>
    <w:rPr>
      <w:rFonts w:ascii="Tahoma" w:hAnsi="Tahoma" w:cs="Tahoma"/>
      <w:sz w:val="16"/>
      <w:szCs w:val="16"/>
    </w:rPr>
  </w:style>
  <w:style w:type="character" w:customStyle="1" w:styleId="BalloonTextChar">
    <w:name w:val="Balloon Text Char"/>
    <w:basedOn w:val="DefaultParagraphFont"/>
    <w:link w:val="BalloonText"/>
    <w:uiPriority w:val="99"/>
    <w:semiHidden/>
    <w:rsid w:val="004A5424"/>
    <w:rPr>
      <w:rFonts w:ascii="Tahoma" w:eastAsia="Times New Roman" w:hAnsi="Tahoma" w:cs="Tahoma"/>
      <w:sz w:val="16"/>
      <w:szCs w:val="16"/>
    </w:rPr>
  </w:style>
  <w:style w:type="table" w:styleId="TableGrid">
    <w:name w:val="Table Grid"/>
    <w:basedOn w:val="TableNormal"/>
    <w:uiPriority w:val="59"/>
    <w:rsid w:val="00B4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1A"/>
    <w:pPr>
      <w:spacing w:after="200" w:line="276"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53111A"/>
    <w:rPr>
      <w:vertAlign w:val="superscript"/>
    </w:rPr>
  </w:style>
  <w:style w:type="paragraph" w:styleId="Header">
    <w:name w:val="header"/>
    <w:basedOn w:val="Normal"/>
    <w:link w:val="HeaderChar"/>
    <w:uiPriority w:val="99"/>
    <w:unhideWhenUsed/>
    <w:rsid w:val="0053111A"/>
    <w:pPr>
      <w:tabs>
        <w:tab w:val="center" w:pos="4513"/>
        <w:tab w:val="right" w:pos="9026"/>
      </w:tabs>
    </w:pPr>
  </w:style>
  <w:style w:type="character" w:customStyle="1" w:styleId="HeaderChar">
    <w:name w:val="Header Char"/>
    <w:basedOn w:val="DefaultParagraphFont"/>
    <w:link w:val="Header"/>
    <w:uiPriority w:val="99"/>
    <w:rsid w:val="005311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11A"/>
    <w:pPr>
      <w:tabs>
        <w:tab w:val="center" w:pos="4513"/>
        <w:tab w:val="right" w:pos="9026"/>
      </w:tabs>
    </w:pPr>
  </w:style>
  <w:style w:type="character" w:customStyle="1" w:styleId="FooterChar">
    <w:name w:val="Footer Char"/>
    <w:basedOn w:val="DefaultParagraphFont"/>
    <w:link w:val="Footer"/>
    <w:uiPriority w:val="99"/>
    <w:rsid w:val="005311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424"/>
    <w:rPr>
      <w:rFonts w:ascii="Tahoma" w:hAnsi="Tahoma" w:cs="Tahoma"/>
      <w:sz w:val="16"/>
      <w:szCs w:val="16"/>
    </w:rPr>
  </w:style>
  <w:style w:type="character" w:customStyle="1" w:styleId="BalloonTextChar">
    <w:name w:val="Balloon Text Char"/>
    <w:basedOn w:val="DefaultParagraphFont"/>
    <w:link w:val="BalloonText"/>
    <w:uiPriority w:val="99"/>
    <w:semiHidden/>
    <w:rsid w:val="004A5424"/>
    <w:rPr>
      <w:rFonts w:ascii="Tahoma" w:eastAsia="Times New Roman" w:hAnsi="Tahoma" w:cs="Tahoma"/>
      <w:sz w:val="16"/>
      <w:szCs w:val="16"/>
    </w:rPr>
  </w:style>
  <w:style w:type="table" w:styleId="TableGrid">
    <w:name w:val="Table Grid"/>
    <w:basedOn w:val="TableNormal"/>
    <w:uiPriority w:val="59"/>
    <w:rsid w:val="00B4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Guy</dc:creator>
  <cp:lastModifiedBy>Garnett Jane (Suffolk NHS)</cp:lastModifiedBy>
  <cp:revision>2</cp:revision>
  <cp:lastPrinted>2016-02-12T12:34:00Z</cp:lastPrinted>
  <dcterms:created xsi:type="dcterms:W3CDTF">2016-02-26T10:01:00Z</dcterms:created>
  <dcterms:modified xsi:type="dcterms:W3CDTF">2016-02-26T10:01:00Z</dcterms:modified>
</cp:coreProperties>
</file>