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A5F" w:rsidRDefault="00A72A5F" w:rsidP="00A72A5F">
      <w:pPr>
        <w:rPr>
          <w:rFonts w:ascii="Arial" w:hAnsi="Arial" w:cs="Arial"/>
          <w:b/>
          <w:sz w:val="22"/>
          <w:szCs w:val="22"/>
        </w:rPr>
      </w:pPr>
      <w:r>
        <w:rPr>
          <w:rFonts w:ascii="Arial" w:hAnsi="Arial" w:cs="Arial"/>
          <w:b/>
          <w:sz w:val="22"/>
          <w:szCs w:val="22"/>
        </w:rPr>
        <w:t>Details Of Information Redacted From Published Version Of Contract P2G/0460</w:t>
      </w:r>
    </w:p>
    <w:p w:rsidR="00746779" w:rsidRDefault="00746779" w:rsidP="00445634"/>
    <w:p w:rsidR="00A72A5F" w:rsidRDefault="00A72A5F" w:rsidP="00A72A5F">
      <w:pPr>
        <w:rPr>
          <w:rFonts w:ascii="Arial" w:hAnsi="Arial" w:cs="Arial"/>
          <w:sz w:val="22"/>
          <w:szCs w:val="22"/>
        </w:rPr>
      </w:pPr>
      <w:r>
        <w:rPr>
          <w:rFonts w:ascii="Arial" w:hAnsi="Arial" w:cs="Arial"/>
          <w:b/>
          <w:sz w:val="22"/>
          <w:szCs w:val="22"/>
        </w:rPr>
        <w:t>All Documents</w:t>
      </w:r>
    </w:p>
    <w:p w:rsidR="00A72A5F" w:rsidRDefault="00A72A5F" w:rsidP="00A72A5F">
      <w:pPr>
        <w:rPr>
          <w:rFonts w:ascii="Arial" w:hAnsi="Arial" w:cs="Arial"/>
          <w:sz w:val="22"/>
          <w:szCs w:val="22"/>
        </w:rPr>
      </w:pPr>
      <w:r>
        <w:rPr>
          <w:rFonts w:ascii="Arial" w:hAnsi="Arial" w:cs="Arial"/>
          <w:sz w:val="22"/>
          <w:szCs w:val="22"/>
        </w:rPr>
        <w:t>Security Classification Removed</w:t>
      </w:r>
    </w:p>
    <w:p w:rsidR="00A72A5F" w:rsidRDefault="00A72A5F" w:rsidP="00445634"/>
    <w:p w:rsidR="00A72A5F" w:rsidRDefault="00A72A5F" w:rsidP="00A72A5F">
      <w:pPr>
        <w:rPr>
          <w:rFonts w:ascii="Arial" w:hAnsi="Arial" w:cs="Arial"/>
          <w:b/>
          <w:sz w:val="22"/>
          <w:szCs w:val="22"/>
        </w:rPr>
      </w:pPr>
      <w:r>
        <w:rPr>
          <w:rFonts w:ascii="Arial" w:hAnsi="Arial" w:cs="Arial"/>
          <w:b/>
          <w:sz w:val="22"/>
          <w:szCs w:val="22"/>
        </w:rPr>
        <w:t>Contract Terms And Conditions and Schedule Of Requirements</w:t>
      </w:r>
    </w:p>
    <w:p w:rsidR="00A72A5F" w:rsidRDefault="00A72A5F" w:rsidP="00A72A5F">
      <w:pPr>
        <w:rPr>
          <w:rFonts w:ascii="Arial" w:hAnsi="Arial" w:cs="Arial"/>
          <w:sz w:val="22"/>
          <w:szCs w:val="22"/>
        </w:rPr>
      </w:pPr>
    </w:p>
    <w:p w:rsidR="00BB6501" w:rsidRDefault="00BB6501" w:rsidP="00BB6501">
      <w:pPr>
        <w:rPr>
          <w:rFonts w:ascii="Arial" w:hAnsi="Arial" w:cs="Arial"/>
          <w:sz w:val="22"/>
          <w:szCs w:val="22"/>
        </w:rPr>
      </w:pPr>
      <w:r>
        <w:rPr>
          <w:rFonts w:ascii="Arial" w:hAnsi="Arial" w:cs="Arial"/>
          <w:sz w:val="22"/>
          <w:szCs w:val="22"/>
        </w:rPr>
        <w:t>Title page- Telephone numbers removed under the Freedom Of Information Act 2000, Section 40, Personal Information</w:t>
      </w:r>
    </w:p>
    <w:p w:rsidR="00BB6501" w:rsidRDefault="00BB6501" w:rsidP="00A72A5F">
      <w:pPr>
        <w:rPr>
          <w:rFonts w:ascii="Arial" w:hAnsi="Arial" w:cs="Arial"/>
          <w:sz w:val="22"/>
          <w:szCs w:val="22"/>
        </w:rPr>
      </w:pPr>
    </w:p>
    <w:p w:rsidR="00A72A5F" w:rsidRDefault="00A72A5F" w:rsidP="00A72A5F">
      <w:pPr>
        <w:rPr>
          <w:rFonts w:ascii="Arial" w:hAnsi="Arial" w:cs="Arial"/>
          <w:sz w:val="22"/>
          <w:szCs w:val="22"/>
        </w:rPr>
      </w:pPr>
      <w:r>
        <w:rPr>
          <w:rFonts w:ascii="Arial" w:hAnsi="Arial" w:cs="Arial"/>
          <w:sz w:val="22"/>
          <w:szCs w:val="22"/>
        </w:rPr>
        <w:t>Schedule 2- Prices removed under the Freedom Of Information Act 2000, Section 43, Commercial Interests</w:t>
      </w:r>
    </w:p>
    <w:p w:rsidR="00A72A5F" w:rsidRDefault="00A72A5F" w:rsidP="00A72A5F">
      <w:pPr>
        <w:rPr>
          <w:rFonts w:ascii="Arial" w:hAnsi="Arial" w:cs="Arial"/>
          <w:sz w:val="22"/>
          <w:szCs w:val="22"/>
        </w:rPr>
      </w:pPr>
    </w:p>
    <w:p w:rsidR="00A72A5F" w:rsidRDefault="00A72A5F" w:rsidP="00A72A5F">
      <w:pPr>
        <w:rPr>
          <w:rFonts w:ascii="Arial" w:hAnsi="Arial" w:cs="Arial"/>
          <w:sz w:val="22"/>
          <w:szCs w:val="22"/>
        </w:rPr>
      </w:pPr>
      <w:r>
        <w:rPr>
          <w:rFonts w:ascii="Arial" w:hAnsi="Arial" w:cs="Arial"/>
          <w:sz w:val="22"/>
          <w:szCs w:val="22"/>
        </w:rPr>
        <w:t>Schedule 3 K15.a- Limitation of Contractor’s Liability Values removed under the Freedom Of Information Act 2000, Section 43, Commercial Interests</w:t>
      </w:r>
    </w:p>
    <w:p w:rsidR="00A72A5F" w:rsidRDefault="00A72A5F" w:rsidP="00A72A5F">
      <w:pPr>
        <w:rPr>
          <w:rFonts w:ascii="Arial" w:hAnsi="Arial" w:cs="Arial"/>
          <w:sz w:val="22"/>
          <w:szCs w:val="22"/>
        </w:rPr>
      </w:pPr>
    </w:p>
    <w:p w:rsidR="00A72A5F" w:rsidRDefault="00A72A5F" w:rsidP="00A72A5F">
      <w:pPr>
        <w:rPr>
          <w:rFonts w:ascii="Arial" w:hAnsi="Arial" w:cs="Arial"/>
          <w:sz w:val="22"/>
          <w:szCs w:val="22"/>
        </w:rPr>
      </w:pPr>
      <w:r>
        <w:rPr>
          <w:rFonts w:ascii="Arial" w:hAnsi="Arial" w:cs="Arial"/>
          <w:sz w:val="22"/>
          <w:szCs w:val="22"/>
        </w:rPr>
        <w:t>Schedule 6- Personal Information removed under the Freedom Of Information Act 2000, Section 40, Personal Information</w:t>
      </w:r>
    </w:p>
    <w:p w:rsidR="00A72A5F" w:rsidRDefault="00A72A5F" w:rsidP="00A72A5F">
      <w:pPr>
        <w:rPr>
          <w:rFonts w:ascii="Arial" w:hAnsi="Arial" w:cs="Arial"/>
          <w:sz w:val="22"/>
          <w:szCs w:val="22"/>
        </w:rPr>
      </w:pPr>
    </w:p>
    <w:p w:rsidR="00A72A5F" w:rsidRDefault="00A72A5F" w:rsidP="00A72A5F">
      <w:pPr>
        <w:rPr>
          <w:rFonts w:ascii="Arial" w:hAnsi="Arial" w:cs="Arial"/>
          <w:sz w:val="22"/>
          <w:szCs w:val="22"/>
        </w:rPr>
      </w:pPr>
    </w:p>
    <w:p w:rsidR="00A72A5F" w:rsidRDefault="00A72A5F" w:rsidP="00A72A5F">
      <w:pPr>
        <w:rPr>
          <w:rFonts w:ascii="Arial" w:hAnsi="Arial" w:cs="Arial"/>
          <w:sz w:val="22"/>
          <w:szCs w:val="22"/>
        </w:rPr>
      </w:pPr>
    </w:p>
    <w:p w:rsidR="00A72A5F" w:rsidRDefault="00A72A5F" w:rsidP="00A72A5F">
      <w:pPr>
        <w:rPr>
          <w:rFonts w:ascii="Arial" w:hAnsi="Arial" w:cs="Arial"/>
          <w:sz w:val="22"/>
          <w:szCs w:val="22"/>
        </w:rPr>
      </w:pPr>
      <w:r w:rsidRPr="00A72A5F">
        <w:rPr>
          <w:rFonts w:ascii="Arial" w:hAnsi="Arial" w:cs="Arial"/>
          <w:sz w:val="22"/>
          <w:szCs w:val="22"/>
        </w:rPr>
        <w:t>A</w:t>
      </w:r>
      <w:r w:rsidRPr="00A72A5F">
        <w:rPr>
          <w:rFonts w:ascii="Arial" w:hAnsi="Arial" w:cs="Arial"/>
          <w:b/>
          <w:sz w:val="22"/>
          <w:szCs w:val="22"/>
        </w:rPr>
        <w:t>nnex A - Firm Prices For Repairable Assets Covered Under The Contract:</w:t>
      </w:r>
    </w:p>
    <w:p w:rsidR="00A72A5F" w:rsidRDefault="00A72A5F" w:rsidP="00A72A5F">
      <w:pPr>
        <w:rPr>
          <w:rFonts w:ascii="Arial" w:hAnsi="Arial" w:cs="Arial"/>
          <w:sz w:val="22"/>
          <w:szCs w:val="22"/>
        </w:rPr>
      </w:pPr>
    </w:p>
    <w:p w:rsidR="00A72A5F" w:rsidRDefault="00A72A5F" w:rsidP="00A72A5F">
      <w:pPr>
        <w:rPr>
          <w:rFonts w:ascii="Arial" w:hAnsi="Arial" w:cs="Arial"/>
          <w:sz w:val="22"/>
          <w:szCs w:val="22"/>
        </w:rPr>
      </w:pPr>
      <w:r>
        <w:rPr>
          <w:rFonts w:ascii="Arial" w:hAnsi="Arial" w:cs="Arial"/>
          <w:sz w:val="22"/>
          <w:szCs w:val="22"/>
        </w:rPr>
        <w:t>Prices removed under the Freedom Of Information Act 2000, Section 43, Commercial Interests</w:t>
      </w:r>
    </w:p>
    <w:p w:rsidR="00A72A5F" w:rsidRDefault="00A72A5F" w:rsidP="00A72A5F">
      <w:pPr>
        <w:rPr>
          <w:rFonts w:ascii="Arial" w:hAnsi="Arial" w:cs="Arial"/>
          <w:sz w:val="22"/>
          <w:szCs w:val="22"/>
        </w:rPr>
      </w:pPr>
      <w:r>
        <w:rPr>
          <w:rFonts w:ascii="Arial" w:hAnsi="Arial" w:cs="Arial"/>
          <w:sz w:val="22"/>
          <w:szCs w:val="22"/>
        </w:rPr>
        <w:t>Quantities removed under Freedom of Information Act 2000, Section 26, Defence</w:t>
      </w:r>
    </w:p>
    <w:p w:rsidR="00A72A5F" w:rsidRDefault="00A72A5F" w:rsidP="00445634"/>
    <w:p w:rsidR="00A72A5F" w:rsidRDefault="00A72A5F" w:rsidP="00A72A5F">
      <w:pPr>
        <w:rPr>
          <w:rFonts w:ascii="Arial" w:hAnsi="Arial" w:cs="Arial"/>
          <w:b/>
          <w:sz w:val="22"/>
        </w:rPr>
      </w:pPr>
      <w:r>
        <w:rPr>
          <w:rFonts w:ascii="Arial" w:hAnsi="Arial" w:cs="Arial"/>
          <w:b/>
          <w:sz w:val="22"/>
        </w:rPr>
        <w:t>Annex B – Firm P</w:t>
      </w:r>
      <w:r w:rsidRPr="00A72A5F">
        <w:rPr>
          <w:rFonts w:ascii="Arial" w:hAnsi="Arial" w:cs="Arial"/>
          <w:b/>
          <w:sz w:val="22"/>
        </w:rPr>
        <w:t>rices For Spares Purchased Under The Contract</w:t>
      </w:r>
    </w:p>
    <w:p w:rsidR="00A72A5F" w:rsidRDefault="00A72A5F" w:rsidP="00A72A5F">
      <w:pPr>
        <w:rPr>
          <w:rFonts w:ascii="Arial" w:hAnsi="Arial" w:cs="Arial"/>
          <w:sz w:val="22"/>
          <w:szCs w:val="22"/>
        </w:rPr>
      </w:pPr>
    </w:p>
    <w:p w:rsidR="00A72A5F" w:rsidRDefault="00A72A5F" w:rsidP="00A72A5F">
      <w:pPr>
        <w:rPr>
          <w:rFonts w:ascii="Arial" w:hAnsi="Arial" w:cs="Arial"/>
          <w:sz w:val="22"/>
          <w:szCs w:val="22"/>
        </w:rPr>
      </w:pPr>
      <w:r>
        <w:rPr>
          <w:rFonts w:ascii="Arial" w:hAnsi="Arial" w:cs="Arial"/>
          <w:sz w:val="22"/>
          <w:szCs w:val="22"/>
        </w:rPr>
        <w:t>Prices removed under the Freedom Of Information Act 2000, Section 43, Commercial Interests</w:t>
      </w:r>
    </w:p>
    <w:p w:rsidR="00A72A5F" w:rsidRDefault="00A72A5F" w:rsidP="00A72A5F">
      <w:pPr>
        <w:rPr>
          <w:rFonts w:ascii="Arial" w:hAnsi="Arial" w:cs="Arial"/>
          <w:sz w:val="22"/>
          <w:szCs w:val="22"/>
        </w:rPr>
      </w:pPr>
      <w:r>
        <w:rPr>
          <w:rFonts w:ascii="Arial" w:hAnsi="Arial" w:cs="Arial"/>
          <w:sz w:val="22"/>
          <w:szCs w:val="22"/>
        </w:rPr>
        <w:t>Quantities removed under Freedom of Information Act 2000, Section 26, Defence</w:t>
      </w:r>
    </w:p>
    <w:p w:rsidR="00A72A5F" w:rsidRDefault="00A72A5F" w:rsidP="00A72A5F">
      <w:pPr>
        <w:rPr>
          <w:rFonts w:ascii="Arial" w:hAnsi="Arial" w:cs="Arial"/>
          <w:b/>
          <w:sz w:val="22"/>
        </w:rPr>
      </w:pPr>
    </w:p>
    <w:p w:rsidR="00A72A5F" w:rsidRPr="00A72A5F" w:rsidRDefault="00A72A5F" w:rsidP="00A72A5F">
      <w:pPr>
        <w:rPr>
          <w:rFonts w:ascii="Arial" w:hAnsi="Arial" w:cs="Arial"/>
          <w:b/>
          <w:sz w:val="22"/>
          <w:szCs w:val="22"/>
        </w:rPr>
      </w:pPr>
      <w:r w:rsidRPr="00A72A5F">
        <w:rPr>
          <w:rFonts w:ascii="Arial" w:hAnsi="Arial" w:cs="Arial"/>
          <w:b/>
          <w:sz w:val="22"/>
          <w:szCs w:val="22"/>
        </w:rPr>
        <w:t>Annex C – Hourly Labour Rates</w:t>
      </w:r>
    </w:p>
    <w:p w:rsidR="00A72A5F" w:rsidRDefault="00A72A5F" w:rsidP="00A72A5F">
      <w:pPr>
        <w:rPr>
          <w:rFonts w:ascii="Arial" w:hAnsi="Arial" w:cs="Arial"/>
          <w:sz w:val="22"/>
          <w:szCs w:val="22"/>
        </w:rPr>
      </w:pPr>
    </w:p>
    <w:p w:rsidR="00A72A5F" w:rsidRDefault="00A72A5F" w:rsidP="00A72A5F">
      <w:pPr>
        <w:rPr>
          <w:rFonts w:ascii="Arial" w:hAnsi="Arial" w:cs="Arial"/>
          <w:sz w:val="22"/>
          <w:szCs w:val="22"/>
        </w:rPr>
      </w:pPr>
      <w:r>
        <w:rPr>
          <w:rFonts w:ascii="Arial" w:hAnsi="Arial" w:cs="Arial"/>
          <w:sz w:val="22"/>
          <w:szCs w:val="22"/>
        </w:rPr>
        <w:t>Prices removed under the Freedom Of Information Act 2000, Section 43, Commercial Interests</w:t>
      </w:r>
    </w:p>
    <w:p w:rsidR="00A72A5F" w:rsidRDefault="00A72A5F" w:rsidP="00A72A5F">
      <w:pPr>
        <w:rPr>
          <w:rFonts w:ascii="Arial" w:hAnsi="Arial" w:cs="Arial"/>
          <w:b/>
          <w:sz w:val="22"/>
        </w:rPr>
      </w:pPr>
    </w:p>
    <w:p w:rsidR="00FB2B22" w:rsidRDefault="00FB2B22" w:rsidP="00FB2B22">
      <w:pPr>
        <w:rPr>
          <w:rFonts w:ascii="Arial" w:hAnsi="Arial" w:cs="Arial"/>
          <w:b/>
          <w:sz w:val="22"/>
          <w:szCs w:val="22"/>
        </w:rPr>
      </w:pPr>
      <w:r w:rsidRPr="00A72A5F">
        <w:rPr>
          <w:rFonts w:ascii="Arial" w:hAnsi="Arial" w:cs="Arial"/>
          <w:b/>
          <w:sz w:val="22"/>
          <w:szCs w:val="22"/>
        </w:rPr>
        <w:t xml:space="preserve">Annex </w:t>
      </w:r>
      <w:r>
        <w:rPr>
          <w:rFonts w:ascii="Arial" w:hAnsi="Arial" w:cs="Arial"/>
          <w:b/>
          <w:sz w:val="22"/>
          <w:szCs w:val="22"/>
        </w:rPr>
        <w:t>E</w:t>
      </w:r>
      <w:r w:rsidRPr="00A72A5F">
        <w:rPr>
          <w:rFonts w:ascii="Arial" w:hAnsi="Arial" w:cs="Arial"/>
          <w:b/>
          <w:sz w:val="22"/>
          <w:szCs w:val="22"/>
        </w:rPr>
        <w:t xml:space="preserve"> – </w:t>
      </w:r>
      <w:r>
        <w:rPr>
          <w:rFonts w:ascii="Arial" w:hAnsi="Arial" w:cs="Arial"/>
          <w:b/>
          <w:sz w:val="22"/>
          <w:szCs w:val="22"/>
        </w:rPr>
        <w:t>Task Authorisation Form (TAF)</w:t>
      </w:r>
    </w:p>
    <w:p w:rsidR="00FB2B22" w:rsidRDefault="00FB2B22" w:rsidP="00FB2B22">
      <w:pPr>
        <w:rPr>
          <w:rFonts w:ascii="Arial" w:hAnsi="Arial" w:cs="Arial"/>
          <w:b/>
          <w:sz w:val="22"/>
          <w:szCs w:val="22"/>
        </w:rPr>
      </w:pPr>
    </w:p>
    <w:p w:rsidR="00FB2B22" w:rsidRDefault="00FB2B22" w:rsidP="00FB2B22">
      <w:pPr>
        <w:rPr>
          <w:rFonts w:ascii="Arial" w:hAnsi="Arial" w:cs="Arial"/>
          <w:sz w:val="22"/>
          <w:szCs w:val="22"/>
        </w:rPr>
      </w:pPr>
      <w:r>
        <w:rPr>
          <w:rFonts w:ascii="Arial" w:hAnsi="Arial" w:cs="Arial"/>
          <w:sz w:val="22"/>
          <w:szCs w:val="22"/>
        </w:rPr>
        <w:t>Personal Information removed under the Freedom Of Information Act 2000, Section 40, Personal Information</w:t>
      </w:r>
    </w:p>
    <w:p w:rsidR="00FB2B22" w:rsidRPr="00A72A5F" w:rsidRDefault="00FB2B22" w:rsidP="00FB2B22">
      <w:pPr>
        <w:rPr>
          <w:rFonts w:ascii="Arial" w:hAnsi="Arial" w:cs="Arial"/>
          <w:b/>
          <w:sz w:val="22"/>
          <w:szCs w:val="22"/>
        </w:rPr>
      </w:pPr>
      <w:bookmarkStart w:id="0" w:name="_GoBack"/>
      <w:bookmarkEnd w:id="0"/>
    </w:p>
    <w:p w:rsidR="00FB2B22" w:rsidRPr="00A72A5F" w:rsidRDefault="00FB2B22" w:rsidP="00A72A5F">
      <w:pPr>
        <w:rPr>
          <w:rFonts w:ascii="Arial" w:hAnsi="Arial" w:cs="Arial"/>
          <w:b/>
          <w:sz w:val="22"/>
        </w:rPr>
      </w:pPr>
    </w:p>
    <w:sectPr w:rsidR="00FB2B22" w:rsidRPr="00A72A5F" w:rsidSect="00103BCB">
      <w:headerReference w:type="default" r:id="rId1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A5F" w:rsidRDefault="00A72A5F"/>
  </w:endnote>
  <w:endnote w:type="continuationSeparator" w:id="0">
    <w:p w:rsidR="00A72A5F" w:rsidRDefault="00A7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A5F" w:rsidRDefault="00A72A5F">
      <w:r>
        <w:continuationSeparator/>
      </w:r>
    </w:p>
  </w:footnote>
  <w:footnote w:type="continuationSeparator" w:id="0">
    <w:p w:rsidR="00A72A5F" w:rsidRDefault="00A72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A72A5F"/>
    <w:rsid w:val="00103BCB"/>
    <w:rsid w:val="001421DC"/>
    <w:rsid w:val="0020163F"/>
    <w:rsid w:val="00297034"/>
    <w:rsid w:val="00381E4B"/>
    <w:rsid w:val="003F41C0"/>
    <w:rsid w:val="003F7941"/>
    <w:rsid w:val="004201F4"/>
    <w:rsid w:val="00436558"/>
    <w:rsid w:val="00445634"/>
    <w:rsid w:val="0049365B"/>
    <w:rsid w:val="004B0821"/>
    <w:rsid w:val="004E08C9"/>
    <w:rsid w:val="00520223"/>
    <w:rsid w:val="005E6930"/>
    <w:rsid w:val="0060726E"/>
    <w:rsid w:val="006E143A"/>
    <w:rsid w:val="00746779"/>
    <w:rsid w:val="007C1E81"/>
    <w:rsid w:val="008C6A33"/>
    <w:rsid w:val="00A72A5F"/>
    <w:rsid w:val="00AE0FA7"/>
    <w:rsid w:val="00B20A51"/>
    <w:rsid w:val="00B273F5"/>
    <w:rsid w:val="00BB3196"/>
    <w:rsid w:val="00BB6501"/>
    <w:rsid w:val="00D51574"/>
    <w:rsid w:val="00D742F8"/>
    <w:rsid w:val="00EC31D9"/>
    <w:rsid w:val="00ED19FA"/>
    <w:rsid w:val="00EE62A6"/>
    <w:rsid w:val="00EF054A"/>
    <w:rsid w:val="00F76003"/>
    <w:rsid w:val="00FB2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2A5F"/>
    <w:rPr>
      <w:sz w:val="24"/>
      <w:szCs w:val="24"/>
    </w:rPr>
  </w:style>
  <w:style w:type="paragraph" w:styleId="Heading2">
    <w:name w:val="heading 2"/>
    <w:basedOn w:val="Normal"/>
    <w:next w:val="Normal"/>
    <w:pPr>
      <w:keepNext/>
      <w:overflowPunct w:val="0"/>
      <w:autoSpaceDE w:val="0"/>
      <w:autoSpaceDN w:val="0"/>
      <w:adjustRightInd w:val="0"/>
      <w:spacing w:before="240" w:after="60"/>
      <w:textAlignment w:val="baseline"/>
      <w:outlineLvl w:val="1"/>
    </w:pPr>
    <w:rPr>
      <w:rFonts w:ascii="Arial" w:hAnsi="Arial"/>
      <w:b/>
      <w:i/>
      <w:kern w:val="22"/>
      <w:sz w:val="28"/>
      <w:szCs w:val="20"/>
      <w:lang w:eastAsia="en-US"/>
    </w:rPr>
  </w:style>
  <w:style w:type="paragraph" w:styleId="Heading3">
    <w:name w:val="heading 3"/>
    <w:basedOn w:val="Normal"/>
    <w:next w:val="Normal"/>
    <w:pPr>
      <w:keepNext/>
      <w:overflowPunct w:val="0"/>
      <w:autoSpaceDE w:val="0"/>
      <w:autoSpaceDN w:val="0"/>
      <w:adjustRightInd w:val="0"/>
      <w:spacing w:before="240" w:after="60"/>
      <w:textAlignment w:val="baseline"/>
      <w:outlineLvl w:val="2"/>
    </w:pPr>
    <w:rPr>
      <w:rFonts w:ascii="Arial" w:hAnsi="Arial"/>
      <w:b/>
      <w:kern w:val="22"/>
      <w:sz w:val="26"/>
      <w:szCs w:val="20"/>
      <w:lang w:eastAsia="en-US"/>
    </w:rPr>
  </w:style>
  <w:style w:type="paragraph" w:styleId="Heading4">
    <w:name w:val="heading 4"/>
    <w:basedOn w:val="Normal"/>
    <w:next w:val="Normal"/>
    <w:pPr>
      <w:keepNext/>
      <w:overflowPunct w:val="0"/>
      <w:autoSpaceDE w:val="0"/>
      <w:autoSpaceDN w:val="0"/>
      <w:adjustRightInd w:val="0"/>
      <w:spacing w:before="240" w:after="60"/>
      <w:textAlignment w:val="baseline"/>
      <w:outlineLvl w:val="3"/>
    </w:pPr>
    <w:rPr>
      <w:rFonts w:ascii="Arial" w:hAnsi="Arial"/>
      <w:b/>
      <w:kern w:val="22"/>
      <w:sz w:val="28"/>
      <w:szCs w:val="20"/>
      <w:lang w:eastAsia="en-US"/>
    </w:rPr>
  </w:style>
  <w:style w:type="paragraph" w:styleId="Heading5">
    <w:name w:val="heading 5"/>
    <w:basedOn w:val="Normal"/>
    <w:next w:val="Normal"/>
    <w:pPr>
      <w:overflowPunct w:val="0"/>
      <w:autoSpaceDE w:val="0"/>
      <w:autoSpaceDN w:val="0"/>
      <w:adjustRightInd w:val="0"/>
      <w:spacing w:before="240" w:after="60"/>
      <w:textAlignment w:val="baseline"/>
      <w:outlineLvl w:val="4"/>
    </w:pPr>
    <w:rPr>
      <w:rFonts w:ascii="Arial" w:hAnsi="Arial"/>
      <w:b/>
      <w:i/>
      <w:kern w:val="22"/>
      <w:sz w:val="26"/>
      <w:szCs w:val="20"/>
      <w:lang w:eastAsia="en-US"/>
    </w:rPr>
  </w:style>
  <w:style w:type="paragraph" w:styleId="Heading6">
    <w:name w:val="heading 6"/>
    <w:basedOn w:val="Normal"/>
    <w:next w:val="Normal"/>
    <w:pPr>
      <w:overflowPunct w:val="0"/>
      <w:autoSpaceDE w:val="0"/>
      <w:autoSpaceDN w:val="0"/>
      <w:adjustRightInd w:val="0"/>
      <w:spacing w:before="240" w:after="60"/>
      <w:textAlignment w:val="baseline"/>
      <w:outlineLvl w:val="5"/>
    </w:pPr>
    <w:rPr>
      <w:rFonts w:ascii="Arial" w:hAnsi="Arial"/>
      <w:b/>
      <w:kern w:val="22"/>
      <w:sz w:val="22"/>
      <w:szCs w:val="20"/>
      <w:lang w:eastAsia="en-US"/>
    </w:rPr>
  </w:style>
  <w:style w:type="paragraph" w:styleId="Heading7">
    <w:name w:val="heading 7"/>
    <w:basedOn w:val="Normal"/>
    <w:next w:val="Normal"/>
    <w:pPr>
      <w:overflowPunct w:val="0"/>
      <w:autoSpaceDE w:val="0"/>
      <w:autoSpaceDN w:val="0"/>
      <w:adjustRightInd w:val="0"/>
      <w:spacing w:before="240" w:after="60"/>
      <w:textAlignment w:val="baseline"/>
      <w:outlineLvl w:val="6"/>
    </w:pPr>
    <w:rPr>
      <w:rFonts w:ascii="Arial" w:hAnsi="Arial"/>
      <w:kern w:val="22"/>
      <w:sz w:val="22"/>
      <w:szCs w:val="20"/>
      <w:lang w:eastAsia="en-US"/>
    </w:rPr>
  </w:style>
  <w:style w:type="paragraph" w:styleId="Heading8">
    <w:name w:val="heading 8"/>
    <w:basedOn w:val="Normal"/>
    <w:next w:val="Normal"/>
    <w:pPr>
      <w:overflowPunct w:val="0"/>
      <w:autoSpaceDE w:val="0"/>
      <w:autoSpaceDN w:val="0"/>
      <w:adjustRightInd w:val="0"/>
      <w:spacing w:before="240" w:after="60"/>
      <w:textAlignment w:val="baseline"/>
      <w:outlineLvl w:val="7"/>
    </w:pPr>
    <w:rPr>
      <w:rFonts w:ascii="Arial" w:hAnsi="Arial"/>
      <w:i/>
      <w:kern w:val="22"/>
      <w:sz w:val="22"/>
      <w:szCs w:val="20"/>
      <w:lang w:eastAsia="en-US"/>
    </w:rPr>
  </w:style>
  <w:style w:type="paragraph" w:styleId="Heading9">
    <w:name w:val="heading 9"/>
    <w:basedOn w:val="Normal"/>
    <w:next w:val="Normal"/>
    <w:pPr>
      <w:overflowPunct w:val="0"/>
      <w:autoSpaceDE w:val="0"/>
      <w:autoSpaceDN w:val="0"/>
      <w:adjustRightInd w:val="0"/>
      <w:spacing w:before="240" w:after="60"/>
      <w:textAlignment w:val="baseline"/>
      <w:outlineLvl w:val="8"/>
    </w:pPr>
    <w:rPr>
      <w:rFonts w:ascii="Arial" w:hAnsi="Arial"/>
      <w:kern w:val="22"/>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pPr>
      <w:overflowPunct w:val="0"/>
      <w:autoSpaceDE w:val="0"/>
      <w:autoSpaceDN w:val="0"/>
      <w:adjustRightInd w:val="0"/>
      <w:textAlignment w:val="baseline"/>
    </w:pPr>
    <w:rPr>
      <w:rFonts w:ascii="Arial" w:hAnsi="Arial"/>
      <w:kern w:val="22"/>
      <w:sz w:val="22"/>
      <w:szCs w:val="20"/>
      <w:lang w:eastAsia="en-US"/>
    </w:rPr>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pPr>
      <w:overflowPunct w:val="0"/>
      <w:autoSpaceDE w:val="0"/>
      <w:autoSpaceDN w:val="0"/>
      <w:adjustRightInd w:val="0"/>
      <w:textAlignment w:val="baseline"/>
    </w:pPr>
    <w:rPr>
      <w:rFonts w:ascii="Tahoma" w:hAnsi="Tahoma" w:cs="Tahoma"/>
      <w:kern w:val="22"/>
      <w:sz w:val="16"/>
      <w:szCs w:val="16"/>
      <w:lang w:eastAsia="en-US"/>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2A5F"/>
    <w:rPr>
      <w:sz w:val="24"/>
      <w:szCs w:val="24"/>
    </w:rPr>
  </w:style>
  <w:style w:type="paragraph" w:styleId="Heading2">
    <w:name w:val="heading 2"/>
    <w:basedOn w:val="Normal"/>
    <w:next w:val="Normal"/>
    <w:pPr>
      <w:keepNext/>
      <w:overflowPunct w:val="0"/>
      <w:autoSpaceDE w:val="0"/>
      <w:autoSpaceDN w:val="0"/>
      <w:adjustRightInd w:val="0"/>
      <w:spacing w:before="240" w:after="60"/>
      <w:textAlignment w:val="baseline"/>
      <w:outlineLvl w:val="1"/>
    </w:pPr>
    <w:rPr>
      <w:rFonts w:ascii="Arial" w:hAnsi="Arial"/>
      <w:b/>
      <w:i/>
      <w:kern w:val="22"/>
      <w:sz w:val="28"/>
      <w:szCs w:val="20"/>
      <w:lang w:eastAsia="en-US"/>
    </w:rPr>
  </w:style>
  <w:style w:type="paragraph" w:styleId="Heading3">
    <w:name w:val="heading 3"/>
    <w:basedOn w:val="Normal"/>
    <w:next w:val="Normal"/>
    <w:pPr>
      <w:keepNext/>
      <w:overflowPunct w:val="0"/>
      <w:autoSpaceDE w:val="0"/>
      <w:autoSpaceDN w:val="0"/>
      <w:adjustRightInd w:val="0"/>
      <w:spacing w:before="240" w:after="60"/>
      <w:textAlignment w:val="baseline"/>
      <w:outlineLvl w:val="2"/>
    </w:pPr>
    <w:rPr>
      <w:rFonts w:ascii="Arial" w:hAnsi="Arial"/>
      <w:b/>
      <w:kern w:val="22"/>
      <w:sz w:val="26"/>
      <w:szCs w:val="20"/>
      <w:lang w:eastAsia="en-US"/>
    </w:rPr>
  </w:style>
  <w:style w:type="paragraph" w:styleId="Heading4">
    <w:name w:val="heading 4"/>
    <w:basedOn w:val="Normal"/>
    <w:next w:val="Normal"/>
    <w:pPr>
      <w:keepNext/>
      <w:overflowPunct w:val="0"/>
      <w:autoSpaceDE w:val="0"/>
      <w:autoSpaceDN w:val="0"/>
      <w:adjustRightInd w:val="0"/>
      <w:spacing w:before="240" w:after="60"/>
      <w:textAlignment w:val="baseline"/>
      <w:outlineLvl w:val="3"/>
    </w:pPr>
    <w:rPr>
      <w:rFonts w:ascii="Arial" w:hAnsi="Arial"/>
      <w:b/>
      <w:kern w:val="22"/>
      <w:sz w:val="28"/>
      <w:szCs w:val="20"/>
      <w:lang w:eastAsia="en-US"/>
    </w:rPr>
  </w:style>
  <w:style w:type="paragraph" w:styleId="Heading5">
    <w:name w:val="heading 5"/>
    <w:basedOn w:val="Normal"/>
    <w:next w:val="Normal"/>
    <w:pPr>
      <w:overflowPunct w:val="0"/>
      <w:autoSpaceDE w:val="0"/>
      <w:autoSpaceDN w:val="0"/>
      <w:adjustRightInd w:val="0"/>
      <w:spacing w:before="240" w:after="60"/>
      <w:textAlignment w:val="baseline"/>
      <w:outlineLvl w:val="4"/>
    </w:pPr>
    <w:rPr>
      <w:rFonts w:ascii="Arial" w:hAnsi="Arial"/>
      <w:b/>
      <w:i/>
      <w:kern w:val="22"/>
      <w:sz w:val="26"/>
      <w:szCs w:val="20"/>
      <w:lang w:eastAsia="en-US"/>
    </w:rPr>
  </w:style>
  <w:style w:type="paragraph" w:styleId="Heading6">
    <w:name w:val="heading 6"/>
    <w:basedOn w:val="Normal"/>
    <w:next w:val="Normal"/>
    <w:pPr>
      <w:overflowPunct w:val="0"/>
      <w:autoSpaceDE w:val="0"/>
      <w:autoSpaceDN w:val="0"/>
      <w:adjustRightInd w:val="0"/>
      <w:spacing w:before="240" w:after="60"/>
      <w:textAlignment w:val="baseline"/>
      <w:outlineLvl w:val="5"/>
    </w:pPr>
    <w:rPr>
      <w:rFonts w:ascii="Arial" w:hAnsi="Arial"/>
      <w:b/>
      <w:kern w:val="22"/>
      <w:sz w:val="22"/>
      <w:szCs w:val="20"/>
      <w:lang w:eastAsia="en-US"/>
    </w:rPr>
  </w:style>
  <w:style w:type="paragraph" w:styleId="Heading7">
    <w:name w:val="heading 7"/>
    <w:basedOn w:val="Normal"/>
    <w:next w:val="Normal"/>
    <w:pPr>
      <w:overflowPunct w:val="0"/>
      <w:autoSpaceDE w:val="0"/>
      <w:autoSpaceDN w:val="0"/>
      <w:adjustRightInd w:val="0"/>
      <w:spacing w:before="240" w:after="60"/>
      <w:textAlignment w:val="baseline"/>
      <w:outlineLvl w:val="6"/>
    </w:pPr>
    <w:rPr>
      <w:rFonts w:ascii="Arial" w:hAnsi="Arial"/>
      <w:kern w:val="22"/>
      <w:sz w:val="22"/>
      <w:szCs w:val="20"/>
      <w:lang w:eastAsia="en-US"/>
    </w:rPr>
  </w:style>
  <w:style w:type="paragraph" w:styleId="Heading8">
    <w:name w:val="heading 8"/>
    <w:basedOn w:val="Normal"/>
    <w:next w:val="Normal"/>
    <w:pPr>
      <w:overflowPunct w:val="0"/>
      <w:autoSpaceDE w:val="0"/>
      <w:autoSpaceDN w:val="0"/>
      <w:adjustRightInd w:val="0"/>
      <w:spacing w:before="240" w:after="60"/>
      <w:textAlignment w:val="baseline"/>
      <w:outlineLvl w:val="7"/>
    </w:pPr>
    <w:rPr>
      <w:rFonts w:ascii="Arial" w:hAnsi="Arial"/>
      <w:i/>
      <w:kern w:val="22"/>
      <w:sz w:val="22"/>
      <w:szCs w:val="20"/>
      <w:lang w:eastAsia="en-US"/>
    </w:rPr>
  </w:style>
  <w:style w:type="paragraph" w:styleId="Heading9">
    <w:name w:val="heading 9"/>
    <w:basedOn w:val="Normal"/>
    <w:next w:val="Normal"/>
    <w:pPr>
      <w:overflowPunct w:val="0"/>
      <w:autoSpaceDE w:val="0"/>
      <w:autoSpaceDN w:val="0"/>
      <w:adjustRightInd w:val="0"/>
      <w:spacing w:before="240" w:after="60"/>
      <w:textAlignment w:val="baseline"/>
      <w:outlineLvl w:val="8"/>
    </w:pPr>
    <w:rPr>
      <w:rFonts w:ascii="Arial" w:hAnsi="Arial"/>
      <w:kern w:val="22"/>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pPr>
      <w:overflowPunct w:val="0"/>
      <w:autoSpaceDE w:val="0"/>
      <w:autoSpaceDN w:val="0"/>
      <w:adjustRightInd w:val="0"/>
      <w:textAlignment w:val="baseline"/>
    </w:pPr>
    <w:rPr>
      <w:rFonts w:ascii="Arial" w:hAnsi="Arial"/>
      <w:kern w:val="22"/>
      <w:sz w:val="22"/>
      <w:szCs w:val="20"/>
      <w:lang w:eastAsia="en-US"/>
    </w:rPr>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pPr>
      <w:overflowPunct w:val="0"/>
      <w:autoSpaceDE w:val="0"/>
      <w:autoSpaceDN w:val="0"/>
      <w:adjustRightInd w:val="0"/>
      <w:textAlignment w:val="baseline"/>
    </w:pPr>
    <w:rPr>
      <w:rFonts w:ascii="Tahoma" w:hAnsi="Tahoma" w:cs="Tahoma"/>
      <w:kern w:val="22"/>
      <w:sz w:val="16"/>
      <w:szCs w:val="16"/>
      <w:lang w:eastAsia="en-US"/>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Props1.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3F585B0D-28A0-4CBE-A87C-5962F03B2590}">
  <ds:schemaRefs>
    <ds:schemaRef ds:uri="http://purl.org/dc/elements/1.1/"/>
    <ds:schemaRef ds:uri="http://purl.org/dc/terms/"/>
    <ds:schemaRef ds:uri="e926665b-768d-449d-ad3d-58057692d441"/>
    <ds:schemaRef ds:uri="http://www.w3.org/XML/1998/namespace"/>
    <ds:schemaRef ds:uri="http://schemas.microsoft.com/sharepoint/v3"/>
    <ds:schemaRef ds:uri="http://schemas.openxmlformats.org/package/2006/metadata/core-properties"/>
    <ds:schemaRef ds:uri="http://schemas.microsoft.com/office/2006/documentManagement/types"/>
    <ds:schemaRef ds:uri="E926665B-768D-449D-AD3D-58057692D44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198</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somervillel100</dc:creator>
  <cp:lastModifiedBy>somervillel100</cp:lastModifiedBy>
  <cp:revision>3</cp:revision>
  <cp:lastPrinted>1901-01-01T00:00:00Z</cp:lastPrinted>
  <dcterms:created xsi:type="dcterms:W3CDTF">2016-11-16T10:16:00Z</dcterms:created>
  <dcterms:modified xsi:type="dcterms:W3CDTF">2016-11-22T11:36:00Z</dcterms:modified>
</cp:coreProperties>
</file>