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24EDF" w14:textId="77777777" w:rsidR="00206FB1" w:rsidRDefault="003B6295" w:rsidP="00A85B19">
      <w:pPr>
        <w:pStyle w:val="CoverTitle"/>
      </w:pPr>
      <w:bookmarkStart w:id="0" w:name="_Hlk482610200"/>
      <w:bookmarkEnd w:id="0"/>
      <w:r>
        <w:t xml:space="preserve">Specification for </w:t>
      </w:r>
      <w:r w:rsidR="00206FB1">
        <w:t xml:space="preserve">research project </w:t>
      </w:r>
    </w:p>
    <w:p w14:paraId="06489C47" w14:textId="77777777" w:rsidR="009B4546" w:rsidRDefault="00FE63DE" w:rsidP="009B4546">
      <w:pPr>
        <w:pStyle w:val="CoverTitle"/>
      </w:pPr>
      <w:r>
        <w:t>T11</w:t>
      </w:r>
      <w:r w:rsidR="00767BCD">
        <w:t>43</w:t>
      </w:r>
      <w:r w:rsidR="009B4546">
        <w:t xml:space="preserve">: </w:t>
      </w:r>
      <w:r w:rsidR="009B4546">
        <w:rPr>
          <w:lang w:val="en-US"/>
        </w:rPr>
        <w:t>Devices to guide derailed trains</w:t>
      </w:r>
      <w:r w:rsidR="009B4546">
        <w:t xml:space="preserve"> </w:t>
      </w:r>
    </w:p>
    <w:p w14:paraId="2E186CB0" w14:textId="77777777" w:rsidR="000D1CCF" w:rsidRDefault="000D1CCF" w:rsidP="00A85B19">
      <w:pPr>
        <w:pStyle w:val="CoverTitle"/>
      </w:pPr>
    </w:p>
    <w:p w14:paraId="2E58B9F5" w14:textId="77777777" w:rsidR="00B90DA0" w:rsidRDefault="00B90DA0" w:rsidP="00562DE6">
      <w:pPr>
        <w:pStyle w:val="Heading1"/>
        <w:pageBreakBefore/>
        <w:ind w:left="0"/>
      </w:pPr>
      <w:r>
        <w:lastRenderedPageBreak/>
        <w:t>Background</w:t>
      </w:r>
    </w:p>
    <w:p w14:paraId="1CE2B3CA" w14:textId="77777777" w:rsidR="00FC34F7" w:rsidRDefault="00FF5463" w:rsidP="00895C5E">
      <w:pPr>
        <w:pStyle w:val="Body"/>
        <w:jc w:val="both"/>
      </w:pPr>
      <w:bookmarkStart w:id="1" w:name="_Hlk478573476"/>
      <w:r>
        <w:t xml:space="preserve">RAIB have noted </w:t>
      </w:r>
      <w:bookmarkEnd w:id="1"/>
      <w:r w:rsidR="006D776E">
        <w:t>a sequence</w:t>
      </w:r>
      <w:r w:rsidR="00F118FA">
        <w:t xml:space="preserve"> of</w:t>
      </w:r>
      <w:r w:rsidR="00DD49BB">
        <w:t xml:space="preserve"> </w:t>
      </w:r>
      <w:r w:rsidR="006D776E">
        <w:t>derail</w:t>
      </w:r>
      <w:r w:rsidR="00F118FA">
        <w:t>ment</w:t>
      </w:r>
      <w:r w:rsidR="006D776E">
        <w:t xml:space="preserve"> </w:t>
      </w:r>
      <w:r w:rsidR="00DD49BB">
        <w:t xml:space="preserve">incidents </w:t>
      </w:r>
      <w:r w:rsidR="00F118FA">
        <w:t xml:space="preserve">over many years </w:t>
      </w:r>
      <w:r w:rsidR="009434FB">
        <w:t xml:space="preserve">where the </w:t>
      </w:r>
      <w:r w:rsidR="00F118FA">
        <w:t xml:space="preserve">lateral excursion </w:t>
      </w:r>
      <w:r w:rsidR="009808D7">
        <w:t xml:space="preserve">of the lead vehicle has been limited by </w:t>
      </w:r>
      <w:r w:rsidR="0038340C">
        <w:t>engagement between vehicle and track features that were not intended for that purpose.</w:t>
      </w:r>
    </w:p>
    <w:p w14:paraId="4018004F" w14:textId="77777777" w:rsidR="00664755" w:rsidRDefault="00664755" w:rsidP="00895C5E">
      <w:pPr>
        <w:pStyle w:val="Body"/>
        <w:jc w:val="both"/>
      </w:pPr>
      <w:r>
        <w:t xml:space="preserve">The most recent of these was in </w:t>
      </w:r>
      <w:r w:rsidR="009D48D1">
        <w:t>September 2016 at Watford Junction</w:t>
      </w:r>
      <w:r w:rsidR="00291501">
        <w:rPr>
          <w:rStyle w:val="FootnoteReference"/>
        </w:rPr>
        <w:footnoteReference w:id="1"/>
      </w:r>
      <w:r w:rsidR="00165CAC">
        <w:t xml:space="preserve"> where the </w:t>
      </w:r>
      <w:r w:rsidR="00425324">
        <w:t>right</w:t>
      </w:r>
      <w:r w:rsidR="0092789C">
        <w:t>-</w:t>
      </w:r>
      <w:r w:rsidR="00EB38C6">
        <w:t xml:space="preserve">hand </w:t>
      </w:r>
      <w:r w:rsidR="00165CAC">
        <w:t>rai</w:t>
      </w:r>
      <w:r w:rsidR="00425324">
        <w:t xml:space="preserve">l </w:t>
      </w:r>
      <w:r w:rsidR="00933B8E">
        <w:t xml:space="preserve">engaged between the traction motor and </w:t>
      </w:r>
      <w:r w:rsidR="00C97A81">
        <w:t xml:space="preserve">gearbox housings </w:t>
      </w:r>
      <w:r w:rsidR="005467AF">
        <w:t xml:space="preserve">of the </w:t>
      </w:r>
      <w:r w:rsidR="00B40D40">
        <w:t>derailed</w:t>
      </w:r>
      <w:r w:rsidR="005467AF">
        <w:t xml:space="preserve"> </w:t>
      </w:r>
      <w:r w:rsidR="00B40D40">
        <w:t xml:space="preserve">vehicle </w:t>
      </w:r>
      <w:r w:rsidR="005467AF">
        <w:t xml:space="preserve">and limited the </w:t>
      </w:r>
      <w:r w:rsidR="00EB38C6">
        <w:t xml:space="preserve">deviation from the track and </w:t>
      </w:r>
      <w:proofErr w:type="gramStart"/>
      <w:r w:rsidR="00EB38C6">
        <w:t>as a consequence</w:t>
      </w:r>
      <w:proofErr w:type="gramEnd"/>
      <w:r w:rsidR="00EB38C6">
        <w:t xml:space="preserve"> reduced the severity of the </w:t>
      </w:r>
      <w:r w:rsidR="00B40D40">
        <w:t>impact with an oncoming vehicle.</w:t>
      </w:r>
    </w:p>
    <w:p w14:paraId="73D0ABD1" w14:textId="77777777" w:rsidR="00425324" w:rsidRDefault="00837286" w:rsidP="00895C5E">
      <w:pPr>
        <w:pStyle w:val="Body"/>
        <w:jc w:val="both"/>
        <w:rPr>
          <w:highlight w:val="yellow"/>
        </w:rPr>
      </w:pPr>
      <w:r>
        <w:t xml:space="preserve">RAIB have made recommendations </w:t>
      </w:r>
      <w:r w:rsidR="00724A54">
        <w:t xml:space="preserve">to consider the use of mechanical devices or structures to </w:t>
      </w:r>
      <w:r w:rsidR="00AC28D7">
        <w:t xml:space="preserve">guide derailed trains </w:t>
      </w:r>
      <w:r w:rsidR="00A24928">
        <w:t xml:space="preserve">with the latest recommendation </w:t>
      </w:r>
      <w:r w:rsidR="00B7235F">
        <w:t>in</w:t>
      </w:r>
      <w:r w:rsidR="00425324">
        <w:t xml:space="preserve"> recommendation 3 of</w:t>
      </w:r>
      <w:r w:rsidR="00B7235F">
        <w:t xml:space="preserve"> the Watford report</w:t>
      </w:r>
      <w:r w:rsidR="00425324">
        <w:t xml:space="preserve">: </w:t>
      </w:r>
      <w:r w:rsidR="00B7235F">
        <w:t xml:space="preserve"> </w:t>
      </w:r>
    </w:p>
    <w:p w14:paraId="275C57F4" w14:textId="77777777" w:rsidR="00425324" w:rsidRPr="00425324" w:rsidRDefault="00291501" w:rsidP="00425324">
      <w:pPr>
        <w:pStyle w:val="Default"/>
        <w:rPr>
          <w:rFonts w:eastAsia="Times New Roman"/>
          <w:lang w:eastAsia="en-GB"/>
        </w:rPr>
      </w:pPr>
      <w:r>
        <w:rPr>
          <w:highlight w:val="yellow"/>
        </w:rPr>
        <w:t xml:space="preserve"> </w:t>
      </w:r>
    </w:p>
    <w:p w14:paraId="1CA6FC31" w14:textId="77777777" w:rsidR="00425324" w:rsidRPr="00425324" w:rsidRDefault="009B4546" w:rsidP="00FE11E0">
      <w:pPr>
        <w:numPr>
          <w:ilvl w:val="0"/>
          <w:numId w:val="31"/>
        </w:numPr>
        <w:autoSpaceDE w:val="0"/>
        <w:autoSpaceDN w:val="0"/>
        <w:adjustRightInd w:val="0"/>
        <w:spacing w:after="240"/>
        <w:ind w:left="480"/>
        <w:rPr>
          <w:rFonts w:asciiTheme="minorHAnsi" w:hAnsiTheme="minorHAnsi" w:cs="Arial"/>
          <w:i/>
          <w:color w:val="000000"/>
          <w:sz w:val="22"/>
          <w:szCs w:val="22"/>
          <w:lang w:eastAsia="en-GB"/>
        </w:rPr>
      </w:pPr>
      <w:r w:rsidRPr="009B4546">
        <w:rPr>
          <w:rFonts w:asciiTheme="minorHAnsi" w:hAnsiTheme="minorHAnsi" w:cs="Arial"/>
          <w:i/>
          <w:iCs/>
          <w:color w:val="000000"/>
          <w:sz w:val="22"/>
          <w:szCs w:val="22"/>
          <w:lang w:eastAsia="en-GB"/>
        </w:rPr>
        <w:t>“</w:t>
      </w:r>
      <w:r w:rsidR="00425324" w:rsidRPr="009B4546">
        <w:rPr>
          <w:rFonts w:asciiTheme="minorHAnsi" w:hAnsiTheme="minorHAnsi" w:cs="Arial"/>
          <w:i/>
          <w:iCs/>
          <w:color w:val="000000"/>
          <w:sz w:val="22"/>
          <w:szCs w:val="22"/>
          <w:lang w:eastAsia="en-GB"/>
        </w:rPr>
        <w:t xml:space="preserve">3. </w:t>
      </w:r>
      <w:r w:rsidR="00425324" w:rsidRPr="00425324">
        <w:rPr>
          <w:rFonts w:asciiTheme="minorHAnsi" w:hAnsiTheme="minorHAnsi" w:cs="Arial"/>
          <w:i/>
          <w:iCs/>
          <w:color w:val="000000"/>
          <w:sz w:val="22"/>
          <w:szCs w:val="22"/>
          <w:lang w:eastAsia="en-GB"/>
        </w:rPr>
        <w:t xml:space="preserve">The intent of this recommendation is to identify and assess the effectiveness of design features that provide guidance to trains when derailed, so limiting the deviation of trains from the track and reducing the risk of collision with trains approaching on other lines. This could be achieved by the retention or strengthening of features already forming part of the bogie structure, or infrastructure measures such as guard rails. It is also intended that the learning from research in this area is used to derive meaningful design requirements. </w:t>
      </w:r>
    </w:p>
    <w:p w14:paraId="4D25A164" w14:textId="77777777" w:rsidR="00425324" w:rsidRPr="00425324" w:rsidRDefault="00425324" w:rsidP="00425324">
      <w:pPr>
        <w:autoSpaceDE w:val="0"/>
        <w:autoSpaceDN w:val="0"/>
        <w:adjustRightInd w:val="0"/>
        <w:spacing w:after="100" w:line="241" w:lineRule="atLeast"/>
        <w:ind w:right="480" w:firstLine="480"/>
        <w:rPr>
          <w:rFonts w:asciiTheme="minorHAnsi" w:hAnsiTheme="minorHAnsi" w:cs="Arial"/>
          <w:i/>
          <w:color w:val="000000"/>
          <w:sz w:val="22"/>
          <w:szCs w:val="22"/>
          <w:lang w:eastAsia="en-GB"/>
        </w:rPr>
      </w:pPr>
      <w:r w:rsidRPr="00425324">
        <w:rPr>
          <w:rFonts w:asciiTheme="minorHAnsi" w:hAnsiTheme="minorHAnsi" w:cs="Arial"/>
          <w:i/>
          <w:color w:val="000000"/>
          <w:sz w:val="22"/>
          <w:szCs w:val="22"/>
          <w:lang w:eastAsia="en-GB"/>
        </w:rPr>
        <w:t xml:space="preserve">The Rail Delivery Group (RDG), in conjunction with RSSB, should: </w:t>
      </w:r>
    </w:p>
    <w:p w14:paraId="37AD5F02" w14:textId="77777777" w:rsidR="00425324" w:rsidRPr="00425324" w:rsidRDefault="00425324" w:rsidP="00425324">
      <w:pPr>
        <w:autoSpaceDE w:val="0"/>
        <w:autoSpaceDN w:val="0"/>
        <w:adjustRightInd w:val="0"/>
        <w:spacing w:after="240"/>
        <w:ind w:left="480"/>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a. </w:t>
      </w:r>
      <w:r w:rsidRPr="00425324">
        <w:rPr>
          <w:rFonts w:asciiTheme="minorHAnsi" w:hAnsiTheme="minorHAnsi" w:cs="Arial"/>
          <w:i/>
          <w:color w:val="000000"/>
          <w:sz w:val="22"/>
          <w:szCs w:val="22"/>
          <w:lang w:eastAsia="en-GB"/>
        </w:rPr>
        <w:t xml:space="preserve">commission research into the ways in which guidance can be provided to derailed trains. This should include consideration of: </w:t>
      </w:r>
    </w:p>
    <w:p w14:paraId="112295DD" w14:textId="77777777" w:rsidR="00425324" w:rsidRPr="009B4546" w:rsidRDefault="00425324" w:rsidP="00FE11E0">
      <w:pPr>
        <w:pStyle w:val="ListParagraph"/>
        <w:numPr>
          <w:ilvl w:val="0"/>
          <w:numId w:val="32"/>
        </w:numPr>
        <w:autoSpaceDE w:val="0"/>
        <w:autoSpaceDN w:val="0"/>
        <w:adjustRightInd w:val="0"/>
        <w:spacing w:after="100" w:line="241" w:lineRule="atLeast"/>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how the design of bogies and bogie mounted equipment can assist in limiting the lateral deviation of passenger trains during a derailment; </w:t>
      </w:r>
    </w:p>
    <w:p w14:paraId="76DBF35B" w14:textId="77777777" w:rsidR="00425324" w:rsidRPr="009B4546" w:rsidRDefault="00425324" w:rsidP="00FE11E0">
      <w:pPr>
        <w:pStyle w:val="ListParagraph"/>
        <w:numPr>
          <w:ilvl w:val="0"/>
          <w:numId w:val="32"/>
        </w:numPr>
        <w:autoSpaceDE w:val="0"/>
        <w:autoSpaceDN w:val="0"/>
        <w:adjustRightInd w:val="0"/>
        <w:spacing w:after="100" w:line="241" w:lineRule="atLeast"/>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practice in other countries (</w:t>
      </w:r>
      <w:proofErr w:type="spellStart"/>
      <w:r w:rsidRPr="009B4546">
        <w:rPr>
          <w:rFonts w:asciiTheme="minorHAnsi" w:hAnsiTheme="minorHAnsi" w:cs="Arial"/>
          <w:i/>
          <w:color w:val="000000"/>
          <w:sz w:val="22"/>
          <w:szCs w:val="22"/>
          <w:lang w:eastAsia="en-GB"/>
        </w:rPr>
        <w:t>eg</w:t>
      </w:r>
      <w:proofErr w:type="spellEnd"/>
      <w:r w:rsidRPr="009B4546">
        <w:rPr>
          <w:rFonts w:asciiTheme="minorHAnsi" w:hAnsiTheme="minorHAnsi" w:cs="Arial"/>
          <w:i/>
          <w:color w:val="000000"/>
          <w:sz w:val="22"/>
          <w:szCs w:val="22"/>
          <w:lang w:eastAsia="en-GB"/>
        </w:rPr>
        <w:t xml:space="preserve"> Japan); </w:t>
      </w:r>
    </w:p>
    <w:p w14:paraId="6F13F379" w14:textId="77777777" w:rsidR="00425324" w:rsidRPr="009B4546" w:rsidRDefault="00425324" w:rsidP="00FE11E0">
      <w:pPr>
        <w:pStyle w:val="ListParagraph"/>
        <w:numPr>
          <w:ilvl w:val="0"/>
          <w:numId w:val="32"/>
        </w:numPr>
        <w:autoSpaceDE w:val="0"/>
        <w:autoSpaceDN w:val="0"/>
        <w:adjustRightInd w:val="0"/>
        <w:spacing w:after="100" w:line="241" w:lineRule="atLeast"/>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how specially installed infrastructure features can achieve the same effect at high risk locations; </w:t>
      </w:r>
    </w:p>
    <w:p w14:paraId="6B706E41" w14:textId="77777777" w:rsidR="00425324" w:rsidRPr="009B4546" w:rsidRDefault="00425324" w:rsidP="00FE11E0">
      <w:pPr>
        <w:pStyle w:val="ListParagraph"/>
        <w:numPr>
          <w:ilvl w:val="0"/>
          <w:numId w:val="32"/>
        </w:numPr>
        <w:autoSpaceDE w:val="0"/>
        <w:autoSpaceDN w:val="0"/>
        <w:adjustRightInd w:val="0"/>
        <w:spacing w:after="100" w:line="241" w:lineRule="atLeast"/>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potential design requirements for the retention or enhancement of such features on new trains or infrastructure; and </w:t>
      </w:r>
    </w:p>
    <w:p w14:paraId="534292D9" w14:textId="77777777" w:rsidR="00425324" w:rsidRPr="009B4546" w:rsidRDefault="00425324" w:rsidP="00FE11E0">
      <w:pPr>
        <w:pStyle w:val="ListParagraph"/>
        <w:numPr>
          <w:ilvl w:val="0"/>
          <w:numId w:val="32"/>
        </w:numPr>
        <w:autoSpaceDE w:val="0"/>
        <w:autoSpaceDN w:val="0"/>
        <w:adjustRightInd w:val="0"/>
        <w:spacing w:after="100" w:line="241" w:lineRule="atLeast"/>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the potential benefits and drawbacks of such measures. </w:t>
      </w:r>
    </w:p>
    <w:p w14:paraId="3C086394" w14:textId="77777777" w:rsidR="00425324" w:rsidRPr="00425324" w:rsidRDefault="00425324" w:rsidP="00425324">
      <w:pPr>
        <w:autoSpaceDE w:val="0"/>
        <w:autoSpaceDN w:val="0"/>
        <w:adjustRightInd w:val="0"/>
        <w:spacing w:after="100" w:line="241" w:lineRule="atLeast"/>
        <w:ind w:left="360"/>
        <w:rPr>
          <w:rFonts w:asciiTheme="minorHAnsi" w:hAnsiTheme="minorHAnsi" w:cs="Arial"/>
          <w:i/>
          <w:color w:val="000000"/>
          <w:sz w:val="22"/>
          <w:szCs w:val="22"/>
          <w:lang w:eastAsia="en-GB"/>
        </w:rPr>
      </w:pPr>
      <w:r w:rsidRPr="00425324">
        <w:rPr>
          <w:rFonts w:asciiTheme="minorHAnsi" w:hAnsiTheme="minorHAnsi" w:cs="Arial"/>
          <w:i/>
          <w:color w:val="000000"/>
          <w:sz w:val="22"/>
          <w:szCs w:val="22"/>
          <w:lang w:eastAsia="en-GB"/>
        </w:rPr>
        <w:t xml:space="preserve">If such features, whether existing or additional, are shown to have a net beneficial effect in reducing risk by limiting lateral deviation, RDG/RSSB should: </w:t>
      </w:r>
    </w:p>
    <w:p w14:paraId="28E0E8F4" w14:textId="77777777" w:rsidR="00425324" w:rsidRPr="00425324" w:rsidRDefault="00425324" w:rsidP="00425324">
      <w:pPr>
        <w:autoSpaceDE w:val="0"/>
        <w:autoSpaceDN w:val="0"/>
        <w:adjustRightInd w:val="0"/>
        <w:spacing w:after="43"/>
        <w:ind w:left="480"/>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b. </w:t>
      </w:r>
      <w:proofErr w:type="gramStart"/>
      <w:r w:rsidRPr="00425324">
        <w:rPr>
          <w:rFonts w:asciiTheme="minorHAnsi" w:hAnsiTheme="minorHAnsi" w:cs="Arial"/>
          <w:i/>
          <w:color w:val="000000"/>
          <w:sz w:val="22"/>
          <w:szCs w:val="22"/>
          <w:lang w:eastAsia="en-GB"/>
        </w:rPr>
        <w:t>share</w:t>
      </w:r>
      <w:proofErr w:type="gramEnd"/>
      <w:r w:rsidRPr="00425324">
        <w:rPr>
          <w:rFonts w:asciiTheme="minorHAnsi" w:hAnsiTheme="minorHAnsi" w:cs="Arial"/>
          <w:i/>
          <w:color w:val="000000"/>
          <w:sz w:val="22"/>
          <w:szCs w:val="22"/>
          <w:lang w:eastAsia="en-GB"/>
        </w:rPr>
        <w:t xml:space="preserve"> this information with the relevant Standards Committees; and </w:t>
      </w:r>
    </w:p>
    <w:p w14:paraId="5755975B" w14:textId="77777777" w:rsidR="00425324" w:rsidRPr="009B4546" w:rsidRDefault="00425324" w:rsidP="00425324">
      <w:pPr>
        <w:autoSpaceDE w:val="0"/>
        <w:autoSpaceDN w:val="0"/>
        <w:adjustRightInd w:val="0"/>
        <w:ind w:left="480"/>
        <w:rPr>
          <w:rFonts w:asciiTheme="minorHAnsi" w:hAnsiTheme="minorHAnsi" w:cs="Arial"/>
          <w:i/>
          <w:color w:val="000000"/>
          <w:sz w:val="22"/>
          <w:szCs w:val="22"/>
          <w:lang w:eastAsia="en-GB"/>
        </w:rPr>
      </w:pPr>
      <w:r w:rsidRPr="009B4546">
        <w:rPr>
          <w:rFonts w:asciiTheme="minorHAnsi" w:hAnsiTheme="minorHAnsi" w:cs="Arial"/>
          <w:i/>
          <w:color w:val="000000"/>
          <w:sz w:val="22"/>
          <w:szCs w:val="22"/>
          <w:lang w:eastAsia="en-GB"/>
        </w:rPr>
        <w:t xml:space="preserve">c. </w:t>
      </w:r>
      <w:r w:rsidRPr="00425324">
        <w:rPr>
          <w:rFonts w:asciiTheme="minorHAnsi" w:hAnsiTheme="minorHAnsi" w:cs="Arial"/>
          <w:i/>
          <w:color w:val="000000"/>
          <w:sz w:val="22"/>
          <w:szCs w:val="22"/>
          <w:lang w:eastAsia="en-GB"/>
        </w:rPr>
        <w:t>record and disseminate the design requirements with a view to their incorporation into future standards.</w:t>
      </w:r>
      <w:r w:rsidR="009B4546" w:rsidRPr="009B4546">
        <w:rPr>
          <w:rFonts w:asciiTheme="minorHAnsi" w:hAnsiTheme="minorHAnsi" w:cs="Arial"/>
          <w:i/>
          <w:color w:val="000000"/>
          <w:sz w:val="22"/>
          <w:szCs w:val="22"/>
          <w:lang w:eastAsia="en-GB"/>
        </w:rPr>
        <w:t>”</w:t>
      </w:r>
      <w:r w:rsidRPr="00425324">
        <w:rPr>
          <w:rFonts w:asciiTheme="minorHAnsi" w:hAnsiTheme="minorHAnsi" w:cs="Arial"/>
          <w:i/>
          <w:color w:val="000000"/>
          <w:sz w:val="22"/>
          <w:szCs w:val="22"/>
          <w:lang w:eastAsia="en-GB"/>
        </w:rPr>
        <w:t xml:space="preserve"> </w:t>
      </w:r>
    </w:p>
    <w:p w14:paraId="099C592D" w14:textId="77777777" w:rsidR="00425324" w:rsidRPr="00425324" w:rsidRDefault="00425324" w:rsidP="00425324">
      <w:pPr>
        <w:autoSpaceDE w:val="0"/>
        <w:autoSpaceDN w:val="0"/>
        <w:adjustRightInd w:val="0"/>
        <w:ind w:left="480"/>
        <w:rPr>
          <w:rFonts w:cs="Arial"/>
          <w:color w:val="000000"/>
          <w:sz w:val="23"/>
          <w:szCs w:val="23"/>
          <w:lang w:eastAsia="en-GB"/>
        </w:rPr>
      </w:pPr>
    </w:p>
    <w:p w14:paraId="4E15C207" w14:textId="77777777" w:rsidR="00FC34F7" w:rsidRPr="00903473" w:rsidRDefault="00903473" w:rsidP="00903473">
      <w:pPr>
        <w:pStyle w:val="Body"/>
        <w:jc w:val="both"/>
      </w:pPr>
      <w:r w:rsidRPr="000D1E92">
        <w:t xml:space="preserve">Previous </w:t>
      </w:r>
      <w:r w:rsidR="00EB38C6">
        <w:t xml:space="preserve">similar </w:t>
      </w:r>
      <w:r w:rsidRPr="000D1E92">
        <w:t xml:space="preserve">recommendations made have been reviewed by </w:t>
      </w:r>
      <w:r w:rsidR="00497544">
        <w:t>industry</w:t>
      </w:r>
      <w:r w:rsidRPr="000D1E92">
        <w:t xml:space="preserve"> through the Rolling Stock Standards Committee and </w:t>
      </w:r>
      <w:bookmarkStart w:id="2" w:name="_Hlk518550918"/>
      <w:r w:rsidRPr="000D1E92">
        <w:t xml:space="preserve">concluded that such devices were </w:t>
      </w:r>
      <w:r w:rsidR="000D6B11">
        <w:t xml:space="preserve">unlikely to be </w:t>
      </w:r>
      <w:r w:rsidRPr="000D1E92">
        <w:t>practical or effective.</w:t>
      </w:r>
      <w:r w:rsidRPr="000D1E92">
        <w:rPr>
          <w:rStyle w:val="CommentReference"/>
          <w:rFonts w:ascii="Arial" w:eastAsia="Arial" w:hAnsi="Arial" w:cs="Times New Roman"/>
          <w:lang w:val="x-none" w:eastAsia="en-US"/>
        </w:rPr>
        <w:t xml:space="preserve"> </w:t>
      </w:r>
      <w:r>
        <w:rPr>
          <w:rStyle w:val="CommentReference"/>
          <w:rFonts w:ascii="Arial" w:eastAsia="Arial" w:hAnsi="Arial" w:cs="Times New Roman"/>
          <w:lang w:val="x-none" w:eastAsia="en-US"/>
        </w:rPr>
        <w:t>T</w:t>
      </w:r>
      <w:r>
        <w:t xml:space="preserve">he purpose of this study is to provide a broader, more comprehensive study with objective outputs to provide a definitive </w:t>
      </w:r>
      <w:r w:rsidR="000D6B11">
        <w:t>position</w:t>
      </w:r>
      <w:r>
        <w:t xml:space="preserve"> on derailment mitigation.</w:t>
      </w:r>
      <w:bookmarkEnd w:id="2"/>
      <w:r w:rsidR="00FC34F7">
        <w:br w:type="page"/>
      </w:r>
    </w:p>
    <w:p w14:paraId="33C1669A" w14:textId="77777777" w:rsidR="00B90DA0" w:rsidRDefault="001F24C5" w:rsidP="00562DE6">
      <w:pPr>
        <w:pStyle w:val="Heading1"/>
        <w:ind w:left="0"/>
      </w:pPr>
      <w:r>
        <w:lastRenderedPageBreak/>
        <w:t>O</w:t>
      </w:r>
      <w:r w:rsidR="00B90DA0">
        <w:t>bjectives</w:t>
      </w:r>
    </w:p>
    <w:p w14:paraId="1D89F68B" w14:textId="4AB54411" w:rsidR="00A86C0F" w:rsidRDefault="00A86C0F" w:rsidP="00931F49">
      <w:pPr>
        <w:pStyle w:val="BodyIndent1"/>
        <w:ind w:left="0"/>
        <w:jc w:val="both"/>
      </w:pPr>
      <w:r w:rsidRPr="009C18CB">
        <w:t xml:space="preserve">It is proposed that the project is split into three work </w:t>
      </w:r>
      <w:r w:rsidR="004F2ABC">
        <w:t xml:space="preserve">distinct </w:t>
      </w:r>
      <w:r w:rsidRPr="009C18CB">
        <w:t xml:space="preserve">packages; the first </w:t>
      </w:r>
      <w:r w:rsidR="004F2ABC">
        <w:t xml:space="preserve">addresses the feasibility of using rolling stock mounted solutions, the second investigates the feasibility of infrastructure mounted solutions, and the third </w:t>
      </w:r>
      <w:r w:rsidR="00931F49">
        <w:t xml:space="preserve">brings the findings of work packages 1 and 2 to recommend an approach based on evidence for guiding trains post derailment. </w:t>
      </w:r>
    </w:p>
    <w:p w14:paraId="06C4AE59" w14:textId="57535AAE" w:rsidR="00A86C0F" w:rsidRPr="009C18CB" w:rsidRDefault="00573429" w:rsidP="00FE11E0">
      <w:pPr>
        <w:pStyle w:val="ListParagraph"/>
        <w:numPr>
          <w:ilvl w:val="1"/>
          <w:numId w:val="34"/>
        </w:numPr>
        <w:rPr>
          <w:rFonts w:ascii="Calibri" w:hAnsi="Calibri" w:cs="Arial"/>
          <w:color w:val="00968E"/>
          <w:sz w:val="32"/>
          <w:szCs w:val="22"/>
          <w:lang w:eastAsia="en-GB"/>
        </w:rPr>
      </w:pPr>
      <w:r w:rsidRPr="009C18CB">
        <w:rPr>
          <w:rFonts w:ascii="Calibri" w:hAnsi="Calibri" w:cs="Arial"/>
          <w:color w:val="00968E"/>
          <w:sz w:val="32"/>
          <w:szCs w:val="22"/>
          <w:lang w:eastAsia="en-GB"/>
        </w:rPr>
        <w:t xml:space="preserve">Work Package 1: </w:t>
      </w:r>
      <w:r w:rsidR="00A86C0F" w:rsidRPr="009C18CB">
        <w:rPr>
          <w:rFonts w:ascii="Calibri" w:hAnsi="Calibri" w:cs="Arial"/>
          <w:color w:val="00968E"/>
          <w:sz w:val="32"/>
          <w:szCs w:val="22"/>
          <w:lang w:eastAsia="en-GB"/>
        </w:rPr>
        <w:t xml:space="preserve">Assessing the </w:t>
      </w:r>
      <w:r w:rsidR="00B2502B">
        <w:rPr>
          <w:rFonts w:ascii="Calibri" w:hAnsi="Calibri" w:cs="Arial"/>
          <w:color w:val="00968E"/>
          <w:sz w:val="32"/>
          <w:szCs w:val="22"/>
          <w:lang w:eastAsia="en-GB"/>
        </w:rPr>
        <w:t xml:space="preserve">potential for </w:t>
      </w:r>
      <w:r w:rsidR="00A86C0F" w:rsidRPr="009C18CB">
        <w:rPr>
          <w:rFonts w:ascii="Calibri" w:hAnsi="Calibri" w:cs="Arial"/>
          <w:color w:val="00968E"/>
          <w:sz w:val="32"/>
          <w:szCs w:val="22"/>
          <w:lang w:eastAsia="en-GB"/>
        </w:rPr>
        <w:t xml:space="preserve">Rolling Stock Mounted Equipment </w:t>
      </w:r>
      <w:r w:rsidR="00B2502B">
        <w:rPr>
          <w:rFonts w:ascii="Calibri" w:hAnsi="Calibri" w:cs="Arial"/>
          <w:color w:val="00968E"/>
          <w:sz w:val="32"/>
          <w:szCs w:val="22"/>
          <w:lang w:eastAsia="en-GB"/>
        </w:rPr>
        <w:t>to</w:t>
      </w:r>
      <w:r w:rsidR="00A86C0F" w:rsidRPr="009C18CB">
        <w:rPr>
          <w:rFonts w:ascii="Calibri" w:hAnsi="Calibri" w:cs="Arial"/>
          <w:color w:val="00968E"/>
          <w:sz w:val="32"/>
          <w:szCs w:val="22"/>
          <w:lang w:eastAsia="en-GB"/>
        </w:rPr>
        <w:t xml:space="preserve"> </w:t>
      </w:r>
      <w:r w:rsidR="00B2502B">
        <w:rPr>
          <w:rFonts w:ascii="Calibri" w:hAnsi="Calibri" w:cs="Arial"/>
          <w:color w:val="00968E"/>
          <w:sz w:val="32"/>
          <w:szCs w:val="22"/>
          <w:lang w:eastAsia="en-GB"/>
        </w:rPr>
        <w:t>r</w:t>
      </w:r>
      <w:r w:rsidR="00A86C0F" w:rsidRPr="009C18CB">
        <w:rPr>
          <w:rFonts w:ascii="Calibri" w:hAnsi="Calibri" w:cs="Arial"/>
          <w:color w:val="00968E"/>
          <w:sz w:val="32"/>
          <w:szCs w:val="22"/>
          <w:lang w:eastAsia="en-GB"/>
        </w:rPr>
        <w:t>educ</w:t>
      </w:r>
      <w:r w:rsidR="00196FAE">
        <w:rPr>
          <w:rFonts w:ascii="Calibri" w:hAnsi="Calibri" w:cs="Arial"/>
          <w:color w:val="00968E"/>
          <w:sz w:val="32"/>
          <w:szCs w:val="22"/>
          <w:lang w:eastAsia="en-GB"/>
        </w:rPr>
        <w:t>e</w:t>
      </w:r>
      <w:r w:rsidR="00B2502B">
        <w:rPr>
          <w:rFonts w:ascii="Calibri" w:hAnsi="Calibri" w:cs="Arial"/>
          <w:color w:val="00968E"/>
          <w:sz w:val="32"/>
          <w:szCs w:val="22"/>
          <w:lang w:eastAsia="en-GB"/>
        </w:rPr>
        <w:t xml:space="preserve"> lateral deviation </w:t>
      </w:r>
      <w:r w:rsidR="00DA7E5B">
        <w:rPr>
          <w:rFonts w:ascii="Calibri" w:hAnsi="Calibri" w:cs="Arial"/>
          <w:color w:val="00968E"/>
          <w:sz w:val="32"/>
          <w:szCs w:val="22"/>
          <w:lang w:eastAsia="en-GB"/>
        </w:rPr>
        <w:t>post</w:t>
      </w:r>
      <w:r w:rsidR="00A86C0F" w:rsidRPr="009C18CB">
        <w:rPr>
          <w:rFonts w:ascii="Calibri" w:hAnsi="Calibri" w:cs="Arial"/>
          <w:color w:val="00968E"/>
          <w:sz w:val="32"/>
          <w:szCs w:val="22"/>
          <w:lang w:eastAsia="en-GB"/>
        </w:rPr>
        <w:t xml:space="preserve"> </w:t>
      </w:r>
      <w:r w:rsidR="00B2502B">
        <w:rPr>
          <w:rFonts w:ascii="Calibri" w:hAnsi="Calibri" w:cs="Arial"/>
          <w:color w:val="00968E"/>
          <w:sz w:val="32"/>
          <w:szCs w:val="22"/>
          <w:lang w:eastAsia="en-GB"/>
        </w:rPr>
        <w:t>d</w:t>
      </w:r>
      <w:r w:rsidR="00A86C0F" w:rsidRPr="009C18CB">
        <w:rPr>
          <w:rFonts w:ascii="Calibri" w:hAnsi="Calibri" w:cs="Arial"/>
          <w:color w:val="00968E"/>
          <w:sz w:val="32"/>
          <w:szCs w:val="22"/>
          <w:lang w:eastAsia="en-GB"/>
        </w:rPr>
        <w:t>erailment</w:t>
      </w:r>
    </w:p>
    <w:p w14:paraId="42614055" w14:textId="70325E2A" w:rsidR="00FD47C3" w:rsidRPr="00600CBB" w:rsidRDefault="000D6B11" w:rsidP="00FE11E0">
      <w:pPr>
        <w:pStyle w:val="BodyBold"/>
        <w:numPr>
          <w:ilvl w:val="2"/>
          <w:numId w:val="34"/>
        </w:numPr>
      </w:pPr>
      <w:r w:rsidRPr="00600CBB">
        <w:t xml:space="preserve">Assessment of </w:t>
      </w:r>
      <w:r w:rsidR="00BA6C4C" w:rsidRPr="00600CBB">
        <w:t>existing rolling stock mounted equipment</w:t>
      </w:r>
    </w:p>
    <w:p w14:paraId="45ED450B" w14:textId="3C641E46" w:rsidR="00C73856" w:rsidRPr="00C73856" w:rsidRDefault="000D6B11" w:rsidP="00C73856">
      <w:pPr>
        <w:pStyle w:val="Body"/>
        <w:jc w:val="both"/>
        <w:rPr>
          <w:rFonts w:asciiTheme="minorHAnsi" w:hAnsiTheme="minorHAnsi"/>
        </w:rPr>
      </w:pPr>
      <w:r>
        <w:rPr>
          <w:rFonts w:asciiTheme="minorHAnsi" w:hAnsiTheme="minorHAnsi"/>
        </w:rPr>
        <w:t>Identify, categorise</w:t>
      </w:r>
      <w:r w:rsidRPr="00A1450E">
        <w:rPr>
          <w:rFonts w:asciiTheme="minorHAnsi" w:hAnsiTheme="minorHAnsi"/>
        </w:rPr>
        <w:t xml:space="preserve"> </w:t>
      </w:r>
      <w:r w:rsidR="00A1450E" w:rsidRPr="00A1450E">
        <w:rPr>
          <w:rFonts w:asciiTheme="minorHAnsi" w:hAnsiTheme="minorHAnsi"/>
        </w:rPr>
        <w:t xml:space="preserve">and assess </w:t>
      </w:r>
      <w:r w:rsidR="00BA6C4C">
        <w:rPr>
          <w:rFonts w:asciiTheme="minorHAnsi" w:hAnsiTheme="minorHAnsi"/>
        </w:rPr>
        <w:t>different</w:t>
      </w:r>
      <w:r w:rsidR="00A1450E" w:rsidRPr="00A1450E">
        <w:rPr>
          <w:rFonts w:asciiTheme="minorHAnsi" w:hAnsiTheme="minorHAnsi"/>
        </w:rPr>
        <w:t xml:space="preserve"> </w:t>
      </w:r>
      <w:r w:rsidR="002C6290">
        <w:rPr>
          <w:rFonts w:asciiTheme="minorHAnsi" w:hAnsiTheme="minorHAnsi"/>
        </w:rPr>
        <w:t xml:space="preserve">rolling stock mounted </w:t>
      </w:r>
      <w:r w:rsidR="00A1450E" w:rsidRPr="00A1450E">
        <w:rPr>
          <w:rFonts w:asciiTheme="minorHAnsi" w:hAnsiTheme="minorHAnsi"/>
        </w:rPr>
        <w:t>systems</w:t>
      </w:r>
      <w:r w:rsidR="00BA6C4C">
        <w:rPr>
          <w:rFonts w:asciiTheme="minorHAnsi" w:hAnsiTheme="minorHAnsi"/>
        </w:rPr>
        <w:t xml:space="preserve"> for limiting lateral deviation in the event of a derailment. This should include an assessment of</w:t>
      </w:r>
      <w:r w:rsidR="00C73856">
        <w:rPr>
          <w:rFonts w:asciiTheme="minorHAnsi" w:hAnsiTheme="minorHAnsi"/>
        </w:rPr>
        <w:t xml:space="preserve"> b</w:t>
      </w:r>
      <w:r w:rsidR="00BA6C4C">
        <w:rPr>
          <w:rFonts w:asciiTheme="minorHAnsi" w:hAnsiTheme="minorHAnsi"/>
        </w:rPr>
        <w:t xml:space="preserve">oth established solutions, and those </w:t>
      </w:r>
      <w:r w:rsidR="009C18CB">
        <w:rPr>
          <w:rFonts w:asciiTheme="minorHAnsi" w:hAnsiTheme="minorHAnsi"/>
        </w:rPr>
        <w:t>under development</w:t>
      </w:r>
      <w:r w:rsidR="00BA6C4C">
        <w:rPr>
          <w:rFonts w:asciiTheme="minorHAnsi" w:hAnsiTheme="minorHAnsi"/>
        </w:rPr>
        <w:t>, including academic research</w:t>
      </w:r>
      <w:r w:rsidR="00C73856">
        <w:rPr>
          <w:rFonts w:asciiTheme="minorHAnsi" w:hAnsiTheme="minorHAnsi"/>
        </w:rPr>
        <w:t>, and s</w:t>
      </w:r>
      <w:r w:rsidR="00BA6C4C">
        <w:rPr>
          <w:rFonts w:asciiTheme="minorHAnsi" w:hAnsiTheme="minorHAnsi"/>
        </w:rPr>
        <w:t>olutions used in GB and worldwide</w:t>
      </w:r>
      <w:r w:rsidR="00C73856">
        <w:rPr>
          <w:rFonts w:asciiTheme="minorHAnsi" w:hAnsiTheme="minorHAnsi"/>
        </w:rPr>
        <w:t>.</w:t>
      </w:r>
    </w:p>
    <w:p w14:paraId="1EBEE7BB" w14:textId="53293D87" w:rsidR="00BA6C4C" w:rsidRPr="00BA6C4C" w:rsidRDefault="00BA6C4C" w:rsidP="00BA6C4C">
      <w:pPr>
        <w:pStyle w:val="Body"/>
        <w:jc w:val="both"/>
        <w:rPr>
          <w:rFonts w:asciiTheme="minorHAnsi" w:hAnsiTheme="minorHAnsi"/>
        </w:rPr>
      </w:pPr>
      <w:r>
        <w:rPr>
          <w:rFonts w:asciiTheme="minorHAnsi" w:hAnsiTheme="minorHAnsi"/>
        </w:rPr>
        <w:t>For each device, t</w:t>
      </w:r>
      <w:r w:rsidRPr="00BA6C4C">
        <w:rPr>
          <w:rFonts w:asciiTheme="minorHAnsi" w:hAnsiTheme="minorHAnsi"/>
        </w:rPr>
        <w:t xml:space="preserve">he study shall include </w:t>
      </w:r>
      <w:r>
        <w:rPr>
          <w:rFonts w:asciiTheme="minorHAnsi" w:hAnsiTheme="minorHAnsi"/>
        </w:rPr>
        <w:t xml:space="preserve">a clear </w:t>
      </w:r>
      <w:r w:rsidRPr="00BA6C4C">
        <w:rPr>
          <w:rFonts w:asciiTheme="minorHAnsi" w:hAnsiTheme="minorHAnsi"/>
        </w:rPr>
        <w:t>description</w:t>
      </w:r>
      <w:r w:rsidR="00C73856">
        <w:rPr>
          <w:rFonts w:asciiTheme="minorHAnsi" w:hAnsiTheme="minorHAnsi"/>
        </w:rPr>
        <w:t xml:space="preserve"> of design</w:t>
      </w:r>
      <w:r>
        <w:rPr>
          <w:rFonts w:asciiTheme="minorHAnsi" w:hAnsiTheme="minorHAnsi"/>
        </w:rPr>
        <w:t>, d</w:t>
      </w:r>
      <w:r w:rsidRPr="00BA6C4C">
        <w:rPr>
          <w:rFonts w:asciiTheme="minorHAnsi" w:hAnsiTheme="minorHAnsi"/>
        </w:rPr>
        <w:t>efine the mechanism of restraint</w:t>
      </w:r>
      <w:r>
        <w:rPr>
          <w:rFonts w:asciiTheme="minorHAnsi" w:hAnsiTheme="minorHAnsi"/>
        </w:rPr>
        <w:t xml:space="preserve"> and</w:t>
      </w:r>
      <w:r w:rsidRPr="00BA6C4C">
        <w:rPr>
          <w:rFonts w:asciiTheme="minorHAnsi" w:hAnsiTheme="minorHAnsi"/>
        </w:rPr>
        <w:t xml:space="preserve"> assess the potential effectiveness and limitations of each system</w:t>
      </w:r>
      <w:r>
        <w:rPr>
          <w:rFonts w:asciiTheme="minorHAnsi" w:hAnsiTheme="minorHAnsi"/>
        </w:rPr>
        <w:t xml:space="preserve"> for use in GB railways. The assessment should include consideration of compatibility with Lower Sector Vehicle Gauge, and any other restraints </w:t>
      </w:r>
      <w:proofErr w:type="gramStart"/>
      <w:r>
        <w:rPr>
          <w:rFonts w:asciiTheme="minorHAnsi" w:hAnsiTheme="minorHAnsi"/>
        </w:rPr>
        <w:t>particular to</w:t>
      </w:r>
      <w:proofErr w:type="gramEnd"/>
      <w:r>
        <w:rPr>
          <w:rFonts w:asciiTheme="minorHAnsi" w:hAnsiTheme="minorHAnsi"/>
        </w:rPr>
        <w:t xml:space="preserve"> GB.</w:t>
      </w:r>
    </w:p>
    <w:p w14:paraId="6AA95EA2" w14:textId="7786EE65" w:rsidR="00EB38C6" w:rsidRDefault="00EB38C6" w:rsidP="00EB38C6">
      <w:pPr>
        <w:pStyle w:val="BodyBold"/>
      </w:pPr>
      <w:r>
        <w:t>2.1.2 The behaviour of a derailed vehicle during and immediately after leaving the rails</w:t>
      </w:r>
    </w:p>
    <w:p w14:paraId="706FA46B" w14:textId="722BF23E" w:rsidR="00DA7E5B" w:rsidRDefault="00E25D3F" w:rsidP="00EB38C6">
      <w:pPr>
        <w:pStyle w:val="Body"/>
        <w:jc w:val="both"/>
      </w:pPr>
      <w:r>
        <w:t xml:space="preserve">To use </w:t>
      </w:r>
      <w:r w:rsidR="00C73856">
        <w:t>suitable</w:t>
      </w:r>
      <w:r w:rsidR="00EB38C6">
        <w:t xml:space="preserve"> </w:t>
      </w:r>
      <w:r w:rsidR="00C73856">
        <w:t>d</w:t>
      </w:r>
      <w:r w:rsidR="00EB38C6">
        <w:t>ynamic modelling</w:t>
      </w:r>
      <w:r w:rsidR="00C73856">
        <w:t xml:space="preserve"> for a range of derailment scenarios </w:t>
      </w:r>
      <w:r>
        <w:t xml:space="preserve">to </w:t>
      </w:r>
      <w:r w:rsidR="00EB38C6">
        <w:t xml:space="preserve">understand the geometry and forces relating to secondary </w:t>
      </w:r>
      <w:r w:rsidR="00EB38C6" w:rsidRPr="009C18CB">
        <w:t>engagement of bogie mounted structures on the rail</w:t>
      </w:r>
      <w:r w:rsidR="00EB38C6">
        <w:t xml:space="preserve"> following derailment</w:t>
      </w:r>
      <w:r w:rsidR="00EB38C6" w:rsidRPr="009C18CB">
        <w:t xml:space="preserve">. </w:t>
      </w:r>
      <w:r w:rsidR="00EB38C6">
        <w:t>The modelling should</w:t>
      </w:r>
      <w:r w:rsidR="00EB38C6" w:rsidRPr="009C18CB">
        <w:t xml:space="preserve"> </w:t>
      </w:r>
      <w:r w:rsidR="00267BAA">
        <w:t>indicate</w:t>
      </w:r>
      <w:r w:rsidR="00267BAA" w:rsidRPr="009C18CB">
        <w:t xml:space="preserve"> </w:t>
      </w:r>
      <w:r w:rsidR="00EB38C6" w:rsidRPr="009C18CB">
        <w:t>the direction and magnitude of potential restraining forces to be imposed by track features</w:t>
      </w:r>
      <w:r w:rsidR="00EB38C6">
        <w:t>, and the resultant lateral deviation from normal running position. Modelling should be carried out for plain line track only,</w:t>
      </w:r>
      <w:r w:rsidR="00C73856">
        <w:t xml:space="preserve"> but parameters that are likely to need to </w:t>
      </w:r>
      <w:r w:rsidR="00DA7E5B">
        <w:t>include (but are not limited to)</w:t>
      </w:r>
      <w:r w:rsidR="00C73856">
        <w:t xml:space="preserve"> vehicle type, speed</w:t>
      </w:r>
      <w:r w:rsidR="00DA7E5B">
        <w:t xml:space="preserve"> (variation from speeds up to 125mph should be considered)</w:t>
      </w:r>
      <w:r w:rsidR="00C73856">
        <w:t xml:space="preserve">, </w:t>
      </w:r>
      <w:r w:rsidR="00DA7E5B">
        <w:t xml:space="preserve">and </w:t>
      </w:r>
      <w:r w:rsidR="00C73856">
        <w:t>track curvature</w:t>
      </w:r>
      <w:r w:rsidR="00DA7E5B">
        <w:t xml:space="preserve">. The tenderer is asked to clearly define how these, and other parameters will be included the range of derailment scenarios, which should include both leading locomotives and leading passenger vehicles. </w:t>
      </w:r>
    </w:p>
    <w:p w14:paraId="7EA0640F" w14:textId="1DDFB748" w:rsidR="00EB38C6" w:rsidRDefault="00DA7E5B" w:rsidP="00EB38C6">
      <w:pPr>
        <w:pStyle w:val="Body"/>
        <w:jc w:val="both"/>
      </w:pPr>
      <w:r>
        <w:t>Additionally, this task will</w:t>
      </w:r>
      <w:r w:rsidR="00C73856">
        <w:t xml:space="preserve"> need to </w:t>
      </w:r>
      <w:r>
        <w:t xml:space="preserve">qualitatively </w:t>
      </w:r>
      <w:r w:rsidR="00C73856">
        <w:t>consider</w:t>
      </w:r>
      <w:r w:rsidR="00EB38C6">
        <w:t xml:space="preserve"> the impact</w:t>
      </w:r>
      <w:r>
        <w:t>s</w:t>
      </w:r>
      <w:r w:rsidR="00EB38C6">
        <w:t xml:space="preserve"> of Switches and Crossings (S&amp;C)</w:t>
      </w:r>
      <w:r>
        <w:t xml:space="preserve"> on lateral deviation following derailment on both ‘standard’ vehicles and those with additional mounted devices. </w:t>
      </w:r>
      <w:r w:rsidR="00267BAA">
        <w:t xml:space="preserve">Given the range of factors and variables around S&amp;C, it is not necessary to carry out dynamic </w:t>
      </w:r>
      <w:r w:rsidR="000305A8">
        <w:t>modelling,</w:t>
      </w:r>
      <w:r w:rsidR="00267BAA">
        <w:t xml:space="preserve"> but expert opinion may be used to take a qualitative approach.</w:t>
      </w:r>
    </w:p>
    <w:p w14:paraId="6A2B9346" w14:textId="77777777" w:rsidR="00FD47C3" w:rsidRDefault="00FD47C3" w:rsidP="00FD47C3">
      <w:pPr>
        <w:pStyle w:val="BodyBold"/>
      </w:pPr>
      <w:r>
        <w:t xml:space="preserve">2.1.3 </w:t>
      </w:r>
      <w:r w:rsidR="001D7191" w:rsidRPr="001D7191">
        <w:t>Potential for bogie or axle mounted equipment in GB railways</w:t>
      </w:r>
    </w:p>
    <w:p w14:paraId="1B37180B" w14:textId="4852C640" w:rsidR="00BC4743" w:rsidRDefault="00B2502B" w:rsidP="00FD47C3">
      <w:pPr>
        <w:pStyle w:val="Body"/>
        <w:jc w:val="both"/>
        <w:rPr>
          <w:rFonts w:asciiTheme="minorHAnsi" w:hAnsiTheme="minorHAnsi"/>
        </w:rPr>
      </w:pPr>
      <w:r>
        <w:rPr>
          <w:rFonts w:asciiTheme="minorHAnsi" w:hAnsiTheme="minorHAnsi"/>
        </w:rPr>
        <w:t>E</w:t>
      </w:r>
      <w:r w:rsidR="000B76A4" w:rsidRPr="000B76A4">
        <w:rPr>
          <w:rFonts w:asciiTheme="minorHAnsi" w:hAnsiTheme="minorHAnsi"/>
        </w:rPr>
        <w:t>valuate the options available</w:t>
      </w:r>
      <w:r w:rsidR="000B76A4">
        <w:rPr>
          <w:rFonts w:asciiTheme="minorHAnsi" w:hAnsiTheme="minorHAnsi"/>
        </w:rPr>
        <w:t xml:space="preserve"> to </w:t>
      </w:r>
      <w:r w:rsidR="000B76A4" w:rsidRPr="000B76A4">
        <w:rPr>
          <w:rFonts w:asciiTheme="minorHAnsi" w:hAnsiTheme="minorHAnsi"/>
        </w:rPr>
        <w:t xml:space="preserve">provide </w:t>
      </w:r>
      <w:r w:rsidR="000B76A4">
        <w:rPr>
          <w:rFonts w:asciiTheme="minorHAnsi" w:hAnsiTheme="minorHAnsi"/>
        </w:rPr>
        <w:t>rolling stock mounted devices for limiting lateral deviation</w:t>
      </w:r>
      <w:r w:rsidR="00EB38C6">
        <w:rPr>
          <w:rFonts w:asciiTheme="minorHAnsi" w:hAnsiTheme="minorHAnsi"/>
        </w:rPr>
        <w:t xml:space="preserve"> following derailment</w:t>
      </w:r>
      <w:r>
        <w:rPr>
          <w:rFonts w:asciiTheme="minorHAnsi" w:hAnsiTheme="minorHAnsi"/>
        </w:rPr>
        <w:t xml:space="preserve"> on GB</w:t>
      </w:r>
      <w:r w:rsidR="000B76A4">
        <w:rPr>
          <w:rFonts w:asciiTheme="minorHAnsi" w:hAnsiTheme="minorHAnsi"/>
        </w:rPr>
        <w:t>.</w:t>
      </w:r>
      <w:r w:rsidR="00BC4743">
        <w:rPr>
          <w:rFonts w:asciiTheme="minorHAnsi" w:hAnsiTheme="minorHAnsi"/>
        </w:rPr>
        <w:t xml:space="preserve"> This should include:</w:t>
      </w:r>
    </w:p>
    <w:p w14:paraId="14BBC0B2" w14:textId="6D0A7A83" w:rsidR="00BC4743" w:rsidRDefault="00BC4743" w:rsidP="00FE11E0">
      <w:pPr>
        <w:pStyle w:val="Body"/>
        <w:numPr>
          <w:ilvl w:val="0"/>
          <w:numId w:val="43"/>
        </w:numPr>
        <w:jc w:val="both"/>
        <w:rPr>
          <w:rFonts w:asciiTheme="minorHAnsi" w:hAnsiTheme="minorHAnsi"/>
        </w:rPr>
      </w:pPr>
      <w:r>
        <w:rPr>
          <w:rFonts w:asciiTheme="minorHAnsi" w:hAnsiTheme="minorHAnsi"/>
        </w:rPr>
        <w:t>Any promising solutions identified in the assessment of existing rolling stock mounted equipment (2.1.1)</w:t>
      </w:r>
    </w:p>
    <w:p w14:paraId="7D5858C2" w14:textId="77777777" w:rsidR="00BC4743" w:rsidRDefault="00BC4743" w:rsidP="00FE11E0">
      <w:pPr>
        <w:pStyle w:val="Body"/>
        <w:numPr>
          <w:ilvl w:val="0"/>
          <w:numId w:val="43"/>
        </w:numPr>
        <w:jc w:val="both"/>
        <w:rPr>
          <w:rFonts w:asciiTheme="minorHAnsi" w:hAnsiTheme="minorHAnsi"/>
        </w:rPr>
      </w:pPr>
      <w:r>
        <w:rPr>
          <w:rFonts w:asciiTheme="minorHAnsi" w:hAnsiTheme="minorHAnsi"/>
        </w:rPr>
        <w:t>C</w:t>
      </w:r>
      <w:r w:rsidR="000B76A4">
        <w:rPr>
          <w:rFonts w:asciiTheme="minorHAnsi" w:hAnsiTheme="minorHAnsi"/>
        </w:rPr>
        <w:t>onsider</w:t>
      </w:r>
      <w:r>
        <w:rPr>
          <w:rFonts w:asciiTheme="minorHAnsi" w:hAnsiTheme="minorHAnsi"/>
        </w:rPr>
        <w:t>ation</w:t>
      </w:r>
      <w:r w:rsidR="000B76A4">
        <w:rPr>
          <w:rFonts w:asciiTheme="minorHAnsi" w:hAnsiTheme="minorHAnsi"/>
        </w:rPr>
        <w:t xml:space="preserve"> </w:t>
      </w:r>
      <w:r>
        <w:rPr>
          <w:rFonts w:asciiTheme="minorHAnsi" w:hAnsiTheme="minorHAnsi"/>
        </w:rPr>
        <w:t xml:space="preserve">of </w:t>
      </w:r>
      <w:r w:rsidR="000B76A4">
        <w:rPr>
          <w:rFonts w:asciiTheme="minorHAnsi" w:hAnsiTheme="minorHAnsi"/>
        </w:rPr>
        <w:t xml:space="preserve">the </w:t>
      </w:r>
      <w:r>
        <w:rPr>
          <w:rFonts w:asciiTheme="minorHAnsi" w:hAnsiTheme="minorHAnsi"/>
        </w:rPr>
        <w:t>devices</w:t>
      </w:r>
      <w:r w:rsidR="000B76A4">
        <w:rPr>
          <w:rFonts w:asciiTheme="minorHAnsi" w:hAnsiTheme="minorHAnsi"/>
        </w:rPr>
        <w:t xml:space="preserve"> that </w:t>
      </w:r>
      <w:r>
        <w:rPr>
          <w:rFonts w:asciiTheme="minorHAnsi" w:hAnsiTheme="minorHAnsi"/>
        </w:rPr>
        <w:t>acted unintentionally to reduce lateral deviation in</w:t>
      </w:r>
      <w:r w:rsidR="000B76A4">
        <w:rPr>
          <w:rFonts w:asciiTheme="minorHAnsi" w:hAnsiTheme="minorHAnsi"/>
        </w:rPr>
        <w:t xml:space="preserve"> </w:t>
      </w:r>
      <w:r>
        <w:rPr>
          <w:rFonts w:asciiTheme="minorHAnsi" w:hAnsiTheme="minorHAnsi"/>
        </w:rPr>
        <w:t xml:space="preserve">previous GB </w:t>
      </w:r>
      <w:r w:rsidR="000B76A4">
        <w:rPr>
          <w:rFonts w:asciiTheme="minorHAnsi" w:hAnsiTheme="minorHAnsi"/>
        </w:rPr>
        <w:t xml:space="preserve">derailments (see Appendix A). </w:t>
      </w:r>
    </w:p>
    <w:p w14:paraId="23F08ADA" w14:textId="7ECBA99D" w:rsidR="00BC4743" w:rsidRDefault="00BC4743" w:rsidP="00FE11E0">
      <w:pPr>
        <w:pStyle w:val="Body"/>
        <w:numPr>
          <w:ilvl w:val="0"/>
          <w:numId w:val="43"/>
        </w:numPr>
        <w:jc w:val="both"/>
        <w:rPr>
          <w:rFonts w:asciiTheme="minorHAnsi" w:hAnsiTheme="minorHAnsi"/>
        </w:rPr>
      </w:pPr>
      <w:r>
        <w:rPr>
          <w:rFonts w:asciiTheme="minorHAnsi" w:hAnsiTheme="minorHAnsi"/>
        </w:rPr>
        <w:lastRenderedPageBreak/>
        <w:t>Consideration of new or hybrid devices based on both the above and t</w:t>
      </w:r>
      <w:r w:rsidRPr="00BC4743">
        <w:rPr>
          <w:rFonts w:asciiTheme="minorHAnsi" w:hAnsiTheme="minorHAnsi"/>
        </w:rPr>
        <w:t>he behaviour of a derailed vehicle during</w:t>
      </w:r>
      <w:r w:rsidR="00E25D3F">
        <w:rPr>
          <w:rFonts w:asciiTheme="minorHAnsi" w:hAnsiTheme="minorHAnsi"/>
        </w:rPr>
        <w:t>,</w:t>
      </w:r>
      <w:r w:rsidRPr="00BC4743">
        <w:rPr>
          <w:rFonts w:asciiTheme="minorHAnsi" w:hAnsiTheme="minorHAnsi"/>
        </w:rPr>
        <w:t xml:space="preserve"> and immediately after</w:t>
      </w:r>
      <w:r w:rsidR="00E25D3F">
        <w:rPr>
          <w:rFonts w:asciiTheme="minorHAnsi" w:hAnsiTheme="minorHAnsi"/>
        </w:rPr>
        <w:t>,</w:t>
      </w:r>
      <w:r w:rsidRPr="00BC4743">
        <w:rPr>
          <w:rFonts w:asciiTheme="minorHAnsi" w:hAnsiTheme="minorHAnsi"/>
        </w:rPr>
        <w:t xml:space="preserve"> leaving the rails</w:t>
      </w:r>
      <w:r>
        <w:rPr>
          <w:rFonts w:asciiTheme="minorHAnsi" w:hAnsiTheme="minorHAnsi"/>
        </w:rPr>
        <w:t xml:space="preserve"> (2.1.2)</w:t>
      </w:r>
    </w:p>
    <w:p w14:paraId="24BDE023" w14:textId="0593E0CD" w:rsidR="00F26743" w:rsidRDefault="00BC4743" w:rsidP="00BC4743">
      <w:pPr>
        <w:pStyle w:val="Body"/>
        <w:jc w:val="both"/>
        <w:rPr>
          <w:rFonts w:asciiTheme="minorHAnsi" w:hAnsiTheme="minorHAnsi"/>
        </w:rPr>
      </w:pPr>
      <w:r>
        <w:rPr>
          <w:rFonts w:asciiTheme="minorHAnsi" w:hAnsiTheme="minorHAnsi"/>
        </w:rPr>
        <w:t xml:space="preserve">The </w:t>
      </w:r>
      <w:r w:rsidR="00004AF8">
        <w:rPr>
          <w:rFonts w:asciiTheme="minorHAnsi" w:hAnsiTheme="minorHAnsi"/>
        </w:rPr>
        <w:t xml:space="preserve">evaluation should consider </w:t>
      </w:r>
      <w:r w:rsidR="00B2502B">
        <w:rPr>
          <w:rFonts w:asciiTheme="minorHAnsi" w:hAnsiTheme="minorHAnsi"/>
        </w:rPr>
        <w:t xml:space="preserve">constraints of GB Lower Sector Vehicle Gauge (LSVG) </w:t>
      </w:r>
      <w:r w:rsidR="00004AF8">
        <w:rPr>
          <w:rFonts w:asciiTheme="minorHAnsi" w:hAnsiTheme="minorHAnsi"/>
        </w:rPr>
        <w:t>and</w:t>
      </w:r>
      <w:r>
        <w:rPr>
          <w:rFonts w:asciiTheme="minorHAnsi" w:hAnsiTheme="minorHAnsi"/>
        </w:rPr>
        <w:t xml:space="preserve"> </w:t>
      </w:r>
      <w:r w:rsidR="00B2502B">
        <w:rPr>
          <w:rFonts w:asciiTheme="minorHAnsi" w:hAnsiTheme="minorHAnsi"/>
        </w:rPr>
        <w:t xml:space="preserve">interactions with </w:t>
      </w:r>
      <w:r>
        <w:rPr>
          <w:rFonts w:asciiTheme="minorHAnsi" w:hAnsiTheme="minorHAnsi"/>
        </w:rPr>
        <w:t>switches and crossing</w:t>
      </w:r>
      <w:r w:rsidR="00004AF8">
        <w:rPr>
          <w:rFonts w:asciiTheme="minorHAnsi" w:hAnsiTheme="minorHAnsi"/>
        </w:rPr>
        <w:t xml:space="preserve">. </w:t>
      </w:r>
      <w:r w:rsidR="00B2502B">
        <w:rPr>
          <w:rFonts w:asciiTheme="minorHAnsi" w:hAnsiTheme="minorHAnsi"/>
        </w:rPr>
        <w:t>Summarise the</w:t>
      </w:r>
      <w:r w:rsidR="00004AF8" w:rsidRPr="00004AF8">
        <w:rPr>
          <w:rFonts w:asciiTheme="minorHAnsi" w:hAnsiTheme="minorHAnsi"/>
        </w:rPr>
        <w:t xml:space="preserve"> viable options</w:t>
      </w:r>
      <w:r w:rsidR="00004AF8">
        <w:rPr>
          <w:rFonts w:asciiTheme="minorHAnsi" w:hAnsiTheme="minorHAnsi"/>
        </w:rPr>
        <w:t>,</w:t>
      </w:r>
      <w:r w:rsidR="00B2502B">
        <w:rPr>
          <w:rFonts w:asciiTheme="minorHAnsi" w:hAnsiTheme="minorHAnsi"/>
        </w:rPr>
        <w:t xml:space="preserve"> including commentary on effectiveness, likely costs and any other relevant observations. For the options </w:t>
      </w:r>
      <w:r w:rsidR="00E25D3F">
        <w:rPr>
          <w:rFonts w:asciiTheme="minorHAnsi" w:hAnsiTheme="minorHAnsi"/>
        </w:rPr>
        <w:t xml:space="preserve">that are </w:t>
      </w:r>
      <w:r w:rsidR="00B2502B">
        <w:rPr>
          <w:rFonts w:asciiTheme="minorHAnsi" w:hAnsiTheme="minorHAnsi"/>
        </w:rPr>
        <w:t>ruled out</w:t>
      </w:r>
      <w:r w:rsidR="00E25D3F">
        <w:rPr>
          <w:rFonts w:asciiTheme="minorHAnsi" w:hAnsiTheme="minorHAnsi"/>
        </w:rPr>
        <w:t xml:space="preserve"> </w:t>
      </w:r>
      <w:r w:rsidR="00FF300F">
        <w:rPr>
          <w:rFonts w:asciiTheme="minorHAnsi" w:hAnsiTheme="minorHAnsi"/>
        </w:rPr>
        <w:t xml:space="preserve">due to their impracticality </w:t>
      </w:r>
      <w:r w:rsidR="00E25D3F">
        <w:rPr>
          <w:rFonts w:asciiTheme="minorHAnsi" w:hAnsiTheme="minorHAnsi"/>
        </w:rPr>
        <w:t>or cost</w:t>
      </w:r>
      <w:r w:rsidR="00FF300F">
        <w:rPr>
          <w:rFonts w:asciiTheme="minorHAnsi" w:hAnsiTheme="minorHAnsi"/>
        </w:rPr>
        <w:t>s</w:t>
      </w:r>
      <w:r w:rsidR="00B2502B">
        <w:rPr>
          <w:rFonts w:asciiTheme="minorHAnsi" w:hAnsiTheme="minorHAnsi"/>
        </w:rPr>
        <w:t>, clearly justify and document</w:t>
      </w:r>
      <w:r w:rsidR="00004AF8">
        <w:rPr>
          <w:rFonts w:asciiTheme="minorHAnsi" w:hAnsiTheme="minorHAnsi"/>
        </w:rPr>
        <w:t xml:space="preserve"> </w:t>
      </w:r>
      <w:r w:rsidR="00FF300F">
        <w:rPr>
          <w:rFonts w:asciiTheme="minorHAnsi" w:hAnsiTheme="minorHAnsi"/>
        </w:rPr>
        <w:t xml:space="preserve">the </w:t>
      </w:r>
      <w:r w:rsidR="00004AF8">
        <w:rPr>
          <w:rFonts w:asciiTheme="minorHAnsi" w:hAnsiTheme="minorHAnsi"/>
        </w:rPr>
        <w:t xml:space="preserve">reasons for </w:t>
      </w:r>
      <w:r w:rsidR="00FF300F">
        <w:rPr>
          <w:rFonts w:asciiTheme="minorHAnsi" w:hAnsiTheme="minorHAnsi"/>
        </w:rPr>
        <w:t xml:space="preserve">this decision. </w:t>
      </w:r>
      <w:r w:rsidR="00004AF8">
        <w:rPr>
          <w:rFonts w:asciiTheme="minorHAnsi" w:hAnsiTheme="minorHAnsi"/>
        </w:rPr>
        <w:t xml:space="preserve"> </w:t>
      </w:r>
    </w:p>
    <w:p w14:paraId="234C7449" w14:textId="3A36BAD5" w:rsidR="000B76A4" w:rsidRDefault="00004AF8" w:rsidP="00FD47C3">
      <w:pPr>
        <w:pStyle w:val="Body"/>
        <w:jc w:val="both"/>
        <w:rPr>
          <w:rFonts w:asciiTheme="minorHAnsi" w:hAnsiTheme="minorHAnsi"/>
          <w:i/>
        </w:rPr>
      </w:pPr>
      <w:r w:rsidRPr="009628BB">
        <w:rPr>
          <w:rFonts w:asciiTheme="minorHAnsi" w:hAnsiTheme="minorHAnsi"/>
          <w:i/>
        </w:rPr>
        <w:t xml:space="preserve">Note: </w:t>
      </w:r>
      <w:r w:rsidR="00772A6C">
        <w:rPr>
          <w:rFonts w:asciiTheme="minorHAnsi" w:hAnsiTheme="minorHAnsi"/>
          <w:i/>
        </w:rPr>
        <w:t xml:space="preserve">There might be </w:t>
      </w:r>
      <w:r w:rsidR="00B2502B">
        <w:rPr>
          <w:rFonts w:asciiTheme="minorHAnsi" w:hAnsiTheme="minorHAnsi"/>
          <w:i/>
        </w:rPr>
        <w:t xml:space="preserve">some </w:t>
      </w:r>
      <w:r w:rsidRPr="00736486">
        <w:rPr>
          <w:rFonts w:asciiTheme="minorHAnsi" w:hAnsiTheme="minorHAnsi"/>
          <w:i/>
        </w:rPr>
        <w:t xml:space="preserve">circumstances </w:t>
      </w:r>
      <w:r w:rsidR="00772A6C">
        <w:rPr>
          <w:rFonts w:asciiTheme="minorHAnsi" w:hAnsiTheme="minorHAnsi"/>
          <w:i/>
        </w:rPr>
        <w:t xml:space="preserve">where </w:t>
      </w:r>
      <w:r w:rsidRPr="00736486">
        <w:rPr>
          <w:rFonts w:asciiTheme="minorHAnsi" w:hAnsiTheme="minorHAnsi"/>
          <w:i/>
        </w:rPr>
        <w:t xml:space="preserve">there </w:t>
      </w:r>
      <w:r w:rsidR="00772A6C">
        <w:rPr>
          <w:rFonts w:asciiTheme="minorHAnsi" w:hAnsiTheme="minorHAnsi"/>
          <w:i/>
        </w:rPr>
        <w:t>is a</w:t>
      </w:r>
      <w:r w:rsidR="00B2502B">
        <w:rPr>
          <w:rFonts w:asciiTheme="minorHAnsi" w:hAnsiTheme="minorHAnsi"/>
          <w:i/>
        </w:rPr>
        <w:t xml:space="preserve"> good</w:t>
      </w:r>
      <w:r w:rsidR="00772A6C">
        <w:rPr>
          <w:rFonts w:asciiTheme="minorHAnsi" w:hAnsiTheme="minorHAnsi"/>
          <w:i/>
        </w:rPr>
        <w:t xml:space="preserve"> case </w:t>
      </w:r>
      <w:r w:rsidRPr="00736486">
        <w:rPr>
          <w:rFonts w:asciiTheme="minorHAnsi" w:hAnsiTheme="minorHAnsi"/>
          <w:i/>
        </w:rPr>
        <w:t xml:space="preserve">for devices </w:t>
      </w:r>
      <w:r w:rsidR="00EB38C6">
        <w:rPr>
          <w:rFonts w:asciiTheme="minorHAnsi" w:hAnsiTheme="minorHAnsi"/>
          <w:i/>
        </w:rPr>
        <w:t>that exceed</w:t>
      </w:r>
      <w:r w:rsidRPr="00736486">
        <w:rPr>
          <w:rFonts w:asciiTheme="minorHAnsi" w:hAnsiTheme="minorHAnsi"/>
          <w:i/>
        </w:rPr>
        <w:t xml:space="preserve"> of LSVG</w:t>
      </w:r>
      <w:r w:rsidR="00F26743">
        <w:rPr>
          <w:rFonts w:asciiTheme="minorHAnsi" w:hAnsiTheme="minorHAnsi"/>
          <w:i/>
        </w:rPr>
        <w:t>, and where this is necessary the considerations should be presented</w:t>
      </w:r>
      <w:r w:rsidRPr="00736486">
        <w:rPr>
          <w:rFonts w:asciiTheme="minorHAnsi" w:hAnsiTheme="minorHAnsi"/>
          <w:i/>
        </w:rPr>
        <w:t xml:space="preserve">. </w:t>
      </w:r>
    </w:p>
    <w:p w14:paraId="2C24769A" w14:textId="1C814C47" w:rsidR="00057482" w:rsidRDefault="00573429" w:rsidP="00FE11E0">
      <w:pPr>
        <w:pStyle w:val="Heading2"/>
        <w:numPr>
          <w:ilvl w:val="1"/>
          <w:numId w:val="34"/>
        </w:numPr>
        <w:spacing w:after="0"/>
      </w:pPr>
      <w:r>
        <w:t xml:space="preserve">Work package 2: </w:t>
      </w:r>
      <w:r w:rsidR="00B2502B" w:rsidRPr="00B2502B">
        <w:t xml:space="preserve">Assessing the potential for </w:t>
      </w:r>
      <w:r w:rsidR="00B2502B">
        <w:t>Infrastructure</w:t>
      </w:r>
      <w:r w:rsidR="00B2502B" w:rsidRPr="00B2502B">
        <w:t xml:space="preserve"> </w:t>
      </w:r>
      <w:r w:rsidR="00B2502B">
        <w:t>m</w:t>
      </w:r>
      <w:r w:rsidR="00B2502B" w:rsidRPr="00B2502B">
        <w:t xml:space="preserve">ounted </w:t>
      </w:r>
      <w:r w:rsidR="00B2502B">
        <w:t>e</w:t>
      </w:r>
      <w:r w:rsidR="00B2502B" w:rsidRPr="00B2502B">
        <w:t xml:space="preserve">quipment </w:t>
      </w:r>
      <w:r w:rsidR="00196FAE">
        <w:t>to</w:t>
      </w:r>
      <w:r w:rsidR="00B2502B" w:rsidRPr="00B2502B">
        <w:t xml:space="preserve"> reduc</w:t>
      </w:r>
      <w:r w:rsidR="00196FAE">
        <w:t>e</w:t>
      </w:r>
      <w:r w:rsidR="00B2502B" w:rsidRPr="00B2502B">
        <w:t xml:space="preserve"> lateral deviation post </w:t>
      </w:r>
      <w:r w:rsidR="00B2502B">
        <w:t>d</w:t>
      </w:r>
      <w:r w:rsidR="00B2502B" w:rsidRPr="00B2502B">
        <w:t>erailment</w:t>
      </w:r>
    </w:p>
    <w:p w14:paraId="0DE6AAD2" w14:textId="77777777" w:rsidR="00FD47C3" w:rsidRDefault="00FD47C3" w:rsidP="0092789C">
      <w:pPr>
        <w:pStyle w:val="BodyBold"/>
        <w:jc w:val="both"/>
      </w:pPr>
      <w:r>
        <w:t>2.2.1 Understanding of Current Worldwide Solutions and approaches</w:t>
      </w:r>
    </w:p>
    <w:p w14:paraId="136EF2CD" w14:textId="56BB1059" w:rsidR="00FD47C3" w:rsidRDefault="00FD47C3" w:rsidP="0092789C">
      <w:pPr>
        <w:pStyle w:val="Body"/>
        <w:jc w:val="both"/>
      </w:pPr>
      <w:r>
        <w:t xml:space="preserve">The current use of guard rail systems in </w:t>
      </w:r>
      <w:r w:rsidR="00296227">
        <w:t>GB</w:t>
      </w:r>
      <w:r w:rsidR="002A3F9D">
        <w:t xml:space="preserve"> </w:t>
      </w:r>
      <w:r>
        <w:t xml:space="preserve">is associated with the prevention of catastrophic </w:t>
      </w:r>
      <w:r w:rsidR="00296227">
        <w:t xml:space="preserve">events </w:t>
      </w:r>
      <w:r>
        <w:t>following a derailment. These are generally associated with structures over water, and high-level structures in urban areas.</w:t>
      </w:r>
      <w:r w:rsidR="00573429">
        <w:t xml:space="preserve"> </w:t>
      </w:r>
      <w:r w:rsidR="00FF300F">
        <w:t>T</w:t>
      </w:r>
      <w:r>
        <w:t xml:space="preserve">he logic behind the </w:t>
      </w:r>
      <w:r w:rsidR="00FF300F">
        <w:t xml:space="preserve">location </w:t>
      </w:r>
      <w:r>
        <w:t xml:space="preserve">of the </w:t>
      </w:r>
      <w:r w:rsidR="000340C1">
        <w:t>sites</w:t>
      </w:r>
      <w:r w:rsidR="00573429">
        <w:t xml:space="preserve"> </w:t>
      </w:r>
      <w:r w:rsidR="00FF300F">
        <w:t xml:space="preserve">that use guard rails systems </w:t>
      </w:r>
      <w:r w:rsidR="00772A6C">
        <w:t>is perhaps not consistently applied</w:t>
      </w:r>
      <w:r w:rsidR="00FF300F">
        <w:t xml:space="preserve"> or</w:t>
      </w:r>
      <w:r w:rsidR="00772A6C">
        <w:t xml:space="preserve"> well</w:t>
      </w:r>
      <w:r w:rsidR="00573429">
        <w:t xml:space="preserve"> understood</w:t>
      </w:r>
      <w:r w:rsidRPr="00573429">
        <w:t>,</w:t>
      </w:r>
      <w:r>
        <w:t xml:space="preserve"> and it is unlikely, in the event of a track renewal, that an alternative solution would be implemented and therefore a like for like </w:t>
      </w:r>
      <w:r w:rsidR="00772A6C">
        <w:t xml:space="preserve">replacement </w:t>
      </w:r>
      <w:r>
        <w:t>would be implemented.</w:t>
      </w:r>
    </w:p>
    <w:p w14:paraId="49997E35" w14:textId="7A42260F" w:rsidR="00196FAE" w:rsidRDefault="00196FAE" w:rsidP="00196FAE">
      <w:pPr>
        <w:pStyle w:val="Body"/>
        <w:jc w:val="both"/>
      </w:pPr>
      <w:r>
        <w:t xml:space="preserve">As a </w:t>
      </w:r>
      <w:r w:rsidR="00FD47C3">
        <w:t>starting point</w:t>
      </w:r>
      <w:r>
        <w:t xml:space="preserve">, </w:t>
      </w:r>
      <w:r w:rsidR="00FD47C3">
        <w:t xml:space="preserve">this study </w:t>
      </w:r>
      <w:r>
        <w:t xml:space="preserve">should seek </w:t>
      </w:r>
      <w:r w:rsidR="00FF300F">
        <w:t xml:space="preserve">to </w:t>
      </w:r>
      <w:r>
        <w:t xml:space="preserve">understand current best practise in </w:t>
      </w:r>
      <w:r w:rsidR="00296227">
        <w:t xml:space="preserve">GB </w:t>
      </w:r>
      <w:r>
        <w:t>rail authorities, and other comparable rail authorities across the world</w:t>
      </w:r>
      <w:r w:rsidR="00296227">
        <w:t>.</w:t>
      </w:r>
      <w:r>
        <w:t xml:space="preserve"> This</w:t>
      </w:r>
      <w:r w:rsidR="00296227">
        <w:t xml:space="preserve"> study</w:t>
      </w:r>
      <w:r>
        <w:t xml:space="preserve"> should include an examination of the rationale, assumptions and any calculations used</w:t>
      </w:r>
      <w:r w:rsidR="00D54E03">
        <w:t>, and highlight the use of any tools used</w:t>
      </w:r>
      <w:r w:rsidR="00FF300F">
        <w:t xml:space="preserve"> and </w:t>
      </w:r>
      <w:r w:rsidR="00D54E03">
        <w:t>approaches defined.</w:t>
      </w:r>
    </w:p>
    <w:p w14:paraId="55893B40" w14:textId="38D5E05C" w:rsidR="00FD47C3" w:rsidRDefault="00FD47C3" w:rsidP="0092789C">
      <w:pPr>
        <w:pStyle w:val="Body"/>
        <w:jc w:val="both"/>
      </w:pPr>
      <w:r>
        <w:t xml:space="preserve">The study should also address any research that has been carried out </w:t>
      </w:r>
      <w:r w:rsidR="00363FF5">
        <w:t xml:space="preserve">previously </w:t>
      </w:r>
      <w:r>
        <w:t xml:space="preserve">to understand the mechanism of </w:t>
      </w:r>
      <w:r w:rsidR="00D54E03">
        <w:t>the interaction of</w:t>
      </w:r>
      <w:r>
        <w:t xml:space="preserve"> derailed train</w:t>
      </w:r>
      <w:r w:rsidR="00D54E03">
        <w:t>s with infrastructure</w:t>
      </w:r>
      <w:r>
        <w:t xml:space="preserve"> and any asso</w:t>
      </w:r>
      <w:r w:rsidR="00D54E03">
        <w:t>ciated factors</w:t>
      </w:r>
      <w:r>
        <w:t>.</w:t>
      </w:r>
      <w:r w:rsidR="00D54E03">
        <w:t xml:space="preserve"> For example, i</w:t>
      </w:r>
      <w:r>
        <w:t xml:space="preserve">t is understood that some European rail authorities have found that any form of </w:t>
      </w:r>
      <w:r w:rsidR="00CB23F6">
        <w:t>guard</w:t>
      </w:r>
      <w:r>
        <w:t xml:space="preserve"> rail or derailment guidance is not effective above a certain speed and could then in fact increase the risk of harm.</w:t>
      </w:r>
    </w:p>
    <w:p w14:paraId="027ECA8A" w14:textId="46105F7C" w:rsidR="00D54E03" w:rsidRDefault="00D54E03" w:rsidP="0092789C">
      <w:pPr>
        <w:pStyle w:val="Body"/>
        <w:jc w:val="both"/>
      </w:pPr>
      <w:r>
        <w:t>This above work should be brought together in a cohesive man</w:t>
      </w:r>
      <w:r w:rsidR="00363FF5">
        <w:t>ner</w:t>
      </w:r>
      <w:r>
        <w:t xml:space="preserve"> to summarise the variability of </w:t>
      </w:r>
      <w:r w:rsidR="00363FF5">
        <w:t xml:space="preserve">each </w:t>
      </w:r>
      <w:r>
        <w:t xml:space="preserve">approach, highlight best practise and comment on any potential </w:t>
      </w:r>
      <w:r w:rsidR="00296227">
        <w:t xml:space="preserve">improvements </w:t>
      </w:r>
      <w:r>
        <w:t>of current approaches.</w:t>
      </w:r>
    </w:p>
    <w:p w14:paraId="4950B5BA" w14:textId="2D43101B" w:rsidR="00FD47C3" w:rsidRDefault="00FD47C3" w:rsidP="0092789C">
      <w:pPr>
        <w:pStyle w:val="BodyBold"/>
        <w:jc w:val="both"/>
      </w:pPr>
      <w:r w:rsidRPr="00004AF8">
        <w:t xml:space="preserve">2.2.2 Understanding of the </w:t>
      </w:r>
      <w:r w:rsidR="00074C65">
        <w:t>m</w:t>
      </w:r>
      <w:r w:rsidRPr="00004AF8">
        <w:t xml:space="preserve">agnitude of </w:t>
      </w:r>
      <w:r w:rsidR="00074C65">
        <w:t>r</w:t>
      </w:r>
      <w:r w:rsidRPr="00004AF8">
        <w:t xml:space="preserve">isk </w:t>
      </w:r>
      <w:r w:rsidR="00074C65">
        <w:t>and d</w:t>
      </w:r>
      <w:r w:rsidRPr="00004AF8">
        <w:t>evelopment of a</w:t>
      </w:r>
      <w:r w:rsidR="00074C65">
        <w:t xml:space="preserve"> risk</w:t>
      </w:r>
      <w:r w:rsidR="00D54E03">
        <w:t>-</w:t>
      </w:r>
      <w:r w:rsidR="004444E6">
        <w:t xml:space="preserve">based </w:t>
      </w:r>
      <w:r w:rsidR="00074C65">
        <w:t>approach</w:t>
      </w:r>
    </w:p>
    <w:p w14:paraId="28D9FF5A" w14:textId="40974151" w:rsidR="006D5EA9" w:rsidRDefault="00363FF5" w:rsidP="0092789C">
      <w:pPr>
        <w:pStyle w:val="Body"/>
        <w:jc w:val="both"/>
      </w:pPr>
      <w:r>
        <w:t>T</w:t>
      </w:r>
      <w:r w:rsidR="00074C65">
        <w:t xml:space="preserve">he wholesale installation of guard rails, or </w:t>
      </w:r>
      <w:r w:rsidR="00D54E03">
        <w:t xml:space="preserve">alternative infrastructure </w:t>
      </w:r>
      <w:r w:rsidR="00074C65">
        <w:t xml:space="preserve">system has a high </w:t>
      </w:r>
      <w:r>
        <w:t xml:space="preserve">installation cost </w:t>
      </w:r>
      <w:r w:rsidR="00074C65">
        <w:t xml:space="preserve">and </w:t>
      </w:r>
      <w:r w:rsidR="00D54E03">
        <w:t>ongoing</w:t>
      </w:r>
      <w:r w:rsidR="00074C65">
        <w:t xml:space="preserve"> operational cost of the rail system.</w:t>
      </w:r>
      <w:r w:rsidR="00D54E03">
        <w:t xml:space="preserve"> This </w:t>
      </w:r>
      <w:r w:rsidR="00074C65">
        <w:t xml:space="preserve">work </w:t>
      </w:r>
      <w:r w:rsidR="00D54E03">
        <w:t>should</w:t>
      </w:r>
      <w:r w:rsidR="00074C65">
        <w:t xml:space="preserve"> develop a risk</w:t>
      </w:r>
      <w:r w:rsidR="00D54E03">
        <w:t>-</w:t>
      </w:r>
      <w:r w:rsidR="004444E6">
        <w:t xml:space="preserve">based </w:t>
      </w:r>
      <w:r w:rsidR="00074C65">
        <w:t xml:space="preserve">approach which gives the </w:t>
      </w:r>
      <w:r w:rsidR="00074C65" w:rsidRPr="002A3F9D">
        <w:t xml:space="preserve">infrastructure manager the ability to target </w:t>
      </w:r>
      <w:r w:rsidR="006D5EA9" w:rsidRPr="002A3F9D">
        <w:t xml:space="preserve">or justify </w:t>
      </w:r>
      <w:r w:rsidR="00074C65" w:rsidRPr="002A3F9D">
        <w:t>investment</w:t>
      </w:r>
      <w:r w:rsidR="00D54E03" w:rsidRPr="002A3F9D">
        <w:t xml:space="preserve"> according to areas of highest risk</w:t>
      </w:r>
      <w:r w:rsidR="00074C65" w:rsidRPr="002A3F9D">
        <w:t xml:space="preserve">. </w:t>
      </w:r>
      <w:r w:rsidR="00D54E03" w:rsidRPr="002A3F9D">
        <w:t xml:space="preserve">The </w:t>
      </w:r>
      <w:r w:rsidR="006D5EA9" w:rsidRPr="002A3F9D">
        <w:t xml:space="preserve">defined </w:t>
      </w:r>
      <w:r w:rsidR="00D54E03" w:rsidRPr="002A3F9D">
        <w:t xml:space="preserve">approach </w:t>
      </w:r>
      <w:r w:rsidR="006D5EA9" w:rsidRPr="002A3F9D">
        <w:t>should be systematic and should</w:t>
      </w:r>
      <w:r w:rsidR="00D54E03" w:rsidRPr="002A3F9D">
        <w:t xml:space="preserve"> be</w:t>
      </w:r>
      <w:r w:rsidR="006D5EA9" w:rsidRPr="002A3F9D">
        <w:t xml:space="preserve"> </w:t>
      </w:r>
      <w:r w:rsidR="00D54E03" w:rsidRPr="002A3F9D">
        <w:t>embedded in a tool</w:t>
      </w:r>
      <w:r w:rsidR="006D5EA9" w:rsidRPr="002A3F9D">
        <w:t xml:space="preserve"> or other suitable format for processing</w:t>
      </w:r>
      <w:r w:rsidR="00BB1899" w:rsidRPr="002A3F9D">
        <w:t>.</w:t>
      </w:r>
      <w:r w:rsidR="00BB1899">
        <w:t xml:space="preserve"> </w:t>
      </w:r>
    </w:p>
    <w:p w14:paraId="386ABCA4" w14:textId="381326C0" w:rsidR="00FD47C3" w:rsidRDefault="00BB1899" w:rsidP="0092789C">
      <w:pPr>
        <w:pStyle w:val="Body"/>
        <w:jc w:val="both"/>
      </w:pPr>
      <w:r>
        <w:t>When developing the tool, or other suitable format for processing, considerations</w:t>
      </w:r>
      <w:r w:rsidR="00736486">
        <w:t xml:space="preserve"> should be given to </w:t>
      </w:r>
      <w:r w:rsidR="00786A63">
        <w:t>both</w:t>
      </w:r>
      <w:r>
        <w:t xml:space="preserve"> the</w:t>
      </w:r>
      <w:r w:rsidR="00786A63">
        <w:t xml:space="preserve"> likelihood of an event and impact, and will likely include</w:t>
      </w:r>
      <w:r w:rsidR="00074C65">
        <w:t>, but not necessarily limited to,</w:t>
      </w:r>
      <w:r w:rsidR="00786A63">
        <w:t xml:space="preserve"> an assessment of </w:t>
      </w:r>
      <w:r w:rsidR="00736486">
        <w:t>the following</w:t>
      </w:r>
      <w:r w:rsidR="006D5EA9">
        <w:t xml:space="preserve"> parameters:</w:t>
      </w:r>
    </w:p>
    <w:p w14:paraId="71D3B093" w14:textId="2A85D071" w:rsidR="00786A63" w:rsidRPr="00497544" w:rsidRDefault="00786A63" w:rsidP="00FE11E0">
      <w:pPr>
        <w:pStyle w:val="Body"/>
        <w:numPr>
          <w:ilvl w:val="0"/>
          <w:numId w:val="41"/>
        </w:numPr>
        <w:spacing w:after="0"/>
        <w:jc w:val="both"/>
      </w:pPr>
      <w:r w:rsidRPr="00497544">
        <w:t xml:space="preserve">Properties of the track including curvature, ballast depth, presence of parallel line and </w:t>
      </w:r>
      <w:r w:rsidR="009628BB" w:rsidRPr="00497544">
        <w:t>distance of the</w:t>
      </w:r>
      <w:r w:rsidRPr="00497544">
        <w:t xml:space="preserve"> </w:t>
      </w:r>
      <w:r w:rsidR="009628BB" w:rsidRPr="00497544">
        <w:t>six-foot interval</w:t>
      </w:r>
    </w:p>
    <w:p w14:paraId="6129DECD" w14:textId="77777777" w:rsidR="00786A63" w:rsidRPr="00497544" w:rsidRDefault="00736486" w:rsidP="00FE11E0">
      <w:pPr>
        <w:pStyle w:val="Body"/>
        <w:numPr>
          <w:ilvl w:val="0"/>
          <w:numId w:val="41"/>
        </w:numPr>
        <w:spacing w:after="0"/>
        <w:jc w:val="both"/>
      </w:pPr>
      <w:r w:rsidRPr="00497544">
        <w:t>Line speed</w:t>
      </w:r>
    </w:p>
    <w:p w14:paraId="1E5551CA" w14:textId="77777777" w:rsidR="00786A63" w:rsidRPr="00497544" w:rsidRDefault="00786A63" w:rsidP="00FE11E0">
      <w:pPr>
        <w:pStyle w:val="Body"/>
        <w:numPr>
          <w:ilvl w:val="0"/>
          <w:numId w:val="41"/>
        </w:numPr>
        <w:spacing w:after="0"/>
        <w:jc w:val="both"/>
      </w:pPr>
      <w:r w:rsidRPr="00497544">
        <w:lastRenderedPageBreak/>
        <w:t xml:space="preserve">Type, frequency and crashworthiness of traffic </w:t>
      </w:r>
    </w:p>
    <w:p w14:paraId="4A2F7AC3" w14:textId="77777777" w:rsidR="00786A63" w:rsidRPr="00497544" w:rsidRDefault="00786A63" w:rsidP="00FE11E0">
      <w:pPr>
        <w:pStyle w:val="Body"/>
        <w:numPr>
          <w:ilvl w:val="0"/>
          <w:numId w:val="41"/>
        </w:numPr>
        <w:spacing w:after="0"/>
        <w:jc w:val="both"/>
      </w:pPr>
      <w:r w:rsidRPr="00497544">
        <w:t xml:space="preserve">Presence of local structures, and height and condition of the structures </w:t>
      </w:r>
    </w:p>
    <w:p w14:paraId="1A857684" w14:textId="77777777" w:rsidR="00786A63" w:rsidRPr="00497544" w:rsidRDefault="00786A63" w:rsidP="00FE11E0">
      <w:pPr>
        <w:pStyle w:val="Body"/>
        <w:numPr>
          <w:ilvl w:val="0"/>
          <w:numId w:val="41"/>
        </w:numPr>
        <w:spacing w:after="0"/>
        <w:jc w:val="both"/>
      </w:pPr>
      <w:r w:rsidRPr="00497544">
        <w:t>Presence of cuttings and embankments, their geometry and risk of landslides</w:t>
      </w:r>
    </w:p>
    <w:p w14:paraId="0D205A1B" w14:textId="77777777" w:rsidR="009628BB" w:rsidRPr="00497544" w:rsidRDefault="009628BB" w:rsidP="00FE11E0">
      <w:pPr>
        <w:pStyle w:val="Body"/>
        <w:numPr>
          <w:ilvl w:val="0"/>
          <w:numId w:val="41"/>
        </w:numPr>
        <w:spacing w:after="0"/>
        <w:jc w:val="both"/>
      </w:pPr>
      <w:r w:rsidRPr="00497544">
        <w:t>Consequential risk in immediate area</w:t>
      </w:r>
    </w:p>
    <w:p w14:paraId="2D2D8178" w14:textId="77777777" w:rsidR="00736486" w:rsidRPr="00497544" w:rsidRDefault="00736486" w:rsidP="00FE11E0">
      <w:pPr>
        <w:pStyle w:val="Body"/>
        <w:numPr>
          <w:ilvl w:val="0"/>
          <w:numId w:val="41"/>
        </w:numPr>
        <w:spacing w:after="0"/>
        <w:jc w:val="both"/>
      </w:pPr>
      <w:r w:rsidRPr="00497544">
        <w:t>Dead load on the structure</w:t>
      </w:r>
    </w:p>
    <w:p w14:paraId="45CCB342" w14:textId="77777777" w:rsidR="00736486" w:rsidRPr="00497544" w:rsidRDefault="00736486" w:rsidP="00FE11E0">
      <w:pPr>
        <w:pStyle w:val="Body"/>
        <w:numPr>
          <w:ilvl w:val="0"/>
          <w:numId w:val="41"/>
        </w:numPr>
        <w:spacing w:after="0"/>
        <w:jc w:val="both"/>
      </w:pPr>
      <w:r w:rsidRPr="00497544">
        <w:t>Clearances to structural members</w:t>
      </w:r>
    </w:p>
    <w:p w14:paraId="5905BC93" w14:textId="77777777" w:rsidR="00736486" w:rsidRDefault="009628BB" w:rsidP="00FE11E0">
      <w:pPr>
        <w:pStyle w:val="Body"/>
        <w:numPr>
          <w:ilvl w:val="0"/>
          <w:numId w:val="41"/>
        </w:numPr>
        <w:spacing w:after="0"/>
        <w:jc w:val="both"/>
      </w:pPr>
      <w:r>
        <w:t>The e</w:t>
      </w:r>
      <w:r w:rsidR="00736486">
        <w:t>xistence of derailment-containment kerbs</w:t>
      </w:r>
    </w:p>
    <w:p w14:paraId="33E3FCF1" w14:textId="2854E97E" w:rsidR="00BE3E4D" w:rsidRDefault="006D5EA9" w:rsidP="00B2502B">
      <w:pPr>
        <w:pStyle w:val="Body"/>
        <w:spacing w:before="120" w:after="0"/>
        <w:jc w:val="both"/>
      </w:pPr>
      <w:r>
        <w:t>Assumptions of impact of relevant parameters in the approach should be justified and backed by suitable evidence where appropriate. The approach should be</w:t>
      </w:r>
      <w:r w:rsidR="00BE3E4D">
        <w:t xml:space="preserve"> developed with industry consultation and </w:t>
      </w:r>
      <w:r>
        <w:t xml:space="preserve">tested on </w:t>
      </w:r>
      <w:r w:rsidR="00BE3E4D">
        <w:t>representative case</w:t>
      </w:r>
      <w:r w:rsidR="00BB1899">
        <w:t>s</w:t>
      </w:r>
      <w:r w:rsidR="00BE3E4D">
        <w:t xml:space="preserve"> to ensure results have a good degree of confidence.</w:t>
      </w:r>
    </w:p>
    <w:p w14:paraId="6CD112A8" w14:textId="2BC5AF4B" w:rsidR="00317299" w:rsidRDefault="00BE3E4D" w:rsidP="00317299">
      <w:pPr>
        <w:pStyle w:val="Body"/>
        <w:spacing w:before="120" w:after="0"/>
        <w:jc w:val="both"/>
      </w:pPr>
      <w:r>
        <w:t>Once the approach has been agreed as suitable for the study (in consultation with the project steering group), it should be applied to a suitable mix of base cases and compared with industry practise as a baseline and consideration given to the following questions:</w:t>
      </w:r>
    </w:p>
    <w:p w14:paraId="5D477D10" w14:textId="64F7BE71" w:rsidR="00BE3E4D" w:rsidRPr="00497544" w:rsidRDefault="00BE3E4D" w:rsidP="00FE11E0">
      <w:pPr>
        <w:pStyle w:val="Body"/>
        <w:numPr>
          <w:ilvl w:val="0"/>
          <w:numId w:val="44"/>
        </w:numPr>
        <w:spacing w:after="0"/>
        <w:jc w:val="both"/>
      </w:pPr>
      <w:r>
        <w:t xml:space="preserve">Does installing infrastructure mounted solutions </w:t>
      </w:r>
      <w:r w:rsidR="00317299">
        <w:t xml:space="preserve">generally represent value for money in </w:t>
      </w:r>
      <w:r w:rsidR="00317299" w:rsidRPr="00317299">
        <w:t>reduc</w:t>
      </w:r>
      <w:r w:rsidR="00317299">
        <w:t>tion of</w:t>
      </w:r>
      <w:r w:rsidR="00317299" w:rsidRPr="00317299">
        <w:t xml:space="preserve"> lateral deviation post derailment</w:t>
      </w:r>
      <w:r w:rsidR="00317299">
        <w:t>?</w:t>
      </w:r>
    </w:p>
    <w:p w14:paraId="1A95C161" w14:textId="65E3F0E4" w:rsidR="00BE3E4D" w:rsidRDefault="00317299" w:rsidP="00FE11E0">
      <w:pPr>
        <w:pStyle w:val="Body"/>
        <w:numPr>
          <w:ilvl w:val="0"/>
          <w:numId w:val="44"/>
        </w:numPr>
        <w:spacing w:after="0"/>
        <w:jc w:val="both"/>
      </w:pPr>
      <w:r>
        <w:t>Under what circumstances does these solutions represent best value for money?</w:t>
      </w:r>
    </w:p>
    <w:p w14:paraId="749D436D" w14:textId="3DCA9426" w:rsidR="00317299" w:rsidRPr="00497544" w:rsidRDefault="00317299" w:rsidP="00FE11E0">
      <w:pPr>
        <w:pStyle w:val="Body"/>
        <w:numPr>
          <w:ilvl w:val="0"/>
          <w:numId w:val="44"/>
        </w:numPr>
        <w:spacing w:after="0"/>
        <w:jc w:val="both"/>
      </w:pPr>
      <w:r>
        <w:t xml:space="preserve">Is there general agreement between current practises and the results provided by the developed approach, i.e. do we see these infrastructure solutions where we expect them? </w:t>
      </w:r>
    </w:p>
    <w:p w14:paraId="0857E201" w14:textId="1FB0C18F" w:rsidR="00736486" w:rsidRDefault="00110270" w:rsidP="00B2502B">
      <w:pPr>
        <w:pStyle w:val="Body"/>
        <w:spacing w:before="120" w:after="0"/>
        <w:jc w:val="both"/>
        <w:rPr>
          <w:color w:val="00968E"/>
          <w:sz w:val="32"/>
        </w:rPr>
      </w:pPr>
      <w:r>
        <w:t xml:space="preserve">It is recognised that this work aims to inform </w:t>
      </w:r>
      <w:r w:rsidR="00317299">
        <w:t>a general approach</w:t>
      </w:r>
      <w:r>
        <w:t xml:space="preserve"> and</w:t>
      </w:r>
      <w:r w:rsidR="00317299">
        <w:t xml:space="preserve"> is</w:t>
      </w:r>
      <w:r>
        <w:t xml:space="preserve"> not</w:t>
      </w:r>
      <w:r w:rsidR="00317299">
        <w:t xml:space="preserve"> responsible for</w:t>
      </w:r>
      <w:r>
        <w:t xml:space="preserve"> recommend</w:t>
      </w:r>
      <w:r w:rsidR="00317299">
        <w:t>ing</w:t>
      </w:r>
      <w:r>
        <w:t xml:space="preserve"> a </w:t>
      </w:r>
      <w:proofErr w:type="gramStart"/>
      <w:r>
        <w:t>particular spending/policy</w:t>
      </w:r>
      <w:proofErr w:type="gramEnd"/>
      <w:r>
        <w:t xml:space="preserve"> approach.</w:t>
      </w:r>
    </w:p>
    <w:p w14:paraId="2E85E561" w14:textId="77777777" w:rsidR="00A86C0F" w:rsidRDefault="00573429" w:rsidP="00FE11E0">
      <w:pPr>
        <w:pStyle w:val="Heading2"/>
        <w:numPr>
          <w:ilvl w:val="1"/>
          <w:numId w:val="34"/>
        </w:numPr>
        <w:spacing w:before="240" w:after="0"/>
      </w:pPr>
      <w:r>
        <w:t xml:space="preserve">Work package 3: </w:t>
      </w:r>
      <w:r w:rsidR="00A86C0F">
        <w:t>Revie</w:t>
      </w:r>
      <w:r w:rsidR="00FD47C3">
        <w:t>w</w:t>
      </w:r>
      <w:r>
        <w:t xml:space="preserve"> use of devices to guide derailed train</w:t>
      </w:r>
    </w:p>
    <w:p w14:paraId="6B061B38" w14:textId="44A78FF4" w:rsidR="00317299" w:rsidRDefault="00317299" w:rsidP="00300700">
      <w:pPr>
        <w:pStyle w:val="Body"/>
        <w:jc w:val="both"/>
      </w:pPr>
      <w:r>
        <w:t>The challenges for risk mitigation post derailment</w:t>
      </w:r>
      <w:r w:rsidR="00C62EBB">
        <w:t xml:space="preserve"> are different for rolling stock and infrastructure solutions. Rolling stock solutions are likely to be relatively low cost but are unproven and untested in GB. </w:t>
      </w:r>
      <w:r>
        <w:t>Wo</w:t>
      </w:r>
      <w:r w:rsidR="00C62EBB">
        <w:t>r</w:t>
      </w:r>
      <w:r>
        <w:t xml:space="preserve">k package 1 </w:t>
      </w:r>
      <w:r w:rsidR="00C62EBB">
        <w:t>has therefor</w:t>
      </w:r>
      <w:r w:rsidR="00BB1899">
        <w:t>e</w:t>
      </w:r>
      <w:r w:rsidR="00C62EBB">
        <w:t xml:space="preserve"> </w:t>
      </w:r>
      <w:r>
        <w:t>investigated the technical feasibility</w:t>
      </w:r>
      <w:r w:rsidR="00C62EBB">
        <w:t xml:space="preserve"> of these</w:t>
      </w:r>
      <w:r w:rsidR="00BB1899">
        <w:t xml:space="preserve"> solutions</w:t>
      </w:r>
      <w:r w:rsidR="00C62EBB">
        <w:t>.</w:t>
      </w:r>
      <w:r w:rsidR="00BB1899">
        <w:t xml:space="preserve"> However, </w:t>
      </w:r>
      <w:r w:rsidR="00C62EBB">
        <w:t>infrastructure solutions are an accepted method for limiting lateral deviation after derailment but are likelier a costlier solution to implement. Work package 2 has therefor</w:t>
      </w:r>
      <w:r w:rsidR="00BB1899">
        <w:t>e</w:t>
      </w:r>
      <w:r w:rsidR="00C62EBB">
        <w:t xml:space="preserve"> focussed on the approach taken to assessing investment decisions for infrastructure solutions.  </w:t>
      </w:r>
    </w:p>
    <w:p w14:paraId="61BD89BC" w14:textId="2A80DBF2" w:rsidR="009F4A4C" w:rsidRPr="00004AF8" w:rsidRDefault="00FE07F4" w:rsidP="00300700">
      <w:pPr>
        <w:pStyle w:val="Body"/>
        <w:jc w:val="both"/>
      </w:pPr>
      <w:r>
        <w:t>Work package 3</w:t>
      </w:r>
      <w:r w:rsidRPr="00004AF8">
        <w:t xml:space="preserve"> </w:t>
      </w:r>
      <w:r w:rsidR="00C62EBB">
        <w:t>attempts to bring the findings from both previous work packages together and</w:t>
      </w:r>
      <w:r w:rsidR="009F4A4C" w:rsidRPr="00004AF8">
        <w:t xml:space="preserve"> take a </w:t>
      </w:r>
      <w:r w:rsidR="00C62EBB">
        <w:t xml:space="preserve">whole </w:t>
      </w:r>
      <w:r w:rsidR="009F4A4C" w:rsidRPr="00004AF8">
        <w:t xml:space="preserve">railway </w:t>
      </w:r>
      <w:r w:rsidR="00BB1899">
        <w:t xml:space="preserve">approach, </w:t>
      </w:r>
      <w:r w:rsidR="00C62EBB">
        <w:t>whether a</w:t>
      </w:r>
      <w:r w:rsidR="009F4A4C" w:rsidRPr="00004AF8">
        <w:t xml:space="preserve"> rolling stock solution, infrastructure solution or </w:t>
      </w:r>
      <w:r w:rsidR="00BB1899">
        <w:t xml:space="preserve">a </w:t>
      </w:r>
      <w:r w:rsidR="009F4A4C" w:rsidRPr="00004AF8">
        <w:t>combination of the two</w:t>
      </w:r>
      <w:r w:rsidR="00C62EBB">
        <w:t xml:space="preserve">. The tenderer is asked to consider the following factors in coming up with a recommendation to industry on how to </w:t>
      </w:r>
      <w:r w:rsidR="00EE0C4E" w:rsidRPr="00EE0C4E">
        <w:t>most appropriate</w:t>
      </w:r>
      <w:r w:rsidR="00EE0C4E">
        <w:t>ly</w:t>
      </w:r>
      <w:r w:rsidR="00EE0C4E" w:rsidRPr="00EE0C4E">
        <w:t xml:space="preserve"> reduc</w:t>
      </w:r>
      <w:r w:rsidR="00EE0C4E">
        <w:t>e</w:t>
      </w:r>
      <w:r w:rsidR="00EE0C4E" w:rsidRPr="00EE0C4E">
        <w:t xml:space="preserve"> overall risk </w:t>
      </w:r>
      <w:r w:rsidR="00EE0C4E">
        <w:t>post derailment in the most</w:t>
      </w:r>
      <w:r w:rsidR="00EE0C4E" w:rsidRPr="00EE0C4E">
        <w:t xml:space="preserve"> cost-effective manner</w:t>
      </w:r>
      <w:r w:rsidR="00EE0C4E">
        <w:t>. The tender should consider:</w:t>
      </w:r>
    </w:p>
    <w:p w14:paraId="75A5701C" w14:textId="3615EC98" w:rsidR="00FE07F4" w:rsidRPr="00004AF8" w:rsidRDefault="00FE07F4" w:rsidP="00FE07F4">
      <w:pPr>
        <w:pStyle w:val="Body"/>
        <w:numPr>
          <w:ilvl w:val="0"/>
          <w:numId w:val="36"/>
        </w:numPr>
        <w:jc w:val="both"/>
      </w:pPr>
      <w:r>
        <w:t>A comparison of the</w:t>
      </w:r>
      <w:r w:rsidRPr="00004AF8">
        <w:t xml:space="preserve"> merits of Rolling Stock or Infrastructure solutions</w:t>
      </w:r>
      <w:r>
        <w:t xml:space="preserve"> – </w:t>
      </w:r>
      <w:proofErr w:type="gramStart"/>
      <w:r>
        <w:t>taking into account</w:t>
      </w:r>
      <w:proofErr w:type="gramEnd"/>
      <w:r>
        <w:t xml:space="preserve"> retrofit and new build cases for rolling stock solutions, and existing and renewed track for infrastructure solutions.</w:t>
      </w:r>
    </w:p>
    <w:p w14:paraId="66CAE525" w14:textId="77777777" w:rsidR="00FE07F4" w:rsidRPr="00004AF8" w:rsidRDefault="00FE07F4" w:rsidP="00FE07F4">
      <w:pPr>
        <w:pStyle w:val="Body"/>
        <w:numPr>
          <w:ilvl w:val="0"/>
          <w:numId w:val="36"/>
        </w:numPr>
        <w:jc w:val="both"/>
      </w:pPr>
      <w:r w:rsidRPr="00004AF8">
        <w:t>Potential effects on other systems, inspection and maintenance regimes</w:t>
      </w:r>
      <w:r>
        <w:t xml:space="preserve"> – to include potential disbenefits and compromised access for rolling stock and track engineering activities.</w:t>
      </w:r>
    </w:p>
    <w:p w14:paraId="10C5A9C4" w14:textId="66B8C1E6" w:rsidR="00FE07F4" w:rsidRPr="00004AF8" w:rsidRDefault="00FE07F4" w:rsidP="00FE07F4">
      <w:pPr>
        <w:pStyle w:val="Body"/>
        <w:numPr>
          <w:ilvl w:val="0"/>
          <w:numId w:val="36"/>
        </w:numPr>
        <w:jc w:val="both"/>
      </w:pPr>
      <w:r>
        <w:lastRenderedPageBreak/>
        <w:t xml:space="preserve">Difference </w:t>
      </w:r>
      <w:r w:rsidRPr="00004AF8">
        <w:t xml:space="preserve">in risk profile between plain line and </w:t>
      </w:r>
      <w:r>
        <w:t>switches and crossings – dynamic modelling could show benefits in terms of controlled deviation on plan line but for derailments on the approach to S&amp;C the situation could be different.</w:t>
      </w:r>
    </w:p>
    <w:p w14:paraId="0A0E7835" w14:textId="0C9F4BA7" w:rsidR="00FE07F4" w:rsidRPr="00004AF8" w:rsidRDefault="00FE07F4" w:rsidP="00FE07F4">
      <w:pPr>
        <w:pStyle w:val="Body"/>
        <w:numPr>
          <w:ilvl w:val="0"/>
          <w:numId w:val="36"/>
        </w:numPr>
        <w:jc w:val="both"/>
      </w:pPr>
      <w:r>
        <w:t xml:space="preserve">The </w:t>
      </w:r>
      <w:r w:rsidRPr="00004AF8">
        <w:t xml:space="preserve">contribution of </w:t>
      </w:r>
      <w:r>
        <w:t xml:space="preserve">non-controllable </w:t>
      </w:r>
      <w:r w:rsidRPr="00004AF8">
        <w:t xml:space="preserve">factors that affect </w:t>
      </w:r>
      <w:r>
        <w:t xml:space="preserve">the </w:t>
      </w:r>
      <w:r w:rsidRPr="00004AF8">
        <w:t>outcome of derailed train trajectory</w:t>
      </w:r>
      <w:r>
        <w:t xml:space="preserve"> – this could include objects on the line and damaged equipment affecting the derailed train trajectory.</w:t>
      </w:r>
    </w:p>
    <w:p w14:paraId="68263EFA" w14:textId="3AFE6AFB" w:rsidR="00FE07F4" w:rsidRDefault="00FE07F4" w:rsidP="00FE07F4">
      <w:pPr>
        <w:pStyle w:val="Body"/>
        <w:numPr>
          <w:ilvl w:val="0"/>
          <w:numId w:val="36"/>
        </w:numPr>
        <w:jc w:val="both"/>
      </w:pPr>
      <w:r w:rsidRPr="00004AF8">
        <w:t>Identify situations where derailment guidance is not likely to be justified</w:t>
      </w:r>
      <w:r>
        <w:t xml:space="preserve"> – this consideration could be in terms of generic route or service characteristics, for example a simple </w:t>
      </w:r>
      <w:proofErr w:type="gramStart"/>
      <w:r>
        <w:t>single track</w:t>
      </w:r>
      <w:proofErr w:type="gramEnd"/>
      <w:r>
        <w:t xml:space="preserve"> route or where the train service is very infrequent.</w:t>
      </w:r>
    </w:p>
    <w:p w14:paraId="2D5793A4" w14:textId="07ED95C4" w:rsidR="00004AF8" w:rsidRPr="00EE0C4E" w:rsidRDefault="00FE07F4" w:rsidP="00FE11E0">
      <w:pPr>
        <w:pStyle w:val="Body"/>
        <w:numPr>
          <w:ilvl w:val="0"/>
          <w:numId w:val="36"/>
        </w:numPr>
        <w:jc w:val="both"/>
      </w:pPr>
      <w:r w:rsidRPr="0092789C">
        <w:t>Range of costs and feasibility of different implementation approaches</w:t>
      </w:r>
      <w:r>
        <w:t xml:space="preserve"> – to include a comparison of fitment and maintenance costs contrasted with effectiveness in different scenarios.</w:t>
      </w:r>
      <w:r w:rsidR="00004AF8">
        <w:br w:type="page"/>
      </w:r>
    </w:p>
    <w:p w14:paraId="1BE809F8" w14:textId="77777777" w:rsidR="006440C8" w:rsidRDefault="00206FB1" w:rsidP="00BE7829">
      <w:pPr>
        <w:pStyle w:val="Heading1"/>
        <w:numPr>
          <w:ilvl w:val="0"/>
          <w:numId w:val="0"/>
        </w:numPr>
      </w:pPr>
      <w:r>
        <w:lastRenderedPageBreak/>
        <w:t>Budget, timescales and d</w:t>
      </w:r>
      <w:r w:rsidR="006440C8">
        <w:t>ependencies</w:t>
      </w:r>
    </w:p>
    <w:p w14:paraId="2FD33A66" w14:textId="77777777" w:rsidR="00206FB1" w:rsidRPr="006E1835" w:rsidRDefault="00206FB1" w:rsidP="002C40D9">
      <w:pPr>
        <w:spacing w:line="280" w:lineRule="auto"/>
        <w:jc w:val="both"/>
        <w:rPr>
          <w:rFonts w:ascii="Calibri" w:hAnsi="Calibri" w:cs="Arial"/>
          <w:sz w:val="22"/>
          <w:szCs w:val="22"/>
          <w:lang w:eastAsia="en-GB"/>
        </w:rPr>
      </w:pPr>
      <w:r w:rsidRPr="006E1835">
        <w:rPr>
          <w:rFonts w:ascii="Calibri" w:hAnsi="Calibri" w:cs="Arial"/>
          <w:sz w:val="22"/>
          <w:szCs w:val="22"/>
          <w:lang w:eastAsia="en-GB"/>
        </w:rPr>
        <w:t>The budget for this work is up to £</w:t>
      </w:r>
      <w:r w:rsidR="006E1835" w:rsidRPr="006E1835">
        <w:rPr>
          <w:rFonts w:ascii="Calibri" w:hAnsi="Calibri" w:cs="Arial"/>
          <w:sz w:val="22"/>
          <w:szCs w:val="22"/>
          <w:lang w:eastAsia="en-GB"/>
        </w:rPr>
        <w:t>1</w:t>
      </w:r>
      <w:r w:rsidR="00E74B65">
        <w:rPr>
          <w:rFonts w:ascii="Calibri" w:hAnsi="Calibri" w:cs="Arial"/>
          <w:sz w:val="22"/>
          <w:szCs w:val="22"/>
          <w:lang w:eastAsia="en-GB"/>
        </w:rPr>
        <w:t>4</w:t>
      </w:r>
      <w:r w:rsidR="006E1835" w:rsidRPr="006E1835">
        <w:rPr>
          <w:rFonts w:ascii="Calibri" w:hAnsi="Calibri" w:cs="Arial"/>
          <w:sz w:val="22"/>
          <w:szCs w:val="22"/>
          <w:lang w:eastAsia="en-GB"/>
        </w:rPr>
        <w:t>0,000</w:t>
      </w:r>
      <w:r w:rsidRPr="006E1835">
        <w:rPr>
          <w:rFonts w:ascii="Calibri" w:hAnsi="Calibri" w:cs="Arial"/>
          <w:i/>
          <w:sz w:val="22"/>
          <w:szCs w:val="22"/>
          <w:lang w:eastAsia="en-GB"/>
        </w:rPr>
        <w:t xml:space="preserve">. </w:t>
      </w:r>
      <w:r w:rsidR="008378BB" w:rsidRPr="006E1835">
        <w:rPr>
          <w:rFonts w:ascii="Calibri" w:hAnsi="Calibri" w:cs="Arial"/>
          <w:sz w:val="22"/>
          <w:szCs w:val="22"/>
          <w:lang w:eastAsia="en-GB"/>
        </w:rPr>
        <w:t xml:space="preserve">Any bid above this value will need to provide detailed explanation on why the supplier doesn’t feel that the budget is adequate and in such </w:t>
      </w:r>
      <w:r w:rsidR="00DD1DE7" w:rsidRPr="006E1835">
        <w:rPr>
          <w:rFonts w:ascii="Calibri" w:hAnsi="Calibri" w:cs="Arial"/>
          <w:sz w:val="22"/>
          <w:szCs w:val="22"/>
          <w:lang w:eastAsia="en-GB"/>
        </w:rPr>
        <w:t>case,</w:t>
      </w:r>
      <w:r w:rsidR="008378BB" w:rsidRPr="006E1835">
        <w:rPr>
          <w:rFonts w:ascii="Calibri" w:hAnsi="Calibri" w:cs="Arial"/>
          <w:sz w:val="22"/>
          <w:szCs w:val="22"/>
          <w:lang w:eastAsia="en-GB"/>
        </w:rPr>
        <w:t xml:space="preserve"> we strongly encourage suppliers to provide costed options for RSSB to consider. </w:t>
      </w:r>
    </w:p>
    <w:p w14:paraId="55742396" w14:textId="77777777" w:rsidR="00206FB1" w:rsidRPr="006E1835" w:rsidRDefault="00206FB1" w:rsidP="002C40D9">
      <w:pPr>
        <w:spacing w:line="280" w:lineRule="auto"/>
        <w:jc w:val="both"/>
        <w:rPr>
          <w:rFonts w:ascii="Calibri" w:hAnsi="Calibri" w:cs="Arial"/>
          <w:sz w:val="22"/>
          <w:szCs w:val="22"/>
          <w:lang w:eastAsia="en-GB"/>
        </w:rPr>
      </w:pPr>
    </w:p>
    <w:p w14:paraId="638604BC" w14:textId="64E7DF26" w:rsidR="00BE7829" w:rsidRPr="008D42F4" w:rsidRDefault="00206FB1" w:rsidP="00BE7829">
      <w:pPr>
        <w:spacing w:line="280" w:lineRule="auto"/>
        <w:jc w:val="both"/>
        <w:rPr>
          <w:rFonts w:ascii="Calibri" w:hAnsi="Calibri" w:cs="Arial"/>
          <w:sz w:val="22"/>
          <w:szCs w:val="22"/>
          <w:lang w:eastAsia="en-GB"/>
        </w:rPr>
      </w:pPr>
      <w:r w:rsidRPr="006E1835">
        <w:rPr>
          <w:rFonts w:ascii="Calibri" w:hAnsi="Calibri" w:cs="Arial"/>
          <w:sz w:val="22"/>
          <w:szCs w:val="22"/>
          <w:lang w:eastAsia="en-GB"/>
        </w:rPr>
        <w:t xml:space="preserve">The work is expected to start </w:t>
      </w:r>
      <w:r w:rsidR="008378BB" w:rsidRPr="006E1835">
        <w:rPr>
          <w:rFonts w:ascii="Calibri" w:hAnsi="Calibri" w:cs="Arial"/>
          <w:sz w:val="22"/>
          <w:szCs w:val="22"/>
          <w:lang w:eastAsia="en-GB"/>
        </w:rPr>
        <w:t xml:space="preserve">in </w:t>
      </w:r>
      <w:r w:rsidR="00C37D71">
        <w:rPr>
          <w:rFonts w:ascii="Calibri" w:hAnsi="Calibri" w:cs="Arial"/>
          <w:sz w:val="22"/>
          <w:szCs w:val="22"/>
          <w:lang w:eastAsia="en-GB"/>
        </w:rPr>
        <w:t>January</w:t>
      </w:r>
      <w:r w:rsidR="006E1835">
        <w:rPr>
          <w:rFonts w:ascii="Calibri" w:hAnsi="Calibri" w:cs="Arial"/>
          <w:sz w:val="22"/>
          <w:szCs w:val="22"/>
          <w:lang w:eastAsia="en-GB"/>
        </w:rPr>
        <w:t xml:space="preserve"> </w:t>
      </w:r>
      <w:r w:rsidR="00293CBE">
        <w:rPr>
          <w:rFonts w:ascii="Calibri" w:hAnsi="Calibri" w:cs="Arial"/>
          <w:sz w:val="22"/>
          <w:szCs w:val="22"/>
          <w:lang w:eastAsia="en-GB"/>
        </w:rPr>
        <w:t>2019</w:t>
      </w:r>
      <w:r w:rsidR="008378BB" w:rsidRPr="006E1835">
        <w:rPr>
          <w:rFonts w:ascii="Calibri" w:hAnsi="Calibri" w:cs="Arial"/>
          <w:sz w:val="22"/>
          <w:szCs w:val="22"/>
          <w:lang w:eastAsia="en-GB"/>
        </w:rPr>
        <w:t xml:space="preserve"> </w:t>
      </w:r>
      <w:r w:rsidR="00E74B65">
        <w:rPr>
          <w:rFonts w:ascii="Calibri" w:hAnsi="Calibri" w:cs="Arial"/>
          <w:sz w:val="22"/>
          <w:szCs w:val="22"/>
          <w:lang w:eastAsia="en-GB"/>
        </w:rPr>
        <w:t>with the ambition to have the work complete by</w:t>
      </w:r>
      <w:r w:rsidR="008378BB" w:rsidRPr="006E1835">
        <w:rPr>
          <w:rFonts w:ascii="Calibri" w:hAnsi="Calibri" w:cs="Arial"/>
          <w:sz w:val="22"/>
          <w:szCs w:val="22"/>
          <w:lang w:eastAsia="en-GB"/>
        </w:rPr>
        <w:t xml:space="preserve"> </w:t>
      </w:r>
      <w:r w:rsidR="00BE7829">
        <w:rPr>
          <w:rFonts w:ascii="Calibri" w:hAnsi="Calibri" w:cs="Arial"/>
          <w:sz w:val="22"/>
          <w:szCs w:val="22"/>
          <w:lang w:eastAsia="en-GB"/>
        </w:rPr>
        <w:t>September</w:t>
      </w:r>
      <w:r w:rsidR="006E1835">
        <w:rPr>
          <w:rFonts w:ascii="Calibri" w:hAnsi="Calibri" w:cs="Arial"/>
          <w:sz w:val="22"/>
          <w:szCs w:val="22"/>
          <w:lang w:eastAsia="en-GB"/>
        </w:rPr>
        <w:t xml:space="preserve"> 2019.</w:t>
      </w:r>
      <w:r w:rsidR="008378BB" w:rsidRPr="006E1835">
        <w:rPr>
          <w:rFonts w:ascii="Calibri" w:hAnsi="Calibri" w:cs="Arial"/>
          <w:sz w:val="22"/>
          <w:szCs w:val="22"/>
          <w:lang w:eastAsia="en-GB"/>
        </w:rPr>
        <w:t xml:space="preserve"> These are indicative dates</w:t>
      </w:r>
      <w:bookmarkStart w:id="3" w:name="_GoBack"/>
      <w:bookmarkEnd w:id="3"/>
      <w:r w:rsidR="008378BB" w:rsidRPr="006E1835">
        <w:rPr>
          <w:rFonts w:ascii="Calibri" w:hAnsi="Calibri" w:cs="Arial"/>
          <w:sz w:val="22"/>
          <w:szCs w:val="22"/>
          <w:lang w:eastAsia="en-GB"/>
        </w:rPr>
        <w:t xml:space="preserve"> and </w:t>
      </w:r>
      <w:r w:rsidR="004D4A94" w:rsidRPr="006E1835">
        <w:rPr>
          <w:rFonts w:ascii="Calibri" w:hAnsi="Calibri" w:cs="Arial"/>
          <w:sz w:val="22"/>
          <w:szCs w:val="22"/>
          <w:lang w:eastAsia="en-GB"/>
        </w:rPr>
        <w:t xml:space="preserve">RSSB is prepared to consider </w:t>
      </w:r>
      <w:r w:rsidR="008378BB" w:rsidRPr="006E1835">
        <w:rPr>
          <w:rFonts w:ascii="Calibri" w:hAnsi="Calibri" w:cs="Arial"/>
          <w:sz w:val="22"/>
          <w:szCs w:val="22"/>
          <w:lang w:eastAsia="en-GB"/>
        </w:rPr>
        <w:t xml:space="preserve">bids that </w:t>
      </w:r>
      <w:r w:rsidR="004D4A94" w:rsidRPr="006E1835">
        <w:rPr>
          <w:rFonts w:ascii="Calibri" w:hAnsi="Calibri" w:cs="Arial"/>
          <w:sz w:val="22"/>
          <w:szCs w:val="22"/>
          <w:lang w:eastAsia="en-GB"/>
        </w:rPr>
        <w:t xml:space="preserve">vary from these </w:t>
      </w:r>
      <w:r w:rsidR="008378BB" w:rsidRPr="006E1835">
        <w:rPr>
          <w:rFonts w:ascii="Calibri" w:hAnsi="Calibri" w:cs="Arial"/>
          <w:sz w:val="22"/>
          <w:szCs w:val="22"/>
          <w:lang w:eastAsia="en-GB"/>
        </w:rPr>
        <w:t xml:space="preserve">expectations if they have a robust and realistic project plan, and an explanation of </w:t>
      </w:r>
      <w:r w:rsidR="00E74B65">
        <w:rPr>
          <w:rFonts w:ascii="Calibri" w:hAnsi="Calibri" w:cs="Arial"/>
          <w:sz w:val="22"/>
          <w:szCs w:val="22"/>
          <w:lang w:eastAsia="en-GB"/>
        </w:rPr>
        <w:t xml:space="preserve">the proposed </w:t>
      </w:r>
      <w:r w:rsidR="004D4A94" w:rsidRPr="006E1835">
        <w:rPr>
          <w:rFonts w:ascii="Calibri" w:hAnsi="Calibri" w:cs="Arial"/>
          <w:sz w:val="22"/>
          <w:szCs w:val="22"/>
          <w:lang w:eastAsia="en-GB"/>
        </w:rPr>
        <w:t xml:space="preserve">changes to the </w:t>
      </w:r>
      <w:r w:rsidR="00E74B65">
        <w:rPr>
          <w:rFonts w:ascii="Calibri" w:hAnsi="Calibri" w:cs="Arial"/>
          <w:sz w:val="22"/>
          <w:szCs w:val="22"/>
          <w:lang w:eastAsia="en-GB"/>
        </w:rPr>
        <w:t>da</w:t>
      </w:r>
      <w:r w:rsidR="008378BB" w:rsidRPr="006E1835">
        <w:rPr>
          <w:rFonts w:ascii="Calibri" w:hAnsi="Calibri" w:cs="Arial"/>
          <w:sz w:val="22"/>
          <w:szCs w:val="22"/>
          <w:lang w:eastAsia="en-GB"/>
        </w:rPr>
        <w:t>te</w:t>
      </w:r>
      <w:r w:rsidR="004D4A94" w:rsidRPr="006E1835">
        <w:rPr>
          <w:rFonts w:ascii="Calibri" w:hAnsi="Calibri" w:cs="Arial"/>
          <w:sz w:val="22"/>
          <w:szCs w:val="22"/>
          <w:lang w:eastAsia="en-GB"/>
        </w:rPr>
        <w:t>s</w:t>
      </w:r>
      <w:r w:rsidR="008378BB" w:rsidRPr="006E1835">
        <w:rPr>
          <w:rFonts w:ascii="Calibri" w:hAnsi="Calibri" w:cs="Arial"/>
          <w:sz w:val="22"/>
          <w:szCs w:val="22"/>
          <w:lang w:eastAsia="en-GB"/>
        </w:rPr>
        <w:t>.</w:t>
      </w:r>
    </w:p>
    <w:p w14:paraId="218EE927" w14:textId="62EAB434" w:rsidR="00A01141" w:rsidRPr="008D42F4" w:rsidRDefault="00A01141" w:rsidP="00BE7829">
      <w:pPr>
        <w:spacing w:line="280" w:lineRule="auto"/>
        <w:jc w:val="both"/>
        <w:rPr>
          <w:rFonts w:ascii="Calibri" w:hAnsi="Calibri" w:cs="Arial"/>
          <w:sz w:val="22"/>
          <w:szCs w:val="22"/>
          <w:lang w:eastAsia="en-GB"/>
        </w:rPr>
      </w:pPr>
    </w:p>
    <w:sectPr w:rsidR="00A01141" w:rsidRPr="008D42F4" w:rsidSect="00291501">
      <w:headerReference w:type="default" r:id="rId11"/>
      <w:footerReference w:type="even" r:id="rId12"/>
      <w:footerReference w:type="default" r:id="rId13"/>
      <w:pgSz w:w="11906" w:h="16838"/>
      <w:pgMar w:top="1440" w:right="1440" w:bottom="1440" w:left="1440"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E8ED0" w14:textId="77777777" w:rsidR="00BC4743" w:rsidRDefault="00BC4743" w:rsidP="0003785D">
      <w:r>
        <w:separator/>
      </w:r>
    </w:p>
  </w:endnote>
  <w:endnote w:type="continuationSeparator" w:id="0">
    <w:p w14:paraId="56D36CDB" w14:textId="77777777" w:rsidR="00BC4743" w:rsidRDefault="00BC4743"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0BFB" w14:textId="7033C2D3" w:rsidR="00BC4743" w:rsidRDefault="00BC4743" w:rsidP="00674166">
    <w:pPr>
      <w:pStyle w:val="FooterLeft"/>
    </w:pPr>
    <w:r>
      <w:fldChar w:fldCharType="begin"/>
    </w:r>
    <w:r>
      <w:instrText xml:space="preserve"> PAGE   \* MERGEFORMAT </w:instrText>
    </w:r>
    <w:r>
      <w:fldChar w:fldCharType="separate"/>
    </w:r>
    <w:r>
      <w:rPr>
        <w:noProof/>
      </w:rPr>
      <w:t>12</w:t>
    </w:r>
    <w:r>
      <w:rPr>
        <w:noProof/>
      </w:rPr>
      <w:fldChar w:fldCharType="end"/>
    </w:r>
    <w:r>
      <w:rPr>
        <w:noProof/>
      </w:rPr>
      <w:tab/>
      <w:t>External</w:t>
    </w:r>
    <w:r>
      <w:rPr>
        <w:noProof/>
      </w:rPr>
      <w:tab/>
    </w:r>
    <w:r>
      <w:rPr>
        <w:noProof/>
      </w:rPr>
      <w:fldChar w:fldCharType="begin"/>
    </w:r>
    <w:r>
      <w:rPr>
        <w:noProof/>
      </w:rPr>
      <w:instrText xml:space="preserve"> DATE \@ "d-MMM-yy" </w:instrText>
    </w:r>
    <w:r>
      <w:rPr>
        <w:noProof/>
      </w:rPr>
      <w:fldChar w:fldCharType="separate"/>
    </w:r>
    <w:r w:rsidR="00293CBE">
      <w:rPr>
        <w:noProof/>
      </w:rPr>
      <w:t>22-Oct-18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576C2" w14:textId="77777777" w:rsidR="00BC4743" w:rsidRDefault="00BC4743" w:rsidP="00674166">
    <w:pPr>
      <w:pStyle w:val="FooterRight"/>
    </w:pPr>
    <w:r>
      <w:fldChar w:fldCharType="begin"/>
    </w:r>
    <w:r>
      <w:instrText xml:space="preserve"> PAGE   \* MERGEFORMAT </w:instrText>
    </w:r>
    <w:r>
      <w:fldChar w:fldCharType="separate"/>
    </w:r>
    <w:r>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6DDEA" w14:textId="77777777" w:rsidR="00BC4743" w:rsidRDefault="00BC4743" w:rsidP="0003785D">
      <w:r>
        <w:separator/>
      </w:r>
    </w:p>
  </w:footnote>
  <w:footnote w:type="continuationSeparator" w:id="0">
    <w:p w14:paraId="4403A192" w14:textId="77777777" w:rsidR="00BC4743" w:rsidRDefault="00BC4743" w:rsidP="0003785D">
      <w:r>
        <w:continuationSeparator/>
      </w:r>
    </w:p>
  </w:footnote>
  <w:footnote w:id="1">
    <w:p w14:paraId="09236026" w14:textId="77777777" w:rsidR="00BC4743" w:rsidRPr="00291501" w:rsidRDefault="00BC4743">
      <w:pPr>
        <w:pStyle w:val="FootnoteText"/>
        <w:rPr>
          <w:rFonts w:ascii="Calibri" w:hAnsi="Calibri"/>
        </w:rPr>
      </w:pPr>
      <w:r w:rsidRPr="00291501">
        <w:rPr>
          <w:rStyle w:val="FootnoteReference"/>
          <w:rFonts w:ascii="Calibri" w:hAnsi="Calibri"/>
        </w:rPr>
        <w:footnoteRef/>
      </w:r>
      <w:r w:rsidRPr="00291501">
        <w:rPr>
          <w:rFonts w:ascii="Calibri" w:hAnsi="Calibri"/>
        </w:rPr>
        <w:t xml:space="preserve"> Derailment due to a landslip, and subsequent collision, Watford (RAIB, 16 September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CC01D" w14:textId="77777777" w:rsidR="00BC4743" w:rsidRPr="0003785D" w:rsidRDefault="00BC4743" w:rsidP="0003785D">
    <w:pPr>
      <w:pStyle w:val="Image"/>
    </w:pPr>
    <w:r>
      <w:rPr>
        <w:noProof/>
        <w:lang w:eastAsia="en-GB"/>
      </w:rPr>
      <w:drawing>
        <wp:inline distT="0" distB="0" distL="0" distR="0" wp14:anchorId="4E06C5B0" wp14:editId="74DACE25">
          <wp:extent cx="1256030" cy="699770"/>
          <wp:effectExtent l="0" t="0" r="1270" b="508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4A7938"/>
    <w:multiLevelType w:val="hybridMultilevel"/>
    <w:tmpl w:val="8E0B72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2"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107827"/>
    <w:multiLevelType w:val="hybridMultilevel"/>
    <w:tmpl w:val="9EC8C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330FC"/>
    <w:multiLevelType w:val="multilevel"/>
    <w:tmpl w:val="9404060C"/>
    <w:name w:val="OutlineNumbered"/>
    <w:lvl w:ilvl="0">
      <w:start w:val="1"/>
      <w:numFmt w:val="decimal"/>
      <w:pStyle w:val="Heading1"/>
      <w:suff w:val="nothing"/>
      <w:lvlText w:val="%1  "/>
      <w:lvlJc w:val="left"/>
      <w:pPr>
        <w:ind w:left="3687" w:firstLine="0"/>
      </w:pPr>
      <w:rPr>
        <w:rFonts w:ascii="Calibri" w:hAnsi="Calibri" w:hint="default"/>
        <w:b w:val="0"/>
        <w:i w:val="0"/>
        <w:color w:val="00968E"/>
        <w:sz w:val="36"/>
      </w:rPr>
    </w:lvl>
    <w:lvl w:ilvl="1">
      <w:start w:val="1"/>
      <w:numFmt w:val="decimal"/>
      <w:pStyle w:val="Heading2"/>
      <w:suff w:val="nothing"/>
      <w:lvlText w:val="%2.%1  "/>
      <w:lvlJc w:val="left"/>
      <w:pPr>
        <w:ind w:left="0" w:firstLine="0"/>
      </w:pPr>
      <w:rPr>
        <w:rFonts w:ascii="Calibri" w:hAnsi="Calibri" w:hint="default"/>
        <w:b w:val="0"/>
        <w:i w:val="0"/>
        <w:color w:val="00968E"/>
        <w:sz w:val="32"/>
      </w:rPr>
    </w:lvl>
    <w:lvl w:ilvl="2">
      <w:start w:val="1"/>
      <w:numFmt w:val="decimal"/>
      <w:pStyle w:val="Heading3"/>
      <w:suff w:val="nothing"/>
      <w:lvlText w:val="%3.%2.%1  "/>
      <w:lvlJc w:val="left"/>
      <w:pPr>
        <w:ind w:left="0" w:firstLine="0"/>
      </w:pPr>
      <w:rPr>
        <w:rFonts w:ascii="Calibri" w:hAnsi="Calibri" w:hint="default"/>
        <w:b w:val="0"/>
        <w:i w:val="0"/>
        <w:color w:val="00968E"/>
        <w:sz w:val="28"/>
      </w:rPr>
    </w:lvl>
    <w:lvl w:ilvl="3">
      <w:start w:val="1"/>
      <w:numFmt w:val="decimal"/>
      <w:pStyle w:val="Heading4"/>
      <w:suff w:val="nothing"/>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6441B2"/>
    <w:multiLevelType w:val="hybridMultilevel"/>
    <w:tmpl w:val="20DE3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A63437"/>
    <w:multiLevelType w:val="hybridMultilevel"/>
    <w:tmpl w:val="DDB0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2BA10695"/>
    <w:multiLevelType w:val="hybridMultilevel"/>
    <w:tmpl w:val="7CB0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673D3"/>
    <w:multiLevelType w:val="hybridMultilevel"/>
    <w:tmpl w:val="A7F4E1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060AF"/>
    <w:multiLevelType w:val="hybridMultilevel"/>
    <w:tmpl w:val="FFF2934E"/>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2" w15:restartNumberingAfterBreak="0">
    <w:nsid w:val="3D081DC2"/>
    <w:multiLevelType w:val="hybridMultilevel"/>
    <w:tmpl w:val="7F28A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B82792"/>
    <w:multiLevelType w:val="hybridMultilevel"/>
    <w:tmpl w:val="CAC0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897435"/>
    <w:multiLevelType w:val="hybridMultilevel"/>
    <w:tmpl w:val="B8485BA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7" w15:restartNumberingAfterBreak="0">
    <w:nsid w:val="4AC24682"/>
    <w:multiLevelType w:val="hybridMultilevel"/>
    <w:tmpl w:val="3AFC2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023D7"/>
    <w:multiLevelType w:val="hybridMultilevel"/>
    <w:tmpl w:val="87BE12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B0D95"/>
    <w:multiLevelType w:val="hybridMultilevel"/>
    <w:tmpl w:val="7024AA76"/>
    <w:lvl w:ilvl="0" w:tplc="DEE81EF8">
      <w:start w:val="1"/>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3896E8A"/>
    <w:multiLevelType w:val="hybridMultilevel"/>
    <w:tmpl w:val="F2565544"/>
    <w:name w:val="OutlineNumbered2"/>
    <w:lvl w:ilvl="0" w:tplc="F9DC025A">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3F61D4"/>
    <w:multiLevelType w:val="hybridMultilevel"/>
    <w:tmpl w:val="BEBA6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D03336"/>
    <w:multiLevelType w:val="multilevel"/>
    <w:tmpl w:val="C3320D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36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8" w15:restartNumberingAfterBreak="0">
    <w:nsid w:val="6ED3772D"/>
    <w:multiLevelType w:val="hybridMultilevel"/>
    <w:tmpl w:val="92B2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2765B65"/>
    <w:multiLevelType w:val="hybridMultilevel"/>
    <w:tmpl w:val="A7F4E1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2"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AE5C5C"/>
    <w:multiLevelType w:val="multilevel"/>
    <w:tmpl w:val="21228A6C"/>
    <w:lvl w:ilvl="0">
      <w:start w:val="2"/>
      <w:numFmt w:val="decimal"/>
      <w:lvlText w:val="%1"/>
      <w:lvlJc w:val="left"/>
      <w:pPr>
        <w:ind w:left="403" w:hanging="40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5" w15:restartNumberingAfterBreak="0">
    <w:nsid w:val="7E4C6D91"/>
    <w:multiLevelType w:val="hybridMultilevel"/>
    <w:tmpl w:val="C012269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15"/>
  </w:num>
  <w:num w:numId="3">
    <w:abstractNumId w:val="10"/>
  </w:num>
  <w:num w:numId="4">
    <w:abstractNumId w:val="24"/>
  </w:num>
  <w:num w:numId="5">
    <w:abstractNumId w:val="39"/>
  </w:num>
  <w:num w:numId="6">
    <w:abstractNumId w:val="1"/>
  </w:num>
  <w:num w:numId="7">
    <w:abstractNumId w:val="41"/>
  </w:num>
  <w:num w:numId="8">
    <w:abstractNumId w:val="37"/>
  </w:num>
  <w:num w:numId="9">
    <w:abstractNumId w:val="2"/>
  </w:num>
  <w:num w:numId="10">
    <w:abstractNumId w:val="26"/>
  </w:num>
  <w:num w:numId="11">
    <w:abstractNumId w:val="44"/>
  </w:num>
  <w:num w:numId="12">
    <w:abstractNumId w:val="4"/>
  </w:num>
  <w:num w:numId="13">
    <w:abstractNumId w:val="42"/>
  </w:num>
  <w:num w:numId="14">
    <w:abstractNumId w:val="32"/>
  </w:num>
  <w:num w:numId="15">
    <w:abstractNumId w:val="29"/>
  </w:num>
  <w:num w:numId="16">
    <w:abstractNumId w:val="5"/>
  </w:num>
  <w:num w:numId="17">
    <w:abstractNumId w:val="36"/>
  </w:num>
  <w:num w:numId="18">
    <w:abstractNumId w:val="8"/>
  </w:num>
  <w:num w:numId="19">
    <w:abstractNumId w:val="16"/>
  </w:num>
  <w:num w:numId="20">
    <w:abstractNumId w:val="20"/>
  </w:num>
  <w:num w:numId="21">
    <w:abstractNumId w:val="7"/>
  </w:num>
  <w:num w:numId="22">
    <w:abstractNumId w:val="31"/>
  </w:num>
  <w:num w:numId="23">
    <w:abstractNumId w:val="21"/>
  </w:num>
  <w:num w:numId="24">
    <w:abstractNumId w:val="12"/>
  </w:num>
  <w:num w:numId="25">
    <w:abstractNumId w:val="19"/>
  </w:num>
  <w:num w:numId="26">
    <w:abstractNumId w:val="14"/>
  </w:num>
  <w:num w:numId="27">
    <w:abstractNumId w:val="6"/>
  </w:num>
  <w:num w:numId="28">
    <w:abstractNumId w:val="30"/>
  </w:num>
  <w:num w:numId="29">
    <w:abstractNumId w:val="28"/>
  </w:num>
  <w:num w:numId="30">
    <w:abstractNumId w:val="27"/>
  </w:num>
  <w:num w:numId="31">
    <w:abstractNumId w:val="0"/>
  </w:num>
  <w:num w:numId="32">
    <w:abstractNumId w:val="18"/>
  </w:num>
  <w:num w:numId="33">
    <w:abstractNumId w:val="23"/>
  </w:num>
  <w:num w:numId="34">
    <w:abstractNumId w:val="43"/>
  </w:num>
  <w:num w:numId="35">
    <w:abstractNumId w:val="11"/>
  </w:num>
  <w:num w:numId="36">
    <w:abstractNumId w:val="17"/>
  </w:num>
  <w:num w:numId="37">
    <w:abstractNumId w:val="22"/>
  </w:num>
  <w:num w:numId="38">
    <w:abstractNumId w:val="34"/>
  </w:num>
  <w:num w:numId="39">
    <w:abstractNumId w:val="38"/>
  </w:num>
  <w:num w:numId="40">
    <w:abstractNumId w:val="9"/>
  </w:num>
  <w:num w:numId="41">
    <w:abstractNumId w:val="25"/>
  </w:num>
  <w:num w:numId="42">
    <w:abstractNumId w:val="35"/>
  </w:num>
  <w:num w:numId="43">
    <w:abstractNumId w:val="13"/>
  </w:num>
  <w:num w:numId="44">
    <w:abstractNumId w:val="45"/>
  </w:num>
  <w:num w:numId="45">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A0"/>
    <w:rsid w:val="0000346E"/>
    <w:rsid w:val="00004AF8"/>
    <w:rsid w:val="00006500"/>
    <w:rsid w:val="00013C75"/>
    <w:rsid w:val="000203F8"/>
    <w:rsid w:val="00020FFC"/>
    <w:rsid w:val="00027D88"/>
    <w:rsid w:val="000305A8"/>
    <w:rsid w:val="000327E8"/>
    <w:rsid w:val="000340C1"/>
    <w:rsid w:val="0003785D"/>
    <w:rsid w:val="00037FEF"/>
    <w:rsid w:val="00041D43"/>
    <w:rsid w:val="000452E4"/>
    <w:rsid w:val="00054E89"/>
    <w:rsid w:val="00057482"/>
    <w:rsid w:val="000604CB"/>
    <w:rsid w:val="00065BC1"/>
    <w:rsid w:val="0006744D"/>
    <w:rsid w:val="00072C7C"/>
    <w:rsid w:val="00074309"/>
    <w:rsid w:val="00074C65"/>
    <w:rsid w:val="00075A68"/>
    <w:rsid w:val="00080F22"/>
    <w:rsid w:val="00086118"/>
    <w:rsid w:val="00087FC1"/>
    <w:rsid w:val="00092D8B"/>
    <w:rsid w:val="00095757"/>
    <w:rsid w:val="00095A03"/>
    <w:rsid w:val="000A08E3"/>
    <w:rsid w:val="000B0DDC"/>
    <w:rsid w:val="000B3445"/>
    <w:rsid w:val="000B76A4"/>
    <w:rsid w:val="000D18C2"/>
    <w:rsid w:val="000D1CCF"/>
    <w:rsid w:val="000D3F24"/>
    <w:rsid w:val="000D6B11"/>
    <w:rsid w:val="000E1B11"/>
    <w:rsid w:val="000F30CE"/>
    <w:rsid w:val="000F3413"/>
    <w:rsid w:val="000F52C2"/>
    <w:rsid w:val="000F55AD"/>
    <w:rsid w:val="001007D1"/>
    <w:rsid w:val="00100BAD"/>
    <w:rsid w:val="00105AA8"/>
    <w:rsid w:val="001061E9"/>
    <w:rsid w:val="00110270"/>
    <w:rsid w:val="0011052A"/>
    <w:rsid w:val="00124858"/>
    <w:rsid w:val="00134A7B"/>
    <w:rsid w:val="00144505"/>
    <w:rsid w:val="0015084A"/>
    <w:rsid w:val="00156863"/>
    <w:rsid w:val="001640EB"/>
    <w:rsid w:val="00164224"/>
    <w:rsid w:val="00165CAC"/>
    <w:rsid w:val="001738C2"/>
    <w:rsid w:val="00180DB2"/>
    <w:rsid w:val="0018530A"/>
    <w:rsid w:val="0019512D"/>
    <w:rsid w:val="00196FAE"/>
    <w:rsid w:val="001B4560"/>
    <w:rsid w:val="001B5483"/>
    <w:rsid w:val="001B5D37"/>
    <w:rsid w:val="001B777A"/>
    <w:rsid w:val="001B7C9E"/>
    <w:rsid w:val="001D29B2"/>
    <w:rsid w:val="001D6644"/>
    <w:rsid w:val="001D7191"/>
    <w:rsid w:val="001D7633"/>
    <w:rsid w:val="001E3545"/>
    <w:rsid w:val="001E55B5"/>
    <w:rsid w:val="001F22B3"/>
    <w:rsid w:val="001F24C5"/>
    <w:rsid w:val="001F2882"/>
    <w:rsid w:val="001F58EC"/>
    <w:rsid w:val="001F693A"/>
    <w:rsid w:val="001F6C99"/>
    <w:rsid w:val="00206FB1"/>
    <w:rsid w:val="002141E2"/>
    <w:rsid w:val="002202CB"/>
    <w:rsid w:val="002345D7"/>
    <w:rsid w:val="002569DA"/>
    <w:rsid w:val="00265E51"/>
    <w:rsid w:val="00267BAA"/>
    <w:rsid w:val="00270E5E"/>
    <w:rsid w:val="00270FE4"/>
    <w:rsid w:val="0027278D"/>
    <w:rsid w:val="0027531B"/>
    <w:rsid w:val="0027701F"/>
    <w:rsid w:val="00281BA5"/>
    <w:rsid w:val="00283EC5"/>
    <w:rsid w:val="00291501"/>
    <w:rsid w:val="0029267B"/>
    <w:rsid w:val="002934C4"/>
    <w:rsid w:val="00293CBE"/>
    <w:rsid w:val="0029530C"/>
    <w:rsid w:val="00296227"/>
    <w:rsid w:val="002A295D"/>
    <w:rsid w:val="002A3F9D"/>
    <w:rsid w:val="002B1592"/>
    <w:rsid w:val="002B6642"/>
    <w:rsid w:val="002C3C2B"/>
    <w:rsid w:val="002C40D9"/>
    <w:rsid w:val="002C6290"/>
    <w:rsid w:val="002D073D"/>
    <w:rsid w:val="002E4681"/>
    <w:rsid w:val="002F426C"/>
    <w:rsid w:val="00300700"/>
    <w:rsid w:val="003105D7"/>
    <w:rsid w:val="00317299"/>
    <w:rsid w:val="00322760"/>
    <w:rsid w:val="00325CAA"/>
    <w:rsid w:val="00325F01"/>
    <w:rsid w:val="003274D3"/>
    <w:rsid w:val="00337915"/>
    <w:rsid w:val="00337EC8"/>
    <w:rsid w:val="0034785D"/>
    <w:rsid w:val="00357836"/>
    <w:rsid w:val="00363FF5"/>
    <w:rsid w:val="00373AA7"/>
    <w:rsid w:val="00374265"/>
    <w:rsid w:val="003817B5"/>
    <w:rsid w:val="003821CF"/>
    <w:rsid w:val="0038340C"/>
    <w:rsid w:val="00383A97"/>
    <w:rsid w:val="00385835"/>
    <w:rsid w:val="00393C31"/>
    <w:rsid w:val="00395222"/>
    <w:rsid w:val="003A7A44"/>
    <w:rsid w:val="003B523E"/>
    <w:rsid w:val="003B56E6"/>
    <w:rsid w:val="003B6295"/>
    <w:rsid w:val="003B6FCB"/>
    <w:rsid w:val="003D0E21"/>
    <w:rsid w:val="003D5C0F"/>
    <w:rsid w:val="003D71DE"/>
    <w:rsid w:val="003F14BB"/>
    <w:rsid w:val="003F65DE"/>
    <w:rsid w:val="00400686"/>
    <w:rsid w:val="0040219F"/>
    <w:rsid w:val="00402789"/>
    <w:rsid w:val="004101E6"/>
    <w:rsid w:val="0041105C"/>
    <w:rsid w:val="004170D9"/>
    <w:rsid w:val="00420F8C"/>
    <w:rsid w:val="004236BB"/>
    <w:rsid w:val="00425324"/>
    <w:rsid w:val="00430964"/>
    <w:rsid w:val="00431B22"/>
    <w:rsid w:val="004325C1"/>
    <w:rsid w:val="00434A94"/>
    <w:rsid w:val="004361A2"/>
    <w:rsid w:val="00436274"/>
    <w:rsid w:val="004439D6"/>
    <w:rsid w:val="00443FAF"/>
    <w:rsid w:val="00444363"/>
    <w:rsid w:val="004444E6"/>
    <w:rsid w:val="00445230"/>
    <w:rsid w:val="00465757"/>
    <w:rsid w:val="00466013"/>
    <w:rsid w:val="004666E1"/>
    <w:rsid w:val="00483FAD"/>
    <w:rsid w:val="00497544"/>
    <w:rsid w:val="004A61E7"/>
    <w:rsid w:val="004B1C0A"/>
    <w:rsid w:val="004C0AB2"/>
    <w:rsid w:val="004C5BAF"/>
    <w:rsid w:val="004D2CA5"/>
    <w:rsid w:val="004D334F"/>
    <w:rsid w:val="004D4A94"/>
    <w:rsid w:val="004E0FFB"/>
    <w:rsid w:val="004E36A3"/>
    <w:rsid w:val="004E48F3"/>
    <w:rsid w:val="004F2ABC"/>
    <w:rsid w:val="004F3A52"/>
    <w:rsid w:val="004F4209"/>
    <w:rsid w:val="004F65ED"/>
    <w:rsid w:val="00505C2B"/>
    <w:rsid w:val="005105D4"/>
    <w:rsid w:val="00513149"/>
    <w:rsid w:val="00515207"/>
    <w:rsid w:val="005170FA"/>
    <w:rsid w:val="00521FD1"/>
    <w:rsid w:val="00523DF6"/>
    <w:rsid w:val="00523E0C"/>
    <w:rsid w:val="005302A4"/>
    <w:rsid w:val="005366F1"/>
    <w:rsid w:val="00536C43"/>
    <w:rsid w:val="005438F5"/>
    <w:rsid w:val="00546361"/>
    <w:rsid w:val="005467AF"/>
    <w:rsid w:val="00547F63"/>
    <w:rsid w:val="00551D84"/>
    <w:rsid w:val="005534E0"/>
    <w:rsid w:val="00556E66"/>
    <w:rsid w:val="00561C6F"/>
    <w:rsid w:val="00562DE6"/>
    <w:rsid w:val="00565059"/>
    <w:rsid w:val="0057259E"/>
    <w:rsid w:val="00573429"/>
    <w:rsid w:val="005801BA"/>
    <w:rsid w:val="00583DEC"/>
    <w:rsid w:val="005877CE"/>
    <w:rsid w:val="00597256"/>
    <w:rsid w:val="005A3CDB"/>
    <w:rsid w:val="005A477C"/>
    <w:rsid w:val="005A4F31"/>
    <w:rsid w:val="005B670A"/>
    <w:rsid w:val="005B68E2"/>
    <w:rsid w:val="005C0A86"/>
    <w:rsid w:val="005C1DDB"/>
    <w:rsid w:val="005D2945"/>
    <w:rsid w:val="005D29F8"/>
    <w:rsid w:val="005D57E0"/>
    <w:rsid w:val="005D7D6B"/>
    <w:rsid w:val="005E0FA3"/>
    <w:rsid w:val="005E2FD0"/>
    <w:rsid w:val="005E4426"/>
    <w:rsid w:val="005F1D65"/>
    <w:rsid w:val="005F5D56"/>
    <w:rsid w:val="005F69F9"/>
    <w:rsid w:val="00600CBB"/>
    <w:rsid w:val="0060611D"/>
    <w:rsid w:val="006078B1"/>
    <w:rsid w:val="006134A4"/>
    <w:rsid w:val="00620FA0"/>
    <w:rsid w:val="0062110D"/>
    <w:rsid w:val="0062265C"/>
    <w:rsid w:val="00633DBE"/>
    <w:rsid w:val="00636F15"/>
    <w:rsid w:val="006440C8"/>
    <w:rsid w:val="00644663"/>
    <w:rsid w:val="00650620"/>
    <w:rsid w:val="00664755"/>
    <w:rsid w:val="006663FE"/>
    <w:rsid w:val="00674166"/>
    <w:rsid w:val="00677B4C"/>
    <w:rsid w:val="0068768B"/>
    <w:rsid w:val="006A03F0"/>
    <w:rsid w:val="006A6762"/>
    <w:rsid w:val="006B076F"/>
    <w:rsid w:val="006B5241"/>
    <w:rsid w:val="006B6E43"/>
    <w:rsid w:val="006C1697"/>
    <w:rsid w:val="006C2C3B"/>
    <w:rsid w:val="006C37CD"/>
    <w:rsid w:val="006C6DAF"/>
    <w:rsid w:val="006D5EA9"/>
    <w:rsid w:val="006D776E"/>
    <w:rsid w:val="006E01B7"/>
    <w:rsid w:val="006E1835"/>
    <w:rsid w:val="006E2708"/>
    <w:rsid w:val="00701230"/>
    <w:rsid w:val="00705438"/>
    <w:rsid w:val="00705A1E"/>
    <w:rsid w:val="00724111"/>
    <w:rsid w:val="0072478E"/>
    <w:rsid w:val="007249A7"/>
    <w:rsid w:val="007249E3"/>
    <w:rsid w:val="00724A54"/>
    <w:rsid w:val="007260F8"/>
    <w:rsid w:val="00726380"/>
    <w:rsid w:val="00735DD2"/>
    <w:rsid w:val="00736486"/>
    <w:rsid w:val="00740ABA"/>
    <w:rsid w:val="007448C4"/>
    <w:rsid w:val="00744C37"/>
    <w:rsid w:val="0074640A"/>
    <w:rsid w:val="00754F39"/>
    <w:rsid w:val="007614C2"/>
    <w:rsid w:val="007617B6"/>
    <w:rsid w:val="00761BB5"/>
    <w:rsid w:val="00761C7F"/>
    <w:rsid w:val="007664FA"/>
    <w:rsid w:val="00767BCD"/>
    <w:rsid w:val="00770CD8"/>
    <w:rsid w:val="007715AC"/>
    <w:rsid w:val="007715AE"/>
    <w:rsid w:val="00772A6C"/>
    <w:rsid w:val="00773E73"/>
    <w:rsid w:val="00786A63"/>
    <w:rsid w:val="007937D9"/>
    <w:rsid w:val="007A188A"/>
    <w:rsid w:val="007A1C36"/>
    <w:rsid w:val="007B0ED2"/>
    <w:rsid w:val="007B2B18"/>
    <w:rsid w:val="007B31C1"/>
    <w:rsid w:val="007C10B2"/>
    <w:rsid w:val="007C61C6"/>
    <w:rsid w:val="007C73F0"/>
    <w:rsid w:val="007D6BC4"/>
    <w:rsid w:val="007E07DD"/>
    <w:rsid w:val="007E31E4"/>
    <w:rsid w:val="007F2D76"/>
    <w:rsid w:val="007F57C5"/>
    <w:rsid w:val="0081155F"/>
    <w:rsid w:val="00817EDA"/>
    <w:rsid w:val="008212DB"/>
    <w:rsid w:val="00821303"/>
    <w:rsid w:val="00821EF2"/>
    <w:rsid w:val="00835C61"/>
    <w:rsid w:val="00837286"/>
    <w:rsid w:val="008378BB"/>
    <w:rsid w:val="0084183C"/>
    <w:rsid w:val="008425D9"/>
    <w:rsid w:val="008504D5"/>
    <w:rsid w:val="00850AA2"/>
    <w:rsid w:val="00856404"/>
    <w:rsid w:val="00856FBA"/>
    <w:rsid w:val="008571C7"/>
    <w:rsid w:val="008671DA"/>
    <w:rsid w:val="00867295"/>
    <w:rsid w:val="00875080"/>
    <w:rsid w:val="008848F1"/>
    <w:rsid w:val="008903A8"/>
    <w:rsid w:val="00895C5E"/>
    <w:rsid w:val="00896506"/>
    <w:rsid w:val="008A5355"/>
    <w:rsid w:val="008B57D9"/>
    <w:rsid w:val="008B64A4"/>
    <w:rsid w:val="008C0F62"/>
    <w:rsid w:val="008C38CF"/>
    <w:rsid w:val="008D42F4"/>
    <w:rsid w:val="008D4D9D"/>
    <w:rsid w:val="008D6E09"/>
    <w:rsid w:val="008E1B36"/>
    <w:rsid w:val="008E21E0"/>
    <w:rsid w:val="008E76FA"/>
    <w:rsid w:val="008F04B0"/>
    <w:rsid w:val="00903473"/>
    <w:rsid w:val="009117F6"/>
    <w:rsid w:val="009131B4"/>
    <w:rsid w:val="00916E86"/>
    <w:rsid w:val="00921C88"/>
    <w:rsid w:val="00923181"/>
    <w:rsid w:val="00923B5C"/>
    <w:rsid w:val="0092789C"/>
    <w:rsid w:val="00931F49"/>
    <w:rsid w:val="00932611"/>
    <w:rsid w:val="00933B8E"/>
    <w:rsid w:val="009434FB"/>
    <w:rsid w:val="0095074C"/>
    <w:rsid w:val="009628BB"/>
    <w:rsid w:val="00971DFA"/>
    <w:rsid w:val="0097222C"/>
    <w:rsid w:val="00973B60"/>
    <w:rsid w:val="00975436"/>
    <w:rsid w:val="009808D7"/>
    <w:rsid w:val="009817F2"/>
    <w:rsid w:val="0098257E"/>
    <w:rsid w:val="00985985"/>
    <w:rsid w:val="009905A9"/>
    <w:rsid w:val="0099225D"/>
    <w:rsid w:val="00994F3F"/>
    <w:rsid w:val="009A43CE"/>
    <w:rsid w:val="009B2B22"/>
    <w:rsid w:val="009B4546"/>
    <w:rsid w:val="009B4CCA"/>
    <w:rsid w:val="009C18CB"/>
    <w:rsid w:val="009D010E"/>
    <w:rsid w:val="009D48D1"/>
    <w:rsid w:val="009D6CE6"/>
    <w:rsid w:val="009E1F97"/>
    <w:rsid w:val="009F0D8F"/>
    <w:rsid w:val="009F331D"/>
    <w:rsid w:val="009F4A4C"/>
    <w:rsid w:val="009F7551"/>
    <w:rsid w:val="00A01141"/>
    <w:rsid w:val="00A028CA"/>
    <w:rsid w:val="00A04EA2"/>
    <w:rsid w:val="00A12089"/>
    <w:rsid w:val="00A1450E"/>
    <w:rsid w:val="00A14622"/>
    <w:rsid w:val="00A15EA7"/>
    <w:rsid w:val="00A216F1"/>
    <w:rsid w:val="00A24928"/>
    <w:rsid w:val="00A271BC"/>
    <w:rsid w:val="00A31443"/>
    <w:rsid w:val="00A339D7"/>
    <w:rsid w:val="00A40E9B"/>
    <w:rsid w:val="00A41ABC"/>
    <w:rsid w:val="00A42520"/>
    <w:rsid w:val="00A50BE1"/>
    <w:rsid w:val="00A53EA0"/>
    <w:rsid w:val="00A854EA"/>
    <w:rsid w:val="00A85B19"/>
    <w:rsid w:val="00A86C0F"/>
    <w:rsid w:val="00A92A2B"/>
    <w:rsid w:val="00A92CC3"/>
    <w:rsid w:val="00A931BF"/>
    <w:rsid w:val="00A95AC6"/>
    <w:rsid w:val="00AA1DB9"/>
    <w:rsid w:val="00AA2D12"/>
    <w:rsid w:val="00AA6C3E"/>
    <w:rsid w:val="00AB59D9"/>
    <w:rsid w:val="00AC28D7"/>
    <w:rsid w:val="00AC5C9D"/>
    <w:rsid w:val="00AE1801"/>
    <w:rsid w:val="00AE6E54"/>
    <w:rsid w:val="00B0554A"/>
    <w:rsid w:val="00B124CC"/>
    <w:rsid w:val="00B14691"/>
    <w:rsid w:val="00B22DDE"/>
    <w:rsid w:val="00B2502B"/>
    <w:rsid w:val="00B25BE2"/>
    <w:rsid w:val="00B33BC7"/>
    <w:rsid w:val="00B34E30"/>
    <w:rsid w:val="00B36A08"/>
    <w:rsid w:val="00B40D40"/>
    <w:rsid w:val="00B41A5B"/>
    <w:rsid w:val="00B469C6"/>
    <w:rsid w:val="00B46B33"/>
    <w:rsid w:val="00B54659"/>
    <w:rsid w:val="00B6144C"/>
    <w:rsid w:val="00B66290"/>
    <w:rsid w:val="00B6685E"/>
    <w:rsid w:val="00B708DD"/>
    <w:rsid w:val="00B71338"/>
    <w:rsid w:val="00B7235F"/>
    <w:rsid w:val="00B730C1"/>
    <w:rsid w:val="00B75F9F"/>
    <w:rsid w:val="00B90DA0"/>
    <w:rsid w:val="00B928F8"/>
    <w:rsid w:val="00B9428F"/>
    <w:rsid w:val="00B95235"/>
    <w:rsid w:val="00B9637C"/>
    <w:rsid w:val="00B97143"/>
    <w:rsid w:val="00BA4F99"/>
    <w:rsid w:val="00BA6C4C"/>
    <w:rsid w:val="00BB1899"/>
    <w:rsid w:val="00BB37E9"/>
    <w:rsid w:val="00BC1823"/>
    <w:rsid w:val="00BC18A7"/>
    <w:rsid w:val="00BC31A4"/>
    <w:rsid w:val="00BC4743"/>
    <w:rsid w:val="00BC659E"/>
    <w:rsid w:val="00BD0461"/>
    <w:rsid w:val="00BD1438"/>
    <w:rsid w:val="00BD191A"/>
    <w:rsid w:val="00BE38C8"/>
    <w:rsid w:val="00BE3E4D"/>
    <w:rsid w:val="00BE51A8"/>
    <w:rsid w:val="00BE7829"/>
    <w:rsid w:val="00BF189F"/>
    <w:rsid w:val="00C04010"/>
    <w:rsid w:val="00C15913"/>
    <w:rsid w:val="00C16353"/>
    <w:rsid w:val="00C207B6"/>
    <w:rsid w:val="00C21088"/>
    <w:rsid w:val="00C22771"/>
    <w:rsid w:val="00C37D71"/>
    <w:rsid w:val="00C411AA"/>
    <w:rsid w:val="00C47FC9"/>
    <w:rsid w:val="00C62BAC"/>
    <w:rsid w:val="00C62EBB"/>
    <w:rsid w:val="00C632AE"/>
    <w:rsid w:val="00C67F16"/>
    <w:rsid w:val="00C70BF5"/>
    <w:rsid w:val="00C72FA5"/>
    <w:rsid w:val="00C736D9"/>
    <w:rsid w:val="00C73856"/>
    <w:rsid w:val="00C801AC"/>
    <w:rsid w:val="00C84215"/>
    <w:rsid w:val="00C954AF"/>
    <w:rsid w:val="00C97A81"/>
    <w:rsid w:val="00CA3BE2"/>
    <w:rsid w:val="00CA5C99"/>
    <w:rsid w:val="00CB0745"/>
    <w:rsid w:val="00CB219F"/>
    <w:rsid w:val="00CB23F6"/>
    <w:rsid w:val="00CB31F8"/>
    <w:rsid w:val="00CB3222"/>
    <w:rsid w:val="00CB60A5"/>
    <w:rsid w:val="00CC0375"/>
    <w:rsid w:val="00CC2358"/>
    <w:rsid w:val="00CC40F5"/>
    <w:rsid w:val="00CC4965"/>
    <w:rsid w:val="00CD3C52"/>
    <w:rsid w:val="00CD409F"/>
    <w:rsid w:val="00CD5501"/>
    <w:rsid w:val="00CD5A31"/>
    <w:rsid w:val="00CE3E4C"/>
    <w:rsid w:val="00CF5A38"/>
    <w:rsid w:val="00D0605F"/>
    <w:rsid w:val="00D11754"/>
    <w:rsid w:val="00D12E3A"/>
    <w:rsid w:val="00D16892"/>
    <w:rsid w:val="00D232A3"/>
    <w:rsid w:val="00D2346F"/>
    <w:rsid w:val="00D24D65"/>
    <w:rsid w:val="00D25372"/>
    <w:rsid w:val="00D30F48"/>
    <w:rsid w:val="00D32CB9"/>
    <w:rsid w:val="00D33C9F"/>
    <w:rsid w:val="00D371CD"/>
    <w:rsid w:val="00D45270"/>
    <w:rsid w:val="00D458DF"/>
    <w:rsid w:val="00D47132"/>
    <w:rsid w:val="00D50287"/>
    <w:rsid w:val="00D51FCF"/>
    <w:rsid w:val="00D5465A"/>
    <w:rsid w:val="00D54E03"/>
    <w:rsid w:val="00D60206"/>
    <w:rsid w:val="00D61125"/>
    <w:rsid w:val="00D67EE0"/>
    <w:rsid w:val="00D77715"/>
    <w:rsid w:val="00D84638"/>
    <w:rsid w:val="00DA4BED"/>
    <w:rsid w:val="00DA746F"/>
    <w:rsid w:val="00DA7E5B"/>
    <w:rsid w:val="00DB3CA0"/>
    <w:rsid w:val="00DD1DE7"/>
    <w:rsid w:val="00DD3C0B"/>
    <w:rsid w:val="00DD49BB"/>
    <w:rsid w:val="00DE0FA2"/>
    <w:rsid w:val="00E00C43"/>
    <w:rsid w:val="00E01190"/>
    <w:rsid w:val="00E04231"/>
    <w:rsid w:val="00E0642C"/>
    <w:rsid w:val="00E07403"/>
    <w:rsid w:val="00E12DF2"/>
    <w:rsid w:val="00E13FC8"/>
    <w:rsid w:val="00E25D3F"/>
    <w:rsid w:val="00E32EB0"/>
    <w:rsid w:val="00E3418C"/>
    <w:rsid w:val="00E47215"/>
    <w:rsid w:val="00E51749"/>
    <w:rsid w:val="00E51E4F"/>
    <w:rsid w:val="00E5600A"/>
    <w:rsid w:val="00E615FD"/>
    <w:rsid w:val="00E62025"/>
    <w:rsid w:val="00E655AF"/>
    <w:rsid w:val="00E67F50"/>
    <w:rsid w:val="00E74B65"/>
    <w:rsid w:val="00E924A5"/>
    <w:rsid w:val="00E947A4"/>
    <w:rsid w:val="00E959C6"/>
    <w:rsid w:val="00EA04B9"/>
    <w:rsid w:val="00EB055A"/>
    <w:rsid w:val="00EB38C6"/>
    <w:rsid w:val="00EC063D"/>
    <w:rsid w:val="00EC0D55"/>
    <w:rsid w:val="00EC2C5A"/>
    <w:rsid w:val="00EE0C4E"/>
    <w:rsid w:val="00EE639E"/>
    <w:rsid w:val="00EF3A78"/>
    <w:rsid w:val="00F00F4F"/>
    <w:rsid w:val="00F02356"/>
    <w:rsid w:val="00F118FA"/>
    <w:rsid w:val="00F20293"/>
    <w:rsid w:val="00F21452"/>
    <w:rsid w:val="00F26743"/>
    <w:rsid w:val="00F268F9"/>
    <w:rsid w:val="00F36E9F"/>
    <w:rsid w:val="00F44778"/>
    <w:rsid w:val="00F44A53"/>
    <w:rsid w:val="00F47E34"/>
    <w:rsid w:val="00F534D2"/>
    <w:rsid w:val="00F53ACF"/>
    <w:rsid w:val="00F60456"/>
    <w:rsid w:val="00F62B1B"/>
    <w:rsid w:val="00F63C13"/>
    <w:rsid w:val="00F644D7"/>
    <w:rsid w:val="00F72199"/>
    <w:rsid w:val="00F75385"/>
    <w:rsid w:val="00F80C29"/>
    <w:rsid w:val="00F852B8"/>
    <w:rsid w:val="00FA3B4A"/>
    <w:rsid w:val="00FA556D"/>
    <w:rsid w:val="00FA5E1C"/>
    <w:rsid w:val="00FA7CC6"/>
    <w:rsid w:val="00FB38AF"/>
    <w:rsid w:val="00FB5291"/>
    <w:rsid w:val="00FC05CE"/>
    <w:rsid w:val="00FC34F7"/>
    <w:rsid w:val="00FD47C3"/>
    <w:rsid w:val="00FE0177"/>
    <w:rsid w:val="00FE07F4"/>
    <w:rsid w:val="00FE11E0"/>
    <w:rsid w:val="00FE63DE"/>
    <w:rsid w:val="00FF300F"/>
    <w:rsid w:val="00FF5463"/>
    <w:rsid w:val="00FF7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7631A9"/>
  <w15:chartTrackingRefBased/>
  <w15:docId w15:val="{684C8458-8DB4-45BF-9098-159B5EA0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BB37E9"/>
    <w:rPr>
      <w:rFonts w:ascii="Arial" w:hAnsi="Arial"/>
      <w:sz w:val="24"/>
      <w:szCs w:val="24"/>
      <w:lang w:eastAsia="en-US"/>
    </w:rPr>
  </w:style>
  <w:style w:type="paragraph" w:styleId="Heading10">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semiHidden/>
    <w:qFormat/>
    <w:rsid w:val="001F2882"/>
    <w:pPr>
      <w:keepNext w:val="0"/>
      <w:spacing w:before="60" w:line="260" w:lineRule="exact"/>
      <w:outlineLvl w:val="1"/>
    </w:pPr>
    <w:rPr>
      <w:b w:val="0"/>
      <w:sz w:val="22"/>
    </w:rPr>
  </w:style>
  <w:style w:type="paragraph" w:styleId="Heading30">
    <w:name w:val="heading 3"/>
    <w:basedOn w:val="Heading20"/>
    <w:next w:val="BodyText"/>
    <w:semiHidden/>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link w:val="BalloonTextChar"/>
    <w:uiPriority w:val="99"/>
    <w:qFormat/>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0"/>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
    <w:name w:val="Heading1"/>
    <w:next w:val="Body"/>
    <w:qFormat/>
    <w:rsid w:val="00F80C29"/>
    <w:pPr>
      <w:numPr>
        <w:numId w:val="21"/>
      </w:numPr>
      <w:spacing w:after="360" w:line="440" w:lineRule="exact"/>
    </w:pPr>
    <w:rPr>
      <w:rFonts w:ascii="Calibri" w:hAnsi="Calibri" w:cs="Arial"/>
      <w:color w:val="00968E"/>
      <w:sz w:val="36"/>
      <w:szCs w:val="22"/>
    </w:rPr>
  </w:style>
  <w:style w:type="paragraph" w:customStyle="1" w:styleId="Heading2">
    <w:name w:val="Heading2"/>
    <w:qFormat/>
    <w:rsid w:val="005C1DDB"/>
    <w:pPr>
      <w:numPr>
        <w:ilvl w:val="1"/>
        <w:numId w:val="21"/>
      </w:numPr>
      <w:spacing w:after="240" w:line="400" w:lineRule="exact"/>
    </w:pPr>
    <w:rPr>
      <w:rFonts w:ascii="Calibri" w:hAnsi="Calibri" w:cs="Arial"/>
      <w:color w:val="00968E"/>
      <w:sz w:val="32"/>
      <w:szCs w:val="22"/>
    </w:rPr>
  </w:style>
  <w:style w:type="paragraph" w:customStyle="1" w:styleId="Heading3">
    <w:name w:val="Heading3"/>
    <w:qFormat/>
    <w:rsid w:val="005C1DDB"/>
    <w:pPr>
      <w:numPr>
        <w:ilvl w:val="2"/>
        <w:numId w:val="21"/>
      </w:numPr>
      <w:spacing w:after="120" w:line="360" w:lineRule="exact"/>
    </w:pPr>
    <w:rPr>
      <w:rFonts w:ascii="Calibri" w:hAnsi="Calibri" w:cs="Arial"/>
      <w:color w:val="00968E"/>
      <w:sz w:val="28"/>
      <w:szCs w:val="22"/>
    </w:rPr>
  </w:style>
  <w:style w:type="paragraph" w:customStyle="1" w:styleId="Heading4">
    <w:name w:val="Heading4"/>
    <w:qFormat/>
    <w:rsid w:val="005C1DDB"/>
    <w:pPr>
      <w:numPr>
        <w:ilvl w:val="3"/>
        <w:numId w:val="21"/>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95074C"/>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A85B19"/>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character" w:styleId="CommentReference">
    <w:name w:val="annotation reference"/>
    <w:uiPriority w:val="99"/>
    <w:semiHidden/>
    <w:unhideWhenUsed/>
    <w:rsid w:val="00B90DA0"/>
    <w:rPr>
      <w:sz w:val="16"/>
      <w:szCs w:val="16"/>
    </w:rPr>
  </w:style>
  <w:style w:type="character" w:customStyle="1" w:styleId="BalloonTextChar">
    <w:name w:val="Balloon Text Char"/>
    <w:link w:val="BalloonText"/>
    <w:uiPriority w:val="99"/>
    <w:locked/>
    <w:rsid w:val="00B90DA0"/>
    <w:rPr>
      <w:rFonts w:ascii="Tahoma" w:hAnsi="Tahoma" w:cs="Tahoma"/>
      <w:sz w:val="16"/>
      <w:szCs w:val="16"/>
      <w:lang w:eastAsia="en-US"/>
    </w:rPr>
  </w:style>
  <w:style w:type="paragraph" w:styleId="CommentText">
    <w:name w:val="annotation text"/>
    <w:basedOn w:val="Normal"/>
    <w:link w:val="CommentTextChar"/>
    <w:uiPriority w:val="99"/>
    <w:semiHidden/>
    <w:unhideWhenUsed/>
    <w:rsid w:val="00B90DA0"/>
    <w:rPr>
      <w:rFonts w:eastAsia="Arial"/>
      <w:sz w:val="20"/>
      <w:szCs w:val="20"/>
      <w:lang w:val="x-none"/>
    </w:rPr>
  </w:style>
  <w:style w:type="character" w:customStyle="1" w:styleId="CommentTextChar">
    <w:name w:val="Comment Text Char"/>
    <w:basedOn w:val="DefaultParagraphFont"/>
    <w:link w:val="CommentText"/>
    <w:uiPriority w:val="99"/>
    <w:semiHidden/>
    <w:rsid w:val="00B90DA0"/>
    <w:rPr>
      <w:rFonts w:ascii="Arial" w:eastAsia="Arial" w:hAnsi="Arial"/>
      <w:lang w:val="x-none" w:eastAsia="en-US"/>
    </w:rPr>
  </w:style>
  <w:style w:type="paragraph" w:customStyle="1" w:styleId="TableTextBold0">
    <w:name w:val="TableTextBold"/>
    <w:uiPriority w:val="99"/>
    <w:rsid w:val="00B90DA0"/>
    <w:pPr>
      <w:spacing w:before="40" w:after="40" w:line="260" w:lineRule="exact"/>
    </w:pPr>
    <w:rPr>
      <w:rFonts w:ascii="Arial" w:eastAsia="Arial" w:hAnsi="Arial" w:cs="Arial"/>
      <w:b/>
      <w:bCs/>
      <w:kern w:val="28"/>
      <w:szCs w:val="32"/>
    </w:rPr>
  </w:style>
  <w:style w:type="paragraph" w:styleId="CommentSubject">
    <w:name w:val="annotation subject"/>
    <w:basedOn w:val="CommentText"/>
    <w:next w:val="CommentText"/>
    <w:link w:val="CommentSubjectChar"/>
    <w:semiHidden/>
    <w:rsid w:val="009F7551"/>
    <w:rPr>
      <w:rFonts w:eastAsia="Times New Roman"/>
      <w:b/>
      <w:bCs/>
      <w:lang w:val="en-GB"/>
    </w:rPr>
  </w:style>
  <w:style w:type="character" w:customStyle="1" w:styleId="CommentSubjectChar">
    <w:name w:val="Comment Subject Char"/>
    <w:basedOn w:val="CommentTextChar"/>
    <w:link w:val="CommentSubject"/>
    <w:semiHidden/>
    <w:rsid w:val="009F7551"/>
    <w:rPr>
      <w:rFonts w:ascii="Arial" w:eastAsia="Arial" w:hAnsi="Arial"/>
      <w:b/>
      <w:bCs/>
      <w:lang w:val="x-none" w:eastAsia="en-US"/>
    </w:rPr>
  </w:style>
  <w:style w:type="paragraph" w:styleId="ListParagraph">
    <w:name w:val="List Paragraph"/>
    <w:aliases w:val="Dot pt"/>
    <w:basedOn w:val="Normal"/>
    <w:link w:val="ListParagraphChar"/>
    <w:uiPriority w:val="34"/>
    <w:qFormat/>
    <w:rsid w:val="001E55B5"/>
    <w:pPr>
      <w:ind w:left="720"/>
      <w:contextualSpacing/>
    </w:pPr>
  </w:style>
  <w:style w:type="paragraph" w:styleId="NormalWeb">
    <w:name w:val="Normal (Web)"/>
    <w:basedOn w:val="Normal"/>
    <w:uiPriority w:val="99"/>
    <w:unhideWhenUsed/>
    <w:rsid w:val="00420F8C"/>
    <w:pPr>
      <w:spacing w:before="100" w:beforeAutospacing="1" w:after="100" w:afterAutospacing="1"/>
    </w:pPr>
    <w:rPr>
      <w:rFonts w:ascii="Times New Roman" w:hAnsi="Times New Roman"/>
      <w:lang w:eastAsia="en-GB"/>
    </w:rPr>
  </w:style>
  <w:style w:type="paragraph" w:styleId="Revision">
    <w:name w:val="Revision"/>
    <w:hidden/>
    <w:uiPriority w:val="99"/>
    <w:semiHidden/>
    <w:rsid w:val="00420F8C"/>
    <w:rPr>
      <w:rFonts w:ascii="Arial" w:hAnsi="Arial"/>
      <w:sz w:val="24"/>
      <w:szCs w:val="24"/>
      <w:lang w:eastAsia="en-US"/>
    </w:rPr>
  </w:style>
  <w:style w:type="paragraph" w:styleId="NoSpacing">
    <w:name w:val="No Spacing"/>
    <w:uiPriority w:val="1"/>
    <w:qFormat/>
    <w:rsid w:val="00281BA5"/>
    <w:rPr>
      <w:rFonts w:ascii="Arial" w:eastAsia="Arial" w:hAnsi="Arial"/>
      <w:sz w:val="22"/>
      <w:szCs w:val="22"/>
      <w:lang w:eastAsia="en-US"/>
    </w:rPr>
  </w:style>
  <w:style w:type="character" w:customStyle="1" w:styleId="BodyChar">
    <w:name w:val="Body Char"/>
    <w:link w:val="Body"/>
    <w:locked/>
    <w:rsid w:val="000203F8"/>
    <w:rPr>
      <w:rFonts w:ascii="Calibri" w:hAnsi="Calibri" w:cs="Arial"/>
      <w:sz w:val="22"/>
      <w:szCs w:val="22"/>
    </w:rPr>
  </w:style>
  <w:style w:type="paragraph" w:customStyle="1" w:styleId="Default">
    <w:name w:val="Default"/>
    <w:rsid w:val="00D12E3A"/>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semiHidden/>
    <w:rsid w:val="00CD5501"/>
    <w:rPr>
      <w:sz w:val="20"/>
      <w:szCs w:val="20"/>
    </w:rPr>
  </w:style>
  <w:style w:type="character" w:customStyle="1" w:styleId="FootnoteTextChar">
    <w:name w:val="Footnote Text Char"/>
    <w:basedOn w:val="DefaultParagraphFont"/>
    <w:link w:val="FootnoteText"/>
    <w:semiHidden/>
    <w:rsid w:val="00CD5501"/>
    <w:rPr>
      <w:rFonts w:ascii="Arial" w:hAnsi="Arial"/>
      <w:lang w:eastAsia="en-US"/>
    </w:rPr>
  </w:style>
  <w:style w:type="character" w:styleId="FootnoteReference">
    <w:name w:val="footnote reference"/>
    <w:basedOn w:val="DefaultParagraphFont"/>
    <w:semiHidden/>
    <w:rsid w:val="00CD5501"/>
    <w:rPr>
      <w:vertAlign w:val="superscript"/>
    </w:rPr>
  </w:style>
  <w:style w:type="paragraph" w:customStyle="1" w:styleId="Pa42">
    <w:name w:val="Pa42"/>
    <w:basedOn w:val="Default"/>
    <w:next w:val="Default"/>
    <w:uiPriority w:val="99"/>
    <w:rsid w:val="00425324"/>
    <w:pPr>
      <w:spacing w:line="241" w:lineRule="atLeast"/>
    </w:pPr>
    <w:rPr>
      <w:rFonts w:eastAsia="Times New Roman"/>
      <w:color w:val="auto"/>
      <w:lang w:eastAsia="en-GB"/>
    </w:rPr>
  </w:style>
  <w:style w:type="character" w:customStyle="1" w:styleId="A8">
    <w:name w:val="A8"/>
    <w:uiPriority w:val="99"/>
    <w:rsid w:val="00425324"/>
    <w:rPr>
      <w:color w:val="000000"/>
    </w:rPr>
  </w:style>
  <w:style w:type="paragraph" w:customStyle="1" w:styleId="Pa48">
    <w:name w:val="Pa48"/>
    <w:basedOn w:val="Default"/>
    <w:next w:val="Default"/>
    <w:uiPriority w:val="99"/>
    <w:rsid w:val="00425324"/>
    <w:pPr>
      <w:spacing w:line="241" w:lineRule="atLeast"/>
    </w:pPr>
    <w:rPr>
      <w:rFonts w:eastAsia="Times New Roman"/>
      <w:color w:val="auto"/>
      <w:lang w:eastAsia="en-GB"/>
    </w:rPr>
  </w:style>
  <w:style w:type="character" w:customStyle="1" w:styleId="A4">
    <w:name w:val="A4"/>
    <w:uiPriority w:val="99"/>
    <w:rsid w:val="00425324"/>
    <w:rPr>
      <w:rFonts w:ascii="Wingdings" w:hAnsi="Wingdings" w:cs="Wingdings"/>
      <w:color w:val="000000"/>
      <w:sz w:val="20"/>
      <w:szCs w:val="20"/>
    </w:rPr>
  </w:style>
  <w:style w:type="character" w:customStyle="1" w:styleId="ListParagraphChar">
    <w:name w:val="List Paragraph Char"/>
    <w:aliases w:val="Dot pt Char"/>
    <w:link w:val="ListParagraph"/>
    <w:uiPriority w:val="34"/>
    <w:locked/>
    <w:rsid w:val="00A15EA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6425">
      <w:bodyDiv w:val="1"/>
      <w:marLeft w:val="0"/>
      <w:marRight w:val="0"/>
      <w:marTop w:val="0"/>
      <w:marBottom w:val="0"/>
      <w:divBdr>
        <w:top w:val="none" w:sz="0" w:space="0" w:color="auto"/>
        <w:left w:val="none" w:sz="0" w:space="0" w:color="auto"/>
        <w:bottom w:val="none" w:sz="0" w:space="0" w:color="auto"/>
        <w:right w:val="none" w:sz="0" w:space="0" w:color="auto"/>
      </w:divBdr>
    </w:div>
    <w:div w:id="411900045">
      <w:bodyDiv w:val="1"/>
      <w:marLeft w:val="0"/>
      <w:marRight w:val="0"/>
      <w:marTop w:val="0"/>
      <w:marBottom w:val="0"/>
      <w:divBdr>
        <w:top w:val="none" w:sz="0" w:space="0" w:color="auto"/>
        <w:left w:val="none" w:sz="0" w:space="0" w:color="auto"/>
        <w:bottom w:val="none" w:sz="0" w:space="0" w:color="auto"/>
        <w:right w:val="none" w:sz="0" w:space="0" w:color="auto"/>
      </w:divBdr>
    </w:div>
    <w:div w:id="777599844">
      <w:bodyDiv w:val="1"/>
      <w:marLeft w:val="0"/>
      <w:marRight w:val="0"/>
      <w:marTop w:val="0"/>
      <w:marBottom w:val="0"/>
      <w:divBdr>
        <w:top w:val="none" w:sz="0" w:space="0" w:color="auto"/>
        <w:left w:val="none" w:sz="0" w:space="0" w:color="auto"/>
        <w:bottom w:val="none" w:sz="0" w:space="0" w:color="auto"/>
        <w:right w:val="none" w:sz="0" w:space="0" w:color="auto"/>
      </w:divBdr>
    </w:div>
    <w:div w:id="966857085">
      <w:bodyDiv w:val="1"/>
      <w:marLeft w:val="0"/>
      <w:marRight w:val="0"/>
      <w:marTop w:val="0"/>
      <w:marBottom w:val="0"/>
      <w:divBdr>
        <w:top w:val="none" w:sz="0" w:space="0" w:color="auto"/>
        <w:left w:val="none" w:sz="0" w:space="0" w:color="auto"/>
        <w:bottom w:val="none" w:sz="0" w:space="0" w:color="auto"/>
        <w:right w:val="none" w:sz="0" w:space="0" w:color="auto"/>
      </w:divBdr>
    </w:div>
    <w:div w:id="1659535254">
      <w:bodyDiv w:val="1"/>
      <w:marLeft w:val="0"/>
      <w:marRight w:val="0"/>
      <w:marTop w:val="0"/>
      <w:marBottom w:val="0"/>
      <w:divBdr>
        <w:top w:val="none" w:sz="0" w:space="0" w:color="auto"/>
        <w:left w:val="none" w:sz="0" w:space="0" w:color="auto"/>
        <w:bottom w:val="none" w:sz="0" w:space="0" w:color="auto"/>
        <w:right w:val="none" w:sz="0" w:space="0" w:color="auto"/>
      </w:divBdr>
    </w:div>
    <w:div w:id="19982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chmidt\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25b2b3cbe2d1837d89effe71279a7b18">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afc11ea432c04f23ef104500d788e5a4"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2015-03-13T00:00:00+00:00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2.xml><?xml version="1.0" encoding="utf-8"?>
<ds:datastoreItem xmlns:ds="http://schemas.openxmlformats.org/officeDocument/2006/customXml" ds:itemID="{BC0DB726-FC79-4BC5-992A-B87EF86E4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5A268A-96B1-4D79-9B30-F946F74ACF1D}">
  <ds:schemaRefs>
    <ds:schemaRef ds:uri="f5f58a65-2606-47be-a5f0-cc00fc74839b"/>
    <ds:schemaRef ds:uri="http://purl.org/dc/elements/1.1/"/>
    <ds:schemaRef ds:uri="http://schemas.microsoft.com/office/2006/metadata/properties"/>
    <ds:schemaRef ds:uri="http://schemas.microsoft.com/sharepoint/v4"/>
    <ds:schemaRef ds:uri="http://purl.org/dc/terms/"/>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532444C-7349-4F65-B7D2-C7893BDA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89</TotalTime>
  <Pages>7</Pages>
  <Words>2026</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RSSB A4 template for numbered appendices</vt:lpstr>
    </vt:vector>
  </TitlesOfParts>
  <Company>RSSB</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for numbered appendices</dc:title>
  <dc:subject/>
  <dc:creator>Henning Schmidt</dc:creator>
  <cp:keywords/>
  <dc:description/>
  <cp:lastModifiedBy>Andrew Gleeson</cp:lastModifiedBy>
  <cp:revision>5</cp:revision>
  <dcterms:created xsi:type="dcterms:W3CDTF">2018-10-15T10:36:00Z</dcterms:created>
  <dcterms:modified xsi:type="dcterms:W3CDTF">2018-10-22T13:12:00Z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