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421"/>
        <w:gridCol w:w="4366"/>
      </w:tblGrid>
      <w:tr w:rsidR="00ED67E0" w14:paraId="59F05541" w14:textId="77777777" w:rsidTr="00B24D65">
        <w:tc>
          <w:tcPr>
            <w:tcW w:w="4421" w:type="dxa"/>
          </w:tcPr>
          <w:p w14:paraId="59F0553F" w14:textId="77777777" w:rsidR="00ED67E0" w:rsidRDefault="00ED67E0" w:rsidP="000419AD">
            <w:pPr>
              <w:pStyle w:val="Header"/>
              <w:tabs>
                <w:tab w:val="clear" w:pos="4153"/>
                <w:tab w:val="clear" w:pos="8306"/>
                <w:tab w:val="left" w:pos="1185"/>
              </w:tabs>
            </w:pPr>
            <w:r>
              <w:tab/>
            </w:r>
          </w:p>
        </w:tc>
        <w:tc>
          <w:tcPr>
            <w:tcW w:w="4366" w:type="dxa"/>
          </w:tcPr>
          <w:p w14:paraId="59F05540" w14:textId="77777777" w:rsidR="00ED67E0" w:rsidRDefault="00ED67E0" w:rsidP="000419AD">
            <w:pPr>
              <w:pStyle w:val="Header"/>
              <w:jc w:val="right"/>
            </w:pPr>
          </w:p>
        </w:tc>
      </w:tr>
      <w:tr w:rsidR="00ED67E0" w:rsidRPr="002465E9" w14:paraId="59F05544" w14:textId="77777777" w:rsidTr="00B24D65">
        <w:tc>
          <w:tcPr>
            <w:tcW w:w="4421" w:type="dxa"/>
          </w:tcPr>
          <w:p w14:paraId="59F05542" w14:textId="77777777" w:rsidR="00ED67E0" w:rsidRDefault="00ED67E0" w:rsidP="000419AD">
            <w:pPr>
              <w:pStyle w:val="Header"/>
            </w:pPr>
            <w:r>
              <w:rPr>
                <w:noProof/>
                <w:lang w:eastAsia="en-GB"/>
              </w:rPr>
              <w:drawing>
                <wp:inline distT="0" distB="0" distL="0" distR="0" wp14:anchorId="59F056CC" wp14:editId="59F056CD">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59F05543" w14:textId="77777777" w:rsidR="00ED67E0" w:rsidRDefault="000D51DE" w:rsidP="000419AD">
            <w:pPr>
              <w:pStyle w:val="Header"/>
              <w:jc w:val="right"/>
            </w:pPr>
            <w:r>
              <w:rPr>
                <w:noProof/>
                <w:lang w:eastAsia="en-GB"/>
              </w:rPr>
              <w:drawing>
                <wp:inline distT="0" distB="0" distL="0" distR="0" wp14:anchorId="59F056CE" wp14:editId="59F056CF">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59F05547" w14:textId="77777777" w:rsidTr="00B24D65">
        <w:tc>
          <w:tcPr>
            <w:tcW w:w="4421" w:type="dxa"/>
          </w:tcPr>
          <w:p w14:paraId="59F05545" w14:textId="77777777" w:rsidR="008441FE" w:rsidRDefault="008441FE" w:rsidP="000419AD">
            <w:pPr>
              <w:pStyle w:val="Header"/>
              <w:rPr>
                <w:noProof/>
                <w:lang w:eastAsia="en-GB"/>
              </w:rPr>
            </w:pPr>
          </w:p>
        </w:tc>
        <w:tc>
          <w:tcPr>
            <w:tcW w:w="4366" w:type="dxa"/>
          </w:tcPr>
          <w:p w14:paraId="59F05546" w14:textId="77777777" w:rsidR="008441FE" w:rsidRDefault="008441FE" w:rsidP="000419AD">
            <w:pPr>
              <w:pStyle w:val="Header"/>
              <w:jc w:val="right"/>
              <w:rPr>
                <w:noProof/>
                <w:lang w:eastAsia="en-GB"/>
              </w:rPr>
            </w:pPr>
          </w:p>
        </w:tc>
      </w:tr>
    </w:tbl>
    <w:p w14:paraId="59F05548" w14:textId="77777777" w:rsidR="0015011A" w:rsidRDefault="0015011A" w:rsidP="0015011A"/>
    <w:tbl>
      <w:tblPr>
        <w:tblStyle w:val="TableGrid"/>
        <w:tblW w:w="5177" w:type="pct"/>
        <w:tblLook w:val="04A0" w:firstRow="1" w:lastRow="0" w:firstColumn="1" w:lastColumn="0" w:noHBand="0" w:noVBand="1"/>
      </w:tblPr>
      <w:tblGrid>
        <w:gridCol w:w="9719"/>
      </w:tblGrid>
      <w:tr w:rsidR="00967429" w:rsidRPr="00EF4406" w14:paraId="59F0554E" w14:textId="77777777" w:rsidTr="4D650098">
        <w:trPr>
          <w:trHeight w:val="597"/>
        </w:trPr>
        <w:tc>
          <w:tcPr>
            <w:tcW w:w="9088" w:type="dxa"/>
          </w:tcPr>
          <w:p w14:paraId="59F05549" w14:textId="77777777" w:rsidR="00C107CE" w:rsidRPr="00660917" w:rsidRDefault="4D650098" w:rsidP="00A524B5">
            <w:pPr>
              <w:pStyle w:val="BodyText"/>
              <w:tabs>
                <w:tab w:val="num" w:pos="1134"/>
              </w:tabs>
              <w:spacing w:after="0"/>
              <w:jc w:val="both"/>
              <w:rPr>
                <w:rFonts w:ascii="Arial" w:hAnsi="Arial" w:cs="Arial"/>
                <w:b/>
              </w:rPr>
            </w:pPr>
            <w:r w:rsidRPr="4D650098">
              <w:rPr>
                <w:rFonts w:ascii="Arial" w:eastAsia="Arial" w:hAnsi="Arial" w:cs="Arial"/>
                <w:b/>
                <w:bCs/>
              </w:rPr>
              <w:t>Official-Sensitive</w:t>
            </w:r>
          </w:p>
          <w:p w14:paraId="59F0554A" w14:textId="77777777" w:rsidR="007654E6" w:rsidRPr="00660917" w:rsidRDefault="4D650098" w:rsidP="00A524B5">
            <w:pPr>
              <w:pStyle w:val="BodyText"/>
              <w:tabs>
                <w:tab w:val="num" w:pos="1134"/>
              </w:tabs>
              <w:spacing w:after="0"/>
              <w:jc w:val="both"/>
              <w:rPr>
                <w:rFonts w:ascii="Arial" w:hAnsi="Arial" w:cs="Arial"/>
                <w:b/>
              </w:rPr>
            </w:pPr>
            <w:r w:rsidRPr="4D650098">
              <w:rPr>
                <w:rFonts w:ascii="Arial" w:eastAsia="Arial" w:hAnsi="Arial" w:cs="Arial"/>
                <w:b/>
                <w:bCs/>
              </w:rPr>
              <w:t>EUROPEAN SOCIAL FUND COMMUNITY GRANTS – MANAGING AGENT SPECIFICATION for:</w:t>
            </w:r>
          </w:p>
          <w:p w14:paraId="59F0554B" w14:textId="77777777" w:rsidR="006B26F2" w:rsidRPr="00660917" w:rsidRDefault="4D650098" w:rsidP="00A7410B">
            <w:pPr>
              <w:pStyle w:val="BodyText"/>
              <w:tabs>
                <w:tab w:val="num" w:pos="1134"/>
              </w:tabs>
              <w:spacing w:after="0"/>
              <w:jc w:val="both"/>
              <w:rPr>
                <w:rFonts w:ascii="Arial" w:hAnsi="Arial" w:cs="Arial"/>
                <w:b/>
              </w:rPr>
            </w:pPr>
            <w:r w:rsidRPr="4D650098">
              <w:rPr>
                <w:rFonts w:ascii="Arial" w:eastAsia="Arial" w:hAnsi="Arial" w:cs="Arial"/>
                <w:b/>
                <w:bCs/>
              </w:rPr>
              <w:t>York, North Yorkshire and East Riding LEP</w:t>
            </w:r>
          </w:p>
          <w:p w14:paraId="59F0554C" w14:textId="77777777" w:rsidR="00967429" w:rsidRPr="00660917" w:rsidRDefault="4D650098" w:rsidP="00A7410B">
            <w:pPr>
              <w:pStyle w:val="BodyText"/>
              <w:tabs>
                <w:tab w:val="num" w:pos="1134"/>
              </w:tabs>
              <w:spacing w:after="0"/>
              <w:jc w:val="both"/>
              <w:rPr>
                <w:rFonts w:ascii="Arial" w:hAnsi="Arial" w:cs="Arial"/>
                <w:b/>
              </w:rPr>
            </w:pPr>
            <w:r w:rsidRPr="4D650098">
              <w:rPr>
                <w:rFonts w:ascii="Arial" w:eastAsia="Arial" w:hAnsi="Arial" w:cs="Arial"/>
                <w:b/>
                <w:bCs/>
              </w:rPr>
              <w:t xml:space="preserve">Humber LEP </w:t>
            </w:r>
          </w:p>
          <w:p w14:paraId="60B1B5B0" w14:textId="3D9C9F30" w:rsidR="0043144D" w:rsidRPr="00200BC6" w:rsidRDefault="4D650098" w:rsidP="00A7410B">
            <w:pPr>
              <w:pStyle w:val="BodyText"/>
              <w:tabs>
                <w:tab w:val="num" w:pos="1134"/>
              </w:tabs>
              <w:spacing w:after="0"/>
              <w:jc w:val="both"/>
            </w:pPr>
            <w:r w:rsidRPr="4D650098">
              <w:rPr>
                <w:rFonts w:ascii="Arial" w:eastAsia="Arial" w:hAnsi="Arial" w:cs="Arial"/>
                <w:b/>
                <w:bCs/>
              </w:rPr>
              <w:t>ITT_29833-39-001-01</w:t>
            </w:r>
          </w:p>
          <w:p w14:paraId="7DB6919F" w14:textId="00A304EE" w:rsidR="0043144D" w:rsidRPr="00200BC6" w:rsidRDefault="4D650098" w:rsidP="00A7410B">
            <w:pPr>
              <w:pStyle w:val="BodyText"/>
              <w:tabs>
                <w:tab w:val="num" w:pos="1134"/>
              </w:tabs>
              <w:spacing w:after="0"/>
              <w:jc w:val="both"/>
            </w:pPr>
            <w:r w:rsidRPr="4D650098">
              <w:rPr>
                <w:rFonts w:ascii="Arial" w:eastAsia="Arial" w:hAnsi="Arial" w:cs="Arial"/>
                <w:b/>
                <w:bCs/>
              </w:rPr>
              <w:t>ITT_29833-39-001-02</w:t>
            </w:r>
          </w:p>
          <w:p w14:paraId="59F0554D" w14:textId="32BF77B0" w:rsidR="009666CD" w:rsidRPr="000D7439" w:rsidRDefault="4D650098" w:rsidP="00A7410B">
            <w:pPr>
              <w:pStyle w:val="BodyText"/>
              <w:tabs>
                <w:tab w:val="num" w:pos="1134"/>
              </w:tabs>
              <w:spacing w:after="0"/>
              <w:jc w:val="both"/>
              <w:rPr>
                <w:rFonts w:ascii="Arial" w:eastAsia="Arial" w:hAnsi="Arial" w:cs="Arial"/>
                <w:b/>
                <w:bCs/>
              </w:rPr>
            </w:pPr>
            <w:r w:rsidRPr="4D650098">
              <w:rPr>
                <w:rFonts w:ascii="Arial" w:eastAsia="Arial" w:hAnsi="Arial" w:cs="Arial"/>
                <w:b/>
                <w:bCs/>
              </w:rPr>
              <w:t>ITT_29833-18-003-03</w:t>
            </w:r>
          </w:p>
        </w:tc>
      </w:tr>
      <w:tr w:rsidR="00967429" w14:paraId="59F05550" w14:textId="77777777" w:rsidTr="4D650098">
        <w:trPr>
          <w:trHeight w:val="567"/>
        </w:trPr>
        <w:tc>
          <w:tcPr>
            <w:tcW w:w="9088" w:type="dxa"/>
            <w:shd w:val="clear" w:color="auto" w:fill="D9D9D9" w:themeFill="background1" w:themeFillShade="D9"/>
            <w:vAlign w:val="center"/>
          </w:tcPr>
          <w:p w14:paraId="59F0554F" w14:textId="77777777" w:rsidR="00967429" w:rsidRPr="00FD3B0A" w:rsidRDefault="4D650098" w:rsidP="00FD3B0A">
            <w:pPr>
              <w:pStyle w:val="SpecificationHeading"/>
            </w:pPr>
            <w:r>
              <w:t>BACKGROUND</w:t>
            </w:r>
          </w:p>
        </w:tc>
      </w:tr>
      <w:tr w:rsidR="00967429" w:rsidRPr="00EF4406" w14:paraId="59F0559B" w14:textId="77777777" w:rsidTr="4D650098">
        <w:tc>
          <w:tcPr>
            <w:tcW w:w="9088" w:type="dxa"/>
          </w:tcPr>
          <w:p w14:paraId="59F05551" w14:textId="77777777" w:rsidR="00B24D65" w:rsidRPr="002833D9" w:rsidRDefault="00B24D65" w:rsidP="00A524B5">
            <w:pPr>
              <w:tabs>
                <w:tab w:val="num" w:pos="900"/>
              </w:tabs>
              <w:autoSpaceDE w:val="0"/>
              <w:autoSpaceDN w:val="0"/>
              <w:adjustRightInd w:val="0"/>
              <w:rPr>
                <w:rFonts w:cs="Arial"/>
                <w:b/>
              </w:rPr>
            </w:pPr>
          </w:p>
          <w:p w14:paraId="59F05552" w14:textId="77777777" w:rsidR="001F0385" w:rsidRPr="002833D9" w:rsidRDefault="4D650098" w:rsidP="00A524B5">
            <w:pPr>
              <w:tabs>
                <w:tab w:val="num" w:pos="900"/>
              </w:tabs>
              <w:autoSpaceDE w:val="0"/>
              <w:autoSpaceDN w:val="0"/>
              <w:adjustRightInd w:val="0"/>
              <w:rPr>
                <w:rFonts w:cs="Arial"/>
                <w:b/>
              </w:rPr>
            </w:pPr>
            <w:r w:rsidRPr="4D650098">
              <w:rPr>
                <w:rFonts w:eastAsia="Arial" w:cs="Arial"/>
                <w:b/>
                <w:bCs/>
              </w:rPr>
              <w:t>General</w:t>
            </w:r>
          </w:p>
          <w:p w14:paraId="59F05553" w14:textId="77777777" w:rsidR="002833D9" w:rsidRPr="002833D9" w:rsidRDefault="002833D9" w:rsidP="00A524B5">
            <w:pPr>
              <w:tabs>
                <w:tab w:val="num" w:pos="900"/>
              </w:tabs>
              <w:autoSpaceDE w:val="0"/>
              <w:autoSpaceDN w:val="0"/>
              <w:adjustRightInd w:val="0"/>
              <w:rPr>
                <w:rFonts w:cs="Arial"/>
                <w:b/>
              </w:rPr>
            </w:pPr>
          </w:p>
          <w:p w14:paraId="59F05554" w14:textId="77777777" w:rsidR="00B24D65" w:rsidRPr="00130D00" w:rsidRDefault="4D650098" w:rsidP="00A524B5">
            <w:pPr>
              <w:tabs>
                <w:tab w:val="num" w:pos="900"/>
              </w:tabs>
              <w:autoSpaceDE w:val="0"/>
              <w:autoSpaceDN w:val="0"/>
              <w:adjustRightInd w:val="0"/>
              <w:rPr>
                <w:rFonts w:cs="Arial"/>
              </w:rPr>
            </w:pPr>
            <w:r w:rsidRPr="4D650098">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59F05555" w14:textId="77777777" w:rsidR="002833D9" w:rsidRPr="00130D00" w:rsidRDefault="002833D9" w:rsidP="00A524B5">
            <w:pPr>
              <w:tabs>
                <w:tab w:val="num" w:pos="900"/>
              </w:tabs>
              <w:autoSpaceDE w:val="0"/>
              <w:autoSpaceDN w:val="0"/>
              <w:adjustRightInd w:val="0"/>
              <w:rPr>
                <w:rFonts w:cs="Arial"/>
              </w:rPr>
            </w:pPr>
          </w:p>
          <w:p w14:paraId="59F05557" w14:textId="77777777" w:rsidR="00FA04FF" w:rsidRPr="00130D00" w:rsidRDefault="4D650098" w:rsidP="00A524B5">
            <w:pPr>
              <w:rPr>
                <w:rFonts w:cs="Arial"/>
              </w:rPr>
            </w:pPr>
            <w:r w:rsidRPr="4D650098">
              <w:rPr>
                <w:rFonts w:eastAsia="Arial" w:cs="Arial"/>
              </w:rPr>
              <w:t>The Services to be procured by the SFA is the management and running of a community grant programme funded by ESF referred to in this specification as a Managing Agent.</w:t>
            </w:r>
          </w:p>
          <w:p w14:paraId="59F05558" w14:textId="77777777" w:rsidR="00FA04FF" w:rsidRPr="00130D00" w:rsidRDefault="00FA04FF" w:rsidP="00A524B5">
            <w:pPr>
              <w:rPr>
                <w:rFonts w:cs="Arial"/>
              </w:rPr>
            </w:pPr>
          </w:p>
          <w:p w14:paraId="59F05559" w14:textId="77777777" w:rsidR="00FA04FF" w:rsidRPr="00130D00" w:rsidRDefault="4D650098" w:rsidP="00FA04FF">
            <w:r>
              <w:t>The SFA wishes to make ESF Community Grants available in the form of small grants to appropriate third sector and other small organisations that would not otherwise be able to access ESF for the purpose of mobilising disadvantaged or excluded unemployed and inactive people to facilitate their progress towards employment. Grants will support a range of activities aimed at assisting the disadvantaged or excluded to move closer to the labour market by improving their access to mainstream ESF and domestic employment and skills provision.</w:t>
            </w:r>
          </w:p>
          <w:p w14:paraId="59F0555A" w14:textId="77777777" w:rsidR="00FA04FF" w:rsidRPr="00130D00" w:rsidRDefault="00FA04FF" w:rsidP="00FA04FF">
            <w:pPr>
              <w:rPr>
                <w:rFonts w:cs="Arial"/>
              </w:rPr>
            </w:pPr>
          </w:p>
          <w:p w14:paraId="59F0555B" w14:textId="65EC72E3" w:rsidR="00FA04FF" w:rsidRPr="00130D00" w:rsidRDefault="4D650098" w:rsidP="00FA04FF">
            <w:pPr>
              <w:rPr>
                <w:rFonts w:cs="Arial"/>
              </w:rPr>
            </w:pPr>
            <w:r w:rsidRPr="4D650098">
              <w:rPr>
                <w:rFonts w:eastAsia="Arial" w:cs="Arial"/>
              </w:rPr>
              <w:lastRenderedPageBreak/>
              <w:t>The Grant award process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w:t>
            </w:r>
          </w:p>
          <w:p w14:paraId="59F0555C" w14:textId="77777777" w:rsidR="00BB091D" w:rsidRPr="00130D00" w:rsidRDefault="00BB091D" w:rsidP="00FA04FF">
            <w:pPr>
              <w:rPr>
                <w:rFonts w:cs="Arial"/>
              </w:rPr>
            </w:pPr>
          </w:p>
          <w:p w14:paraId="59F0555D" w14:textId="77777777" w:rsidR="00BB091D" w:rsidRPr="00130D00" w:rsidRDefault="4D650098" w:rsidP="00BB091D">
            <w:pPr>
              <w:rPr>
                <w:rFonts w:cs="Arial"/>
              </w:rPr>
            </w:pPr>
            <w:r w:rsidRPr="4D650098">
              <w:rPr>
                <w:rFonts w:eastAsia="Arial" w:cs="Arial"/>
                <w:lang w:eastAsia="en-GB"/>
              </w:rPr>
              <w:t>Grants will provide support to the hardest to reach communities and individuals, especially those from deprived communities, to access employment or further learning and training. Small third sector organisations that access grants are likely to be well placed to reach excluded individuals facing barriers, which hinder their access to mainstream provision.</w:t>
            </w:r>
          </w:p>
          <w:p w14:paraId="59F0555E" w14:textId="77777777" w:rsidR="00BB091D" w:rsidRPr="00130D00" w:rsidRDefault="00BB091D" w:rsidP="00BB091D">
            <w:pPr>
              <w:rPr>
                <w:rFonts w:cs="Arial"/>
              </w:rPr>
            </w:pPr>
          </w:p>
          <w:p w14:paraId="59F05560" w14:textId="4C195443" w:rsidR="00660917" w:rsidRDefault="4D650098" w:rsidP="00BB091D">
            <w:pPr>
              <w:autoSpaceDE w:val="0"/>
              <w:autoSpaceDN w:val="0"/>
              <w:adjustRightInd w:val="0"/>
              <w:rPr>
                <w:rFonts w:cs="Arial"/>
                <w:lang w:eastAsia="en-GB"/>
              </w:rPr>
            </w:pPr>
            <w:r w:rsidRPr="4D650098">
              <w:rPr>
                <w:rFonts w:eastAsia="Arial" w:cs="Arial"/>
                <w:lang w:eastAsia="en-GB"/>
              </w:rPr>
              <w:t>The SFA will make payment to the Managing Agent on the production of evidence that grants have been paid. Payments are made a month in arrears.  So, for example, grants paid in July up to 31</w:t>
            </w:r>
            <w:r w:rsidRPr="4D650098">
              <w:rPr>
                <w:rFonts w:eastAsia="Arial" w:cs="Arial"/>
                <w:vertAlign w:val="superscript"/>
                <w:lang w:eastAsia="en-GB"/>
              </w:rPr>
              <w:t>st</w:t>
            </w:r>
            <w:r w:rsidRPr="4D650098">
              <w:rPr>
                <w:rFonts w:eastAsia="Arial" w:cs="Arial"/>
                <w:lang w:eastAsia="en-GB"/>
              </w:rPr>
              <w:t xml:space="preserve"> July will be reported to the SFA by the 4</w:t>
            </w:r>
            <w:r w:rsidRPr="4D650098">
              <w:rPr>
                <w:rFonts w:eastAsia="Arial" w:cs="Arial"/>
                <w:vertAlign w:val="superscript"/>
                <w:lang w:eastAsia="en-GB"/>
              </w:rPr>
              <w:t>th</w:t>
            </w:r>
            <w:r w:rsidRPr="4D650098">
              <w:rPr>
                <w:rFonts w:eastAsia="Arial" w:cs="Arial"/>
                <w:lang w:eastAsia="en-GB"/>
              </w:rPr>
              <w:t xml:space="preserve"> working day of August and will be paid on the 18</w:t>
            </w:r>
            <w:r w:rsidRPr="4D650098">
              <w:rPr>
                <w:rFonts w:eastAsia="Arial" w:cs="Arial"/>
                <w:vertAlign w:val="superscript"/>
                <w:lang w:eastAsia="en-GB"/>
              </w:rPr>
              <w:t>th</w:t>
            </w:r>
            <w:r w:rsidRPr="4D650098">
              <w:rPr>
                <w:rFonts w:eastAsia="Arial" w:cs="Arial"/>
                <w:lang w:eastAsia="en-GB"/>
              </w:rPr>
              <w:t xml:space="preserve"> working day of August. </w:t>
            </w:r>
          </w:p>
          <w:p w14:paraId="59F05561" w14:textId="77777777" w:rsidR="00660917" w:rsidRDefault="00660917" w:rsidP="00BB091D">
            <w:pPr>
              <w:autoSpaceDE w:val="0"/>
              <w:autoSpaceDN w:val="0"/>
              <w:adjustRightInd w:val="0"/>
              <w:rPr>
                <w:rFonts w:cs="Arial"/>
                <w:lang w:eastAsia="en-GB"/>
              </w:rPr>
            </w:pPr>
          </w:p>
          <w:p w14:paraId="59F05562" w14:textId="3DE452ED" w:rsidR="00BB091D" w:rsidRPr="00660917" w:rsidRDefault="4D650098" w:rsidP="00BB091D">
            <w:pPr>
              <w:autoSpaceDE w:val="0"/>
              <w:autoSpaceDN w:val="0"/>
              <w:adjustRightInd w:val="0"/>
              <w:rPr>
                <w:rFonts w:cs="Arial"/>
                <w:lang w:eastAsia="en-GB"/>
              </w:rPr>
            </w:pPr>
            <w:r w:rsidRPr="4D650098">
              <w:rPr>
                <w:rFonts w:eastAsia="Arial" w:cs="Arial"/>
                <w:lang w:eastAsia="en-GB"/>
              </w:rPr>
              <w:t>Managing Agents should structure the management of the programme in line with the payments timetable, to ensure minimum disruption in receiving payments.</w:t>
            </w:r>
          </w:p>
          <w:p w14:paraId="59F05563" w14:textId="0AD4BF4A" w:rsidR="00BB091D" w:rsidRPr="00660917" w:rsidRDefault="4D650098" w:rsidP="00BB091D">
            <w:pPr>
              <w:autoSpaceDE w:val="0"/>
              <w:autoSpaceDN w:val="0"/>
              <w:adjustRightInd w:val="0"/>
              <w:rPr>
                <w:rFonts w:cs="Arial"/>
                <w:lang w:eastAsia="en-GB"/>
              </w:rPr>
            </w:pPr>
            <w:r w:rsidRPr="4D650098">
              <w:rPr>
                <w:rFonts w:eastAsia="Arial" w:cs="Arial"/>
                <w:lang w:eastAsia="en-GB"/>
              </w:rPr>
              <w:t xml:space="preserve">Managing Agents will be able to claim 10% of the Grant amount for management costs to assist with the resources to meet the relevant administration costs. </w:t>
            </w:r>
          </w:p>
          <w:p w14:paraId="59F05564" w14:textId="77777777" w:rsidR="00020B5F" w:rsidRDefault="00020B5F" w:rsidP="00A524B5">
            <w:pPr>
              <w:rPr>
                <w:rFonts w:cs="Arial"/>
                <w:highlight w:val="yellow"/>
              </w:rPr>
            </w:pPr>
          </w:p>
          <w:p w14:paraId="59F05565" w14:textId="77777777" w:rsidR="00A55BAF" w:rsidRPr="00130D00" w:rsidRDefault="4D650098" w:rsidP="00A524B5">
            <w:pPr>
              <w:rPr>
                <w:rFonts w:cs="Arial"/>
              </w:rPr>
            </w:pPr>
            <w:r w:rsidRPr="4D650098">
              <w:rPr>
                <w:rFonts w:eastAsia="Arial" w:cs="Arial"/>
              </w:rPr>
              <w:t>The Services  will cover the following LEP area(s):</w:t>
            </w:r>
          </w:p>
          <w:p w14:paraId="59F05566" w14:textId="77777777" w:rsidR="00660917" w:rsidRDefault="00660917" w:rsidP="00A524B5">
            <w:pPr>
              <w:rPr>
                <w:rFonts w:cs="Arial"/>
                <w:highlight w:val="yellow"/>
              </w:rPr>
            </w:pPr>
          </w:p>
          <w:p w14:paraId="59F05567" w14:textId="77777777" w:rsidR="002833D9" w:rsidRPr="00660917" w:rsidRDefault="4D650098" w:rsidP="00A524B5">
            <w:pPr>
              <w:rPr>
                <w:rFonts w:cs="Arial"/>
              </w:rPr>
            </w:pPr>
            <w:r w:rsidRPr="4D650098">
              <w:rPr>
                <w:rFonts w:eastAsia="Arial" w:cs="Arial"/>
              </w:rPr>
              <w:t>York, North Yorkshire and East Riding Local Enterprise Partnership [YNYER]</w:t>
            </w:r>
          </w:p>
          <w:p w14:paraId="59F05568" w14:textId="77777777" w:rsidR="006B26F2" w:rsidRPr="00660917" w:rsidRDefault="4D650098" w:rsidP="00A524B5">
            <w:pPr>
              <w:rPr>
                <w:rFonts w:cs="Arial"/>
              </w:rPr>
            </w:pPr>
            <w:r w:rsidRPr="4D650098">
              <w:rPr>
                <w:rFonts w:eastAsia="Arial" w:cs="Arial"/>
              </w:rPr>
              <w:t>Humber Local Enterprise Partnership.</w:t>
            </w:r>
          </w:p>
          <w:p w14:paraId="59F05569" w14:textId="77777777" w:rsidR="001450FE" w:rsidRPr="00660917" w:rsidRDefault="001450FE" w:rsidP="00A524B5">
            <w:pPr>
              <w:rPr>
                <w:rFonts w:cs="Arial"/>
              </w:rPr>
            </w:pPr>
          </w:p>
          <w:p w14:paraId="59F0556A" w14:textId="77777777" w:rsidR="006B26F2" w:rsidRPr="00660917" w:rsidRDefault="4D650098" w:rsidP="00A524B5">
            <w:pPr>
              <w:rPr>
                <w:rFonts w:cs="Arial"/>
              </w:rPr>
            </w:pPr>
            <w:r w:rsidRPr="4D650098">
              <w:rPr>
                <w:rFonts w:eastAsia="Arial" w:cs="Arial"/>
              </w:rPr>
              <w:t>The activity will be delivered by a single candidate over both LEP areas.</w:t>
            </w:r>
          </w:p>
          <w:p w14:paraId="59F0556B" w14:textId="77777777" w:rsidR="00DA7EEC" w:rsidRPr="00660917" w:rsidRDefault="00DA7EEC" w:rsidP="00A524B5">
            <w:pPr>
              <w:rPr>
                <w:rFonts w:cs="Arial"/>
              </w:rPr>
            </w:pPr>
          </w:p>
          <w:p w14:paraId="59F0556C" w14:textId="77777777" w:rsidR="00DA7EEC" w:rsidRPr="00660917" w:rsidRDefault="4D650098" w:rsidP="00DA7EEC">
            <w:pPr>
              <w:autoSpaceDE w:val="0"/>
              <w:autoSpaceDN w:val="0"/>
              <w:adjustRightInd w:val="0"/>
              <w:rPr>
                <w:rFonts w:cs="Arial"/>
              </w:rPr>
            </w:pPr>
            <w:r w:rsidRPr="4D650098">
              <w:rPr>
                <w:rFonts w:eastAsia="Arial" w:cs="Arial"/>
                <w:b/>
                <w:bCs/>
              </w:rPr>
              <w:t>The YNYER LEP</w:t>
            </w:r>
            <w:r w:rsidRPr="4D650098">
              <w:rPr>
                <w:rFonts w:eastAsia="Arial" w:cs="Arial"/>
              </w:rPr>
              <w:t xml:space="preserve">, along with robust and detailed input form key stakeholders, produced an ESIF strategy in 2014 detailing the local economic overview and described how ESF monies could be used to support the areas in greatest need. </w:t>
            </w:r>
          </w:p>
          <w:p w14:paraId="59F0556D" w14:textId="77777777" w:rsidR="00DA7EEC" w:rsidRPr="00660917" w:rsidRDefault="00DA7EEC" w:rsidP="00DA7EEC">
            <w:pPr>
              <w:autoSpaceDE w:val="0"/>
              <w:autoSpaceDN w:val="0"/>
              <w:adjustRightInd w:val="0"/>
              <w:rPr>
                <w:rFonts w:cs="Arial"/>
              </w:rPr>
            </w:pPr>
          </w:p>
          <w:p w14:paraId="59F0556E" w14:textId="77777777" w:rsidR="00DA7EEC" w:rsidRPr="00660917" w:rsidRDefault="4D650098" w:rsidP="00DA7EEC">
            <w:pPr>
              <w:autoSpaceDE w:val="0"/>
              <w:autoSpaceDN w:val="0"/>
              <w:adjustRightInd w:val="0"/>
              <w:rPr>
                <w:rFonts w:cs="Arial"/>
                <w:iCs/>
              </w:rPr>
            </w:pPr>
            <w:r w:rsidRPr="4D650098">
              <w:rPr>
                <w:rFonts w:eastAsia="Arial" w:cs="Arial"/>
              </w:rPr>
              <w:t xml:space="preserve">The activity as described in the application has strong links to the LEPs ESIF strategy as it demonstrated that it will provide sustainable and inclusive growth and to economic, social and geographical cohesion. This activity is at the heart of the local strategy. </w:t>
            </w:r>
          </w:p>
          <w:p w14:paraId="59F0556F" w14:textId="77777777" w:rsidR="001450FE" w:rsidRPr="00660917" w:rsidRDefault="4D650098" w:rsidP="001450FE">
            <w:pPr>
              <w:pStyle w:val="normalnumbered"/>
              <w:tabs>
                <w:tab w:val="clear" w:pos="2666"/>
              </w:tabs>
              <w:spacing w:line="288" w:lineRule="auto"/>
              <w:ind w:left="0" w:firstLine="0"/>
              <w:jc w:val="left"/>
              <w:rPr>
                <w:rFonts w:cs="Arial"/>
                <w:sz w:val="24"/>
                <w:lang w:eastAsia="en-US"/>
              </w:rPr>
            </w:pPr>
            <w:r w:rsidRPr="4D650098">
              <w:rPr>
                <w:sz w:val="24"/>
              </w:rPr>
              <w:t xml:space="preserve">The three key objectives of the Inspired People Programme (skills) in the YNYER area are for:  </w:t>
            </w:r>
            <w:r w:rsidRPr="4D650098">
              <w:rPr>
                <w:rFonts w:eastAsia="Arial" w:cs="Arial"/>
                <w:sz w:val="24"/>
                <w:lang w:eastAsia="en-US"/>
              </w:rPr>
              <w:t xml:space="preserve"> </w:t>
            </w:r>
          </w:p>
          <w:p w14:paraId="59F05570" w14:textId="437A58CC" w:rsidR="00DA7EEC" w:rsidRPr="00660917" w:rsidRDefault="4D650098" w:rsidP="001450FE">
            <w:pPr>
              <w:pStyle w:val="normalnumbered"/>
              <w:tabs>
                <w:tab w:val="clear" w:pos="2666"/>
              </w:tabs>
              <w:spacing w:line="288" w:lineRule="auto"/>
              <w:ind w:left="0" w:firstLine="0"/>
              <w:jc w:val="left"/>
              <w:rPr>
                <w:rFonts w:cs="Arial"/>
                <w:sz w:val="24"/>
                <w:lang w:eastAsia="en-US"/>
              </w:rPr>
            </w:pPr>
            <w:r w:rsidRPr="4D650098">
              <w:rPr>
                <w:rFonts w:eastAsia="Arial" w:cs="Arial"/>
                <w:sz w:val="24"/>
                <w:lang w:eastAsia="en-US"/>
              </w:rPr>
              <w:t xml:space="preserve">   A productive workforce for growing businesses;</w:t>
            </w:r>
          </w:p>
          <w:p w14:paraId="59F05571" w14:textId="29EADB04" w:rsidR="00DA7EEC" w:rsidRPr="00660917" w:rsidRDefault="4D650098" w:rsidP="00BF18D5">
            <w:pPr>
              <w:pStyle w:val="normalnumbered"/>
              <w:tabs>
                <w:tab w:val="clear" w:pos="2666"/>
              </w:tabs>
              <w:spacing w:after="120"/>
              <w:ind w:left="0" w:firstLine="0"/>
              <w:jc w:val="left"/>
              <w:rPr>
                <w:rFonts w:cs="Arial"/>
                <w:sz w:val="24"/>
                <w:lang w:eastAsia="en-US"/>
              </w:rPr>
            </w:pPr>
            <w:r w:rsidRPr="4D650098">
              <w:rPr>
                <w:rFonts w:eastAsia="Arial" w:cs="Arial"/>
                <w:sz w:val="24"/>
                <w:lang w:eastAsia="en-US"/>
              </w:rPr>
              <w:lastRenderedPageBreak/>
              <w:t xml:space="preserve">   Inspired people making the right job choices and</w:t>
            </w:r>
          </w:p>
          <w:p w14:paraId="59F05572" w14:textId="2C54632D" w:rsidR="00DA7EEC" w:rsidRPr="00660917" w:rsidRDefault="4D650098" w:rsidP="001450FE">
            <w:pPr>
              <w:pStyle w:val="normalnumbered"/>
              <w:tabs>
                <w:tab w:val="clear" w:pos="2666"/>
              </w:tabs>
              <w:ind w:left="0" w:firstLine="0"/>
              <w:jc w:val="left"/>
              <w:rPr>
                <w:rFonts w:cs="Arial"/>
                <w:sz w:val="24"/>
                <w:lang w:eastAsia="en-US"/>
              </w:rPr>
            </w:pPr>
            <w:r w:rsidRPr="4D650098">
              <w:rPr>
                <w:rFonts w:eastAsia="Arial" w:cs="Arial"/>
                <w:sz w:val="24"/>
                <w:lang w:eastAsia="en-US"/>
              </w:rPr>
              <w:t xml:space="preserve">   Empowered communities delivering support and inclusion.</w:t>
            </w:r>
          </w:p>
          <w:p w14:paraId="59F05573" w14:textId="33ADC15E" w:rsidR="00DA7EEC" w:rsidRPr="00660917" w:rsidRDefault="4D650098" w:rsidP="00DA7EEC">
            <w:pPr>
              <w:ind w:right="-82"/>
              <w:rPr>
                <w:rFonts w:cs="Arial"/>
              </w:rPr>
            </w:pPr>
            <w:r w:rsidRPr="4D650098">
              <w:rPr>
                <w:rFonts w:eastAsia="Arial" w:cs="Arial"/>
              </w:rPr>
              <w:t>The YNYER LEP Strategic Economic Plan containing details of its priorities can be found by accessing this web link:</w:t>
            </w:r>
          </w:p>
          <w:p w14:paraId="5E6856E4" w14:textId="261999D8" w:rsidR="002150E5" w:rsidRPr="00660917" w:rsidRDefault="00275906" w:rsidP="00DA7EEC">
            <w:pPr>
              <w:ind w:right="-82"/>
              <w:rPr>
                <w:rFonts w:cs="Arial"/>
              </w:rPr>
            </w:pPr>
            <w:hyperlink r:id="rId14" w:history="1">
              <w:r w:rsidR="002D3390" w:rsidRPr="00C33F22">
                <w:rPr>
                  <w:rStyle w:val="Hyperlink"/>
                  <w:sz w:val="24"/>
                  <w:szCs w:val="24"/>
                </w:rPr>
                <w:t>http://www.businessinspiredgrowth.com/corpdocs/strategic-economic-plan-part-1/</w:t>
              </w:r>
            </w:hyperlink>
            <w:r w:rsidR="002D3390">
              <w:t xml:space="preserve"> </w:t>
            </w:r>
          </w:p>
          <w:p w14:paraId="44DB24A5" w14:textId="77777777" w:rsidR="002D3390" w:rsidRPr="00660917" w:rsidRDefault="002D3390" w:rsidP="00DA7EEC">
            <w:pPr>
              <w:ind w:right="-82"/>
              <w:rPr>
                <w:rFonts w:cs="Arial"/>
              </w:rPr>
            </w:pPr>
          </w:p>
          <w:p w14:paraId="59F05575" w14:textId="6F066FAF" w:rsidR="00DA7EEC" w:rsidRPr="00660917" w:rsidRDefault="4D650098" w:rsidP="00DA7EEC">
            <w:pPr>
              <w:ind w:right="-82"/>
              <w:rPr>
                <w:rFonts w:cs="Arial"/>
              </w:rPr>
            </w:pPr>
            <w:r w:rsidRPr="4D650098">
              <w:rPr>
                <w:rFonts w:eastAsia="Arial" w:cs="Arial"/>
              </w:rPr>
              <w:t>Supporting research and rationale for the SEP can be found by accessing this web link:</w:t>
            </w:r>
          </w:p>
          <w:p w14:paraId="4C80F593" w14:textId="76DEE800" w:rsidR="002150E5" w:rsidRPr="00660917" w:rsidRDefault="00275906" w:rsidP="00DA7EEC">
            <w:pPr>
              <w:ind w:right="-82"/>
              <w:rPr>
                <w:rFonts w:cs="Arial"/>
              </w:rPr>
            </w:pPr>
            <w:hyperlink r:id="rId15" w:history="1">
              <w:r w:rsidR="002D3390" w:rsidRPr="00C33F22">
                <w:rPr>
                  <w:rStyle w:val="Hyperlink"/>
                  <w:sz w:val="24"/>
                  <w:szCs w:val="24"/>
                </w:rPr>
                <w:t>http://www.businessinspiredgrowth.com/corpdocs/strategic-economic-plan-part-2/</w:t>
              </w:r>
            </w:hyperlink>
          </w:p>
          <w:p w14:paraId="0C170A4D" w14:textId="77777777" w:rsidR="002D3390" w:rsidRPr="00660917" w:rsidRDefault="002D3390" w:rsidP="00DA7EEC">
            <w:pPr>
              <w:ind w:right="-82"/>
              <w:rPr>
                <w:rFonts w:cs="Arial"/>
              </w:rPr>
            </w:pPr>
          </w:p>
          <w:p w14:paraId="59F05577" w14:textId="7BB3C698" w:rsidR="00DA7EEC" w:rsidRPr="00660917" w:rsidRDefault="4D650098" w:rsidP="00DA7EEC">
            <w:pPr>
              <w:ind w:right="-82"/>
              <w:rPr>
                <w:rFonts w:cs="Arial"/>
              </w:rPr>
            </w:pPr>
            <w:r w:rsidRPr="4D650098">
              <w:rPr>
                <w:rFonts w:eastAsia="Arial" w:cs="Arial"/>
              </w:rPr>
              <w:t>The EUSIF Implementation Plan can be found by accessing this web link:</w:t>
            </w:r>
          </w:p>
          <w:p w14:paraId="59F05579" w14:textId="1B18880B" w:rsidR="002449E6" w:rsidRPr="00660917" w:rsidRDefault="00275906" w:rsidP="002449E6">
            <w:pPr>
              <w:spacing w:line="240" w:lineRule="atLeast"/>
              <w:jc w:val="both"/>
              <w:rPr>
                <w:rFonts w:cs="Arial"/>
              </w:rPr>
            </w:pPr>
            <w:hyperlink r:id="rId16" w:history="1">
              <w:r w:rsidR="002D3390" w:rsidRPr="00C33F22">
                <w:rPr>
                  <w:rStyle w:val="Hyperlink"/>
                  <w:sz w:val="24"/>
                  <w:szCs w:val="24"/>
                </w:rPr>
                <w:t>http://www.businessinspiredgrowth.com/corpdocs/eusif-implementation-plan/</w:t>
              </w:r>
            </w:hyperlink>
          </w:p>
          <w:p w14:paraId="41BFF119" w14:textId="77777777" w:rsidR="002D3390" w:rsidRPr="00660917" w:rsidRDefault="002D3390" w:rsidP="002449E6">
            <w:pPr>
              <w:spacing w:line="240" w:lineRule="atLeast"/>
              <w:jc w:val="both"/>
              <w:rPr>
                <w:rFonts w:cs="Arial"/>
              </w:rPr>
            </w:pPr>
          </w:p>
          <w:p w14:paraId="59F0557A" w14:textId="21583611" w:rsidR="0070071E" w:rsidRPr="00660917" w:rsidRDefault="4D650098" w:rsidP="0070071E">
            <w:pPr>
              <w:ind w:right="-82"/>
              <w:rPr>
                <w:rFonts w:cs="Arial"/>
                <w:b/>
                <w:u w:val="single"/>
              </w:rPr>
            </w:pPr>
            <w:r w:rsidRPr="4D650098">
              <w:rPr>
                <w:rFonts w:eastAsia="Arial" w:cs="Arial"/>
                <w:b/>
                <w:bCs/>
                <w:u w:val="single"/>
              </w:rPr>
              <w:t>Humber LEP</w:t>
            </w:r>
          </w:p>
          <w:p w14:paraId="59F0557B" w14:textId="77777777" w:rsidR="00000D1D" w:rsidRPr="00660917" w:rsidRDefault="00000D1D" w:rsidP="0070071E">
            <w:pPr>
              <w:ind w:right="-82"/>
              <w:rPr>
                <w:rFonts w:cs="Arial"/>
              </w:rPr>
            </w:pPr>
          </w:p>
          <w:p w14:paraId="59F0557C" w14:textId="77777777" w:rsidR="00000D1D" w:rsidRPr="00660917" w:rsidRDefault="4D650098" w:rsidP="00000D1D">
            <w:pPr>
              <w:ind w:right="-82"/>
              <w:rPr>
                <w:rFonts w:cs="Arial"/>
              </w:rPr>
            </w:pPr>
            <w:r w:rsidRPr="4D650098">
              <w:rPr>
                <w:rFonts w:eastAsia="Arial" w:cs="Arial"/>
              </w:rPr>
              <w:t>The Humber ESIF Strategy states requirements as:</w:t>
            </w:r>
          </w:p>
          <w:p w14:paraId="59F0557D" w14:textId="77777777" w:rsidR="00000D1D" w:rsidRPr="00660917" w:rsidRDefault="00000D1D" w:rsidP="00000D1D">
            <w:pPr>
              <w:ind w:right="-82"/>
              <w:rPr>
                <w:rFonts w:cs="Arial"/>
              </w:rPr>
            </w:pPr>
          </w:p>
          <w:p w14:paraId="59F0557E" w14:textId="77777777" w:rsidR="00000D1D" w:rsidRPr="00660917" w:rsidRDefault="4D650098" w:rsidP="00000D1D">
            <w:pPr>
              <w:ind w:right="-82"/>
              <w:rPr>
                <w:rFonts w:cs="Arial"/>
              </w:rPr>
            </w:pPr>
            <w:r w:rsidRPr="4D650098">
              <w:rPr>
                <w:rFonts w:eastAsia="Arial" w:cs="Arial"/>
              </w:rPr>
              <w:t>A programme to support the skills development of Humber residents at all levels, from access to employment and the sustainable integration of young people, to technical and higher levels skills and leadership and management.</w:t>
            </w:r>
          </w:p>
          <w:p w14:paraId="59F0557F" w14:textId="77777777" w:rsidR="00000D1D" w:rsidRPr="00660917" w:rsidRDefault="00000D1D" w:rsidP="00000D1D">
            <w:pPr>
              <w:ind w:right="-82"/>
              <w:rPr>
                <w:rFonts w:cs="Arial"/>
              </w:rPr>
            </w:pPr>
          </w:p>
          <w:p w14:paraId="59F05580" w14:textId="77777777" w:rsidR="00000D1D" w:rsidRDefault="4D650098" w:rsidP="00000D1D">
            <w:pPr>
              <w:ind w:right="-82"/>
              <w:rPr>
                <w:rFonts w:cs="Arial"/>
              </w:rPr>
            </w:pPr>
            <w:r w:rsidRPr="4D650098">
              <w:rPr>
                <w:rFonts w:eastAsia="Arial" w:cs="Arial"/>
              </w:rPr>
              <w:t xml:space="preserve">The Skills Programme proposed in this strategy is dedicated specifically to improving the skills profile of the Humber, from basic employability skills through to higher level skills and leadership and management in response to the current and future workforce needs of our key sectors.   </w:t>
            </w:r>
          </w:p>
          <w:p w14:paraId="59F05581" w14:textId="77777777" w:rsidR="00660917" w:rsidRPr="00660917" w:rsidRDefault="00660917" w:rsidP="00000D1D">
            <w:pPr>
              <w:ind w:right="-82"/>
              <w:rPr>
                <w:rFonts w:cs="Arial"/>
              </w:rPr>
            </w:pPr>
          </w:p>
          <w:p w14:paraId="59F05582" w14:textId="77777777" w:rsidR="00000D1D" w:rsidRDefault="4D650098" w:rsidP="00000D1D">
            <w:pPr>
              <w:ind w:right="-82"/>
              <w:rPr>
                <w:rFonts w:cs="Arial"/>
              </w:rPr>
            </w:pPr>
            <w:r w:rsidRPr="4D650098">
              <w:rPr>
                <w:rFonts w:eastAsia="Arial" w:cs="Arial"/>
              </w:rPr>
              <w:t>Thematic objectives within the Strategy include:</w:t>
            </w:r>
          </w:p>
          <w:p w14:paraId="59F05583" w14:textId="77777777" w:rsidR="00660917" w:rsidRPr="00660917" w:rsidRDefault="00660917" w:rsidP="00000D1D">
            <w:pPr>
              <w:ind w:right="-82"/>
              <w:rPr>
                <w:rFonts w:cs="Arial"/>
              </w:rPr>
            </w:pPr>
          </w:p>
          <w:p w14:paraId="047448B8" w14:textId="795EC361" w:rsidR="002150E5" w:rsidRDefault="4D650098" w:rsidP="00000D1D">
            <w:pPr>
              <w:ind w:right="-82"/>
              <w:rPr>
                <w:rFonts w:eastAsia="Arial" w:cs="Arial"/>
              </w:rPr>
            </w:pPr>
            <w:r w:rsidRPr="4D650098">
              <w:rPr>
                <w:rFonts w:eastAsia="Arial" w:cs="Arial"/>
              </w:rPr>
              <w:t xml:space="preserve">   Promoting employment and supporting labour market mobility and</w:t>
            </w:r>
          </w:p>
          <w:p w14:paraId="59F05584" w14:textId="7C166267" w:rsidR="00000D1D" w:rsidRPr="00660917" w:rsidRDefault="0971D395" w:rsidP="00000D1D">
            <w:pPr>
              <w:ind w:right="-82"/>
              <w:rPr>
                <w:rFonts w:cs="Arial"/>
              </w:rPr>
            </w:pPr>
            <w:r w:rsidRPr="0971D395">
              <w:rPr>
                <w:rFonts w:eastAsia="Arial" w:cs="Arial"/>
              </w:rPr>
              <w:t xml:space="preserve">  </w:t>
            </w:r>
          </w:p>
          <w:p w14:paraId="59F05585" w14:textId="14B54DD7" w:rsidR="00000D1D" w:rsidRDefault="4D650098" w:rsidP="00000D1D">
            <w:pPr>
              <w:ind w:right="-82"/>
              <w:rPr>
                <w:rFonts w:cs="Arial"/>
              </w:rPr>
            </w:pPr>
            <w:r w:rsidRPr="4D650098">
              <w:rPr>
                <w:rFonts w:eastAsia="Arial" w:cs="Arial"/>
              </w:rPr>
              <w:t xml:space="preserve">   Investing in education, skills and lifelong learning.</w:t>
            </w:r>
          </w:p>
          <w:p w14:paraId="59F05586" w14:textId="77777777" w:rsidR="00660917" w:rsidRPr="00660917" w:rsidRDefault="00660917" w:rsidP="00000D1D">
            <w:pPr>
              <w:ind w:right="-82"/>
              <w:rPr>
                <w:rFonts w:cs="Arial"/>
              </w:rPr>
            </w:pPr>
          </w:p>
          <w:p w14:paraId="59F05587" w14:textId="77777777" w:rsidR="00660917" w:rsidRDefault="4D650098" w:rsidP="00000D1D">
            <w:pPr>
              <w:ind w:right="-82"/>
              <w:rPr>
                <w:rFonts w:cs="Arial"/>
              </w:rPr>
            </w:pPr>
            <w:r w:rsidRPr="4D650098">
              <w:rPr>
                <w:rFonts w:eastAsia="Arial" w:cs="Arial"/>
              </w:rPr>
              <w:t xml:space="preserve">The skills profile of the working age population in the Humber must be improved if economic prosperity and productivity are to increase. The area has an above average proportion of its workforce with no qualifications (12%) and below average proportions qualified to Level 2 (often a prerequisite for employment), Level 3 and especially Level 4, where the gap is eight percentage points (26% in the Humber compared with 34% nationally).  </w:t>
            </w:r>
          </w:p>
          <w:p w14:paraId="59F05588" w14:textId="77777777" w:rsidR="00660917" w:rsidRDefault="00660917" w:rsidP="00000D1D">
            <w:pPr>
              <w:ind w:right="-82"/>
              <w:rPr>
                <w:rFonts w:cs="Arial"/>
              </w:rPr>
            </w:pPr>
          </w:p>
          <w:p w14:paraId="59F05589" w14:textId="77777777" w:rsidR="00000D1D" w:rsidRDefault="4D650098" w:rsidP="00000D1D">
            <w:pPr>
              <w:ind w:right="-82"/>
              <w:rPr>
                <w:rFonts w:cs="Arial"/>
              </w:rPr>
            </w:pPr>
            <w:r w:rsidRPr="4D650098">
              <w:rPr>
                <w:rFonts w:eastAsia="Arial" w:cs="Arial"/>
              </w:rPr>
              <w:lastRenderedPageBreak/>
              <w:t>This is a major contributor to the productivity gap highlighted in Chapter Three. Higher level skilled posts are often filled by applicants from outside of the LEP area and Humber employers more frequently report skills shortages than those in most other LEPs when looking to recruit professionals.</w:t>
            </w:r>
          </w:p>
          <w:p w14:paraId="59F0558B" w14:textId="77777777" w:rsidR="00000D1D" w:rsidRPr="00660917" w:rsidRDefault="00000D1D" w:rsidP="0070071E">
            <w:pPr>
              <w:ind w:right="-82"/>
              <w:rPr>
                <w:rFonts w:cs="Arial"/>
              </w:rPr>
            </w:pPr>
          </w:p>
          <w:p w14:paraId="59F0558C" w14:textId="5748E105" w:rsidR="00000D1D" w:rsidRPr="00660917" w:rsidRDefault="4D650098" w:rsidP="00000D1D">
            <w:pPr>
              <w:ind w:right="-82"/>
              <w:rPr>
                <w:rFonts w:cs="Arial"/>
              </w:rPr>
            </w:pPr>
            <w:r w:rsidRPr="4D650098">
              <w:rPr>
                <w:rFonts w:eastAsia="Arial" w:cs="Arial"/>
              </w:rPr>
              <w:t>The LEPs Strategic Economic Plan containing details of its priorities can be found by accessing this web link:</w:t>
            </w:r>
          </w:p>
          <w:p w14:paraId="59F0558D" w14:textId="77777777" w:rsidR="00000D1D" w:rsidRPr="00660917" w:rsidRDefault="00275906" w:rsidP="00000D1D">
            <w:pPr>
              <w:ind w:right="-82"/>
              <w:rPr>
                <w:rFonts w:cs="Arial"/>
                <w:color w:val="000000" w:themeColor="text1"/>
              </w:rPr>
            </w:pPr>
            <w:hyperlink r:id="rId17" w:history="1">
              <w:r w:rsidR="00000D1D" w:rsidRPr="00660917">
                <w:rPr>
                  <w:rStyle w:val="Hyperlink"/>
                  <w:rFonts w:cs="Arial"/>
                  <w:color w:val="000000" w:themeColor="text1"/>
                  <w:sz w:val="24"/>
                  <w:szCs w:val="24"/>
                </w:rPr>
                <w:t>http://www.humberlep.org/</w:t>
              </w:r>
            </w:hyperlink>
            <w:r w:rsidR="00000D1D" w:rsidRPr="00660917">
              <w:rPr>
                <w:rFonts w:cs="Arial"/>
                <w:color w:val="000000" w:themeColor="text1"/>
              </w:rPr>
              <w:t xml:space="preserve"> </w:t>
            </w:r>
          </w:p>
          <w:p w14:paraId="36666623" w14:textId="77777777" w:rsidR="003240F9" w:rsidRDefault="003240F9" w:rsidP="00000D1D">
            <w:pPr>
              <w:ind w:right="-82"/>
              <w:rPr>
                <w:rFonts w:cs="Arial"/>
                <w:color w:val="000000" w:themeColor="text1"/>
              </w:rPr>
            </w:pPr>
          </w:p>
          <w:p w14:paraId="59F0558E" w14:textId="658757CF" w:rsidR="00000D1D" w:rsidRPr="00660917" w:rsidRDefault="4D650098" w:rsidP="00000D1D">
            <w:pPr>
              <w:ind w:right="-82"/>
              <w:rPr>
                <w:rFonts w:cs="Arial"/>
                <w:color w:val="000000" w:themeColor="text1"/>
              </w:rPr>
            </w:pPr>
            <w:r w:rsidRPr="4D650098">
              <w:rPr>
                <w:rFonts w:eastAsia="Arial" w:cs="Arial"/>
                <w:color w:val="000000" w:themeColor="text1"/>
              </w:rPr>
              <w:t xml:space="preserve">Employment and Skills Strategy </w:t>
            </w:r>
            <w:r w:rsidRPr="4D650098">
              <w:rPr>
                <w:rFonts w:eastAsia="Arial" w:cs="Arial"/>
              </w:rPr>
              <w:t>can be found by accessing this web link</w:t>
            </w:r>
            <w:r w:rsidRPr="4D650098">
              <w:rPr>
                <w:rFonts w:eastAsia="Arial" w:cs="Arial"/>
                <w:color w:val="000000" w:themeColor="text1"/>
              </w:rPr>
              <w:t xml:space="preserve">: </w:t>
            </w:r>
            <w:hyperlink r:id="rId18">
              <w:r w:rsidRPr="4D650098">
                <w:rPr>
                  <w:rStyle w:val="Hyperlink"/>
                  <w:rFonts w:eastAsia="Arial" w:cs="Arial"/>
                  <w:color w:val="000000" w:themeColor="text1"/>
                  <w:sz w:val="24"/>
                  <w:szCs w:val="24"/>
                </w:rPr>
                <w:t>http://www.humberlep.org/skills/skills-strategy</w:t>
              </w:r>
            </w:hyperlink>
          </w:p>
          <w:p w14:paraId="0B90DDDA" w14:textId="77777777" w:rsidR="003240F9" w:rsidRDefault="003240F9" w:rsidP="00000D1D">
            <w:pPr>
              <w:ind w:right="-82"/>
              <w:rPr>
                <w:rFonts w:cs="Arial"/>
                <w:color w:val="000000" w:themeColor="text1"/>
              </w:rPr>
            </w:pPr>
          </w:p>
          <w:p w14:paraId="59F0558F" w14:textId="479E3E1C" w:rsidR="00000D1D" w:rsidRPr="00660917" w:rsidRDefault="4D650098" w:rsidP="00000D1D">
            <w:pPr>
              <w:ind w:right="-82"/>
              <w:rPr>
                <w:rFonts w:cs="Arial"/>
                <w:color w:val="000000" w:themeColor="text1"/>
              </w:rPr>
            </w:pPr>
            <w:r w:rsidRPr="4D650098">
              <w:rPr>
                <w:rFonts w:eastAsia="Arial" w:cs="Arial"/>
                <w:color w:val="000000" w:themeColor="text1"/>
              </w:rPr>
              <w:t>Humber LEP Strategic Economic Plan</w:t>
            </w:r>
            <w:r w:rsidRPr="4D650098">
              <w:rPr>
                <w:rFonts w:eastAsia="Arial" w:cs="Arial"/>
              </w:rPr>
              <w:t xml:space="preserve"> can be found by accessing this web link</w:t>
            </w:r>
            <w:r w:rsidRPr="4D650098">
              <w:rPr>
                <w:rFonts w:eastAsia="Arial" w:cs="Arial"/>
                <w:color w:val="000000" w:themeColor="text1"/>
              </w:rPr>
              <w:t xml:space="preserve">: </w:t>
            </w:r>
            <w:hyperlink r:id="rId19">
              <w:r w:rsidRPr="4D650098">
                <w:rPr>
                  <w:rStyle w:val="Hyperlink"/>
                  <w:rFonts w:eastAsia="Arial" w:cs="Arial"/>
                  <w:color w:val="000000" w:themeColor="text1"/>
                  <w:sz w:val="24"/>
                  <w:szCs w:val="24"/>
                </w:rPr>
                <w:t>http://www.humberlep.org/strategies/strategic-economic-plan</w:t>
              </w:r>
            </w:hyperlink>
            <w:r w:rsidRPr="4D650098">
              <w:rPr>
                <w:rFonts w:eastAsia="Arial" w:cs="Arial"/>
                <w:color w:val="000000" w:themeColor="text1"/>
              </w:rPr>
              <w:t xml:space="preserve"> </w:t>
            </w:r>
          </w:p>
          <w:p w14:paraId="43B35669" w14:textId="77777777" w:rsidR="003240F9" w:rsidRDefault="003240F9" w:rsidP="00000D1D">
            <w:pPr>
              <w:ind w:right="-82"/>
              <w:rPr>
                <w:rFonts w:cs="Arial"/>
                <w:color w:val="000000" w:themeColor="text1"/>
              </w:rPr>
            </w:pPr>
          </w:p>
          <w:p w14:paraId="59F05590" w14:textId="49366CD2" w:rsidR="00000D1D" w:rsidRPr="00660917" w:rsidRDefault="4D650098" w:rsidP="00000D1D">
            <w:pPr>
              <w:ind w:right="-82"/>
              <w:rPr>
                <w:rFonts w:cs="Arial"/>
                <w:color w:val="000000" w:themeColor="text1"/>
              </w:rPr>
            </w:pPr>
            <w:r w:rsidRPr="4D650098">
              <w:rPr>
                <w:rFonts w:eastAsia="Arial" w:cs="Arial"/>
                <w:color w:val="000000" w:themeColor="text1"/>
              </w:rPr>
              <w:t xml:space="preserve">Humber LEP Area ESIF Strategy </w:t>
            </w:r>
            <w:r w:rsidRPr="4D650098">
              <w:rPr>
                <w:rFonts w:eastAsia="Arial" w:cs="Arial"/>
              </w:rPr>
              <w:t>can be found by accessing this web link</w:t>
            </w:r>
            <w:r w:rsidRPr="4D650098">
              <w:rPr>
                <w:rFonts w:eastAsia="Arial" w:cs="Arial"/>
                <w:color w:val="000000" w:themeColor="text1"/>
              </w:rPr>
              <w:t>:</w:t>
            </w:r>
          </w:p>
          <w:p w14:paraId="59F05591" w14:textId="77777777" w:rsidR="0070071E" w:rsidRPr="00660917" w:rsidRDefault="00275906" w:rsidP="00000D1D">
            <w:pPr>
              <w:ind w:right="-82"/>
              <w:rPr>
                <w:rFonts w:cs="Arial"/>
              </w:rPr>
            </w:pPr>
            <w:hyperlink r:id="rId20" w:history="1">
              <w:r w:rsidR="00000D1D" w:rsidRPr="00660917">
                <w:rPr>
                  <w:rStyle w:val="Hyperlink"/>
                  <w:rFonts w:cs="Arial"/>
                  <w:color w:val="000000" w:themeColor="text1"/>
                  <w:sz w:val="24"/>
                  <w:szCs w:val="24"/>
                </w:rPr>
                <w:t>http://www.humberlep.org/strategies/european-structural-and-investment-fund-strategy</w:t>
              </w:r>
            </w:hyperlink>
          </w:p>
          <w:p w14:paraId="59F05592" w14:textId="77777777" w:rsidR="00005DA8" w:rsidRPr="00660917" w:rsidRDefault="00005DA8" w:rsidP="00005DA8">
            <w:pPr>
              <w:ind w:right="-82"/>
              <w:rPr>
                <w:rFonts w:cs="Arial"/>
              </w:rPr>
            </w:pPr>
          </w:p>
          <w:p w14:paraId="59F05593" w14:textId="77777777" w:rsidR="00005DA8" w:rsidRDefault="4D650098" w:rsidP="00005DA8">
            <w:pPr>
              <w:ind w:right="-82"/>
              <w:rPr>
                <w:rFonts w:cs="Arial"/>
              </w:rPr>
            </w:pPr>
            <w:r w:rsidRPr="4D650098">
              <w:rPr>
                <w:rFonts w:eastAsia="Arial" w:cs="Arial"/>
              </w:rPr>
              <w:t>The Community Grants project will further meet the priorities outlined by both of  the LEP’s to:</w:t>
            </w:r>
          </w:p>
          <w:p w14:paraId="59F05594" w14:textId="77777777" w:rsidR="00660917" w:rsidRPr="00660917" w:rsidRDefault="00660917" w:rsidP="00005DA8">
            <w:pPr>
              <w:ind w:right="-82"/>
              <w:rPr>
                <w:rFonts w:cs="Arial"/>
              </w:rPr>
            </w:pPr>
          </w:p>
          <w:p w14:paraId="59F05595" w14:textId="6CE75DB8" w:rsidR="00005DA8" w:rsidRDefault="4D650098" w:rsidP="00005DA8">
            <w:pPr>
              <w:ind w:right="-82"/>
              <w:rPr>
                <w:rFonts w:eastAsia="Arial" w:cs="Arial"/>
              </w:rPr>
            </w:pPr>
            <w:r w:rsidRPr="4D650098">
              <w:rPr>
                <w:rFonts w:eastAsia="Arial" w:cs="Arial"/>
              </w:rPr>
              <w:t>Develop the capacity of the community and social enterprise sectors to meet local needs;</w:t>
            </w:r>
          </w:p>
          <w:p w14:paraId="020254FB" w14:textId="77777777" w:rsidR="002150E5" w:rsidRPr="00660917" w:rsidRDefault="002150E5" w:rsidP="00005DA8">
            <w:pPr>
              <w:ind w:right="-82"/>
              <w:rPr>
                <w:rFonts w:cs="Arial"/>
              </w:rPr>
            </w:pPr>
          </w:p>
          <w:p w14:paraId="59F05596" w14:textId="54BE6D32" w:rsidR="00005DA8" w:rsidRDefault="4D650098" w:rsidP="00005DA8">
            <w:pPr>
              <w:ind w:right="-82"/>
              <w:rPr>
                <w:rFonts w:eastAsia="Arial" w:cs="Arial"/>
              </w:rPr>
            </w:pPr>
            <w:r w:rsidRPr="4D650098">
              <w:rPr>
                <w:rFonts w:eastAsia="Arial" w:cs="Arial"/>
              </w:rPr>
              <w:t>Activities that promote social inclusion;</w:t>
            </w:r>
          </w:p>
          <w:p w14:paraId="62D24160" w14:textId="77777777" w:rsidR="002150E5" w:rsidRPr="00660917" w:rsidRDefault="002150E5" w:rsidP="00005DA8">
            <w:pPr>
              <w:ind w:right="-82"/>
              <w:rPr>
                <w:rFonts w:cs="Arial"/>
              </w:rPr>
            </w:pPr>
          </w:p>
          <w:p w14:paraId="59F05597" w14:textId="61B4C346" w:rsidR="00005DA8" w:rsidRDefault="4D650098" w:rsidP="00005DA8">
            <w:pPr>
              <w:ind w:right="-82"/>
              <w:rPr>
                <w:rFonts w:eastAsia="Arial" w:cs="Arial"/>
              </w:rPr>
            </w:pPr>
            <w:r w:rsidRPr="4D650098">
              <w:rPr>
                <w:rFonts w:eastAsia="Arial" w:cs="Arial"/>
              </w:rPr>
              <w:t>Build self-employment and enterprise skills in the voluntary and community sector and</w:t>
            </w:r>
          </w:p>
          <w:p w14:paraId="050F6C65" w14:textId="77777777" w:rsidR="002150E5" w:rsidRPr="00660917" w:rsidRDefault="002150E5" w:rsidP="00005DA8">
            <w:pPr>
              <w:ind w:right="-82"/>
              <w:rPr>
                <w:rFonts w:cs="Arial"/>
              </w:rPr>
            </w:pPr>
          </w:p>
          <w:p w14:paraId="59F05598" w14:textId="631703DD" w:rsidR="00005DA8" w:rsidRPr="00660917" w:rsidRDefault="4D650098" w:rsidP="00005DA8">
            <w:pPr>
              <w:ind w:right="-82"/>
              <w:rPr>
                <w:rFonts w:cs="Arial"/>
              </w:rPr>
            </w:pPr>
            <w:r w:rsidRPr="4D650098">
              <w:rPr>
                <w:rFonts w:eastAsia="Arial" w:cs="Arial"/>
              </w:rPr>
              <w:t>Intensive support to help people upgrade skills and move towards and enter work.</w:t>
            </w:r>
          </w:p>
          <w:p w14:paraId="31E10285" w14:textId="77777777" w:rsidR="000D51DE" w:rsidRDefault="000D51DE" w:rsidP="000D51DE">
            <w:pPr>
              <w:rPr>
                <w:rFonts w:cs="Arial"/>
                <w:lang w:eastAsia="en-GB"/>
              </w:rPr>
            </w:pPr>
          </w:p>
          <w:p w14:paraId="202A6888" w14:textId="77777777" w:rsidR="002150E5" w:rsidRDefault="002150E5" w:rsidP="000D51DE">
            <w:pPr>
              <w:rPr>
                <w:rFonts w:cs="Arial"/>
                <w:lang w:eastAsia="en-GB"/>
              </w:rPr>
            </w:pPr>
          </w:p>
          <w:p w14:paraId="59F0559A" w14:textId="77777777" w:rsidR="002150E5" w:rsidRPr="002833D9" w:rsidRDefault="002150E5" w:rsidP="000D51DE">
            <w:pPr>
              <w:rPr>
                <w:rFonts w:cs="Arial"/>
                <w:lang w:eastAsia="en-GB"/>
              </w:rPr>
            </w:pPr>
          </w:p>
        </w:tc>
      </w:tr>
      <w:tr w:rsidR="00967429" w14:paraId="59F0559D" w14:textId="77777777" w:rsidTr="4D650098">
        <w:trPr>
          <w:trHeight w:val="567"/>
        </w:trPr>
        <w:tc>
          <w:tcPr>
            <w:tcW w:w="9088" w:type="dxa"/>
            <w:shd w:val="clear" w:color="auto" w:fill="D9D9D9" w:themeFill="background1" w:themeFillShade="D9"/>
            <w:vAlign w:val="center"/>
          </w:tcPr>
          <w:p w14:paraId="59F0559C" w14:textId="77777777" w:rsidR="00967429" w:rsidRPr="00C107CE" w:rsidRDefault="4D650098" w:rsidP="00C107CE">
            <w:pPr>
              <w:tabs>
                <w:tab w:val="num" w:pos="900"/>
              </w:tabs>
              <w:autoSpaceDE w:val="0"/>
              <w:autoSpaceDN w:val="0"/>
              <w:adjustRightInd w:val="0"/>
              <w:rPr>
                <w:rFonts w:cs="Arial"/>
                <w:b/>
              </w:rPr>
            </w:pPr>
            <w:r w:rsidRPr="4D650098">
              <w:rPr>
                <w:rFonts w:eastAsia="Arial" w:cs="Arial"/>
                <w:b/>
                <w:bCs/>
              </w:rPr>
              <w:lastRenderedPageBreak/>
              <w:t>DEFINITION OF TERMS</w:t>
            </w:r>
          </w:p>
        </w:tc>
      </w:tr>
      <w:tr w:rsidR="00967429" w:rsidRPr="00EF4406" w14:paraId="59F055C7" w14:textId="77777777" w:rsidTr="4D650098">
        <w:tc>
          <w:tcPr>
            <w:tcW w:w="9088" w:type="dxa"/>
          </w:tcPr>
          <w:p w14:paraId="12ED097F" w14:textId="77777777" w:rsidR="00A7579B" w:rsidRDefault="00A7579B" w:rsidP="000C02F6">
            <w:pPr>
              <w:ind w:left="360" w:hanging="360"/>
              <w:rPr>
                <w:b/>
              </w:rPr>
            </w:pPr>
          </w:p>
          <w:p w14:paraId="59F0559E" w14:textId="77777777" w:rsidR="000C02F6" w:rsidRPr="00130D00" w:rsidRDefault="4D650098" w:rsidP="000C02F6">
            <w:pPr>
              <w:ind w:left="360" w:hanging="360"/>
            </w:pPr>
            <w:r w:rsidRPr="4D650098">
              <w:rPr>
                <w:b/>
                <w:bCs/>
              </w:rPr>
              <w:t xml:space="preserve">Candidate: </w:t>
            </w:r>
            <w:r>
              <w:t>means an organisation who has been invited to take part in this procurement procedure</w:t>
            </w:r>
          </w:p>
          <w:p w14:paraId="5FA130B5" w14:textId="77777777" w:rsidR="00130D00" w:rsidRPr="00130D00" w:rsidRDefault="00130D00" w:rsidP="000C02F6">
            <w:pPr>
              <w:ind w:left="360" w:hanging="360"/>
            </w:pPr>
          </w:p>
          <w:p w14:paraId="59F0559F" w14:textId="77777777" w:rsidR="000C02F6" w:rsidRPr="00130D00" w:rsidRDefault="4D650098" w:rsidP="000C02F6">
            <w:pPr>
              <w:ind w:left="360" w:hanging="360"/>
            </w:pPr>
            <w:r w:rsidRPr="4D650098">
              <w:rPr>
                <w:b/>
                <w:bCs/>
              </w:rPr>
              <w:t xml:space="preserve">Disadvantaged: </w:t>
            </w:r>
            <w:r>
              <w:t>individuals who are deprived of the basic necessities of life such as adequate housing, medical care or educational facilities</w:t>
            </w:r>
          </w:p>
          <w:p w14:paraId="59F055A0" w14:textId="77777777" w:rsidR="000C02F6" w:rsidRPr="00130D00" w:rsidRDefault="000C02F6" w:rsidP="000C02F6">
            <w:pPr>
              <w:ind w:left="360" w:hanging="360"/>
              <w:rPr>
                <w:b/>
              </w:rPr>
            </w:pPr>
          </w:p>
          <w:p w14:paraId="59F055A1" w14:textId="505C4713" w:rsidR="000C02F6" w:rsidRPr="00130D00" w:rsidRDefault="4D650098" w:rsidP="000C02F6">
            <w:pPr>
              <w:ind w:left="360" w:hanging="360"/>
            </w:pPr>
            <w:r w:rsidRPr="4D650098">
              <w:rPr>
                <w:b/>
                <w:bCs/>
              </w:rPr>
              <w:lastRenderedPageBreak/>
              <w:t>Eligibility:</w:t>
            </w:r>
            <w:r>
              <w:t xml:space="preserve"> Only people who are eligible to work in UK are eligible for this programme.  Asylum seekers are not generally supported by ESF</w:t>
            </w:r>
          </w:p>
          <w:p w14:paraId="59F055A2" w14:textId="77777777" w:rsidR="000C02F6" w:rsidRPr="00130D00" w:rsidRDefault="000C02F6" w:rsidP="000C02F6">
            <w:pPr>
              <w:ind w:left="360" w:hanging="360"/>
            </w:pPr>
          </w:p>
          <w:p w14:paraId="59F055A3" w14:textId="0C8038C2" w:rsidR="000C02F6" w:rsidRPr="00130D00" w:rsidRDefault="4D650098" w:rsidP="000C02F6">
            <w:pPr>
              <w:autoSpaceDE w:val="0"/>
              <w:autoSpaceDN w:val="0"/>
              <w:adjustRightInd w:val="0"/>
              <w:ind w:left="360" w:hanging="360"/>
            </w:pPr>
            <w:r w:rsidRPr="4D650098">
              <w:rPr>
                <w:b/>
                <w:bCs/>
              </w:rPr>
              <w:t>Employed</w:t>
            </w:r>
            <w:r>
              <w:t>: People are employed if they perform work for pay, profit or family gain. People are self-employed if they work in his/her own business for the purpose of earning a profit, even if they are not making a profit or are just setting up</w:t>
            </w:r>
          </w:p>
          <w:p w14:paraId="59F055A4" w14:textId="77777777" w:rsidR="00020B5F" w:rsidRPr="0087000A" w:rsidRDefault="00020B5F" w:rsidP="000C02F6">
            <w:pPr>
              <w:autoSpaceDE w:val="0"/>
              <w:autoSpaceDN w:val="0"/>
              <w:adjustRightInd w:val="0"/>
              <w:ind w:left="360" w:hanging="360"/>
              <w:rPr>
                <w:highlight w:val="yellow"/>
              </w:rPr>
            </w:pPr>
          </w:p>
          <w:p w14:paraId="59F055A5" w14:textId="77777777" w:rsidR="00020B5F" w:rsidRPr="007D5435" w:rsidRDefault="4D650098" w:rsidP="00B81B9B">
            <w:pPr>
              <w:ind w:left="29" w:hanging="29"/>
              <w:contextualSpacing/>
            </w:pPr>
            <w:r w:rsidRPr="4D650098">
              <w:rPr>
                <w:b/>
                <w:bCs/>
              </w:rPr>
              <w:t xml:space="preserve">ESF Funding: </w:t>
            </w:r>
            <w:r>
              <w:t>funding from the European Social Fund</w:t>
            </w:r>
          </w:p>
          <w:p w14:paraId="59F055A6" w14:textId="77777777" w:rsidR="000C02F6" w:rsidRPr="0087000A" w:rsidRDefault="000C02F6" w:rsidP="000C02F6">
            <w:pPr>
              <w:autoSpaceDE w:val="0"/>
              <w:autoSpaceDN w:val="0"/>
              <w:adjustRightInd w:val="0"/>
              <w:ind w:left="360" w:hanging="360"/>
              <w:rPr>
                <w:highlight w:val="yellow"/>
              </w:rPr>
            </w:pPr>
          </w:p>
          <w:p w14:paraId="59F055A7" w14:textId="77777777" w:rsidR="000C02F6" w:rsidRPr="00130D00" w:rsidRDefault="4D650098" w:rsidP="000C02F6">
            <w:pPr>
              <w:autoSpaceDE w:val="0"/>
              <w:autoSpaceDN w:val="0"/>
              <w:adjustRightInd w:val="0"/>
              <w:ind w:left="360" w:hanging="360"/>
            </w:pPr>
            <w:r w:rsidRPr="4D650098">
              <w:rPr>
                <w:b/>
                <w:bCs/>
              </w:rPr>
              <w:t xml:space="preserve">Excluded: </w:t>
            </w:r>
            <w:r>
              <w:t>individuals who are either not included, not considered or not accepted</w:t>
            </w:r>
          </w:p>
          <w:p w14:paraId="59F055A8" w14:textId="77777777" w:rsidR="00020B5F" w:rsidRPr="00130D00" w:rsidRDefault="00020B5F" w:rsidP="000C02F6">
            <w:pPr>
              <w:autoSpaceDE w:val="0"/>
              <w:autoSpaceDN w:val="0"/>
              <w:adjustRightInd w:val="0"/>
              <w:ind w:left="360" w:hanging="360"/>
            </w:pPr>
          </w:p>
          <w:p w14:paraId="59F055A9" w14:textId="77777777" w:rsidR="00020B5F" w:rsidRPr="00130D00" w:rsidRDefault="4D650098" w:rsidP="00B81B9B">
            <w:pPr>
              <w:ind w:left="29" w:hanging="29"/>
              <w:contextualSpacing/>
            </w:pPr>
            <w:r w:rsidRPr="4D650098">
              <w:rPr>
                <w:b/>
                <w:bCs/>
              </w:rPr>
              <w:t>Funding Payments:</w:t>
            </w:r>
            <w:r>
              <w:t xml:space="preserve"> payments out of ESF Funding to be made to Providers</w:t>
            </w:r>
          </w:p>
          <w:p w14:paraId="59F055AA" w14:textId="77777777" w:rsidR="00140390" w:rsidRPr="00130D00" w:rsidRDefault="00140390" w:rsidP="00B81B9B">
            <w:pPr>
              <w:ind w:left="29" w:hanging="29"/>
              <w:contextualSpacing/>
            </w:pPr>
          </w:p>
          <w:p w14:paraId="59F055AB" w14:textId="77777777" w:rsidR="00140390" w:rsidRPr="00130D00" w:rsidRDefault="4D650098" w:rsidP="00B81B9B">
            <w:pPr>
              <w:ind w:left="29" w:hanging="29"/>
              <w:contextualSpacing/>
              <w:rPr>
                <w:b/>
              </w:rPr>
            </w:pPr>
            <w:r w:rsidRPr="4D650098">
              <w:rPr>
                <w:b/>
                <w:bCs/>
              </w:rPr>
              <w:t xml:space="preserve">Grant:  </w:t>
            </w:r>
            <w:r>
              <w:t>Community Grant funded by ESF Funding</w:t>
            </w:r>
          </w:p>
          <w:p w14:paraId="59F055AC" w14:textId="77777777" w:rsidR="00020B5F" w:rsidRPr="00130D00" w:rsidRDefault="00020B5F">
            <w:pPr>
              <w:ind w:left="720"/>
              <w:contextualSpacing/>
              <w:rPr>
                <w:color w:val="FF0000"/>
              </w:rPr>
            </w:pPr>
          </w:p>
          <w:p w14:paraId="59F055AD" w14:textId="77777777" w:rsidR="00020B5F" w:rsidRPr="00130D00" w:rsidRDefault="4D650098" w:rsidP="00A7579B">
            <w:pPr>
              <w:ind w:left="360" w:hanging="360"/>
            </w:pPr>
            <w:r w:rsidRPr="4D650098">
              <w:rPr>
                <w:b/>
                <w:bCs/>
              </w:rPr>
              <w:t>Individualised Learner Record (ILR):</w:t>
            </w:r>
            <w:r>
              <w:t xml:space="preserve"> the primary data collection return required from learning providers by the Skills Funding Agency about further education and work-based learning in England</w:t>
            </w:r>
          </w:p>
          <w:p w14:paraId="59F055AF" w14:textId="77777777" w:rsidR="000C02F6" w:rsidRPr="00130D00" w:rsidRDefault="000C02F6" w:rsidP="000C02F6">
            <w:pPr>
              <w:autoSpaceDE w:val="0"/>
              <w:autoSpaceDN w:val="0"/>
              <w:adjustRightInd w:val="0"/>
              <w:ind w:left="360" w:hanging="360"/>
              <w:rPr>
                <w:color w:val="FF0000"/>
              </w:rPr>
            </w:pPr>
          </w:p>
          <w:p w14:paraId="59F055B0" w14:textId="7B05AFD7" w:rsidR="00A7410B" w:rsidRPr="00130D00" w:rsidRDefault="4D650098" w:rsidP="000C02F6">
            <w:pPr>
              <w:autoSpaceDE w:val="0"/>
              <w:autoSpaceDN w:val="0"/>
              <w:adjustRightInd w:val="0"/>
              <w:ind w:left="360" w:hanging="360"/>
            </w:pPr>
            <w:r w:rsidRPr="4D650098">
              <w:rPr>
                <w:b/>
                <w:bCs/>
              </w:rPr>
              <w:t>Job Seeking:</w:t>
            </w:r>
            <w:r>
              <w:t xml:space="preserve"> Where applicable, persons engaged in job seeking is understood to be persons usually without work and actively seeking work</w:t>
            </w:r>
          </w:p>
          <w:p w14:paraId="59F055B1" w14:textId="77777777" w:rsidR="00660917" w:rsidRPr="00130D00" w:rsidRDefault="00660917" w:rsidP="000C02F6">
            <w:pPr>
              <w:autoSpaceDE w:val="0"/>
              <w:autoSpaceDN w:val="0"/>
              <w:adjustRightInd w:val="0"/>
              <w:ind w:left="360" w:hanging="360"/>
            </w:pPr>
          </w:p>
          <w:p w14:paraId="59F055B2" w14:textId="73B7289C" w:rsidR="00BB091D" w:rsidRPr="00130D00" w:rsidRDefault="4D650098" w:rsidP="00BB091D">
            <w:pPr>
              <w:autoSpaceDE w:val="0"/>
              <w:autoSpaceDN w:val="0"/>
              <w:adjustRightInd w:val="0"/>
              <w:ind w:left="360" w:hanging="360"/>
            </w:pPr>
            <w:r w:rsidRPr="4D650098">
              <w:rPr>
                <w:b/>
                <w:bCs/>
              </w:rPr>
              <w:t>Managing Agent</w:t>
            </w:r>
            <w:r>
              <w:t>: The body that delivers the service defined in this specification</w:t>
            </w:r>
          </w:p>
          <w:p w14:paraId="59F055B4" w14:textId="77777777" w:rsidR="00BB091D" w:rsidRPr="00130D00" w:rsidRDefault="00BB091D" w:rsidP="000C02F6">
            <w:pPr>
              <w:autoSpaceDE w:val="0"/>
              <w:autoSpaceDN w:val="0"/>
              <w:adjustRightInd w:val="0"/>
              <w:ind w:left="360" w:hanging="360"/>
            </w:pPr>
          </w:p>
          <w:p w14:paraId="59F055B5" w14:textId="77777777" w:rsidR="00A7410B" w:rsidRPr="00130D00" w:rsidRDefault="4D650098" w:rsidP="00A7410B">
            <w:pPr>
              <w:autoSpaceDE w:val="0"/>
              <w:autoSpaceDN w:val="0"/>
              <w:adjustRightInd w:val="0"/>
              <w:ind w:left="360" w:hanging="360"/>
            </w:pPr>
            <w:r w:rsidRPr="4D650098">
              <w:rPr>
                <w:b/>
                <w:bCs/>
              </w:rPr>
              <w:t>RARPA:</w:t>
            </w:r>
            <w:r w:rsidRPr="4D650098">
              <w:rPr>
                <w:rFonts w:eastAsia="Arial" w:cs="Arial"/>
                <w:b/>
                <w:bCs/>
                <w:color w:val="222222"/>
              </w:rPr>
              <w:t xml:space="preserve"> </w:t>
            </w:r>
            <w:r w:rsidRPr="4D650098">
              <w:rPr>
                <w:rStyle w:val="tgc"/>
                <w:rFonts w:eastAsia="Arial" w:cs="Arial"/>
                <w:color w:val="222222"/>
              </w:rPr>
              <w:t>Recognising and Recording Progress and Achievement for soft outcomes</w:t>
            </w:r>
          </w:p>
          <w:p w14:paraId="59F055B6" w14:textId="77777777" w:rsidR="00020B5F" w:rsidRPr="00130D00" w:rsidRDefault="00020B5F" w:rsidP="000C02F6">
            <w:pPr>
              <w:autoSpaceDE w:val="0"/>
              <w:autoSpaceDN w:val="0"/>
              <w:adjustRightInd w:val="0"/>
              <w:ind w:left="360" w:hanging="360"/>
            </w:pPr>
          </w:p>
          <w:p w14:paraId="59F055B7" w14:textId="77777777" w:rsidR="00020B5F" w:rsidRDefault="4D650098" w:rsidP="006E594C">
            <w:pPr>
              <w:contextualSpacing/>
            </w:pPr>
            <w:r w:rsidRPr="4D650098">
              <w:rPr>
                <w:b/>
                <w:bCs/>
              </w:rPr>
              <w:t>Recipients</w:t>
            </w:r>
            <w:r>
              <w:t xml:space="preserve">: organisations in receipt of Grants </w:t>
            </w:r>
          </w:p>
          <w:p w14:paraId="59F055B8" w14:textId="77777777" w:rsidR="00020B5F" w:rsidRPr="007D5435" w:rsidRDefault="00020B5F" w:rsidP="00020B5F">
            <w:pPr>
              <w:ind w:left="29"/>
              <w:contextualSpacing/>
            </w:pPr>
          </w:p>
          <w:p w14:paraId="59F055B9" w14:textId="77777777" w:rsidR="00020B5F" w:rsidRDefault="4D650098" w:rsidP="00A7579B">
            <w:pPr>
              <w:ind w:left="360" w:hanging="360"/>
              <w:rPr>
                <w:b/>
              </w:rPr>
            </w:pPr>
            <w:r w:rsidRPr="4D650098">
              <w:rPr>
                <w:b/>
                <w:bCs/>
              </w:rPr>
              <w:t>Regulated unit(s) and/or qualification(s) on the QCF:</w:t>
            </w:r>
            <w:r>
              <w:t xml:space="preserve"> Qualifications and Credit Framework (QCF) unit(s) and qualification(s) that are on the Learning Aim Reference Application (LARA) (or successor systems) and approved for public funding</w:t>
            </w:r>
            <w:r w:rsidRPr="4D650098">
              <w:rPr>
                <w:b/>
                <w:bCs/>
              </w:rPr>
              <w:t xml:space="preserve"> </w:t>
            </w:r>
          </w:p>
          <w:p w14:paraId="59F055BA" w14:textId="77777777" w:rsidR="00020B5F" w:rsidRDefault="00020B5F" w:rsidP="00020B5F">
            <w:pPr>
              <w:ind w:left="360"/>
              <w:contextualSpacing/>
              <w:rPr>
                <w:b/>
              </w:rPr>
            </w:pPr>
          </w:p>
          <w:p w14:paraId="59F055BB" w14:textId="77777777" w:rsidR="00020B5F" w:rsidRPr="007D5435" w:rsidRDefault="4D650098" w:rsidP="00020B5F">
            <w:pPr>
              <w:contextualSpacing/>
            </w:pPr>
            <w:r w:rsidRPr="4D650098">
              <w:rPr>
                <w:b/>
                <w:bCs/>
              </w:rPr>
              <w:t>Services:</w:t>
            </w:r>
            <w:r>
              <w:t xml:space="preserve"> the management and running of community grants </w:t>
            </w:r>
          </w:p>
          <w:p w14:paraId="59F055BC" w14:textId="77777777" w:rsidR="00020B5F" w:rsidRPr="007D5435" w:rsidRDefault="00020B5F" w:rsidP="00020B5F">
            <w:pPr>
              <w:contextualSpacing/>
            </w:pPr>
          </w:p>
          <w:p w14:paraId="59F055BD" w14:textId="77777777" w:rsidR="00020B5F" w:rsidRDefault="4D650098" w:rsidP="00A7579B">
            <w:pPr>
              <w:ind w:left="360" w:hanging="360"/>
            </w:pPr>
            <w:r w:rsidRPr="4D650098">
              <w:rPr>
                <w:b/>
                <w:bCs/>
              </w:rPr>
              <w:t>Services Payments:</w:t>
            </w:r>
            <w:r>
              <w:t xml:space="preserve"> payments made or to be made by the SFA and ESF Funding for the Services</w:t>
            </w:r>
          </w:p>
          <w:p w14:paraId="59F055BE" w14:textId="77777777" w:rsidR="00AF1F5D" w:rsidRDefault="00AF1F5D" w:rsidP="00020B5F">
            <w:pPr>
              <w:ind w:left="29"/>
              <w:contextualSpacing/>
            </w:pPr>
          </w:p>
          <w:p w14:paraId="59F055BF" w14:textId="512FA31F" w:rsidR="00AF1F5D" w:rsidRPr="007D5435" w:rsidRDefault="4D650098" w:rsidP="00A7579B">
            <w:pPr>
              <w:ind w:left="360" w:hanging="360"/>
            </w:pPr>
            <w:r w:rsidRPr="4D650098">
              <w:rPr>
                <w:b/>
                <w:bCs/>
              </w:rPr>
              <w:lastRenderedPageBreak/>
              <w:t>Small Organisations</w:t>
            </w:r>
            <w:r>
              <w:t xml:space="preserve">:  An organisation </w:t>
            </w:r>
            <w:r w:rsidRPr="4D650098">
              <w:rPr>
                <w:rStyle w:val="tgc"/>
                <w:rFonts w:eastAsia="Arial" w:cs="Arial"/>
                <w:color w:val="222222"/>
              </w:rPr>
              <w:t>that does not have a turnover of more than £6.5million, a balance sheet total of more than £3.26 million and not more than 50 employees</w:t>
            </w:r>
          </w:p>
          <w:p w14:paraId="59F055C1" w14:textId="77777777" w:rsidR="000C02F6" w:rsidRPr="0087000A" w:rsidRDefault="000C02F6" w:rsidP="000C02F6">
            <w:pPr>
              <w:autoSpaceDE w:val="0"/>
              <w:autoSpaceDN w:val="0"/>
              <w:adjustRightInd w:val="0"/>
              <w:ind w:left="360" w:hanging="360"/>
              <w:rPr>
                <w:highlight w:val="yellow"/>
              </w:rPr>
            </w:pPr>
          </w:p>
          <w:p w14:paraId="59F055C2" w14:textId="77777777" w:rsidR="000C02F6" w:rsidRPr="00130D00" w:rsidRDefault="4D650098" w:rsidP="000C02F6">
            <w:pPr>
              <w:autoSpaceDE w:val="0"/>
              <w:autoSpaceDN w:val="0"/>
              <w:adjustRightInd w:val="0"/>
              <w:ind w:left="360" w:hanging="360"/>
              <w:rPr>
                <w:color w:val="FF0000"/>
              </w:rPr>
            </w:pPr>
            <w:r w:rsidRPr="4D650098">
              <w:rPr>
                <w:b/>
                <w:bCs/>
              </w:rPr>
              <w:t xml:space="preserve">Third Sector: </w:t>
            </w:r>
            <w:r>
              <w:t>the part of an economy or society comprising non-governmental and non-profit making organisations or associations including charities, voluntary &amp; community groups etc.</w:t>
            </w:r>
          </w:p>
          <w:p w14:paraId="59F055C3" w14:textId="77777777" w:rsidR="000C02F6" w:rsidRPr="00130D00" w:rsidRDefault="000C02F6" w:rsidP="000C02F6">
            <w:pPr>
              <w:autoSpaceDE w:val="0"/>
              <w:autoSpaceDN w:val="0"/>
              <w:adjustRightInd w:val="0"/>
              <w:ind w:left="360" w:hanging="360"/>
              <w:rPr>
                <w:color w:val="FF0000"/>
              </w:rPr>
            </w:pPr>
          </w:p>
          <w:p w14:paraId="59F055C4" w14:textId="495249DE" w:rsidR="007D5435" w:rsidRDefault="4D650098" w:rsidP="00A7579B">
            <w:pPr>
              <w:ind w:left="360" w:hanging="360"/>
            </w:pPr>
            <w:r w:rsidRPr="4D650098">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59F055C6" w14:textId="77777777" w:rsidR="00200BC6" w:rsidRPr="00590073" w:rsidRDefault="00200BC6" w:rsidP="007D5435"/>
        </w:tc>
      </w:tr>
      <w:tr w:rsidR="00967429" w:rsidRPr="00544738" w14:paraId="59F055C9" w14:textId="77777777" w:rsidTr="4D650098">
        <w:trPr>
          <w:trHeight w:val="567"/>
        </w:trPr>
        <w:tc>
          <w:tcPr>
            <w:tcW w:w="9088" w:type="dxa"/>
            <w:shd w:val="clear" w:color="auto" w:fill="D9D9D9" w:themeFill="background1" w:themeFillShade="D9"/>
            <w:vAlign w:val="center"/>
          </w:tcPr>
          <w:p w14:paraId="59F055C8" w14:textId="77777777" w:rsidR="00967429" w:rsidRPr="00C107CE" w:rsidRDefault="4D650098" w:rsidP="00C107CE">
            <w:pPr>
              <w:autoSpaceDE w:val="0"/>
              <w:autoSpaceDN w:val="0"/>
              <w:adjustRightInd w:val="0"/>
              <w:rPr>
                <w:rFonts w:cs="Arial"/>
                <w:b/>
                <w:lang w:eastAsia="en-GB"/>
              </w:rPr>
            </w:pPr>
            <w:r w:rsidRPr="4D650098">
              <w:rPr>
                <w:rFonts w:eastAsia="Arial" w:cs="Arial"/>
                <w:b/>
                <w:bCs/>
                <w:lang w:eastAsia="en-GB"/>
              </w:rPr>
              <w:lastRenderedPageBreak/>
              <w:t>SERVICE REQUIREMENTS</w:t>
            </w:r>
          </w:p>
        </w:tc>
      </w:tr>
      <w:tr w:rsidR="00967429" w:rsidRPr="00544738" w14:paraId="59F05639" w14:textId="77777777" w:rsidTr="4D650098">
        <w:tc>
          <w:tcPr>
            <w:tcW w:w="9088" w:type="dxa"/>
          </w:tcPr>
          <w:p w14:paraId="59F055CB" w14:textId="77777777" w:rsidR="002E25F4" w:rsidRPr="002833D9" w:rsidRDefault="002E25F4" w:rsidP="00A524B5">
            <w:pPr>
              <w:rPr>
                <w:rFonts w:cs="Arial"/>
              </w:rPr>
            </w:pPr>
          </w:p>
          <w:p w14:paraId="59F055CC" w14:textId="77777777" w:rsidR="002E25F4" w:rsidRPr="00130D00" w:rsidRDefault="4D650098" w:rsidP="00A524B5">
            <w:pPr>
              <w:rPr>
                <w:rFonts w:cs="Arial"/>
              </w:rPr>
            </w:pPr>
            <w:r w:rsidRPr="4D650098">
              <w:rPr>
                <w:rFonts w:eastAsia="Arial" w:cs="Arial"/>
              </w:rPr>
              <w:t>All activities must complement and avoid duplication with other provision, thereby adding value to Department for Work and Pensions, Big Lottery, Education Funding Agency, SFA, local authority, National Careers Service and the new Careers Enterprise Company funded services. Successful candidates will be required to ensure that ESF funded services will clearly add value and not duplicate any delivery that can be arranged locally through existing mainstream institutions.</w:t>
            </w:r>
          </w:p>
          <w:p w14:paraId="59F055CD" w14:textId="77777777" w:rsidR="00B305E3" w:rsidRDefault="00B305E3" w:rsidP="00A524B5">
            <w:pPr>
              <w:rPr>
                <w:rFonts w:cs="Arial"/>
                <w:highlight w:val="yellow"/>
              </w:rPr>
            </w:pPr>
          </w:p>
          <w:p w14:paraId="59F055CE" w14:textId="3B2066EE" w:rsidR="006372B3" w:rsidRDefault="4D650098" w:rsidP="00A7579B">
            <w:r>
              <w:t>The section sets out the details of the services which the successful candidate will be required to deliver as the Managing Agent for Community Grants.</w:t>
            </w:r>
          </w:p>
          <w:p w14:paraId="52B3B41D" w14:textId="77777777" w:rsidR="006E594C" w:rsidRDefault="006E594C" w:rsidP="00A7579B">
            <w:pPr>
              <w:rPr>
                <w:rFonts w:cs="Arial"/>
                <w:b/>
                <w:i/>
              </w:rPr>
            </w:pPr>
          </w:p>
          <w:p w14:paraId="59F055D1" w14:textId="769BB770" w:rsidR="00B2490D" w:rsidRPr="00A7579B" w:rsidRDefault="4D650098" w:rsidP="00A7579B">
            <w:pPr>
              <w:rPr>
                <w:b/>
                <w:i/>
              </w:rPr>
            </w:pPr>
            <w:r w:rsidRPr="4D650098">
              <w:rPr>
                <w:rFonts w:eastAsia="Arial" w:cs="Arial"/>
                <w:b/>
                <w:bCs/>
                <w:i/>
                <w:iCs/>
              </w:rPr>
              <w:t>Capacity and Capability</w:t>
            </w:r>
          </w:p>
          <w:p w14:paraId="59F055D2" w14:textId="15F8F66F" w:rsidR="00156871" w:rsidRPr="00130D00" w:rsidRDefault="4D650098" w:rsidP="00A7579B">
            <w:pPr>
              <w:rPr>
                <w:rFonts w:cs="Arial"/>
                <w:lang w:eastAsia="en-GB"/>
              </w:rPr>
            </w:pPr>
            <w:r w:rsidRPr="4D650098">
              <w:rPr>
                <w:rFonts w:eastAsia="Arial" w:cs="Arial"/>
                <w:lang w:eastAsia="en-GB"/>
              </w:rPr>
              <w:t>The successful Candidate will need to have the capacity to deliver the Services immediately upon commencement of the contract and delivery of the Services must not be delayed in any way by any recruitment of staff establishment of systems or relationships required.</w:t>
            </w:r>
          </w:p>
          <w:p w14:paraId="1B4AA896" w14:textId="77777777" w:rsidR="006E594C" w:rsidRDefault="006E594C" w:rsidP="00A7579B">
            <w:pPr>
              <w:rPr>
                <w:rFonts w:cs="Arial"/>
                <w:szCs w:val="22"/>
              </w:rPr>
            </w:pPr>
          </w:p>
          <w:p w14:paraId="59F055D4" w14:textId="77777777" w:rsidR="00A55BAF" w:rsidRPr="00130D00" w:rsidRDefault="4D650098" w:rsidP="00A7579B">
            <w:pPr>
              <w:rPr>
                <w:rFonts w:cs="Arial"/>
                <w:szCs w:val="22"/>
              </w:rPr>
            </w:pPr>
            <w:r w:rsidRPr="4D650098">
              <w:rPr>
                <w:rFonts w:eastAsia="Arial" w:cs="Arial"/>
              </w:rPr>
              <w:t>The successful Candidate will need to carry out the following activities:</w:t>
            </w:r>
          </w:p>
          <w:p w14:paraId="59F055D5" w14:textId="77777777" w:rsidR="00A55BAF" w:rsidRPr="00130D00" w:rsidRDefault="00A55BAF" w:rsidP="00A55BAF">
            <w:pPr>
              <w:rPr>
                <w:rFonts w:cs="Arial"/>
                <w:szCs w:val="22"/>
              </w:rPr>
            </w:pPr>
          </w:p>
          <w:p w14:paraId="59F055D6" w14:textId="1A1EFC93" w:rsidR="00140390" w:rsidRPr="00130D00" w:rsidRDefault="4D650098" w:rsidP="00F820E9">
            <w:pPr>
              <w:pStyle w:val="ListParagraph"/>
              <w:numPr>
                <w:ilvl w:val="0"/>
                <w:numId w:val="8"/>
              </w:numPr>
            </w:pPr>
            <w:r>
              <w:t xml:space="preserve">Develop and deliver an engagement and marketing strategy which reflects the LEP specific requirements to encourage relevant applications from appropriate organisations for Grants </w:t>
            </w:r>
          </w:p>
          <w:p w14:paraId="59F055D7" w14:textId="44D390C3" w:rsidR="00A55BAF" w:rsidRPr="00130D00" w:rsidRDefault="4D650098" w:rsidP="00F820E9">
            <w:pPr>
              <w:pStyle w:val="ListParagraph"/>
              <w:numPr>
                <w:ilvl w:val="0"/>
                <w:numId w:val="8"/>
              </w:numPr>
            </w:pPr>
            <w:r>
              <w:t>Publicise the availability of Grants and making calls for applications in line with agreed priorities in the LEP area</w:t>
            </w:r>
          </w:p>
          <w:p w14:paraId="59F055D8" w14:textId="61A7747A" w:rsidR="00140390" w:rsidRPr="00130D00" w:rsidRDefault="4D650098" w:rsidP="4D650098">
            <w:pPr>
              <w:pStyle w:val="ListParagraph"/>
              <w:numPr>
                <w:ilvl w:val="0"/>
                <w:numId w:val="8"/>
              </w:numPr>
              <w:rPr>
                <w:rFonts w:eastAsia="Arial" w:cs="Arial"/>
              </w:rPr>
            </w:pPr>
            <w:r>
              <w:t>Develop an application process and timetable to ensure at least three calls for grant applications throughout the lifetime of the contract (this may be a rolling programme)</w:t>
            </w:r>
          </w:p>
          <w:p w14:paraId="59F055D9" w14:textId="21E1E344" w:rsidR="00DC32A0" w:rsidRPr="00130D00" w:rsidRDefault="4D650098" w:rsidP="00F820E9">
            <w:pPr>
              <w:pStyle w:val="ListParagraph"/>
              <w:numPr>
                <w:ilvl w:val="0"/>
                <w:numId w:val="8"/>
              </w:numPr>
            </w:pPr>
            <w:r>
              <w:lastRenderedPageBreak/>
              <w:t>Receive and assess applications for Grants using a common set of open and transparent criteria, which meet the specific requirements for the LEP set out below</w:t>
            </w:r>
          </w:p>
          <w:p w14:paraId="59F055DA" w14:textId="77777777" w:rsidR="00A55BAF" w:rsidRPr="00130D00" w:rsidRDefault="4D650098" w:rsidP="00F820E9">
            <w:pPr>
              <w:pStyle w:val="ListParagraph"/>
              <w:numPr>
                <w:ilvl w:val="0"/>
                <w:numId w:val="8"/>
              </w:numPr>
            </w:pPr>
            <w:r>
              <w:t>Manage volume of applications from the geographical area</w:t>
            </w:r>
          </w:p>
          <w:p w14:paraId="59F055DB" w14:textId="1B37730D" w:rsidR="00A55BAF" w:rsidRPr="00130D00" w:rsidRDefault="4D650098" w:rsidP="00F820E9">
            <w:pPr>
              <w:pStyle w:val="ListParagraph"/>
              <w:numPr>
                <w:ilvl w:val="0"/>
                <w:numId w:val="8"/>
              </w:numPr>
            </w:pPr>
            <w:r>
              <w:t>Select successful applicants, agreeing level of approved Grant and planned outcomes and issue Grant agreement setting out conditions of Grant</w:t>
            </w:r>
          </w:p>
          <w:p w14:paraId="59F055DC" w14:textId="77777777" w:rsidR="00A55BAF" w:rsidRPr="00130D00" w:rsidRDefault="4D650098" w:rsidP="00F820E9">
            <w:pPr>
              <w:pStyle w:val="ListParagraph"/>
              <w:numPr>
                <w:ilvl w:val="0"/>
                <w:numId w:val="8"/>
              </w:numPr>
            </w:pPr>
            <w:r>
              <w:t xml:space="preserve">Provide support to Grant recipients to help them manage ESF funds especially in maintaining records of actual grant expenditure to ensure a full audit trail  </w:t>
            </w:r>
          </w:p>
          <w:p w14:paraId="59F055DD" w14:textId="3B049D77" w:rsidR="00A55BAF" w:rsidRPr="00130D00" w:rsidRDefault="4D650098" w:rsidP="00F820E9">
            <w:pPr>
              <w:pStyle w:val="ListParagraph"/>
              <w:numPr>
                <w:ilvl w:val="0"/>
                <w:numId w:val="8"/>
              </w:numPr>
            </w:pPr>
            <w:r>
              <w:t>Ensure that Grant recipients keep financial records such as invoices to support expenditure, bank statements, staff time sheets, job descriptions, expense payments in accordance with Grant agreement</w:t>
            </w:r>
          </w:p>
          <w:p w14:paraId="59F055DE" w14:textId="4CA87419" w:rsidR="00A55BAF" w:rsidRPr="00130D00" w:rsidRDefault="4D650098" w:rsidP="00F820E9">
            <w:pPr>
              <w:pStyle w:val="ListParagraph"/>
              <w:numPr>
                <w:ilvl w:val="0"/>
                <w:numId w:val="8"/>
              </w:numPr>
            </w:pPr>
            <w:r>
              <w:t xml:space="preserve">Monitor performance and delivery by Grant recipients in accordance with Grant agreement and report on performance to the SFA including the impact of delivery in supporting employment outcomes for individual beneficiaries. </w:t>
            </w:r>
          </w:p>
          <w:p w14:paraId="59F055E0" w14:textId="77777777" w:rsidR="00A55BAF" w:rsidRDefault="00A55BAF" w:rsidP="006372B3">
            <w:pPr>
              <w:rPr>
                <w:rFonts w:cs="Arial"/>
                <w:b/>
                <w:i/>
                <w:highlight w:val="yellow"/>
              </w:rPr>
            </w:pPr>
          </w:p>
          <w:p w14:paraId="59F055E2" w14:textId="7AB4D9CC" w:rsidR="00005B67" w:rsidRPr="00130D00" w:rsidRDefault="4D650098" w:rsidP="00A7579B">
            <w:pPr>
              <w:rPr>
                <w:rFonts w:cs="Arial"/>
              </w:rPr>
            </w:pPr>
            <w:r w:rsidRPr="4D650098">
              <w:rPr>
                <w:rFonts w:eastAsia="Arial" w:cs="Arial"/>
                <w:b/>
                <w:bCs/>
                <w:i/>
                <w:iCs/>
              </w:rPr>
              <w:t>Market intelligence and local knowledge</w:t>
            </w:r>
          </w:p>
          <w:p w14:paraId="45027EF6" w14:textId="77777777" w:rsidR="00166119" w:rsidRDefault="4D650098" w:rsidP="00166119">
            <w:pPr>
              <w:rPr>
                <w:rFonts w:cs="Arial"/>
              </w:rPr>
            </w:pPr>
            <w:r w:rsidRPr="4D650098">
              <w:rPr>
                <w:rFonts w:eastAsia="Arial" w:cs="Arial"/>
              </w:rPr>
              <w:t>The successful delivery of the Services requires;</w:t>
            </w:r>
          </w:p>
          <w:p w14:paraId="0BCD8E38" w14:textId="5CE02EDB" w:rsidR="00166119" w:rsidRDefault="4D650098" w:rsidP="4D650098">
            <w:pPr>
              <w:pStyle w:val="ListParagraph"/>
              <w:numPr>
                <w:ilvl w:val="0"/>
                <w:numId w:val="14"/>
              </w:numPr>
              <w:rPr>
                <w:rFonts w:eastAsia="Arial" w:cs="Arial"/>
              </w:rPr>
            </w:pPr>
            <w:r w:rsidRPr="4D650098">
              <w:rPr>
                <w:rFonts w:eastAsia="Arial" w:cs="Arial"/>
              </w:rPr>
              <w:t>a comprehensive understanding of the current employment market, the current and future social and economic indicators including labour market intelligence and local stakeholder needs</w:t>
            </w:r>
          </w:p>
          <w:p w14:paraId="67D5AE91" w14:textId="77777777" w:rsidR="00166119" w:rsidRPr="00BB4B1A" w:rsidRDefault="4D650098" w:rsidP="4D650098">
            <w:pPr>
              <w:pStyle w:val="ListParagraph"/>
              <w:numPr>
                <w:ilvl w:val="0"/>
                <w:numId w:val="14"/>
              </w:numPr>
              <w:rPr>
                <w:rFonts w:eastAsia="Arial" w:cs="Arial"/>
              </w:rPr>
            </w:pPr>
            <w:r w:rsidRPr="4D650098">
              <w:rPr>
                <w:rFonts w:eastAsia="Arial" w:cs="Arial"/>
              </w:rPr>
              <w:t>effective arrangements to ensure the active engagement of key stakeholders including third sector organisations</w:t>
            </w:r>
          </w:p>
          <w:p w14:paraId="59F055EA" w14:textId="77777777" w:rsidR="002476AE" w:rsidRPr="00130D00" w:rsidRDefault="002476AE" w:rsidP="00166119">
            <w:pPr>
              <w:pStyle w:val="letteredlist"/>
              <w:numPr>
                <w:ilvl w:val="0"/>
                <w:numId w:val="0"/>
              </w:numPr>
              <w:rPr>
                <w:color w:val="FF0000"/>
              </w:rPr>
            </w:pPr>
          </w:p>
          <w:p w14:paraId="59F055EB" w14:textId="77777777" w:rsidR="002476AE" w:rsidRPr="00130D00" w:rsidRDefault="4D650098" w:rsidP="00A7579B">
            <w:pPr>
              <w:rPr>
                <w:b/>
                <w:i/>
              </w:rPr>
            </w:pPr>
            <w:r w:rsidRPr="4D650098">
              <w:rPr>
                <w:rFonts w:eastAsia="Arial" w:cs="Arial"/>
                <w:b/>
                <w:bCs/>
                <w:i/>
                <w:iCs/>
              </w:rPr>
              <w:t>Performance management</w:t>
            </w:r>
          </w:p>
          <w:p w14:paraId="59F055EC" w14:textId="77777777" w:rsidR="002476AE" w:rsidRPr="00130D00" w:rsidRDefault="4D650098" w:rsidP="00A7579B">
            <w:r w:rsidRPr="4D650098">
              <w:rPr>
                <w:rFonts w:eastAsia="Arial" w:cs="Arial"/>
              </w:rPr>
              <w:t xml:space="preserve">The successful Candidate must develop and implement robust performance monitoring arrangements for the Grant recipients of </w:t>
            </w:r>
            <w:r w:rsidRPr="4D650098">
              <w:rPr>
                <w:rFonts w:eastAsia="Arial" w:cs="Arial"/>
                <w:i/>
                <w:iCs/>
              </w:rPr>
              <w:t>the</w:t>
            </w:r>
            <w:r w:rsidRPr="4D650098">
              <w:rPr>
                <w:rFonts w:eastAsia="Arial" w:cs="Arial"/>
              </w:rPr>
              <w:t xml:space="preserve"> LEP area.</w:t>
            </w:r>
          </w:p>
          <w:p w14:paraId="59F055ED" w14:textId="77777777" w:rsidR="002476AE" w:rsidRPr="00130D00" w:rsidRDefault="002476AE" w:rsidP="00B81B9B">
            <w:pPr>
              <w:ind w:left="360"/>
            </w:pPr>
          </w:p>
          <w:p w14:paraId="59F055EE" w14:textId="77777777" w:rsidR="00A55BAF" w:rsidRPr="00130D00" w:rsidRDefault="4D650098" w:rsidP="00A7579B">
            <w:pPr>
              <w:rPr>
                <w:rFonts w:cs="Arial"/>
              </w:rPr>
            </w:pPr>
            <w:r w:rsidRPr="4D650098">
              <w:rPr>
                <w:rFonts w:eastAsia="Arial" w:cs="Arial"/>
              </w:rPr>
              <w:t>The successful Candidate must have in place quality assurance and improvement processes.</w:t>
            </w:r>
          </w:p>
          <w:p w14:paraId="59F055EF" w14:textId="77777777" w:rsidR="00A55BAF" w:rsidRPr="00130D00" w:rsidRDefault="00A55BAF" w:rsidP="00B81B9B">
            <w:pPr>
              <w:pStyle w:val="letteredlist"/>
              <w:numPr>
                <w:ilvl w:val="0"/>
                <w:numId w:val="0"/>
              </w:numPr>
              <w:ind w:left="964"/>
            </w:pPr>
          </w:p>
          <w:p w14:paraId="59F055F0" w14:textId="77777777" w:rsidR="002476AE" w:rsidRPr="00130D00" w:rsidRDefault="4D650098" w:rsidP="00A7579B">
            <w:pPr>
              <w:rPr>
                <w:b/>
                <w:i/>
              </w:rPr>
            </w:pPr>
            <w:r w:rsidRPr="4D650098">
              <w:rPr>
                <w:rFonts w:eastAsia="Arial" w:cs="Arial"/>
                <w:b/>
                <w:bCs/>
                <w:i/>
                <w:iCs/>
              </w:rPr>
              <w:t>Financial management</w:t>
            </w:r>
          </w:p>
          <w:p w14:paraId="1C1970C3" w14:textId="6E2D4ECB" w:rsidR="0971D395" w:rsidRDefault="4D650098" w:rsidP="0971D395">
            <w:pPr>
              <w:rPr>
                <w:rFonts w:eastAsia="Arial" w:cs="Arial"/>
              </w:rPr>
            </w:pPr>
            <w:r w:rsidRPr="4D650098">
              <w:rPr>
                <w:rFonts w:eastAsia="Arial" w:cs="Arial"/>
              </w:rPr>
              <w:t>The successful Candidate will manage the funding available to ensure that it only awards Grants for projects which meet the LEP requirements set out below.  Where there is more than one table in the Funding and Deliverables section of this specification, the Candidate must manage the funding and Grants for each one separately.</w:t>
            </w:r>
          </w:p>
          <w:p w14:paraId="750C267C" w14:textId="77777777" w:rsidR="002150E5" w:rsidRDefault="002150E5" w:rsidP="0971D395"/>
          <w:p w14:paraId="59F055F5" w14:textId="340115C9" w:rsidR="002476AE" w:rsidRDefault="4D650098" w:rsidP="00A7579B">
            <w:pPr>
              <w:rPr>
                <w:rFonts w:eastAsia="Arial" w:cs="Arial"/>
              </w:rPr>
            </w:pPr>
            <w:r w:rsidRPr="4D650098">
              <w:rPr>
                <w:rFonts w:eastAsia="Arial" w:cs="Arial"/>
              </w:rPr>
              <w:t>Monthly financial reports detailing grants awarded must be provided by LEP area.</w:t>
            </w:r>
          </w:p>
          <w:p w14:paraId="41AA7482" w14:textId="77777777" w:rsidR="002150E5" w:rsidRPr="003240F9" w:rsidRDefault="002150E5" w:rsidP="00A7579B"/>
          <w:p w14:paraId="59F055F6" w14:textId="48D138A4" w:rsidR="002476AE" w:rsidRDefault="4D650098" w:rsidP="00A7579B">
            <w:pPr>
              <w:rPr>
                <w:rFonts w:cs="Arial"/>
              </w:rPr>
            </w:pPr>
            <w:r w:rsidRPr="4D650098">
              <w:rPr>
                <w:rFonts w:eastAsia="Arial" w:cs="Arial"/>
              </w:rPr>
              <w:t>The successful candidate will design and implement a payment system which protects public funding.</w:t>
            </w:r>
          </w:p>
          <w:p w14:paraId="3EA46185" w14:textId="77777777" w:rsidR="00130D00" w:rsidRPr="00130D00" w:rsidRDefault="00130D00" w:rsidP="00B81B9B">
            <w:pPr>
              <w:ind w:left="360"/>
            </w:pPr>
          </w:p>
          <w:p w14:paraId="59F055F7" w14:textId="77777777" w:rsidR="002476AE" w:rsidRPr="00130D00" w:rsidRDefault="4D650098" w:rsidP="00A7579B">
            <w:r w:rsidRPr="4D650098">
              <w:rPr>
                <w:rFonts w:eastAsia="Arial" w:cs="Arial"/>
              </w:rPr>
              <w:t xml:space="preserve">Systems will be implemented which ensure compliance with ESF including internal audit functions. </w:t>
            </w:r>
          </w:p>
          <w:p w14:paraId="59F055F8" w14:textId="77777777" w:rsidR="00EB2C7B" w:rsidRPr="00130D00" w:rsidRDefault="00EB2C7B" w:rsidP="00B81B9B">
            <w:pPr>
              <w:rPr>
                <w:b/>
                <w:i/>
              </w:rPr>
            </w:pPr>
          </w:p>
          <w:p w14:paraId="59F055FA" w14:textId="5BB2FBDB" w:rsidR="009876C0" w:rsidRPr="00A7579B" w:rsidRDefault="4D650098" w:rsidP="00A7579B">
            <w:pPr>
              <w:rPr>
                <w:b/>
                <w:i/>
              </w:rPr>
            </w:pPr>
            <w:r w:rsidRPr="4D650098">
              <w:rPr>
                <w:rFonts w:eastAsia="Arial" w:cs="Arial"/>
                <w:b/>
                <w:bCs/>
                <w:i/>
                <w:iCs/>
              </w:rPr>
              <w:t>Management information and reporting</w:t>
            </w:r>
          </w:p>
          <w:p w14:paraId="59F055FB" w14:textId="77777777" w:rsidR="006372B3" w:rsidRDefault="4D650098" w:rsidP="00A7579B">
            <w:pPr>
              <w:rPr>
                <w:rFonts w:eastAsia="Arial" w:cs="Arial"/>
              </w:rPr>
            </w:pPr>
            <w:r w:rsidRPr="4D650098">
              <w:rPr>
                <w:rFonts w:eastAsia="Arial" w:cs="Arial"/>
              </w:rPr>
              <w:t>A management information system will be in place to enable the submission of data to the Skills Funding Agency via the Individual Learner Record.</w:t>
            </w:r>
          </w:p>
          <w:p w14:paraId="78226CDC" w14:textId="77777777" w:rsidR="002150E5" w:rsidRPr="00130D00" w:rsidRDefault="002150E5" w:rsidP="00A7579B"/>
          <w:p w14:paraId="59F055FC" w14:textId="09C9A9FF" w:rsidR="002476AE" w:rsidRPr="00130D00" w:rsidRDefault="4D650098" w:rsidP="00A7579B">
            <w:r w:rsidRPr="4D650098">
              <w:rPr>
                <w:rFonts w:eastAsia="Arial" w:cs="Arial"/>
              </w:rPr>
              <w:t>Data and Management Information will be collected which generates eligible payments from the SFA and supports the performance management process; supports additional performance information for each LEP and provides further economic intelligence of skills to support future devolution of adult skills provision within the LEP area.</w:t>
            </w:r>
          </w:p>
          <w:p w14:paraId="59F055FD" w14:textId="77777777" w:rsidR="009876C0" w:rsidRPr="00130D00" w:rsidRDefault="009876C0" w:rsidP="00B81B9B">
            <w:pPr>
              <w:ind w:left="360"/>
            </w:pPr>
          </w:p>
          <w:p w14:paraId="59F055FE" w14:textId="2030E2BC" w:rsidR="006372B3" w:rsidRDefault="4D650098" w:rsidP="00A7579B">
            <w:pPr>
              <w:rPr>
                <w:rFonts w:cs="Arial"/>
              </w:rPr>
            </w:pPr>
            <w:r w:rsidRPr="4D650098">
              <w:rPr>
                <w:rFonts w:eastAsia="Arial" w:cs="Arial"/>
              </w:rPr>
              <w:t>Quarterly information will be required and will as a minimum include:</w:t>
            </w:r>
          </w:p>
          <w:p w14:paraId="60EEE2C0" w14:textId="77777777" w:rsidR="00A7579B" w:rsidRPr="00130D00" w:rsidRDefault="00A7579B" w:rsidP="00A7579B"/>
          <w:p w14:paraId="59F055FF" w14:textId="77777777" w:rsidR="006372B3" w:rsidRPr="00130D00" w:rsidRDefault="4D650098" w:rsidP="00F820E9">
            <w:pPr>
              <w:pStyle w:val="ListParagraph"/>
              <w:numPr>
                <w:ilvl w:val="0"/>
                <w:numId w:val="9"/>
              </w:numPr>
            </w:pPr>
            <w:r>
              <w:t xml:space="preserve">Number of applications for grants received </w:t>
            </w:r>
          </w:p>
          <w:p w14:paraId="59F05600" w14:textId="64A33B67" w:rsidR="006372B3" w:rsidRPr="00130D00" w:rsidRDefault="4D650098" w:rsidP="00F820E9">
            <w:pPr>
              <w:pStyle w:val="ListParagraph"/>
              <w:numPr>
                <w:ilvl w:val="0"/>
                <w:numId w:val="9"/>
              </w:numPr>
            </w:pPr>
            <w:r>
              <w:t xml:space="preserve">Number and value of grants awarded </w:t>
            </w:r>
          </w:p>
          <w:p w14:paraId="59F05601" w14:textId="2E4984E5" w:rsidR="006372B3" w:rsidRPr="00130D00" w:rsidRDefault="4D650098" w:rsidP="00F820E9">
            <w:pPr>
              <w:pStyle w:val="ListParagraph"/>
              <w:numPr>
                <w:ilvl w:val="0"/>
                <w:numId w:val="9"/>
              </w:numPr>
            </w:pPr>
            <w:r>
              <w:t xml:space="preserve">Average value of grants awarded </w:t>
            </w:r>
          </w:p>
          <w:p w14:paraId="59F05602" w14:textId="3C3E39F4" w:rsidR="006372B3" w:rsidRPr="00130D00" w:rsidRDefault="4D650098" w:rsidP="00F820E9">
            <w:pPr>
              <w:pStyle w:val="ListParagraph"/>
              <w:numPr>
                <w:ilvl w:val="0"/>
                <w:numId w:val="9"/>
              </w:numPr>
            </w:pPr>
            <w:r>
              <w:t xml:space="preserve">Number of participants supported through grants </w:t>
            </w:r>
          </w:p>
          <w:p w14:paraId="59F05603" w14:textId="6404BF6F" w:rsidR="006372B3" w:rsidRPr="00130D00" w:rsidRDefault="4D650098" w:rsidP="00F820E9">
            <w:pPr>
              <w:pStyle w:val="ListParagraph"/>
              <w:numPr>
                <w:ilvl w:val="0"/>
                <w:numId w:val="9"/>
              </w:numPr>
            </w:pPr>
            <w:r>
              <w:t xml:space="preserve">Number of participants helped into employment </w:t>
            </w:r>
          </w:p>
          <w:p w14:paraId="59F05604" w14:textId="4DCD8F1C" w:rsidR="006372B3" w:rsidRPr="00130D00" w:rsidRDefault="4D650098" w:rsidP="00F820E9">
            <w:pPr>
              <w:pStyle w:val="ListParagraph"/>
              <w:numPr>
                <w:ilvl w:val="0"/>
                <w:numId w:val="9"/>
              </w:numPr>
            </w:pPr>
            <w:r>
              <w:t xml:space="preserve">Qualification level or module achieved </w:t>
            </w:r>
          </w:p>
          <w:p w14:paraId="59F05605" w14:textId="2E1D139D" w:rsidR="006372B3" w:rsidRPr="00130D00" w:rsidRDefault="4D650098" w:rsidP="00F820E9">
            <w:pPr>
              <w:pStyle w:val="ListParagraph"/>
              <w:numPr>
                <w:ilvl w:val="0"/>
                <w:numId w:val="9"/>
              </w:numPr>
            </w:pPr>
            <w:r>
              <w:t xml:space="preserve">Progression into further learning/education </w:t>
            </w:r>
          </w:p>
          <w:p w14:paraId="59F05606" w14:textId="01CD1AED" w:rsidR="006372B3" w:rsidRPr="00130D00" w:rsidRDefault="4D650098" w:rsidP="00F820E9">
            <w:pPr>
              <w:pStyle w:val="ListParagraph"/>
              <w:numPr>
                <w:ilvl w:val="0"/>
                <w:numId w:val="9"/>
              </w:numPr>
            </w:pPr>
            <w:r>
              <w:t xml:space="preserve">Outcomes achieved by the grant recipients including soft outcomes using RARPA principles </w:t>
            </w:r>
          </w:p>
          <w:p w14:paraId="59F05607" w14:textId="46306EE2" w:rsidR="006372B3" w:rsidRPr="00130D00" w:rsidRDefault="4D650098" w:rsidP="00F820E9">
            <w:pPr>
              <w:pStyle w:val="ListParagraph"/>
              <w:numPr>
                <w:ilvl w:val="0"/>
                <w:numId w:val="9"/>
              </w:numPr>
            </w:pPr>
            <w:r>
              <w:t>Preparation of case studies of how grants have supported specific target groups and specific outcomes, as advised by the SFA</w:t>
            </w:r>
          </w:p>
          <w:p w14:paraId="59F05608" w14:textId="4BF7CCAD" w:rsidR="006372B3" w:rsidRPr="00130D00" w:rsidRDefault="4D650098" w:rsidP="00F820E9">
            <w:pPr>
              <w:pStyle w:val="ListParagraph"/>
              <w:numPr>
                <w:ilvl w:val="0"/>
                <w:numId w:val="9"/>
              </w:numPr>
            </w:pPr>
            <w:r>
              <w:t>Summary of how grants have supported LEP priorities as advised by the SFA.</w:t>
            </w:r>
          </w:p>
          <w:p w14:paraId="59F05609" w14:textId="77777777" w:rsidR="006372B3" w:rsidRPr="00130D00" w:rsidRDefault="006372B3" w:rsidP="00B81B9B">
            <w:pPr>
              <w:pStyle w:val="letteredlist"/>
              <w:numPr>
                <w:ilvl w:val="0"/>
                <w:numId w:val="0"/>
              </w:numPr>
              <w:ind w:left="964"/>
            </w:pPr>
          </w:p>
          <w:p w14:paraId="59F0560A" w14:textId="4033CC5D" w:rsidR="002476AE" w:rsidRPr="00130D00" w:rsidRDefault="4D650098" w:rsidP="00A7579B">
            <w:r>
              <w:t>Additional reports will be produced as required by the LEP. This includes labour market intelligence to support future strategic developments for skills within the LEP area.</w:t>
            </w:r>
          </w:p>
          <w:p w14:paraId="59F0560B" w14:textId="77777777" w:rsidR="00BB091D" w:rsidRDefault="00BB091D" w:rsidP="00B81B9B">
            <w:pPr>
              <w:pStyle w:val="letteredlist"/>
              <w:numPr>
                <w:ilvl w:val="0"/>
                <w:numId w:val="0"/>
              </w:numPr>
              <w:ind w:left="313"/>
              <w:rPr>
                <w:highlight w:val="yellow"/>
              </w:rPr>
            </w:pPr>
          </w:p>
          <w:p w14:paraId="59F0560C" w14:textId="13EBDBDD" w:rsidR="00BB091D" w:rsidRPr="00130D00" w:rsidRDefault="4D650098" w:rsidP="00BB091D">
            <w:pPr>
              <w:pStyle w:val="letteredlist"/>
              <w:numPr>
                <w:ilvl w:val="4"/>
                <w:numId w:val="0"/>
              </w:numPr>
            </w:pPr>
            <w:r>
              <w:t xml:space="preserve">ILR data must be returned for each participant for the activity that is funded through the Grant. This will include all regulated and non-regulated learning as well as their destination.  </w:t>
            </w:r>
          </w:p>
          <w:p w14:paraId="59F0560E" w14:textId="77777777" w:rsidR="006372B3" w:rsidRPr="00130D00" w:rsidRDefault="006372B3" w:rsidP="00B81B9B">
            <w:pPr>
              <w:pStyle w:val="letteredlist"/>
              <w:numPr>
                <w:ilvl w:val="0"/>
                <w:numId w:val="0"/>
              </w:numPr>
              <w:ind w:left="964"/>
            </w:pPr>
          </w:p>
          <w:p w14:paraId="59F0560F" w14:textId="77777777" w:rsidR="00A55BAF" w:rsidRPr="00130D00" w:rsidRDefault="4D650098">
            <w:pPr>
              <w:rPr>
                <w:b/>
              </w:rPr>
            </w:pPr>
            <w:r w:rsidRPr="4D650098">
              <w:rPr>
                <w:rFonts w:eastAsia="Arial" w:cs="Arial"/>
                <w:b/>
                <w:bCs/>
              </w:rPr>
              <w:t xml:space="preserve">Final Evaluation </w:t>
            </w:r>
          </w:p>
          <w:p w14:paraId="59F05610" w14:textId="77777777" w:rsidR="00A55BAF" w:rsidRPr="00130D00" w:rsidRDefault="00A55BAF"/>
          <w:p w14:paraId="59F05611" w14:textId="4BE952A0" w:rsidR="00A55BAF" w:rsidRPr="00130D00" w:rsidRDefault="4D650098" w:rsidP="00A7579B">
            <w:pPr>
              <w:rPr>
                <w:rFonts w:cs="Arial"/>
              </w:rPr>
            </w:pPr>
            <w:r>
              <w:t>A project evaluation for</w:t>
            </w:r>
            <w:r w:rsidRPr="4D650098">
              <w:rPr>
                <w:i/>
                <w:iCs/>
              </w:rPr>
              <w:t xml:space="preserve"> </w:t>
            </w:r>
            <w:r>
              <w:t xml:space="preserve">the LEP area must be conducted by the end of the project. </w:t>
            </w:r>
          </w:p>
          <w:p w14:paraId="59F05612" w14:textId="77777777" w:rsidR="00A55BAF" w:rsidRPr="00384794" w:rsidRDefault="00A55BAF">
            <w:pPr>
              <w:autoSpaceDE w:val="0"/>
              <w:autoSpaceDN w:val="0"/>
              <w:adjustRightInd w:val="0"/>
              <w:rPr>
                <w:rFonts w:cs="Arial"/>
                <w:b/>
                <w:lang w:eastAsia="en-GB"/>
              </w:rPr>
            </w:pPr>
          </w:p>
          <w:p w14:paraId="59F05613" w14:textId="77777777" w:rsidR="00B048EE" w:rsidRDefault="4D650098" w:rsidP="00BC357A">
            <w:pPr>
              <w:rPr>
                <w:rFonts w:cs="Arial"/>
                <w:b/>
              </w:rPr>
            </w:pPr>
            <w:r w:rsidRPr="4D650098">
              <w:rPr>
                <w:rFonts w:eastAsia="Arial" w:cs="Arial"/>
                <w:b/>
                <w:bCs/>
              </w:rPr>
              <w:t>The specific LEP requirements for the award of Grants are set out below.</w:t>
            </w:r>
          </w:p>
          <w:p w14:paraId="59F05614" w14:textId="77777777" w:rsidR="00D40280" w:rsidRDefault="00D40280" w:rsidP="00D40280">
            <w:pPr>
              <w:spacing w:before="20" w:after="20"/>
              <w:rPr>
                <w:rFonts w:cs="Arial"/>
              </w:rPr>
            </w:pPr>
          </w:p>
          <w:p w14:paraId="59F05615" w14:textId="21EE6B38" w:rsidR="00D40280" w:rsidRDefault="4D650098" w:rsidP="00D40280">
            <w:pPr>
              <w:spacing w:before="20" w:after="20"/>
              <w:rPr>
                <w:rFonts w:cs="Arial"/>
              </w:rPr>
            </w:pPr>
            <w:r w:rsidRPr="4D650098">
              <w:rPr>
                <w:rFonts w:eastAsia="Arial" w:cs="Arial"/>
              </w:rPr>
              <w:t>Grants of up to £15,000 must be awarded to small voluntary and community organisations within the LEP to fund projects which are aimed at increasing the participation of the hardest to reach individuals to progress towards employment and improve employability skills.</w:t>
            </w:r>
          </w:p>
          <w:p w14:paraId="59F05616" w14:textId="7475A8A9" w:rsidR="00AB1409" w:rsidRDefault="00AB1409" w:rsidP="00AB1409">
            <w:pPr>
              <w:spacing w:before="20" w:after="20"/>
              <w:rPr>
                <w:rFonts w:cs="Arial"/>
              </w:rPr>
            </w:pPr>
          </w:p>
          <w:p w14:paraId="59F05617" w14:textId="77777777" w:rsidR="00AB1409" w:rsidRDefault="4D650098" w:rsidP="00AB1409">
            <w:pPr>
              <w:rPr>
                <w:rFonts w:cs="Arial"/>
              </w:rPr>
            </w:pPr>
            <w:r w:rsidRPr="4D650098">
              <w:rPr>
                <w:rFonts w:eastAsia="Arial" w:cs="Arial"/>
              </w:rPr>
              <w:t xml:space="preserve">The Projects funded must deliver a range of activities including:  </w:t>
            </w:r>
          </w:p>
          <w:p w14:paraId="7819B731" w14:textId="77777777" w:rsidR="006E594C" w:rsidRPr="00A608D5" w:rsidRDefault="006E594C" w:rsidP="00AB1409">
            <w:pPr>
              <w:rPr>
                <w:rFonts w:cs="Arial"/>
              </w:rPr>
            </w:pPr>
          </w:p>
          <w:p w14:paraId="59F05618" w14:textId="77777777" w:rsidR="00AB1409" w:rsidRPr="00005DA8" w:rsidRDefault="4D650098" w:rsidP="4D650098">
            <w:pPr>
              <w:pStyle w:val="ListParagraph"/>
              <w:numPr>
                <w:ilvl w:val="0"/>
                <w:numId w:val="11"/>
              </w:numPr>
              <w:rPr>
                <w:rFonts w:eastAsia="Arial" w:cs="Arial"/>
              </w:rPr>
            </w:pPr>
            <w:r w:rsidRPr="4D650098">
              <w:rPr>
                <w:rFonts w:eastAsia="Arial" w:cs="Arial"/>
              </w:rPr>
              <w:t>Help with basic skills</w:t>
            </w:r>
          </w:p>
          <w:p w14:paraId="59F05619" w14:textId="77777777" w:rsidR="00AB1409" w:rsidRPr="00005DA8" w:rsidRDefault="4D650098" w:rsidP="4D650098">
            <w:pPr>
              <w:pStyle w:val="ListParagraph"/>
              <w:numPr>
                <w:ilvl w:val="0"/>
                <w:numId w:val="11"/>
              </w:numPr>
              <w:rPr>
                <w:rFonts w:eastAsia="Arial" w:cs="Arial"/>
              </w:rPr>
            </w:pPr>
            <w:r w:rsidRPr="4D650098">
              <w:rPr>
                <w:rFonts w:eastAsia="Arial" w:cs="Arial"/>
              </w:rPr>
              <w:t>Taster work experience and voluntary work</w:t>
            </w:r>
          </w:p>
          <w:p w14:paraId="59F0561A" w14:textId="77777777" w:rsidR="00AB1409" w:rsidRPr="00005DA8" w:rsidRDefault="4D650098" w:rsidP="4D650098">
            <w:pPr>
              <w:pStyle w:val="ListParagraph"/>
              <w:numPr>
                <w:ilvl w:val="0"/>
                <w:numId w:val="11"/>
              </w:numPr>
              <w:rPr>
                <w:rFonts w:eastAsia="Arial" w:cs="Arial"/>
              </w:rPr>
            </w:pPr>
            <w:r w:rsidRPr="4D650098">
              <w:rPr>
                <w:rFonts w:eastAsia="Arial" w:cs="Arial"/>
              </w:rPr>
              <w:t>Information and support relating to training and work</w:t>
            </w:r>
          </w:p>
          <w:p w14:paraId="59F0561B" w14:textId="77777777" w:rsidR="00AB1409" w:rsidRPr="00005DA8" w:rsidRDefault="4D650098" w:rsidP="4D650098">
            <w:pPr>
              <w:pStyle w:val="ListParagraph"/>
              <w:numPr>
                <w:ilvl w:val="0"/>
                <w:numId w:val="11"/>
              </w:numPr>
              <w:rPr>
                <w:rFonts w:eastAsia="Arial" w:cs="Arial"/>
              </w:rPr>
            </w:pPr>
            <w:r w:rsidRPr="4D650098">
              <w:rPr>
                <w:rFonts w:eastAsia="Arial" w:cs="Arial"/>
              </w:rPr>
              <w:t>Job search assistance, including the provision of equipment and other assistance necessary to secure employment</w:t>
            </w:r>
          </w:p>
          <w:p w14:paraId="59F0561C" w14:textId="77777777" w:rsidR="00AB1409" w:rsidRPr="00005DA8" w:rsidRDefault="4D650098" w:rsidP="4D650098">
            <w:pPr>
              <w:pStyle w:val="ListParagraph"/>
              <w:numPr>
                <w:ilvl w:val="0"/>
                <w:numId w:val="11"/>
              </w:numPr>
              <w:rPr>
                <w:rFonts w:eastAsia="Arial" w:cs="Arial"/>
              </w:rPr>
            </w:pPr>
            <w:r w:rsidRPr="4D650098">
              <w:rPr>
                <w:rFonts w:eastAsia="Arial" w:cs="Arial"/>
              </w:rPr>
              <w:t>Confidence building and personal development</w:t>
            </w:r>
          </w:p>
          <w:p w14:paraId="59F0561D" w14:textId="77777777" w:rsidR="00AB1409" w:rsidRPr="00005DA8" w:rsidRDefault="4D650098" w:rsidP="4D650098">
            <w:pPr>
              <w:pStyle w:val="ListParagraph"/>
              <w:numPr>
                <w:ilvl w:val="0"/>
                <w:numId w:val="11"/>
              </w:numPr>
              <w:rPr>
                <w:rFonts w:eastAsia="Arial" w:cs="Arial"/>
              </w:rPr>
            </w:pPr>
            <w:r w:rsidRPr="4D650098">
              <w:rPr>
                <w:rFonts w:eastAsia="Arial" w:cs="Arial"/>
              </w:rPr>
              <w:t>Training, advice &amp; counselling</w:t>
            </w:r>
          </w:p>
          <w:p w14:paraId="59F0561E" w14:textId="4801114D" w:rsidR="00AB1409" w:rsidRDefault="4D650098" w:rsidP="4D650098">
            <w:pPr>
              <w:pStyle w:val="ListParagraph"/>
              <w:numPr>
                <w:ilvl w:val="0"/>
                <w:numId w:val="11"/>
              </w:numPr>
              <w:rPr>
                <w:rFonts w:eastAsia="Arial" w:cs="Arial"/>
              </w:rPr>
            </w:pPr>
            <w:r w:rsidRPr="4D650098">
              <w:rPr>
                <w:rFonts w:eastAsia="Arial" w:cs="Arial"/>
              </w:rPr>
              <w:t>First contact engagement to provide support with overcoming barriers to learning and/or employment</w:t>
            </w:r>
          </w:p>
          <w:p w14:paraId="59F05620" w14:textId="77777777" w:rsidR="00D40280" w:rsidRDefault="00D40280" w:rsidP="00AA3AA6">
            <w:pPr>
              <w:rPr>
                <w:rFonts w:cs="Arial"/>
              </w:rPr>
            </w:pPr>
          </w:p>
          <w:p w14:paraId="59F05621" w14:textId="77777777" w:rsidR="00AA3AA6" w:rsidRDefault="4D650098" w:rsidP="00AA3AA6">
            <w:pPr>
              <w:rPr>
                <w:rFonts w:cs="Arial"/>
              </w:rPr>
            </w:pPr>
            <w:r w:rsidRPr="4D650098">
              <w:rPr>
                <w:rFonts w:eastAsia="Arial" w:cs="Arial"/>
              </w:rPr>
              <w:t>The Projects funded must target beneficiaries who are unemployed and economically inactive residents aged 18 years and above who are from the hardest to reach backgrounds and face difficulty in accessing mainstream services.</w:t>
            </w:r>
          </w:p>
          <w:p w14:paraId="0B25893A" w14:textId="77777777" w:rsidR="006E594C" w:rsidRDefault="006E594C" w:rsidP="009136D4">
            <w:pPr>
              <w:rPr>
                <w:rFonts w:cs="Arial"/>
              </w:rPr>
            </w:pPr>
          </w:p>
          <w:p w14:paraId="59F05622" w14:textId="77777777" w:rsidR="009136D4" w:rsidRDefault="4D650098" w:rsidP="009136D4">
            <w:pPr>
              <w:rPr>
                <w:rFonts w:cs="Arial"/>
              </w:rPr>
            </w:pPr>
            <w:r w:rsidRPr="4D650098">
              <w:rPr>
                <w:rFonts w:eastAsia="Arial" w:cs="Arial"/>
              </w:rPr>
              <w:t>Priority groups supported by Grants should include:</w:t>
            </w:r>
          </w:p>
          <w:p w14:paraId="59F05623" w14:textId="77777777" w:rsidR="009136D4" w:rsidRDefault="009136D4" w:rsidP="009136D4">
            <w:pPr>
              <w:rPr>
                <w:rFonts w:cs="Arial"/>
              </w:rPr>
            </w:pPr>
          </w:p>
          <w:p w14:paraId="59F05624" w14:textId="77777777" w:rsidR="009136D4" w:rsidRPr="00263B21" w:rsidRDefault="4D650098" w:rsidP="4D650098">
            <w:pPr>
              <w:pStyle w:val="ListParagraph"/>
              <w:numPr>
                <w:ilvl w:val="0"/>
                <w:numId w:val="10"/>
              </w:numPr>
              <w:contextualSpacing w:val="0"/>
              <w:rPr>
                <w:rFonts w:eastAsia="Arial" w:cs="Arial"/>
              </w:rPr>
            </w:pPr>
            <w:r w:rsidRPr="4D650098">
              <w:rPr>
                <w:rFonts w:eastAsia="Arial" w:cs="Arial"/>
              </w:rPr>
              <w:t xml:space="preserve">Those with moderate/mild mental health condition (including substance and alcohol addiction) </w:t>
            </w:r>
          </w:p>
          <w:p w14:paraId="59F05625" w14:textId="77777777" w:rsidR="009136D4" w:rsidRPr="00263B21" w:rsidRDefault="4D650098" w:rsidP="4D650098">
            <w:pPr>
              <w:pStyle w:val="ListParagraph"/>
              <w:numPr>
                <w:ilvl w:val="0"/>
                <w:numId w:val="10"/>
              </w:numPr>
              <w:contextualSpacing w:val="0"/>
              <w:rPr>
                <w:rFonts w:eastAsia="Arial" w:cs="Arial"/>
              </w:rPr>
            </w:pPr>
            <w:r w:rsidRPr="4D650098">
              <w:rPr>
                <w:rFonts w:eastAsia="Arial" w:cs="Arial"/>
              </w:rPr>
              <w:t>Victims of domestic violence/abuse</w:t>
            </w:r>
          </w:p>
          <w:p w14:paraId="59F05626" w14:textId="77777777" w:rsidR="009136D4" w:rsidRPr="00263B21" w:rsidRDefault="4D650098" w:rsidP="4D650098">
            <w:pPr>
              <w:pStyle w:val="ListParagraph"/>
              <w:numPr>
                <w:ilvl w:val="0"/>
                <w:numId w:val="10"/>
              </w:numPr>
              <w:contextualSpacing w:val="0"/>
              <w:rPr>
                <w:rFonts w:eastAsia="Arial" w:cs="Arial"/>
              </w:rPr>
            </w:pPr>
            <w:r w:rsidRPr="4D650098">
              <w:rPr>
                <w:rFonts w:eastAsia="Arial" w:cs="Arial"/>
              </w:rPr>
              <w:t>Long term benefit dependents</w:t>
            </w:r>
          </w:p>
          <w:p w14:paraId="59F05627" w14:textId="77777777" w:rsidR="009136D4" w:rsidRPr="00263B21" w:rsidRDefault="4D650098" w:rsidP="4D650098">
            <w:pPr>
              <w:pStyle w:val="ListParagraph"/>
              <w:numPr>
                <w:ilvl w:val="0"/>
                <w:numId w:val="10"/>
              </w:numPr>
              <w:contextualSpacing w:val="0"/>
              <w:rPr>
                <w:rFonts w:eastAsia="Arial" w:cs="Arial"/>
              </w:rPr>
            </w:pPr>
            <w:r w:rsidRPr="4D650098">
              <w:rPr>
                <w:rFonts w:eastAsia="Arial" w:cs="Arial"/>
              </w:rPr>
              <w:t>Lone parents and families</w:t>
            </w:r>
          </w:p>
          <w:p w14:paraId="59F05628" w14:textId="77777777" w:rsidR="009136D4" w:rsidRPr="00263B21" w:rsidRDefault="4D650098" w:rsidP="4D650098">
            <w:pPr>
              <w:pStyle w:val="ListParagraph"/>
              <w:numPr>
                <w:ilvl w:val="0"/>
                <w:numId w:val="10"/>
              </w:numPr>
              <w:contextualSpacing w:val="0"/>
              <w:rPr>
                <w:rFonts w:eastAsia="Arial" w:cs="Arial"/>
              </w:rPr>
            </w:pPr>
            <w:r w:rsidRPr="4D650098">
              <w:rPr>
                <w:rFonts w:eastAsia="Arial" w:cs="Arial"/>
              </w:rPr>
              <w:t>Those with housing/homelessness issues</w:t>
            </w:r>
          </w:p>
          <w:p w14:paraId="59F05629" w14:textId="77777777" w:rsidR="009136D4" w:rsidRPr="00263B21" w:rsidRDefault="4D650098" w:rsidP="4D650098">
            <w:pPr>
              <w:pStyle w:val="ListParagraph"/>
              <w:numPr>
                <w:ilvl w:val="0"/>
                <w:numId w:val="10"/>
              </w:numPr>
              <w:contextualSpacing w:val="0"/>
              <w:rPr>
                <w:rFonts w:eastAsia="Arial" w:cs="Arial"/>
              </w:rPr>
            </w:pPr>
            <w:r w:rsidRPr="4D650098">
              <w:rPr>
                <w:rFonts w:eastAsia="Arial" w:cs="Arial"/>
              </w:rPr>
              <w:t xml:space="preserve">Ex-offenders – who need support in addition to anything already being received </w:t>
            </w:r>
          </w:p>
          <w:p w14:paraId="59F0562A" w14:textId="77777777" w:rsidR="009136D4" w:rsidRPr="00263B21" w:rsidRDefault="4D650098" w:rsidP="4D650098">
            <w:pPr>
              <w:pStyle w:val="ListParagraph"/>
              <w:numPr>
                <w:ilvl w:val="0"/>
                <w:numId w:val="10"/>
              </w:numPr>
              <w:contextualSpacing w:val="0"/>
              <w:rPr>
                <w:rFonts w:eastAsia="Arial" w:cs="Arial"/>
              </w:rPr>
            </w:pPr>
            <w:r w:rsidRPr="4D650098">
              <w:rPr>
                <w:rFonts w:eastAsia="Arial" w:cs="Arial"/>
              </w:rPr>
              <w:t>People aged over 50</w:t>
            </w:r>
          </w:p>
          <w:p w14:paraId="59F0562B" w14:textId="77777777" w:rsidR="009136D4" w:rsidRPr="00263B21" w:rsidRDefault="4D650098" w:rsidP="4D650098">
            <w:pPr>
              <w:pStyle w:val="ListParagraph"/>
              <w:numPr>
                <w:ilvl w:val="0"/>
                <w:numId w:val="10"/>
              </w:numPr>
              <w:contextualSpacing w:val="0"/>
              <w:rPr>
                <w:rFonts w:eastAsia="Arial" w:cs="Arial"/>
              </w:rPr>
            </w:pPr>
            <w:r w:rsidRPr="4D650098">
              <w:rPr>
                <w:rFonts w:eastAsia="Arial" w:cs="Arial"/>
              </w:rPr>
              <w:t>Care leavers</w:t>
            </w:r>
          </w:p>
          <w:p w14:paraId="59F0562C" w14:textId="77777777" w:rsidR="009136D4" w:rsidRPr="00263B21" w:rsidRDefault="4D650098" w:rsidP="4D650098">
            <w:pPr>
              <w:pStyle w:val="ListParagraph"/>
              <w:numPr>
                <w:ilvl w:val="0"/>
                <w:numId w:val="10"/>
              </w:numPr>
              <w:contextualSpacing w:val="0"/>
              <w:rPr>
                <w:rFonts w:eastAsia="Arial" w:cs="Arial"/>
              </w:rPr>
            </w:pPr>
            <w:r w:rsidRPr="4D650098">
              <w:rPr>
                <w:rFonts w:eastAsia="Arial" w:cs="Arial"/>
              </w:rPr>
              <w:t>Unpaid carers</w:t>
            </w:r>
          </w:p>
          <w:p w14:paraId="59F0562D" w14:textId="77777777" w:rsidR="009136D4" w:rsidRPr="00263B21" w:rsidRDefault="4D650098" w:rsidP="4D650098">
            <w:pPr>
              <w:pStyle w:val="ListParagraph"/>
              <w:numPr>
                <w:ilvl w:val="0"/>
                <w:numId w:val="10"/>
              </w:numPr>
              <w:contextualSpacing w:val="0"/>
              <w:rPr>
                <w:rFonts w:eastAsia="Arial" w:cs="Arial"/>
              </w:rPr>
            </w:pPr>
            <w:r w:rsidRPr="4D650098">
              <w:rPr>
                <w:rFonts w:eastAsia="Arial" w:cs="Arial"/>
              </w:rPr>
              <w:t xml:space="preserve">Young unemployed/workless aged 18-24 </w:t>
            </w:r>
          </w:p>
          <w:p w14:paraId="59F0562E" w14:textId="77777777" w:rsidR="009136D4" w:rsidRDefault="4D650098" w:rsidP="4D650098">
            <w:pPr>
              <w:pStyle w:val="ListParagraph"/>
              <w:numPr>
                <w:ilvl w:val="0"/>
                <w:numId w:val="10"/>
              </w:numPr>
              <w:contextualSpacing w:val="0"/>
              <w:rPr>
                <w:rFonts w:eastAsia="Arial" w:cs="Arial"/>
              </w:rPr>
            </w:pPr>
            <w:r w:rsidRPr="4D650098">
              <w:rPr>
                <w:rFonts w:eastAsia="Arial" w:cs="Arial"/>
              </w:rPr>
              <w:t>Returners to the Labour Market</w:t>
            </w:r>
          </w:p>
          <w:p w14:paraId="59F0562F" w14:textId="77777777" w:rsidR="009136D4" w:rsidRPr="00263B21" w:rsidRDefault="4D650098" w:rsidP="4D650098">
            <w:pPr>
              <w:pStyle w:val="ListParagraph"/>
              <w:numPr>
                <w:ilvl w:val="0"/>
                <w:numId w:val="10"/>
              </w:numPr>
              <w:contextualSpacing w:val="0"/>
              <w:rPr>
                <w:rFonts w:eastAsia="Arial" w:cs="Arial"/>
              </w:rPr>
            </w:pPr>
            <w:r w:rsidRPr="4D650098">
              <w:rPr>
                <w:rFonts w:eastAsia="Arial" w:cs="Arial"/>
              </w:rPr>
              <w:t xml:space="preserve">Geographical or social isolation and loneliness </w:t>
            </w:r>
          </w:p>
          <w:p w14:paraId="59F05630" w14:textId="77777777" w:rsidR="00AA3AA6" w:rsidRDefault="00AA3AA6" w:rsidP="00AA3AA6">
            <w:pPr>
              <w:rPr>
                <w:rFonts w:cs="Arial"/>
                <w:sz w:val="18"/>
                <w:szCs w:val="18"/>
              </w:rPr>
            </w:pPr>
          </w:p>
          <w:p w14:paraId="59F05631" w14:textId="77777777" w:rsidR="001450FE" w:rsidRDefault="4D650098" w:rsidP="001450FE">
            <w:pPr>
              <w:rPr>
                <w:rFonts w:cs="Arial"/>
              </w:rPr>
            </w:pPr>
            <w:r w:rsidRPr="4D650098">
              <w:rPr>
                <w:rFonts w:eastAsia="Arial" w:cs="Arial"/>
              </w:rPr>
              <w:t xml:space="preserve">The successful Candidate will be required to advise Recipients about services that could support the individual beneficiaries such as the National Careers Service and the promotion of Apprenticeships and Traineeships. </w:t>
            </w:r>
          </w:p>
          <w:p w14:paraId="59F05632" w14:textId="77777777" w:rsidR="00D542C8" w:rsidRDefault="00D542C8" w:rsidP="001450FE">
            <w:pPr>
              <w:rPr>
                <w:rFonts w:cs="Arial"/>
              </w:rPr>
            </w:pPr>
          </w:p>
          <w:p w14:paraId="59F05633" w14:textId="572D30C4" w:rsidR="00D542C8" w:rsidRDefault="4D650098" w:rsidP="00A7579B">
            <w:r>
              <w:t xml:space="preserve">LMI and monitoring reports must be provided for each LEP area and broken down into Local Authority and District level. </w:t>
            </w:r>
          </w:p>
          <w:p w14:paraId="59F05638" w14:textId="77777777" w:rsidR="00344FA1" w:rsidRPr="007C2B80" w:rsidRDefault="00344FA1" w:rsidP="00C107CE">
            <w:pPr>
              <w:pStyle w:val="ListParagraph"/>
              <w:autoSpaceDE w:val="0"/>
              <w:autoSpaceDN w:val="0"/>
              <w:adjustRightInd w:val="0"/>
              <w:ind w:left="313"/>
              <w:rPr>
                <w:rFonts w:cs="Arial"/>
              </w:rPr>
            </w:pPr>
          </w:p>
        </w:tc>
      </w:tr>
      <w:tr w:rsidR="00967429" w:rsidRPr="00544738" w14:paraId="59F0563B" w14:textId="77777777" w:rsidTr="4D650098">
        <w:trPr>
          <w:trHeight w:val="567"/>
        </w:trPr>
        <w:tc>
          <w:tcPr>
            <w:tcW w:w="9088" w:type="dxa"/>
            <w:shd w:val="clear" w:color="auto" w:fill="D9D9D9" w:themeFill="background1" w:themeFillShade="D9"/>
            <w:vAlign w:val="center"/>
          </w:tcPr>
          <w:p w14:paraId="59F0563A" w14:textId="77777777" w:rsidR="00967429" w:rsidRPr="00544738" w:rsidRDefault="4D650098" w:rsidP="00FD3B0A">
            <w:pPr>
              <w:pStyle w:val="SpecificationHeading"/>
            </w:pPr>
            <w:r>
              <w:lastRenderedPageBreak/>
              <w:t>ELIGIBILITY</w:t>
            </w:r>
          </w:p>
        </w:tc>
      </w:tr>
      <w:tr w:rsidR="00967429" w:rsidRPr="00EF4406" w14:paraId="59F05646" w14:textId="77777777" w:rsidTr="4D650098">
        <w:tc>
          <w:tcPr>
            <w:tcW w:w="9088" w:type="dxa"/>
          </w:tcPr>
          <w:p w14:paraId="59F0563C" w14:textId="77777777" w:rsidR="001E23AA" w:rsidRDefault="001E23AA" w:rsidP="002F70E9">
            <w:pPr>
              <w:rPr>
                <w:rFonts w:cs="Arial"/>
                <w:b/>
                <w:u w:val="single"/>
              </w:rPr>
            </w:pPr>
          </w:p>
          <w:p w14:paraId="59F0563D" w14:textId="77777777" w:rsidR="00A005EF" w:rsidRDefault="4D650098" w:rsidP="00A005EF">
            <w:pPr>
              <w:rPr>
                <w:b/>
              </w:rPr>
            </w:pPr>
            <w:r w:rsidRPr="4D650098">
              <w:rPr>
                <w:b/>
                <w:bCs/>
              </w:rPr>
              <w:t>General</w:t>
            </w:r>
          </w:p>
          <w:p w14:paraId="418ACE23" w14:textId="77777777" w:rsidR="00130D00" w:rsidRPr="00344FA1" w:rsidRDefault="00130D00" w:rsidP="00A005EF"/>
          <w:p w14:paraId="59F0563E" w14:textId="339AE434" w:rsidR="00A005EF" w:rsidRPr="002833D9" w:rsidRDefault="4D650098" w:rsidP="00A005EF">
            <w:pPr>
              <w:rPr>
                <w:rFonts w:cs="Arial"/>
              </w:rPr>
            </w:pPr>
            <w:r w:rsidRPr="4D650098">
              <w:rPr>
                <w:rFonts w:eastAsia="Arial" w:cs="Arial"/>
              </w:rPr>
              <w:t>General eligibility requirements are set out in: the</w:t>
            </w:r>
            <w:r>
              <w:t xml:space="preserve"> </w:t>
            </w:r>
            <w:r w:rsidRPr="4D650098">
              <w:rPr>
                <w:rFonts w:eastAsia="Arial" w:cs="Arial"/>
              </w:rPr>
              <w:t xml:space="preserve">European Social Fund Programme for England 2014-2020 National Eligibility Rules which can be found by accessing this web site: </w:t>
            </w:r>
            <w:hyperlink r:id="rId21">
              <w:r w:rsidRPr="4D650098">
                <w:rPr>
                  <w:rStyle w:val="Hyperlink"/>
                  <w:rFonts w:eastAsia="Arial" w:cs="Arial"/>
                  <w:sz w:val="24"/>
                  <w:szCs w:val="24"/>
                </w:rPr>
                <w:t>https://www.gov.uk/government/publications/european-structural-and-investment-funds-programme-guidance</w:t>
              </w:r>
            </w:hyperlink>
            <w:r w:rsidRPr="4D650098">
              <w:rPr>
                <w:rFonts w:eastAsia="Arial" w:cs="Arial"/>
              </w:rPr>
              <w:t xml:space="preserve"> </w:t>
            </w:r>
          </w:p>
          <w:p w14:paraId="59F05645" w14:textId="77777777" w:rsidR="00FD3B0A" w:rsidRPr="00344FA1" w:rsidRDefault="00FD3B0A" w:rsidP="000F1D40">
            <w:pPr>
              <w:autoSpaceDE w:val="0"/>
              <w:autoSpaceDN w:val="0"/>
              <w:adjustRightInd w:val="0"/>
              <w:rPr>
                <w:rFonts w:cs="Arial"/>
                <w:color w:val="000000"/>
              </w:rPr>
            </w:pPr>
          </w:p>
        </w:tc>
      </w:tr>
      <w:tr w:rsidR="00967429" w:rsidRPr="00EF4406" w14:paraId="59F05648" w14:textId="77777777" w:rsidTr="4D650098">
        <w:trPr>
          <w:trHeight w:val="567"/>
        </w:trPr>
        <w:tc>
          <w:tcPr>
            <w:tcW w:w="9088" w:type="dxa"/>
            <w:shd w:val="clear" w:color="auto" w:fill="D9D9D9" w:themeFill="background1" w:themeFillShade="D9"/>
            <w:vAlign w:val="center"/>
          </w:tcPr>
          <w:p w14:paraId="59F05647" w14:textId="77777777" w:rsidR="00967429" w:rsidRPr="00A005EF" w:rsidRDefault="4D650098" w:rsidP="005E37D8">
            <w:pPr>
              <w:spacing w:before="120" w:after="120"/>
              <w:rPr>
                <w:b/>
                <w:bCs/>
              </w:rPr>
            </w:pPr>
            <w:r w:rsidRPr="4D650098">
              <w:rPr>
                <w:b/>
                <w:bCs/>
              </w:rPr>
              <w:t>GEOGRAPHY / AREA OF DELIVERY</w:t>
            </w:r>
          </w:p>
        </w:tc>
      </w:tr>
      <w:tr w:rsidR="00967429" w:rsidRPr="0052695C" w14:paraId="59F05650" w14:textId="77777777" w:rsidTr="4D650098">
        <w:trPr>
          <w:trHeight w:val="983"/>
        </w:trPr>
        <w:tc>
          <w:tcPr>
            <w:tcW w:w="9088" w:type="dxa"/>
          </w:tcPr>
          <w:p w14:paraId="59F05649" w14:textId="77777777" w:rsidR="00A005EF" w:rsidRDefault="00A005EF" w:rsidP="00A005EF"/>
          <w:p w14:paraId="59F0564A" w14:textId="77777777" w:rsidR="007E7731" w:rsidRDefault="4D650098" w:rsidP="00A005EF">
            <w:pPr>
              <w:rPr>
                <w:b/>
              </w:rPr>
            </w:pPr>
            <w:r w:rsidRPr="4D650098">
              <w:rPr>
                <w:b/>
                <w:bCs/>
              </w:rPr>
              <w:t>LEP Specific</w:t>
            </w:r>
          </w:p>
          <w:p w14:paraId="467D6B00" w14:textId="77777777" w:rsidR="00130D00" w:rsidRPr="00C107CE" w:rsidRDefault="00130D00" w:rsidP="00A005EF">
            <w:pPr>
              <w:rPr>
                <w:b/>
              </w:rPr>
            </w:pPr>
          </w:p>
          <w:p w14:paraId="59F0564B" w14:textId="77777777" w:rsidR="00AA3AA6" w:rsidRDefault="4D650098" w:rsidP="00B263DA">
            <w:pPr>
              <w:autoSpaceDE w:val="0"/>
              <w:autoSpaceDN w:val="0"/>
              <w:adjustRightInd w:val="0"/>
              <w:rPr>
                <w:rFonts w:cs="Arial"/>
              </w:rPr>
            </w:pPr>
            <w:r w:rsidRPr="4D650098">
              <w:rPr>
                <w:rFonts w:eastAsia="Arial" w:cs="Arial"/>
              </w:rPr>
              <w:t>The Services will be delivered within the York, North Yorkshire and East Riding, and Humber Local Enterprise Partnership areas.</w:t>
            </w:r>
          </w:p>
          <w:p w14:paraId="59F0564F" w14:textId="7D59D98B" w:rsidR="007C2B80" w:rsidRPr="00FF6CCA" w:rsidRDefault="007C2B80" w:rsidP="00B263DA">
            <w:pPr>
              <w:autoSpaceDE w:val="0"/>
              <w:autoSpaceDN w:val="0"/>
              <w:adjustRightInd w:val="0"/>
            </w:pPr>
          </w:p>
        </w:tc>
      </w:tr>
      <w:tr w:rsidR="00967429" w:rsidRPr="00505117" w14:paraId="59F05652" w14:textId="77777777" w:rsidTr="4D650098">
        <w:trPr>
          <w:trHeight w:val="567"/>
        </w:trPr>
        <w:tc>
          <w:tcPr>
            <w:tcW w:w="9088" w:type="dxa"/>
            <w:shd w:val="clear" w:color="auto" w:fill="D9D9D9" w:themeFill="background1" w:themeFillShade="D9"/>
            <w:vAlign w:val="center"/>
          </w:tcPr>
          <w:p w14:paraId="59F05651" w14:textId="77777777" w:rsidR="00967429" w:rsidRPr="00A005EF" w:rsidRDefault="4D650098" w:rsidP="00DA3E5E">
            <w:pPr>
              <w:spacing w:before="120" w:after="120"/>
              <w:rPr>
                <w:b/>
                <w:bCs/>
              </w:rPr>
            </w:pPr>
            <w:r w:rsidRPr="4D650098">
              <w:rPr>
                <w:b/>
                <w:bCs/>
              </w:rPr>
              <w:t>FUNDING AND DELIVERABLES</w:t>
            </w:r>
          </w:p>
        </w:tc>
      </w:tr>
      <w:tr w:rsidR="00967429" w:rsidRPr="00EF4406" w14:paraId="59F056CA" w14:textId="77777777" w:rsidTr="4D650098">
        <w:trPr>
          <w:trHeight w:val="1408"/>
        </w:trPr>
        <w:tc>
          <w:tcPr>
            <w:tcW w:w="9088" w:type="dxa"/>
          </w:tcPr>
          <w:p w14:paraId="59F05653" w14:textId="77777777" w:rsidR="007E7731" w:rsidRDefault="007E7731" w:rsidP="00A005EF">
            <w:pPr>
              <w:rPr>
                <w:rFonts w:cs="Arial"/>
              </w:rPr>
            </w:pPr>
          </w:p>
          <w:p w14:paraId="59F05654" w14:textId="77777777" w:rsidR="007E7731" w:rsidRDefault="4D650098" w:rsidP="00A005EF">
            <w:pPr>
              <w:rPr>
                <w:rFonts w:cs="Arial"/>
                <w:b/>
              </w:rPr>
            </w:pPr>
            <w:r w:rsidRPr="4D650098">
              <w:rPr>
                <w:rFonts w:eastAsia="Arial" w:cs="Arial"/>
                <w:b/>
                <w:bCs/>
              </w:rPr>
              <w:t>LEP Specific</w:t>
            </w:r>
          </w:p>
          <w:p w14:paraId="001D646F" w14:textId="77777777" w:rsidR="006E594C" w:rsidRPr="00C107CE" w:rsidRDefault="006E594C" w:rsidP="00A005EF">
            <w:pPr>
              <w:rPr>
                <w:rFonts w:cs="Arial"/>
                <w:b/>
              </w:rPr>
            </w:pPr>
          </w:p>
          <w:p w14:paraId="59F05656" w14:textId="5B0F4ADE" w:rsidR="007E7731" w:rsidRDefault="4D650098" w:rsidP="00A005EF">
            <w:pPr>
              <w:rPr>
                <w:rFonts w:cs="Arial"/>
              </w:rPr>
            </w:pPr>
            <w:r w:rsidRPr="4D650098">
              <w:rPr>
                <w:rFonts w:eastAsia="Arial" w:cs="Arial"/>
              </w:rPr>
              <w:t xml:space="preserve">Currently £2,000,000 will be available for the period 1 June 2016 to 31 March 2018. This may be increased if additional funding becomes available. </w:t>
            </w:r>
          </w:p>
          <w:p w14:paraId="59F05657" w14:textId="77777777" w:rsidR="00A005EF" w:rsidRPr="006C64F5" w:rsidRDefault="00A005EF" w:rsidP="00A005EF">
            <w:pPr>
              <w:rPr>
                <w:b/>
                <w:highlight w:val="yellow"/>
              </w:rPr>
            </w:pPr>
          </w:p>
          <w:p w14:paraId="59F05658" w14:textId="77777777" w:rsidR="00A005EF" w:rsidRDefault="4D650098" w:rsidP="00A005EF">
            <w:pPr>
              <w:autoSpaceDE w:val="0"/>
              <w:autoSpaceDN w:val="0"/>
              <w:adjustRightInd w:val="0"/>
              <w:rPr>
                <w:rFonts w:cs="Arial"/>
              </w:rPr>
            </w:pPr>
            <w:r w:rsidRPr="4D650098">
              <w:rPr>
                <w:rFonts w:eastAsia="Arial" w:cs="Arial"/>
              </w:rPr>
              <w:t>The minimum service deliverables, values and volumes for which evidence must be provided are:</w:t>
            </w:r>
          </w:p>
          <w:p w14:paraId="59F05659" w14:textId="77777777" w:rsidR="00C107CE" w:rsidRDefault="00C107CE" w:rsidP="00A005EF">
            <w:pPr>
              <w:autoSpaceDE w:val="0"/>
              <w:autoSpaceDN w:val="0"/>
              <w:adjustRightInd w:val="0"/>
              <w:rPr>
                <w:rFonts w:cs="Arial"/>
              </w:rPr>
            </w:pPr>
          </w:p>
          <w:p w14:paraId="59F0565A" w14:textId="4D5E0826" w:rsidR="001C77FC" w:rsidRPr="006E594C" w:rsidRDefault="4D650098" w:rsidP="4D650098">
            <w:pPr>
              <w:pStyle w:val="ListParagraph"/>
              <w:numPr>
                <w:ilvl w:val="0"/>
                <w:numId w:val="13"/>
              </w:numPr>
              <w:rPr>
                <w:rFonts w:eastAsia="Arial" w:cs="Arial"/>
              </w:rPr>
            </w:pPr>
            <w:r w:rsidRPr="4D650098">
              <w:rPr>
                <w:rFonts w:eastAsia="Arial" w:cs="Arial"/>
              </w:rPr>
              <w:t xml:space="preserve">Grant payments should be paid to grant recipient over a period of time in increments to ensure agreed performance indicators are delivered </w:t>
            </w:r>
          </w:p>
          <w:p w14:paraId="59F0565B" w14:textId="77777777" w:rsidR="00912B88" w:rsidRDefault="00912B88" w:rsidP="001450FE">
            <w:pPr>
              <w:rPr>
                <w:rFonts w:cs="Arial"/>
              </w:rPr>
            </w:pPr>
          </w:p>
          <w:p w14:paraId="59F0565C" w14:textId="4BB840E0" w:rsidR="00912B88" w:rsidRDefault="4D650098" w:rsidP="006E594C">
            <w:pPr>
              <w:pStyle w:val="ListBullet"/>
              <w:numPr>
                <w:ilvl w:val="0"/>
                <w:numId w:val="13"/>
              </w:numPr>
            </w:pPr>
            <w:r>
              <w:t>One Candidate is required to deliver across all three areas</w:t>
            </w:r>
          </w:p>
          <w:p w14:paraId="59F0565D" w14:textId="77777777" w:rsidR="00912B88" w:rsidRDefault="00912B88" w:rsidP="001450FE">
            <w:pPr>
              <w:rPr>
                <w:rFonts w:cs="Arial"/>
              </w:rPr>
            </w:pPr>
          </w:p>
          <w:p w14:paraId="59F0565F" w14:textId="7D9F811F" w:rsidR="0043144D" w:rsidRPr="0043144D" w:rsidRDefault="4D650098" w:rsidP="0043144D">
            <w:pPr>
              <w:rPr>
                <w:rFonts w:cs="Arial"/>
                <w:sz w:val="22"/>
                <w:szCs w:val="22"/>
              </w:rPr>
            </w:pPr>
            <w:r w:rsidRPr="4D650098">
              <w:rPr>
                <w:rFonts w:eastAsia="Arial" w:cs="Arial"/>
              </w:rPr>
              <w:lastRenderedPageBreak/>
              <w:t>Transition Areas</w:t>
            </w:r>
          </w:p>
          <w:p w14:paraId="59F05660" w14:textId="77777777" w:rsidR="0043144D" w:rsidRPr="0043144D" w:rsidRDefault="0043144D" w:rsidP="0043144D">
            <w:pPr>
              <w:rPr>
                <w:rFonts w:cs="Arial"/>
              </w:rPr>
            </w:pPr>
          </w:p>
          <w:p w14:paraId="59F05661" w14:textId="77777777" w:rsidR="0043144D" w:rsidRPr="00660917" w:rsidRDefault="4D650098" w:rsidP="0043144D">
            <w:pPr>
              <w:rPr>
                <w:rFonts w:ascii="Calibri" w:hAnsi="Calibri"/>
                <w:iCs/>
              </w:rPr>
            </w:pPr>
            <w:r w:rsidRPr="4D650098">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9F05662" w14:textId="77777777" w:rsidR="0043144D" w:rsidRPr="00660917" w:rsidRDefault="4D650098" w:rsidP="0043144D">
            <w:pPr>
              <w:ind w:left="720"/>
              <w:rPr>
                <w:iCs/>
              </w:rPr>
            </w:pPr>
            <w:r w:rsidRPr="4D650098">
              <w:rPr>
                <w:rFonts w:eastAsia="Arial" w:cs="Arial"/>
              </w:rPr>
              <w:t> </w:t>
            </w:r>
          </w:p>
          <w:p w14:paraId="59F05663" w14:textId="77777777" w:rsidR="0043144D" w:rsidRPr="00660917" w:rsidRDefault="4D650098" w:rsidP="0043144D">
            <w:pPr>
              <w:rPr>
                <w:rFonts w:cs="Arial"/>
                <w:iCs/>
              </w:rPr>
            </w:pPr>
            <w:r w:rsidRPr="4D650098">
              <w:rPr>
                <w:rFonts w:eastAsia="Arial" w:cs="Arial"/>
              </w:rPr>
              <w:t>Over 50s                                 min 14%</w:t>
            </w:r>
          </w:p>
          <w:p w14:paraId="59F05664" w14:textId="77777777" w:rsidR="0043144D" w:rsidRPr="00660917" w:rsidRDefault="4D650098" w:rsidP="0043144D">
            <w:pPr>
              <w:rPr>
                <w:rFonts w:ascii="Calibri" w:hAnsi="Calibri"/>
                <w:iCs/>
              </w:rPr>
            </w:pPr>
            <w:r w:rsidRPr="4D650098">
              <w:rPr>
                <w:rFonts w:eastAsia="Arial" w:cs="Arial"/>
              </w:rPr>
              <w:t>Ethnic groups                          min 12%</w:t>
            </w:r>
          </w:p>
          <w:p w14:paraId="59F05665" w14:textId="77777777" w:rsidR="0043144D" w:rsidRPr="00660917" w:rsidRDefault="4D650098" w:rsidP="0043144D">
            <w:pPr>
              <w:rPr>
                <w:iCs/>
              </w:rPr>
            </w:pPr>
            <w:r w:rsidRPr="4D650098">
              <w:rPr>
                <w:rFonts w:eastAsia="Arial" w:cs="Arial"/>
              </w:rPr>
              <w:t>Disability/health issues            min 22%</w:t>
            </w:r>
          </w:p>
          <w:p w14:paraId="59F05666" w14:textId="77777777" w:rsidR="0043144D" w:rsidRPr="00660917" w:rsidRDefault="4D650098" w:rsidP="0043144D">
            <w:pPr>
              <w:rPr>
                <w:iCs/>
              </w:rPr>
            </w:pPr>
            <w:r w:rsidRPr="4D650098">
              <w:rPr>
                <w:rFonts w:eastAsia="Arial" w:cs="Arial"/>
              </w:rPr>
              <w:t>Female                                    min 36%</w:t>
            </w:r>
          </w:p>
          <w:p w14:paraId="59F05667" w14:textId="77777777" w:rsidR="0043144D" w:rsidRPr="00660917" w:rsidRDefault="4D650098" w:rsidP="0043144D">
            <w:pPr>
              <w:rPr>
                <w:rFonts w:cs="Arial"/>
                <w:iCs/>
              </w:rPr>
            </w:pPr>
            <w:r w:rsidRPr="4D650098">
              <w:rPr>
                <w:rFonts w:eastAsia="Arial" w:cs="Arial"/>
              </w:rPr>
              <w:t>Offenders/ex-offenders           min 29%</w:t>
            </w:r>
          </w:p>
          <w:p w14:paraId="59F05668" w14:textId="77777777" w:rsidR="0043144D" w:rsidRDefault="0043144D" w:rsidP="00A005EF">
            <w:pPr>
              <w:rPr>
                <w:rFonts w:cs="Arial"/>
              </w:rPr>
            </w:pPr>
          </w:p>
          <w:p w14:paraId="59F05669" w14:textId="48AE02DA" w:rsidR="002B1C13" w:rsidRPr="00A7579B" w:rsidRDefault="4D650098" w:rsidP="00A005EF">
            <w:pPr>
              <w:rPr>
                <w:rFonts w:cs="Arial"/>
                <w:b/>
              </w:rPr>
            </w:pPr>
            <w:r w:rsidRPr="4D650098">
              <w:rPr>
                <w:rFonts w:eastAsia="Arial" w:cs="Arial"/>
                <w:b/>
                <w:bCs/>
              </w:rPr>
              <w:t>Transition Region Type (East Riding)</w:t>
            </w:r>
          </w:p>
          <w:p w14:paraId="59F0566B" w14:textId="77777777" w:rsidR="009507C7" w:rsidRDefault="009507C7" w:rsidP="00A005EF">
            <w:pPr>
              <w:rPr>
                <w:rFonts w:cs="Arial"/>
              </w:rPr>
            </w:pPr>
          </w:p>
          <w:tbl>
            <w:tblPr>
              <w:tblW w:w="9380" w:type="dxa"/>
              <w:tblLook w:val="04A0" w:firstRow="1" w:lastRow="0" w:firstColumn="1" w:lastColumn="0" w:noHBand="0" w:noVBand="1"/>
            </w:tblPr>
            <w:tblGrid>
              <w:gridCol w:w="3823"/>
              <w:gridCol w:w="1842"/>
              <w:gridCol w:w="1701"/>
              <w:gridCol w:w="2014"/>
            </w:tblGrid>
            <w:tr w:rsidR="008A65CE" w:rsidRPr="008025A2" w14:paraId="00433341" w14:textId="77777777" w:rsidTr="4D650098">
              <w:trPr>
                <w:trHeight w:val="1516"/>
              </w:trPr>
              <w:tc>
                <w:tcPr>
                  <w:tcW w:w="382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E4339A8" w14:textId="77777777" w:rsidR="008A65CE" w:rsidRPr="008025A2" w:rsidRDefault="4D650098" w:rsidP="008A65CE">
                  <w:pPr>
                    <w:rPr>
                      <w:rFonts w:cs="Arial"/>
                      <w:b/>
                      <w:bCs/>
                      <w:color w:val="000000"/>
                      <w:lang w:eastAsia="en-GB"/>
                    </w:rPr>
                  </w:pPr>
                  <w:r w:rsidRPr="4D650098">
                    <w:rPr>
                      <w:rFonts w:eastAsia="Arial" w:cs="Arial"/>
                      <w:b/>
                      <w:bCs/>
                      <w:color w:val="000000" w:themeColor="text1"/>
                      <w:lang w:eastAsia="en-GB"/>
                    </w:rPr>
                    <w:t>Description</w:t>
                  </w:r>
                </w:p>
              </w:tc>
              <w:tc>
                <w:tcPr>
                  <w:tcW w:w="184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407C949" w14:textId="77777777" w:rsidR="008A65CE" w:rsidRPr="008025A2" w:rsidRDefault="4D650098" w:rsidP="008A65CE">
                  <w:pPr>
                    <w:jc w:val="center"/>
                    <w:rPr>
                      <w:rFonts w:cs="Arial"/>
                      <w:b/>
                      <w:bCs/>
                      <w:color w:val="000000"/>
                      <w:lang w:eastAsia="en-GB"/>
                    </w:rPr>
                  </w:pPr>
                  <w:r w:rsidRPr="4D650098">
                    <w:rPr>
                      <w:rFonts w:eastAsia="Arial" w:cs="Arial"/>
                      <w:b/>
                      <w:bCs/>
                      <w:color w:val="000000" w:themeColor="text1"/>
                      <w:lang w:eastAsia="en-GB"/>
                    </w:rPr>
                    <w:t>Volumes</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9C1B489" w14:textId="77777777" w:rsidR="008A65CE" w:rsidRPr="008025A2" w:rsidRDefault="4D650098" w:rsidP="008A65CE">
                  <w:pPr>
                    <w:jc w:val="center"/>
                    <w:rPr>
                      <w:rFonts w:cs="Arial"/>
                      <w:b/>
                      <w:bCs/>
                      <w:color w:val="000000"/>
                      <w:lang w:eastAsia="en-GB"/>
                    </w:rPr>
                  </w:pPr>
                  <w:r w:rsidRPr="4D650098">
                    <w:rPr>
                      <w:rFonts w:eastAsia="Arial" w:cs="Arial"/>
                      <w:b/>
                      <w:bCs/>
                      <w:color w:val="000000" w:themeColor="text1"/>
                      <w:lang w:eastAsia="en-GB"/>
                    </w:rPr>
                    <w:t>Unit Cost Total Value Average per Intervention</w:t>
                  </w:r>
                </w:p>
              </w:tc>
              <w:tc>
                <w:tcPr>
                  <w:tcW w:w="201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737BC65" w14:textId="77777777" w:rsidR="008A65CE" w:rsidRPr="008025A2" w:rsidRDefault="4D650098" w:rsidP="008A65CE">
                  <w:pPr>
                    <w:jc w:val="center"/>
                    <w:rPr>
                      <w:rFonts w:cs="Arial"/>
                      <w:b/>
                      <w:bCs/>
                      <w:color w:val="000000"/>
                      <w:lang w:eastAsia="en-GB"/>
                    </w:rPr>
                  </w:pPr>
                  <w:r w:rsidRPr="4D650098">
                    <w:rPr>
                      <w:rFonts w:eastAsia="Arial" w:cs="Arial"/>
                      <w:b/>
                      <w:bCs/>
                      <w:color w:val="000000" w:themeColor="text1"/>
                      <w:lang w:eastAsia="en-GB"/>
                    </w:rPr>
                    <w:t>£</w:t>
                  </w:r>
                </w:p>
              </w:tc>
            </w:tr>
            <w:tr w:rsidR="008A65CE" w:rsidRPr="008025A2" w14:paraId="3CB72C7D" w14:textId="77777777" w:rsidTr="4D650098">
              <w:trPr>
                <w:trHeight w:val="450"/>
              </w:trPr>
              <w:tc>
                <w:tcPr>
                  <w:tcW w:w="3823"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D11FFCF" w14:textId="77777777" w:rsidR="008A65CE" w:rsidRPr="008025A2" w:rsidRDefault="4D650098" w:rsidP="008A65CE">
                  <w:pPr>
                    <w:rPr>
                      <w:rFonts w:cs="Arial"/>
                      <w:color w:val="000000"/>
                      <w:lang w:eastAsia="en-GB"/>
                    </w:rPr>
                  </w:pPr>
                  <w:r w:rsidRPr="4D650098">
                    <w:rPr>
                      <w:rFonts w:eastAsia="Arial" w:cs="Arial"/>
                      <w:color w:val="000000" w:themeColor="text1"/>
                      <w:lang w:eastAsia="en-GB"/>
                    </w:rPr>
                    <w:t>CG01 Community Grant Payment</w:t>
                  </w:r>
                </w:p>
              </w:tc>
              <w:tc>
                <w:tcPr>
                  <w:tcW w:w="1842"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268F6EB6" w14:textId="77777777" w:rsidR="008A65CE" w:rsidRPr="008025A2" w:rsidRDefault="008A65CE" w:rsidP="008A65CE">
                  <w:pPr>
                    <w:jc w:val="center"/>
                    <w:rPr>
                      <w:rFonts w:cs="Arial"/>
                      <w:color w:val="000000"/>
                      <w:lang w:eastAsia="en-GB"/>
                    </w:rPr>
                  </w:pPr>
                </w:p>
              </w:tc>
              <w:tc>
                <w:tcPr>
                  <w:tcW w:w="170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tcPr>
                <w:p w14:paraId="6796FB0E" w14:textId="77777777" w:rsidR="008A65CE" w:rsidRPr="008025A2" w:rsidRDefault="008A65CE" w:rsidP="008A65CE">
                  <w:pPr>
                    <w:jc w:val="center"/>
                    <w:rPr>
                      <w:rFonts w:cs="Arial"/>
                      <w:color w:val="000000"/>
                      <w:lang w:eastAsia="en-GB"/>
                    </w:rPr>
                  </w:pPr>
                </w:p>
              </w:tc>
              <w:tc>
                <w:tcPr>
                  <w:tcW w:w="201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262A381B" w14:textId="38391A81" w:rsidR="008A65CE" w:rsidRPr="008025A2" w:rsidRDefault="4D650098" w:rsidP="008A65CE">
                  <w:pPr>
                    <w:jc w:val="center"/>
                    <w:rPr>
                      <w:rFonts w:cs="Arial"/>
                      <w:color w:val="000000"/>
                      <w:lang w:eastAsia="en-GB"/>
                    </w:rPr>
                  </w:pPr>
                  <w:r w:rsidRPr="4D650098">
                    <w:rPr>
                      <w:rFonts w:eastAsia="Arial" w:cs="Arial"/>
                      <w:color w:val="000000" w:themeColor="text1"/>
                      <w:lang w:eastAsia="en-GB"/>
                    </w:rPr>
                    <w:t>£229,050</w:t>
                  </w:r>
                </w:p>
              </w:tc>
            </w:tr>
            <w:tr w:rsidR="008A65CE" w:rsidRPr="008025A2" w14:paraId="6DA0161B" w14:textId="77777777" w:rsidTr="4D650098">
              <w:trPr>
                <w:trHeight w:val="450"/>
              </w:trPr>
              <w:tc>
                <w:tcPr>
                  <w:tcW w:w="3823"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5A329897" w14:textId="77777777" w:rsidR="008A65CE" w:rsidRPr="008025A2" w:rsidRDefault="4D650098" w:rsidP="008A65CE">
                  <w:pPr>
                    <w:rPr>
                      <w:rFonts w:cs="Arial"/>
                      <w:color w:val="000000"/>
                      <w:lang w:eastAsia="en-GB"/>
                    </w:rPr>
                  </w:pPr>
                  <w:r w:rsidRPr="4D650098">
                    <w:rPr>
                      <w:rFonts w:eastAsia="Arial" w:cs="Arial"/>
                      <w:color w:val="000000" w:themeColor="text1"/>
                      <w:lang w:eastAsia="en-GB"/>
                    </w:rPr>
                    <w:t>CG02 Community Grant Management Cost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14C93F" w14:textId="77777777" w:rsidR="008A65CE" w:rsidRPr="008025A2" w:rsidRDefault="008A65CE" w:rsidP="008A65CE">
                  <w:pPr>
                    <w:jc w:val="center"/>
                    <w:rPr>
                      <w:rFonts w:cs="Arial"/>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96168" w14:textId="77777777" w:rsidR="008A65CE" w:rsidRPr="008025A2" w:rsidRDefault="008A65CE" w:rsidP="008A65CE">
                  <w:pPr>
                    <w:jc w:val="center"/>
                    <w:rPr>
                      <w:rFonts w:cs="Arial"/>
                      <w:color w:val="000000"/>
                      <w:lang w:eastAsia="en-GB"/>
                    </w:rPr>
                  </w:pP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AC5B9" w14:textId="1DB42B03" w:rsidR="008A65CE" w:rsidRPr="008025A2" w:rsidRDefault="4D650098" w:rsidP="008A65CE">
                  <w:pPr>
                    <w:jc w:val="center"/>
                    <w:rPr>
                      <w:rFonts w:cs="Arial"/>
                      <w:color w:val="000000"/>
                      <w:lang w:eastAsia="en-GB"/>
                    </w:rPr>
                  </w:pPr>
                  <w:r w:rsidRPr="4D650098">
                    <w:rPr>
                      <w:rFonts w:eastAsia="Arial" w:cs="Arial"/>
                      <w:color w:val="000000" w:themeColor="text1"/>
                      <w:lang w:eastAsia="en-GB"/>
                    </w:rPr>
                    <w:t>£25,450</w:t>
                  </w:r>
                </w:p>
              </w:tc>
            </w:tr>
            <w:tr w:rsidR="008A65CE" w:rsidRPr="008025A2" w14:paraId="66F18797" w14:textId="77777777" w:rsidTr="4D650098">
              <w:trPr>
                <w:trHeight w:val="450"/>
              </w:trPr>
              <w:tc>
                <w:tcPr>
                  <w:tcW w:w="3823"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17D0A16" w14:textId="77777777" w:rsidR="008A65CE" w:rsidRPr="008025A2" w:rsidRDefault="4D650098" w:rsidP="008A65CE">
                  <w:pPr>
                    <w:rPr>
                      <w:rFonts w:cs="Arial"/>
                      <w:color w:val="000000"/>
                      <w:lang w:eastAsia="en-GB"/>
                    </w:rPr>
                  </w:pPr>
                  <w:r w:rsidRPr="4D650098">
                    <w:rPr>
                      <w:rFonts w:eastAsia="Arial" w:cs="Arial"/>
                      <w:color w:val="000000" w:themeColor="text1"/>
                      <w:lang w:eastAsia="en-GB"/>
                    </w:rPr>
                    <w:t xml:space="preserve">ST01 Learner Assessment and Plan </w:t>
                  </w:r>
                </w:p>
              </w:tc>
              <w:tc>
                <w:tcPr>
                  <w:tcW w:w="1842"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24F8C6A2" w14:textId="028693B4" w:rsidR="008A65CE" w:rsidRPr="008025A2" w:rsidRDefault="4D650098" w:rsidP="00D61A04">
                  <w:pPr>
                    <w:jc w:val="center"/>
                    <w:rPr>
                      <w:rFonts w:cs="Arial"/>
                      <w:color w:val="000000"/>
                      <w:lang w:eastAsia="en-GB"/>
                    </w:rPr>
                  </w:pPr>
                  <w:r w:rsidRPr="4D650098">
                    <w:rPr>
                      <w:rFonts w:eastAsia="Arial" w:cs="Arial"/>
                      <w:color w:val="000000" w:themeColor="text1"/>
                      <w:lang w:eastAsia="en-GB"/>
                    </w:rPr>
                    <w:t>190</w:t>
                  </w:r>
                </w:p>
              </w:tc>
              <w:tc>
                <w:tcPr>
                  <w:tcW w:w="170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76E90A1E" w14:textId="77777777" w:rsidR="008A65CE" w:rsidRPr="008025A2" w:rsidRDefault="4D650098" w:rsidP="008A65CE">
                  <w:pPr>
                    <w:jc w:val="center"/>
                    <w:rPr>
                      <w:rFonts w:cs="Arial"/>
                      <w:color w:val="000000"/>
                      <w:lang w:eastAsia="en-GB"/>
                    </w:rPr>
                  </w:pPr>
                  <w:r w:rsidRPr="4D650098">
                    <w:rPr>
                      <w:rFonts w:eastAsia="Arial" w:cs="Arial"/>
                      <w:color w:val="000000" w:themeColor="text1"/>
                      <w:lang w:eastAsia="en-GB"/>
                    </w:rPr>
                    <w:t>£0</w:t>
                  </w:r>
                </w:p>
              </w:tc>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3615DC" w14:textId="77777777" w:rsidR="008A65CE" w:rsidRPr="008025A2" w:rsidRDefault="4D650098" w:rsidP="008A65CE">
                  <w:pPr>
                    <w:jc w:val="center"/>
                    <w:rPr>
                      <w:rFonts w:cs="Arial"/>
                      <w:color w:val="000000"/>
                      <w:lang w:eastAsia="en-GB"/>
                    </w:rPr>
                  </w:pPr>
                  <w:r w:rsidRPr="4D650098">
                    <w:rPr>
                      <w:rFonts w:eastAsia="Arial" w:cs="Arial"/>
                      <w:color w:val="000000" w:themeColor="text1"/>
                      <w:lang w:eastAsia="en-GB"/>
                    </w:rPr>
                    <w:t>£0</w:t>
                  </w:r>
                </w:p>
              </w:tc>
            </w:tr>
            <w:tr w:rsidR="008A65CE" w:rsidRPr="008025A2" w14:paraId="1DC10F86" w14:textId="77777777" w:rsidTr="4D650098">
              <w:trPr>
                <w:trHeight w:val="450"/>
              </w:trPr>
              <w:tc>
                <w:tcPr>
                  <w:tcW w:w="3823"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5AEB908F" w14:textId="77777777" w:rsidR="008A65CE" w:rsidRPr="008025A2" w:rsidRDefault="4D650098" w:rsidP="008A65CE">
                  <w:pPr>
                    <w:rPr>
                      <w:rFonts w:cs="Arial"/>
                      <w:color w:val="000000"/>
                      <w:lang w:eastAsia="en-GB"/>
                    </w:rPr>
                  </w:pPr>
                  <w:r w:rsidRPr="4D650098">
                    <w:rPr>
                      <w:rFonts w:eastAsia="Arial" w:cs="Arial"/>
                      <w:color w:val="000000" w:themeColor="text1"/>
                      <w:lang w:eastAsia="en-GB"/>
                    </w:rPr>
                    <w:t>Total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159C96" w14:textId="77777777" w:rsidR="008A65CE" w:rsidRPr="008025A2" w:rsidRDefault="008A65CE" w:rsidP="008A65CE">
                  <w:pPr>
                    <w:jc w:val="center"/>
                    <w:rPr>
                      <w:rFonts w:cs="Arial"/>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4E9C7" w14:textId="77777777" w:rsidR="008A65CE" w:rsidRPr="008025A2" w:rsidRDefault="008A65CE" w:rsidP="008A65CE">
                  <w:pPr>
                    <w:jc w:val="center"/>
                    <w:rPr>
                      <w:rFonts w:cs="Arial"/>
                      <w:color w:val="000000"/>
                      <w:lang w:eastAsia="en-GB"/>
                    </w:rPr>
                  </w:pPr>
                </w:p>
              </w:tc>
              <w:tc>
                <w:tcPr>
                  <w:tcW w:w="2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9557B" w14:textId="7151C506" w:rsidR="008A65CE" w:rsidRPr="008025A2" w:rsidRDefault="4D650098" w:rsidP="008A65CE">
                  <w:pPr>
                    <w:jc w:val="center"/>
                    <w:rPr>
                      <w:rFonts w:cs="Arial"/>
                      <w:color w:val="000000"/>
                      <w:lang w:eastAsia="en-GB"/>
                    </w:rPr>
                  </w:pPr>
                  <w:r w:rsidRPr="4D650098">
                    <w:rPr>
                      <w:rFonts w:eastAsia="Arial" w:cs="Arial"/>
                      <w:color w:val="000000" w:themeColor="text1"/>
                      <w:lang w:eastAsia="en-GB"/>
                    </w:rPr>
                    <w:t>£254,500</w:t>
                  </w:r>
                </w:p>
              </w:tc>
            </w:tr>
          </w:tbl>
          <w:p w14:paraId="59F05680" w14:textId="77777777" w:rsidR="009507C7" w:rsidRDefault="009507C7" w:rsidP="00A005EF">
            <w:pPr>
              <w:rPr>
                <w:rFonts w:cs="Arial"/>
              </w:rPr>
            </w:pPr>
          </w:p>
          <w:p w14:paraId="59F0568D" w14:textId="6E03FCFD" w:rsidR="002B1C13" w:rsidRPr="00A7579B" w:rsidRDefault="4D650098" w:rsidP="002B1C13">
            <w:pPr>
              <w:rPr>
                <w:rFonts w:cs="Arial"/>
                <w:b/>
              </w:rPr>
            </w:pPr>
            <w:r w:rsidRPr="4D650098">
              <w:rPr>
                <w:rFonts w:eastAsia="Arial" w:cs="Arial"/>
                <w:b/>
                <w:bCs/>
              </w:rPr>
              <w:t xml:space="preserve"> Transition Region Type (Humber)</w:t>
            </w:r>
          </w:p>
          <w:p w14:paraId="59F0568F" w14:textId="77777777" w:rsidR="009507C7" w:rsidRDefault="009507C7" w:rsidP="002B1C13">
            <w:pPr>
              <w:rPr>
                <w:rFonts w:cs="Arial"/>
              </w:rPr>
            </w:pPr>
          </w:p>
          <w:tbl>
            <w:tblPr>
              <w:tblW w:w="9380" w:type="dxa"/>
              <w:tblLook w:val="04A0" w:firstRow="1" w:lastRow="0" w:firstColumn="1" w:lastColumn="0" w:noHBand="0" w:noVBand="1"/>
            </w:tblPr>
            <w:tblGrid>
              <w:gridCol w:w="3823"/>
              <w:gridCol w:w="1842"/>
              <w:gridCol w:w="1843"/>
              <w:gridCol w:w="1872"/>
            </w:tblGrid>
            <w:tr w:rsidR="008A65CE" w:rsidRPr="008025A2" w14:paraId="5BABF6DB" w14:textId="77777777" w:rsidTr="4D650098">
              <w:trPr>
                <w:trHeight w:val="1481"/>
              </w:trPr>
              <w:tc>
                <w:tcPr>
                  <w:tcW w:w="382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870F152" w14:textId="77777777" w:rsidR="008A65CE" w:rsidRPr="008025A2" w:rsidRDefault="4D650098" w:rsidP="008A65CE">
                  <w:pPr>
                    <w:rPr>
                      <w:rFonts w:cs="Arial"/>
                      <w:b/>
                      <w:bCs/>
                      <w:color w:val="000000"/>
                      <w:lang w:eastAsia="en-GB"/>
                    </w:rPr>
                  </w:pPr>
                  <w:r w:rsidRPr="4D650098">
                    <w:rPr>
                      <w:rFonts w:eastAsia="Arial" w:cs="Arial"/>
                      <w:b/>
                      <w:bCs/>
                      <w:color w:val="000000" w:themeColor="text1"/>
                      <w:lang w:eastAsia="en-GB"/>
                    </w:rPr>
                    <w:t>Description</w:t>
                  </w:r>
                </w:p>
              </w:tc>
              <w:tc>
                <w:tcPr>
                  <w:tcW w:w="184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FE6D425" w14:textId="77777777" w:rsidR="008A65CE" w:rsidRPr="008025A2" w:rsidRDefault="4D650098" w:rsidP="008A65CE">
                  <w:pPr>
                    <w:jc w:val="center"/>
                    <w:rPr>
                      <w:rFonts w:cs="Arial"/>
                      <w:b/>
                      <w:bCs/>
                      <w:color w:val="000000"/>
                      <w:lang w:eastAsia="en-GB"/>
                    </w:rPr>
                  </w:pPr>
                  <w:r w:rsidRPr="4D650098">
                    <w:rPr>
                      <w:rFonts w:eastAsia="Arial" w:cs="Arial"/>
                      <w:b/>
                      <w:bCs/>
                      <w:color w:val="000000" w:themeColor="text1"/>
                      <w:lang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56564DC" w14:textId="77777777" w:rsidR="008A65CE" w:rsidRPr="008025A2" w:rsidRDefault="4D650098" w:rsidP="008A65CE">
                  <w:pPr>
                    <w:jc w:val="center"/>
                    <w:rPr>
                      <w:rFonts w:cs="Arial"/>
                      <w:b/>
                      <w:bCs/>
                      <w:color w:val="000000"/>
                      <w:lang w:eastAsia="en-GB"/>
                    </w:rPr>
                  </w:pPr>
                  <w:r w:rsidRPr="4D650098">
                    <w:rPr>
                      <w:rFonts w:eastAsia="Arial" w:cs="Arial"/>
                      <w:b/>
                      <w:bCs/>
                      <w:color w:val="000000" w:themeColor="text1"/>
                      <w:lang w:eastAsia="en-GB"/>
                    </w:rPr>
                    <w:t>Unit Cost Total Value Average per Intervention</w:t>
                  </w:r>
                </w:p>
              </w:tc>
              <w:tc>
                <w:tcPr>
                  <w:tcW w:w="187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DDB2874" w14:textId="77777777" w:rsidR="008A65CE" w:rsidRPr="008025A2" w:rsidRDefault="4D650098" w:rsidP="008A65CE">
                  <w:pPr>
                    <w:jc w:val="center"/>
                    <w:rPr>
                      <w:rFonts w:cs="Arial"/>
                      <w:b/>
                      <w:bCs/>
                      <w:color w:val="000000"/>
                      <w:lang w:eastAsia="en-GB"/>
                    </w:rPr>
                  </w:pPr>
                  <w:r w:rsidRPr="4D650098">
                    <w:rPr>
                      <w:rFonts w:eastAsia="Arial" w:cs="Arial"/>
                      <w:b/>
                      <w:bCs/>
                      <w:color w:val="000000" w:themeColor="text1"/>
                      <w:lang w:eastAsia="en-GB"/>
                    </w:rPr>
                    <w:t>£</w:t>
                  </w:r>
                </w:p>
              </w:tc>
            </w:tr>
            <w:tr w:rsidR="008A65CE" w:rsidRPr="008025A2" w14:paraId="3FF0B05E" w14:textId="77777777" w:rsidTr="4D650098">
              <w:trPr>
                <w:trHeight w:val="450"/>
              </w:trPr>
              <w:tc>
                <w:tcPr>
                  <w:tcW w:w="3823"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6F2A0E31" w14:textId="77777777" w:rsidR="008A65CE" w:rsidRPr="008025A2" w:rsidRDefault="4D650098" w:rsidP="008A65CE">
                  <w:pPr>
                    <w:rPr>
                      <w:rFonts w:cs="Arial"/>
                      <w:color w:val="000000"/>
                      <w:lang w:eastAsia="en-GB"/>
                    </w:rPr>
                  </w:pPr>
                  <w:r w:rsidRPr="4D650098">
                    <w:rPr>
                      <w:rFonts w:eastAsia="Arial" w:cs="Arial"/>
                      <w:color w:val="000000" w:themeColor="text1"/>
                      <w:lang w:eastAsia="en-GB"/>
                    </w:rPr>
                    <w:lastRenderedPageBreak/>
                    <w:t>CG01 Community Grant Payment</w:t>
                  </w:r>
                </w:p>
              </w:tc>
              <w:tc>
                <w:tcPr>
                  <w:tcW w:w="1842"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3B6F5773" w14:textId="77777777" w:rsidR="008A65CE" w:rsidRPr="008025A2" w:rsidRDefault="008A65CE" w:rsidP="008A65CE">
                  <w:pPr>
                    <w:jc w:val="center"/>
                    <w:rPr>
                      <w:rFonts w:cs="Arial"/>
                      <w:color w:val="000000"/>
                      <w:lang w:eastAsia="en-GB"/>
                    </w:rPr>
                  </w:pPr>
                </w:p>
              </w:tc>
              <w:tc>
                <w:tcPr>
                  <w:tcW w:w="1843"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tcPr>
                <w:p w14:paraId="397AB51D" w14:textId="77777777" w:rsidR="008A65CE" w:rsidRPr="008025A2" w:rsidRDefault="008A65CE" w:rsidP="008A65CE">
                  <w:pPr>
                    <w:jc w:val="center"/>
                    <w:rPr>
                      <w:rFonts w:cs="Arial"/>
                      <w:color w:val="000000"/>
                      <w:lang w:eastAsia="en-GB"/>
                    </w:rPr>
                  </w:pPr>
                </w:p>
              </w:tc>
              <w:tc>
                <w:tcPr>
                  <w:tcW w:w="1872"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3382E750" w14:textId="53A04637" w:rsidR="008A65CE" w:rsidRPr="008025A2" w:rsidRDefault="4D650098" w:rsidP="008A65CE">
                  <w:pPr>
                    <w:jc w:val="center"/>
                    <w:rPr>
                      <w:rFonts w:cs="Arial"/>
                      <w:color w:val="000000"/>
                      <w:lang w:eastAsia="en-GB"/>
                    </w:rPr>
                  </w:pPr>
                  <w:r w:rsidRPr="4D650098">
                    <w:rPr>
                      <w:rFonts w:eastAsia="Arial" w:cs="Arial"/>
                      <w:color w:val="000000" w:themeColor="text1"/>
                      <w:lang w:eastAsia="en-GB"/>
                    </w:rPr>
                    <w:t>£900,000</w:t>
                  </w:r>
                </w:p>
              </w:tc>
            </w:tr>
            <w:tr w:rsidR="008A65CE" w:rsidRPr="008025A2" w14:paraId="222DF3C1" w14:textId="77777777" w:rsidTr="4D650098">
              <w:trPr>
                <w:trHeight w:val="624"/>
              </w:trPr>
              <w:tc>
                <w:tcPr>
                  <w:tcW w:w="3823"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0FAAEADB" w14:textId="77777777" w:rsidR="008A65CE" w:rsidRPr="008025A2" w:rsidRDefault="4D650098" w:rsidP="008A65CE">
                  <w:pPr>
                    <w:rPr>
                      <w:rFonts w:cs="Arial"/>
                      <w:color w:val="000000"/>
                      <w:lang w:eastAsia="en-GB"/>
                    </w:rPr>
                  </w:pPr>
                  <w:r w:rsidRPr="4D650098">
                    <w:rPr>
                      <w:rFonts w:eastAsia="Arial" w:cs="Arial"/>
                      <w:color w:val="000000" w:themeColor="text1"/>
                      <w:lang w:eastAsia="en-GB"/>
                    </w:rPr>
                    <w:t>CG02 Community Grant Management Cost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08BD5" w14:textId="77777777" w:rsidR="008A65CE" w:rsidRPr="008025A2" w:rsidRDefault="008A65CE" w:rsidP="008A65CE">
                  <w:pPr>
                    <w:jc w:val="center"/>
                    <w:rPr>
                      <w:rFonts w:cs="Arial"/>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12DAA" w14:textId="77777777" w:rsidR="008A65CE" w:rsidRPr="008025A2" w:rsidRDefault="008A65CE" w:rsidP="008A65CE">
                  <w:pPr>
                    <w:jc w:val="center"/>
                    <w:rPr>
                      <w:rFonts w:cs="Arial"/>
                      <w:color w:val="000000"/>
                      <w:lang w:eastAsia="en-GB"/>
                    </w:rPr>
                  </w:pP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1B0F0" w14:textId="536B3BEE" w:rsidR="008A65CE" w:rsidRPr="008025A2" w:rsidRDefault="4D650098" w:rsidP="008A65CE">
                  <w:pPr>
                    <w:jc w:val="center"/>
                    <w:rPr>
                      <w:rFonts w:cs="Arial"/>
                      <w:color w:val="000000"/>
                      <w:lang w:eastAsia="en-GB"/>
                    </w:rPr>
                  </w:pPr>
                  <w:r w:rsidRPr="4D650098">
                    <w:rPr>
                      <w:rFonts w:eastAsia="Arial" w:cs="Arial"/>
                      <w:color w:val="000000" w:themeColor="text1"/>
                      <w:lang w:eastAsia="en-GB"/>
                    </w:rPr>
                    <w:t>£100,000</w:t>
                  </w:r>
                </w:p>
              </w:tc>
            </w:tr>
            <w:tr w:rsidR="008A65CE" w:rsidRPr="008025A2" w14:paraId="0BA9BC26" w14:textId="77777777" w:rsidTr="4D650098">
              <w:trPr>
                <w:trHeight w:val="450"/>
              </w:trPr>
              <w:tc>
                <w:tcPr>
                  <w:tcW w:w="3823"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57ED03A9" w14:textId="77777777" w:rsidR="008A65CE" w:rsidRPr="008025A2" w:rsidRDefault="4D650098" w:rsidP="008A65CE">
                  <w:pPr>
                    <w:rPr>
                      <w:rFonts w:cs="Arial"/>
                      <w:color w:val="000000"/>
                      <w:lang w:eastAsia="en-GB"/>
                    </w:rPr>
                  </w:pPr>
                  <w:r w:rsidRPr="4D650098">
                    <w:rPr>
                      <w:rFonts w:eastAsia="Arial" w:cs="Arial"/>
                      <w:color w:val="000000" w:themeColor="text1"/>
                      <w:lang w:eastAsia="en-GB"/>
                    </w:rPr>
                    <w:t xml:space="preserve">ST01 Learner Assessment and Plan </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B24E59" w14:textId="77777777" w:rsidR="008A65CE" w:rsidRPr="008025A2" w:rsidRDefault="4D650098" w:rsidP="008A65CE">
                  <w:pPr>
                    <w:jc w:val="center"/>
                    <w:rPr>
                      <w:rFonts w:cs="Arial"/>
                      <w:lang w:eastAsia="en-GB"/>
                    </w:rPr>
                  </w:pPr>
                  <w:r w:rsidRPr="4D650098">
                    <w:rPr>
                      <w:rFonts w:eastAsia="Arial" w:cs="Arial"/>
                      <w:lang w:eastAsia="en-GB"/>
                    </w:rPr>
                    <w:t>588</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749202" w14:textId="77777777" w:rsidR="008A65CE" w:rsidRPr="008025A2" w:rsidRDefault="4D650098" w:rsidP="008A65CE">
                  <w:pPr>
                    <w:jc w:val="center"/>
                    <w:rPr>
                      <w:rFonts w:cs="Arial"/>
                      <w:color w:val="000000"/>
                      <w:lang w:eastAsia="en-GB"/>
                    </w:rPr>
                  </w:pPr>
                  <w:r w:rsidRPr="4D650098">
                    <w:rPr>
                      <w:rFonts w:eastAsia="Arial" w:cs="Arial"/>
                      <w:color w:val="000000" w:themeColor="text1"/>
                      <w:lang w:eastAsia="en-GB"/>
                    </w:rPr>
                    <w:t>£0</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124339" w14:textId="77777777" w:rsidR="008A65CE" w:rsidRPr="008025A2" w:rsidRDefault="4D650098" w:rsidP="008A65CE">
                  <w:pPr>
                    <w:jc w:val="center"/>
                    <w:rPr>
                      <w:rFonts w:cs="Arial"/>
                      <w:color w:val="000000"/>
                      <w:lang w:eastAsia="en-GB"/>
                    </w:rPr>
                  </w:pPr>
                  <w:r w:rsidRPr="4D650098">
                    <w:rPr>
                      <w:rFonts w:eastAsia="Arial" w:cs="Arial"/>
                      <w:color w:val="000000" w:themeColor="text1"/>
                      <w:lang w:eastAsia="en-GB"/>
                    </w:rPr>
                    <w:t>£0</w:t>
                  </w:r>
                </w:p>
              </w:tc>
            </w:tr>
            <w:tr w:rsidR="008A65CE" w:rsidRPr="008025A2" w14:paraId="17937CDE" w14:textId="77777777" w:rsidTr="4D650098">
              <w:trPr>
                <w:trHeight w:val="450"/>
              </w:trPr>
              <w:tc>
                <w:tcPr>
                  <w:tcW w:w="3823"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09A3BA80" w14:textId="77777777" w:rsidR="008A65CE" w:rsidRPr="008025A2" w:rsidRDefault="4D650098" w:rsidP="008A65CE">
                  <w:pPr>
                    <w:rPr>
                      <w:rFonts w:cs="Arial"/>
                      <w:color w:val="000000"/>
                      <w:lang w:eastAsia="en-GB"/>
                    </w:rPr>
                  </w:pPr>
                  <w:r w:rsidRPr="4D650098">
                    <w:rPr>
                      <w:rFonts w:eastAsia="Arial" w:cs="Arial"/>
                      <w:color w:val="000000" w:themeColor="text1"/>
                      <w:lang w:eastAsia="en-GB"/>
                    </w:rPr>
                    <w:t>Total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678EB" w14:textId="77777777" w:rsidR="008A65CE" w:rsidRPr="008025A2" w:rsidRDefault="4D650098" w:rsidP="008A65CE">
                  <w:pPr>
                    <w:jc w:val="center"/>
                    <w:rPr>
                      <w:rFonts w:cs="Arial"/>
                      <w:lang w:eastAsia="en-GB"/>
                    </w:rPr>
                  </w:pPr>
                  <w:r w:rsidRPr="4D650098">
                    <w:rPr>
                      <w:rFonts w:eastAsia="Arial" w:cs="Arial"/>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9C6F4" w14:textId="77777777" w:rsidR="008A65CE" w:rsidRPr="008025A2" w:rsidRDefault="008A65CE" w:rsidP="008A65CE">
                  <w:pPr>
                    <w:jc w:val="center"/>
                    <w:rPr>
                      <w:rFonts w:cs="Arial"/>
                      <w:color w:val="000000"/>
                      <w:lang w:eastAsia="en-GB"/>
                    </w:rPr>
                  </w:pP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7AF1" w14:textId="77777777" w:rsidR="008A65CE" w:rsidRPr="008025A2" w:rsidRDefault="4D650098" w:rsidP="008A65CE">
                  <w:pPr>
                    <w:jc w:val="center"/>
                    <w:rPr>
                      <w:rFonts w:cs="Arial"/>
                      <w:color w:val="000000"/>
                      <w:lang w:eastAsia="en-GB"/>
                    </w:rPr>
                  </w:pPr>
                  <w:r w:rsidRPr="4D650098">
                    <w:rPr>
                      <w:rFonts w:eastAsia="Arial" w:cs="Arial"/>
                      <w:color w:val="000000" w:themeColor="text1"/>
                      <w:lang w:eastAsia="en-GB"/>
                    </w:rPr>
                    <w:t>£1,000,000</w:t>
                  </w:r>
                </w:p>
              </w:tc>
            </w:tr>
          </w:tbl>
          <w:p w14:paraId="0D3D3707" w14:textId="77777777" w:rsidR="008A65CE" w:rsidRDefault="008A65CE" w:rsidP="002B1C13">
            <w:pPr>
              <w:rPr>
                <w:rFonts w:cs="Arial"/>
              </w:rPr>
            </w:pPr>
          </w:p>
          <w:p w14:paraId="51BF32E2" w14:textId="23B31C50" w:rsidR="002150E5" w:rsidRDefault="002150E5" w:rsidP="002B1C13">
            <w:pPr>
              <w:rPr>
                <w:rFonts w:cs="Arial"/>
              </w:rPr>
            </w:pPr>
          </w:p>
          <w:p w14:paraId="2B457C02" w14:textId="77777777" w:rsidR="002150E5" w:rsidRDefault="002150E5" w:rsidP="002B1C13">
            <w:pPr>
              <w:rPr>
                <w:rFonts w:cs="Arial"/>
              </w:rPr>
            </w:pPr>
          </w:p>
          <w:p w14:paraId="59F056A6" w14:textId="77777777" w:rsidR="001C77FC" w:rsidRPr="00A7579B" w:rsidRDefault="4D650098" w:rsidP="00A005EF">
            <w:pPr>
              <w:rPr>
                <w:rFonts w:cs="Arial"/>
                <w:b/>
              </w:rPr>
            </w:pPr>
            <w:r w:rsidRPr="4D650098">
              <w:rPr>
                <w:rFonts w:eastAsia="Arial" w:cs="Arial"/>
                <w:b/>
                <w:bCs/>
              </w:rPr>
              <w:t>More Developed Areas</w:t>
            </w:r>
          </w:p>
          <w:p w14:paraId="59F056A7" w14:textId="77777777" w:rsidR="0043144D" w:rsidRPr="0043144D" w:rsidRDefault="0043144D" w:rsidP="00A005EF">
            <w:pPr>
              <w:rPr>
                <w:rFonts w:cs="Arial"/>
              </w:rPr>
            </w:pPr>
          </w:p>
          <w:p w14:paraId="59F056A8" w14:textId="77777777" w:rsidR="0043144D" w:rsidRPr="00660917" w:rsidRDefault="4D650098" w:rsidP="0043144D">
            <w:pPr>
              <w:rPr>
                <w:rFonts w:ascii="Calibri" w:hAnsi="Calibri"/>
                <w:iCs/>
                <w:sz w:val="22"/>
                <w:szCs w:val="22"/>
              </w:rPr>
            </w:pPr>
            <w:r w:rsidRPr="4D650098">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9F056A9" w14:textId="77777777" w:rsidR="0043144D" w:rsidRPr="00660917" w:rsidRDefault="4D650098" w:rsidP="0043144D">
            <w:pPr>
              <w:ind w:left="720"/>
              <w:rPr>
                <w:iCs/>
              </w:rPr>
            </w:pPr>
            <w:r w:rsidRPr="4D650098">
              <w:rPr>
                <w:rFonts w:eastAsia="Arial" w:cs="Arial"/>
              </w:rPr>
              <w:t> </w:t>
            </w:r>
          </w:p>
          <w:p w14:paraId="59F056AA" w14:textId="77777777" w:rsidR="0043144D" w:rsidRPr="00660917" w:rsidRDefault="4D650098" w:rsidP="0043144D">
            <w:pPr>
              <w:rPr>
                <w:rFonts w:cs="Arial"/>
                <w:iCs/>
              </w:rPr>
            </w:pPr>
            <w:r w:rsidRPr="4D650098">
              <w:rPr>
                <w:rFonts w:eastAsia="Arial" w:cs="Arial"/>
              </w:rPr>
              <w:t>Over 50s                                 min 14%</w:t>
            </w:r>
          </w:p>
          <w:p w14:paraId="59F056AB" w14:textId="77777777" w:rsidR="0043144D" w:rsidRPr="00660917" w:rsidRDefault="4D650098" w:rsidP="0043144D">
            <w:pPr>
              <w:rPr>
                <w:rFonts w:ascii="Calibri" w:hAnsi="Calibri"/>
                <w:iCs/>
              </w:rPr>
            </w:pPr>
            <w:r w:rsidRPr="4D650098">
              <w:rPr>
                <w:rFonts w:eastAsia="Arial" w:cs="Arial"/>
              </w:rPr>
              <w:t>Ethnic groups                          min 8%</w:t>
            </w:r>
          </w:p>
          <w:p w14:paraId="59F056AC" w14:textId="77777777" w:rsidR="0043144D" w:rsidRPr="00660917" w:rsidRDefault="4D650098" w:rsidP="0043144D">
            <w:pPr>
              <w:rPr>
                <w:iCs/>
              </w:rPr>
            </w:pPr>
            <w:r w:rsidRPr="4D650098">
              <w:rPr>
                <w:rFonts w:eastAsia="Arial" w:cs="Arial"/>
              </w:rPr>
              <w:t>Disability/health issues            min 22%</w:t>
            </w:r>
          </w:p>
          <w:p w14:paraId="59F056AD" w14:textId="77777777" w:rsidR="0043144D" w:rsidRPr="00660917" w:rsidRDefault="4D650098" w:rsidP="0043144D">
            <w:pPr>
              <w:rPr>
                <w:iCs/>
              </w:rPr>
            </w:pPr>
            <w:r w:rsidRPr="4D650098">
              <w:rPr>
                <w:rFonts w:eastAsia="Arial" w:cs="Arial"/>
              </w:rPr>
              <w:t>Female                                    min 36%</w:t>
            </w:r>
          </w:p>
          <w:p w14:paraId="59F056AE" w14:textId="77777777" w:rsidR="0043144D" w:rsidRPr="00660917" w:rsidRDefault="4D650098" w:rsidP="0043144D">
            <w:pPr>
              <w:rPr>
                <w:rFonts w:cs="Arial"/>
                <w:iCs/>
              </w:rPr>
            </w:pPr>
            <w:r w:rsidRPr="4D650098">
              <w:rPr>
                <w:rFonts w:eastAsia="Arial" w:cs="Arial"/>
              </w:rPr>
              <w:t>Offenders/ex-offenders           min 8%</w:t>
            </w:r>
          </w:p>
          <w:p w14:paraId="59F056AF" w14:textId="77777777" w:rsidR="0043144D" w:rsidRDefault="0043144D" w:rsidP="00A005EF">
            <w:pPr>
              <w:rPr>
                <w:rFonts w:cs="Arial"/>
              </w:rPr>
            </w:pPr>
          </w:p>
          <w:p w14:paraId="59F056B1" w14:textId="726F62BA" w:rsidR="00344FA1" w:rsidRPr="00A7579B" w:rsidRDefault="4D650098" w:rsidP="00A7579B">
            <w:pPr>
              <w:autoSpaceDE w:val="0"/>
              <w:autoSpaceDN w:val="0"/>
              <w:adjustRightInd w:val="0"/>
              <w:rPr>
                <w:rFonts w:cs="Arial"/>
                <w:b/>
              </w:rPr>
            </w:pPr>
            <w:r w:rsidRPr="4D650098">
              <w:rPr>
                <w:rFonts w:eastAsia="Arial" w:cs="Arial"/>
                <w:b/>
                <w:bCs/>
              </w:rPr>
              <w:t>More Developed Region Type (York and North Yorkshire)</w:t>
            </w:r>
          </w:p>
          <w:p w14:paraId="59F056B2" w14:textId="77777777" w:rsidR="002B1C13" w:rsidRDefault="002B1C13" w:rsidP="00C107CE">
            <w:pPr>
              <w:pStyle w:val="ListParagraph"/>
              <w:autoSpaceDE w:val="0"/>
              <w:autoSpaceDN w:val="0"/>
              <w:adjustRightInd w:val="0"/>
              <w:ind w:left="360"/>
              <w:rPr>
                <w:rFonts w:cs="Arial"/>
                <w:b/>
              </w:rPr>
            </w:pPr>
          </w:p>
          <w:tbl>
            <w:tblPr>
              <w:tblW w:w="9493" w:type="dxa"/>
              <w:tblLook w:val="04A0" w:firstRow="1" w:lastRow="0" w:firstColumn="1" w:lastColumn="0" w:noHBand="0" w:noVBand="1"/>
            </w:tblPr>
            <w:tblGrid>
              <w:gridCol w:w="3939"/>
              <w:gridCol w:w="1696"/>
              <w:gridCol w:w="1590"/>
              <w:gridCol w:w="2268"/>
            </w:tblGrid>
            <w:tr w:rsidR="008A65CE" w:rsidRPr="008025A2" w14:paraId="580ABE85" w14:textId="77777777" w:rsidTr="4D650098">
              <w:trPr>
                <w:trHeight w:val="1606"/>
              </w:trPr>
              <w:tc>
                <w:tcPr>
                  <w:tcW w:w="396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B5C6878" w14:textId="77777777" w:rsidR="008A65CE" w:rsidRPr="008025A2" w:rsidRDefault="4D650098" w:rsidP="008A65CE">
                  <w:pPr>
                    <w:rPr>
                      <w:rFonts w:cs="Arial"/>
                      <w:b/>
                      <w:bCs/>
                      <w:color w:val="000000"/>
                      <w:lang w:eastAsia="en-GB"/>
                    </w:rPr>
                  </w:pPr>
                  <w:r w:rsidRPr="4D650098">
                    <w:rPr>
                      <w:rFonts w:eastAsia="Arial" w:cs="Arial"/>
                      <w:b/>
                      <w:bCs/>
                      <w:color w:val="000000" w:themeColor="text1"/>
                      <w:lang w:eastAsia="en-GB"/>
                    </w:rPr>
                    <w:t>Description</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320BA35" w14:textId="77777777" w:rsidR="008A65CE" w:rsidRPr="008025A2" w:rsidRDefault="4D650098" w:rsidP="008A65CE">
                  <w:pPr>
                    <w:jc w:val="center"/>
                    <w:rPr>
                      <w:rFonts w:cs="Arial"/>
                      <w:b/>
                      <w:bCs/>
                      <w:color w:val="000000"/>
                      <w:lang w:eastAsia="en-GB"/>
                    </w:rPr>
                  </w:pPr>
                  <w:r w:rsidRPr="4D650098">
                    <w:rPr>
                      <w:rFonts w:eastAsia="Arial" w:cs="Arial"/>
                      <w:b/>
                      <w:bCs/>
                      <w:color w:val="000000" w:themeColor="text1"/>
                      <w:lang w:eastAsia="en-GB"/>
                    </w:rPr>
                    <w:t>Volumes</w:t>
                  </w:r>
                </w:p>
              </w:tc>
              <w:tc>
                <w:tcPr>
                  <w:tcW w:w="1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944B69" w14:textId="77777777" w:rsidR="008A65CE" w:rsidRPr="008025A2" w:rsidRDefault="4D650098" w:rsidP="008A65CE">
                  <w:pPr>
                    <w:jc w:val="center"/>
                    <w:rPr>
                      <w:rFonts w:cs="Arial"/>
                      <w:b/>
                      <w:bCs/>
                      <w:color w:val="000000"/>
                      <w:lang w:eastAsia="en-GB"/>
                    </w:rPr>
                  </w:pPr>
                  <w:r w:rsidRPr="4D650098">
                    <w:rPr>
                      <w:rFonts w:eastAsia="Arial" w:cs="Arial"/>
                      <w:b/>
                      <w:bCs/>
                      <w:color w:val="000000" w:themeColor="text1"/>
                      <w:lang w:eastAsia="en-GB"/>
                    </w:rPr>
                    <w:t>Unit Cost Total Value Average per Intervention</w:t>
                  </w: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91DD1EA" w14:textId="77777777" w:rsidR="008A65CE" w:rsidRPr="008025A2" w:rsidRDefault="4D650098" w:rsidP="008A65CE">
                  <w:pPr>
                    <w:jc w:val="center"/>
                    <w:rPr>
                      <w:rFonts w:cs="Arial"/>
                      <w:b/>
                      <w:bCs/>
                      <w:color w:val="000000"/>
                      <w:lang w:eastAsia="en-GB"/>
                    </w:rPr>
                  </w:pPr>
                  <w:r w:rsidRPr="4D650098">
                    <w:rPr>
                      <w:rFonts w:eastAsia="Arial" w:cs="Arial"/>
                      <w:b/>
                      <w:bCs/>
                      <w:color w:val="000000" w:themeColor="text1"/>
                      <w:lang w:eastAsia="en-GB"/>
                    </w:rPr>
                    <w:t>£</w:t>
                  </w:r>
                </w:p>
              </w:tc>
            </w:tr>
            <w:tr w:rsidR="008A65CE" w:rsidRPr="008025A2" w14:paraId="0D62CE87" w14:textId="77777777" w:rsidTr="4D650098">
              <w:trPr>
                <w:trHeight w:val="450"/>
              </w:trPr>
              <w:tc>
                <w:tcPr>
                  <w:tcW w:w="396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2F3BDD38" w14:textId="77777777" w:rsidR="008A65CE" w:rsidRPr="008025A2" w:rsidRDefault="4D650098" w:rsidP="008A65CE">
                  <w:pPr>
                    <w:rPr>
                      <w:rFonts w:cs="Arial"/>
                      <w:color w:val="000000"/>
                      <w:lang w:eastAsia="en-GB"/>
                    </w:rPr>
                  </w:pPr>
                  <w:r w:rsidRPr="4D650098">
                    <w:rPr>
                      <w:rFonts w:eastAsia="Arial" w:cs="Arial"/>
                      <w:color w:val="000000" w:themeColor="text1"/>
                      <w:lang w:eastAsia="en-GB"/>
                    </w:rPr>
                    <w:t>CG01 Community Grant Payment</w:t>
                  </w:r>
                </w:p>
              </w:tc>
              <w:tc>
                <w:tcPr>
                  <w:tcW w:w="1701"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tcPr>
                <w:p w14:paraId="26A26C36" w14:textId="77777777" w:rsidR="008A65CE" w:rsidRPr="008025A2" w:rsidRDefault="008A65CE" w:rsidP="008A65CE">
                  <w:pPr>
                    <w:jc w:val="center"/>
                    <w:rPr>
                      <w:rFonts w:cs="Arial"/>
                      <w:color w:val="000000"/>
                      <w:lang w:eastAsia="en-GB"/>
                    </w:rPr>
                  </w:pPr>
                </w:p>
              </w:tc>
              <w:tc>
                <w:tcPr>
                  <w:tcW w:w="15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tcPr>
                <w:p w14:paraId="401E164E" w14:textId="77777777" w:rsidR="008A65CE" w:rsidRPr="008025A2" w:rsidRDefault="008A65CE" w:rsidP="008A65CE">
                  <w:pPr>
                    <w:jc w:val="center"/>
                    <w:rPr>
                      <w:rFonts w:cs="Arial"/>
                      <w:color w:val="000000"/>
                      <w:lang w:eastAsia="en-GB"/>
                    </w:rPr>
                  </w:pPr>
                </w:p>
              </w:tc>
              <w:tc>
                <w:tcPr>
                  <w:tcW w:w="2268"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5D4A7B23" w14:textId="576120A2" w:rsidR="008A65CE" w:rsidRPr="008025A2" w:rsidRDefault="4D650098" w:rsidP="008A65CE">
                  <w:pPr>
                    <w:jc w:val="center"/>
                    <w:rPr>
                      <w:rFonts w:cs="Arial"/>
                      <w:color w:val="000000"/>
                      <w:lang w:eastAsia="en-GB"/>
                    </w:rPr>
                  </w:pPr>
                  <w:r w:rsidRPr="4D650098">
                    <w:rPr>
                      <w:rFonts w:eastAsia="Arial" w:cs="Arial"/>
                      <w:color w:val="000000" w:themeColor="text1"/>
                      <w:lang w:eastAsia="en-GB"/>
                    </w:rPr>
                    <w:t>£670,950</w:t>
                  </w:r>
                </w:p>
              </w:tc>
            </w:tr>
            <w:tr w:rsidR="008A65CE" w:rsidRPr="008025A2" w14:paraId="4A0829A3" w14:textId="77777777" w:rsidTr="4D650098">
              <w:trPr>
                <w:trHeight w:val="576"/>
              </w:trPr>
              <w:tc>
                <w:tcPr>
                  <w:tcW w:w="3964" w:type="dxa"/>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hideMark/>
                </w:tcPr>
                <w:p w14:paraId="2299B83C" w14:textId="77777777" w:rsidR="008A65CE" w:rsidRPr="008025A2" w:rsidRDefault="4D650098" w:rsidP="008A65CE">
                  <w:pPr>
                    <w:rPr>
                      <w:rFonts w:cs="Arial"/>
                      <w:color w:val="000000"/>
                      <w:lang w:eastAsia="en-GB"/>
                    </w:rPr>
                  </w:pPr>
                  <w:r w:rsidRPr="4D650098">
                    <w:rPr>
                      <w:rFonts w:eastAsia="Arial" w:cs="Arial"/>
                      <w:color w:val="000000" w:themeColor="text1"/>
                      <w:lang w:eastAsia="en-GB"/>
                    </w:rPr>
                    <w:t>CG02 Community Grant Management Cost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3D8932" w14:textId="77777777" w:rsidR="008A65CE" w:rsidRPr="008025A2" w:rsidRDefault="008A65CE" w:rsidP="008A65CE">
                  <w:pPr>
                    <w:jc w:val="center"/>
                    <w:rPr>
                      <w:rFonts w:cs="Arial"/>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5343C" w14:textId="77777777" w:rsidR="008A65CE" w:rsidRPr="008025A2" w:rsidRDefault="008A65CE" w:rsidP="008A65CE">
                  <w:pPr>
                    <w:jc w:val="center"/>
                    <w:rPr>
                      <w:rFonts w:cs="Arial"/>
                      <w:color w:val="00000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19905" w14:textId="3F61F15B" w:rsidR="008A65CE" w:rsidRPr="008025A2" w:rsidRDefault="4D650098" w:rsidP="008A65CE">
                  <w:pPr>
                    <w:jc w:val="center"/>
                    <w:rPr>
                      <w:rFonts w:cs="Arial"/>
                      <w:color w:val="000000"/>
                      <w:lang w:eastAsia="en-GB"/>
                    </w:rPr>
                  </w:pPr>
                  <w:r w:rsidRPr="4D650098">
                    <w:rPr>
                      <w:rFonts w:eastAsia="Arial" w:cs="Arial"/>
                      <w:color w:val="000000" w:themeColor="text1"/>
                      <w:lang w:eastAsia="en-GB"/>
                    </w:rPr>
                    <w:t>£74,550</w:t>
                  </w:r>
                </w:p>
              </w:tc>
            </w:tr>
            <w:tr w:rsidR="008A65CE" w:rsidRPr="008025A2" w14:paraId="549F03CE" w14:textId="77777777" w:rsidTr="4D650098">
              <w:trPr>
                <w:trHeight w:val="450"/>
              </w:trPr>
              <w:tc>
                <w:tcPr>
                  <w:tcW w:w="3964"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6321D5E" w14:textId="77777777" w:rsidR="008A65CE" w:rsidRPr="008025A2" w:rsidRDefault="4D650098" w:rsidP="008A65CE">
                  <w:pPr>
                    <w:rPr>
                      <w:rFonts w:cs="Arial"/>
                      <w:color w:val="000000"/>
                      <w:lang w:eastAsia="en-GB"/>
                    </w:rPr>
                  </w:pPr>
                  <w:r w:rsidRPr="4D650098">
                    <w:rPr>
                      <w:rFonts w:eastAsia="Arial" w:cs="Arial"/>
                      <w:color w:val="000000" w:themeColor="text1"/>
                      <w:lang w:eastAsia="en-GB"/>
                    </w:rPr>
                    <w:lastRenderedPageBreak/>
                    <w:t xml:space="preserve">ST01 Learner Assessment and Plan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D801B" w14:textId="4FCE35F7" w:rsidR="008A65CE" w:rsidRPr="008025A2" w:rsidRDefault="4D650098" w:rsidP="008A65CE">
                  <w:pPr>
                    <w:jc w:val="center"/>
                    <w:rPr>
                      <w:rFonts w:cs="Arial"/>
                      <w:lang w:eastAsia="en-GB"/>
                    </w:rPr>
                  </w:pPr>
                  <w:r>
                    <w:t>420</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448674C" w14:textId="77777777" w:rsidR="008A65CE" w:rsidRPr="008025A2" w:rsidRDefault="4D650098" w:rsidP="008A65CE">
                  <w:pPr>
                    <w:jc w:val="center"/>
                    <w:rPr>
                      <w:rFonts w:cs="Arial"/>
                      <w:color w:val="000000"/>
                      <w:lang w:eastAsia="en-GB"/>
                    </w:rPr>
                  </w:pPr>
                  <w:r w:rsidRPr="4D650098">
                    <w:rPr>
                      <w:rFonts w:eastAsia="Arial" w:cs="Arial"/>
                      <w:color w:val="000000" w:themeColor="text1"/>
                      <w:lang w:eastAsia="en-GB"/>
                    </w:rPr>
                    <w:t>£0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AFA023" w14:textId="77777777" w:rsidR="008A65CE" w:rsidRPr="008025A2" w:rsidRDefault="4D650098" w:rsidP="008A65CE">
                  <w:pPr>
                    <w:jc w:val="center"/>
                    <w:rPr>
                      <w:rFonts w:cs="Arial"/>
                      <w:color w:val="000000"/>
                      <w:lang w:eastAsia="en-GB"/>
                    </w:rPr>
                  </w:pPr>
                  <w:r w:rsidRPr="4D650098">
                    <w:rPr>
                      <w:rFonts w:eastAsia="Arial" w:cs="Arial"/>
                      <w:color w:val="000000" w:themeColor="text1"/>
                      <w:lang w:eastAsia="en-GB"/>
                    </w:rPr>
                    <w:t>£0</w:t>
                  </w:r>
                </w:p>
              </w:tc>
            </w:tr>
            <w:tr w:rsidR="008A65CE" w:rsidRPr="008025A2" w14:paraId="75DE0438" w14:textId="77777777" w:rsidTr="4D650098">
              <w:trPr>
                <w:trHeight w:val="450"/>
              </w:trPr>
              <w:tc>
                <w:tcPr>
                  <w:tcW w:w="3964"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7361CC4D" w14:textId="77777777" w:rsidR="008A65CE" w:rsidRPr="008025A2" w:rsidRDefault="4D650098" w:rsidP="008A65CE">
                  <w:pPr>
                    <w:rPr>
                      <w:rFonts w:cs="Arial"/>
                      <w:color w:val="000000"/>
                      <w:lang w:eastAsia="en-GB"/>
                    </w:rPr>
                  </w:pPr>
                  <w:r w:rsidRPr="4D650098">
                    <w:rPr>
                      <w:rFonts w:eastAsia="Arial" w:cs="Arial"/>
                      <w:color w:val="000000" w:themeColor="text1"/>
                      <w:lang w:eastAsia="en-GB"/>
                    </w:rPr>
                    <w:t>Total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E79758" w14:textId="77777777" w:rsidR="008A65CE" w:rsidRPr="008025A2" w:rsidRDefault="008A65CE" w:rsidP="008A65CE">
                  <w:pPr>
                    <w:jc w:val="center"/>
                    <w:rPr>
                      <w:rFonts w:cs="Arial"/>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5B7B4" w14:textId="77777777" w:rsidR="008A65CE" w:rsidRPr="008025A2" w:rsidRDefault="008A65CE" w:rsidP="008A65CE">
                  <w:pPr>
                    <w:jc w:val="center"/>
                    <w:rPr>
                      <w:rFonts w:cs="Arial"/>
                      <w:color w:val="00000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538BA" w14:textId="77777777" w:rsidR="008A65CE" w:rsidRPr="008025A2" w:rsidRDefault="4D650098" w:rsidP="008A65CE">
                  <w:pPr>
                    <w:jc w:val="center"/>
                    <w:rPr>
                      <w:rFonts w:cs="Arial"/>
                      <w:color w:val="000000"/>
                      <w:lang w:eastAsia="en-GB"/>
                    </w:rPr>
                  </w:pPr>
                  <w:r w:rsidRPr="4D650098">
                    <w:rPr>
                      <w:rFonts w:eastAsia="Arial" w:cs="Arial"/>
                      <w:color w:val="000000" w:themeColor="text1"/>
                      <w:lang w:eastAsia="en-GB"/>
                    </w:rPr>
                    <w:t>£745,500</w:t>
                  </w:r>
                </w:p>
              </w:tc>
            </w:tr>
          </w:tbl>
          <w:p w14:paraId="59F056C7" w14:textId="77777777" w:rsidR="002B1C13" w:rsidRPr="008A65CE" w:rsidRDefault="002B1C13" w:rsidP="008A65CE">
            <w:pPr>
              <w:autoSpaceDE w:val="0"/>
              <w:autoSpaceDN w:val="0"/>
              <w:adjustRightInd w:val="0"/>
              <w:rPr>
                <w:rFonts w:cs="Arial"/>
                <w:b/>
              </w:rPr>
            </w:pPr>
          </w:p>
          <w:p w14:paraId="59F056C8" w14:textId="77777777" w:rsidR="002B1C13" w:rsidRDefault="002B1C13" w:rsidP="00C107CE">
            <w:pPr>
              <w:pStyle w:val="ListParagraph"/>
              <w:autoSpaceDE w:val="0"/>
              <w:autoSpaceDN w:val="0"/>
              <w:adjustRightInd w:val="0"/>
              <w:ind w:left="360"/>
              <w:rPr>
                <w:rFonts w:cs="Arial"/>
                <w:b/>
              </w:rPr>
            </w:pPr>
          </w:p>
          <w:p w14:paraId="59F056C9" w14:textId="77777777" w:rsidR="002B1C13" w:rsidRPr="00DB2FA1" w:rsidRDefault="002B1C13" w:rsidP="00C107CE">
            <w:pPr>
              <w:pStyle w:val="ListParagraph"/>
              <w:autoSpaceDE w:val="0"/>
              <w:autoSpaceDN w:val="0"/>
              <w:adjustRightInd w:val="0"/>
              <w:ind w:left="360"/>
              <w:rPr>
                <w:rFonts w:cs="Arial"/>
                <w:b/>
              </w:rPr>
            </w:pPr>
          </w:p>
        </w:tc>
      </w:tr>
    </w:tbl>
    <w:p w14:paraId="59F056CB" w14:textId="55B757D6" w:rsidR="00BC6E04" w:rsidRDefault="00BC6E04"/>
    <w:p w14:paraId="7D3E2FA9" w14:textId="2124B463" w:rsidR="00275906" w:rsidRDefault="00275906"/>
    <w:p w14:paraId="29D72E55" w14:textId="77777777" w:rsidR="00275906" w:rsidRPr="00275906" w:rsidRDefault="00275906" w:rsidP="00275906"/>
    <w:p w14:paraId="474AEFE8" w14:textId="77777777" w:rsidR="00275906" w:rsidRPr="00275906" w:rsidRDefault="00275906" w:rsidP="00275906"/>
    <w:p w14:paraId="28CA3311" w14:textId="77777777" w:rsidR="00275906" w:rsidRPr="00275906" w:rsidRDefault="00275906" w:rsidP="00275906"/>
    <w:p w14:paraId="1828EB45" w14:textId="7015DC01" w:rsidR="00275906" w:rsidRDefault="00275906"/>
    <w:p w14:paraId="2F60C819" w14:textId="27BA5C3F" w:rsidR="00A005EF" w:rsidRDefault="00275906" w:rsidP="00275906">
      <w:pPr>
        <w:tabs>
          <w:tab w:val="left" w:pos="1428"/>
        </w:tabs>
      </w:pPr>
      <w:r>
        <w:tab/>
      </w:r>
      <w:bookmarkStart w:id="0" w:name="_GoBack"/>
      <w:bookmarkEnd w:id="0"/>
    </w:p>
    <w:sectPr w:rsidR="00A005EF" w:rsidSect="0014799D">
      <w:headerReference w:type="default" r:id="rId22"/>
      <w:footerReference w:type="default" r:id="rId23"/>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18A78" w14:textId="77777777" w:rsidR="00B47D25" w:rsidRDefault="00B47D25">
      <w:r>
        <w:separator/>
      </w:r>
    </w:p>
  </w:endnote>
  <w:endnote w:type="continuationSeparator" w:id="0">
    <w:p w14:paraId="2558DF1B" w14:textId="77777777" w:rsidR="00B47D25" w:rsidRDefault="00B47D25">
      <w:r>
        <w:continuationSeparator/>
      </w:r>
    </w:p>
  </w:endnote>
  <w:endnote w:type="continuationNotice" w:id="1">
    <w:p w14:paraId="42663D57" w14:textId="77777777" w:rsidR="00B47D25" w:rsidRDefault="00B47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6136F5B7" w14:textId="77777777" w:rsidR="002D3390" w:rsidRDefault="002D3390">
        <w:pPr>
          <w:pStyle w:val="Footer"/>
          <w:jc w:val="right"/>
          <w:rPr>
            <w:noProof/>
          </w:rPr>
        </w:pPr>
        <w:r>
          <w:fldChar w:fldCharType="begin"/>
        </w:r>
        <w:r>
          <w:instrText xml:space="preserve"> PAGE   \* MERGEFORMAT </w:instrText>
        </w:r>
        <w:r>
          <w:fldChar w:fldCharType="separate"/>
        </w:r>
        <w:r w:rsidR="00275906">
          <w:rPr>
            <w:noProof/>
          </w:rPr>
          <w:t>8</w:t>
        </w:r>
        <w:r>
          <w:rPr>
            <w:noProof/>
          </w:rPr>
          <w:fldChar w:fldCharType="end"/>
        </w:r>
      </w:p>
      <w:p w14:paraId="59F056D5" w14:textId="6D3BD016" w:rsidR="002D3390" w:rsidRDefault="002D3390" w:rsidP="005D2201">
        <w:pPr>
          <w:pStyle w:val="Footer"/>
        </w:pPr>
        <w:r>
          <w:rPr>
            <w:noProof/>
          </w:rPr>
          <w:t>Community Grants-February 2016-Final</w:t>
        </w:r>
      </w:p>
    </w:sdtContent>
  </w:sdt>
  <w:p w14:paraId="59F056D6" w14:textId="77777777" w:rsidR="002D3390" w:rsidRDefault="002D3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96ABB" w14:textId="77777777" w:rsidR="00B47D25" w:rsidRDefault="00B47D25">
      <w:r>
        <w:separator/>
      </w:r>
    </w:p>
  </w:footnote>
  <w:footnote w:type="continuationSeparator" w:id="0">
    <w:p w14:paraId="61020F8D" w14:textId="77777777" w:rsidR="00B47D25" w:rsidRDefault="00B47D25">
      <w:r>
        <w:continuationSeparator/>
      </w:r>
    </w:p>
  </w:footnote>
  <w:footnote w:type="continuationNotice" w:id="1">
    <w:p w14:paraId="6499139E" w14:textId="77777777" w:rsidR="00B47D25" w:rsidRDefault="00B47D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59F056D4" w14:textId="77777777" w:rsidR="002D3390" w:rsidRDefault="00275906">
        <w:pPr>
          <w:pStyle w:val="Header"/>
        </w:pPr>
        <w:r>
          <w:rPr>
            <w:noProof/>
            <w:lang w:val="en-US"/>
          </w:rPr>
          <w:pict w14:anchorId="59F05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E16227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94269"/>
    <w:multiLevelType w:val="hybridMultilevel"/>
    <w:tmpl w:val="5E20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D6128D"/>
    <w:multiLevelType w:val="hybridMultilevel"/>
    <w:tmpl w:val="B8C01BB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01DA44CD"/>
    <w:multiLevelType w:val="hybridMultilevel"/>
    <w:tmpl w:val="7B389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44227"/>
    <w:multiLevelType w:val="hybridMultilevel"/>
    <w:tmpl w:val="4B86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5376A5"/>
    <w:multiLevelType w:val="hybridMultilevel"/>
    <w:tmpl w:val="B5EA61D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6A6B4F"/>
    <w:multiLevelType w:val="hybridMultilevel"/>
    <w:tmpl w:val="4BFA4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0"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15:restartNumberingAfterBreak="0">
    <w:nsid w:val="1E3E7A8A"/>
    <w:multiLevelType w:val="hybridMultilevel"/>
    <w:tmpl w:val="A8A8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2693E"/>
    <w:multiLevelType w:val="hybridMultilevel"/>
    <w:tmpl w:val="54E8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B4C54"/>
    <w:multiLevelType w:val="hybridMultilevel"/>
    <w:tmpl w:val="F2C4012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3F345DBB"/>
    <w:multiLevelType w:val="hybridMultilevel"/>
    <w:tmpl w:val="2512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D08A8"/>
    <w:multiLevelType w:val="hybridMultilevel"/>
    <w:tmpl w:val="8BA0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E16EC"/>
    <w:multiLevelType w:val="hybridMultilevel"/>
    <w:tmpl w:val="44FA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8" w15:restartNumberingAfterBreak="0">
    <w:nsid w:val="74B752DC"/>
    <w:multiLevelType w:val="hybridMultilevel"/>
    <w:tmpl w:val="DE66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C14675"/>
    <w:multiLevelType w:val="hybridMultilevel"/>
    <w:tmpl w:val="7CFE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034504"/>
    <w:multiLevelType w:val="hybridMultilevel"/>
    <w:tmpl w:val="4530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7"/>
  </w:num>
  <w:num w:numId="4">
    <w:abstractNumId w:val="17"/>
  </w:num>
  <w:num w:numId="5">
    <w:abstractNumId w:val="9"/>
  </w:num>
  <w:num w:numId="6">
    <w:abstractNumId w:val="0"/>
  </w:num>
  <w:num w:numId="7">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2"/>
  </w:num>
  <w:num w:numId="11">
    <w:abstractNumId w:val="21"/>
  </w:num>
  <w:num w:numId="12">
    <w:abstractNumId w:val="1"/>
  </w:num>
  <w:num w:numId="13">
    <w:abstractNumId w:val="18"/>
  </w:num>
  <w:num w:numId="14">
    <w:abstractNumId w:val="13"/>
  </w:num>
  <w:num w:numId="15">
    <w:abstractNumId w:val="16"/>
  </w:num>
  <w:num w:numId="16">
    <w:abstractNumId w:val="20"/>
  </w:num>
  <w:num w:numId="17">
    <w:abstractNumId w:val="5"/>
  </w:num>
  <w:num w:numId="18">
    <w:abstractNumId w:val="4"/>
  </w:num>
  <w:num w:numId="19">
    <w:abstractNumId w:val="3"/>
  </w:num>
  <w:num w:numId="20">
    <w:abstractNumId w:val="14"/>
  </w:num>
  <w:num w:numId="21">
    <w:abstractNumId w:val="15"/>
  </w:num>
  <w:num w:numId="22">
    <w:abstractNumId w:val="7"/>
  </w:num>
  <w:num w:numId="2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D1D"/>
    <w:rsid w:val="00005B67"/>
    <w:rsid w:val="00005DA8"/>
    <w:rsid w:val="0000772D"/>
    <w:rsid w:val="00020B5F"/>
    <w:rsid w:val="000241A5"/>
    <w:rsid w:val="00025309"/>
    <w:rsid w:val="00025EF8"/>
    <w:rsid w:val="000262AC"/>
    <w:rsid w:val="000304B2"/>
    <w:rsid w:val="00033BE9"/>
    <w:rsid w:val="000419AD"/>
    <w:rsid w:val="000426C3"/>
    <w:rsid w:val="00044B29"/>
    <w:rsid w:val="000457C3"/>
    <w:rsid w:val="00045DF4"/>
    <w:rsid w:val="00055B31"/>
    <w:rsid w:val="00061405"/>
    <w:rsid w:val="000616F5"/>
    <w:rsid w:val="0006724D"/>
    <w:rsid w:val="0007093F"/>
    <w:rsid w:val="000730F1"/>
    <w:rsid w:val="000935EF"/>
    <w:rsid w:val="000A0728"/>
    <w:rsid w:val="000A5C48"/>
    <w:rsid w:val="000A6802"/>
    <w:rsid w:val="000B07A1"/>
    <w:rsid w:val="000B41E7"/>
    <w:rsid w:val="000B44ED"/>
    <w:rsid w:val="000B4E0D"/>
    <w:rsid w:val="000C02F6"/>
    <w:rsid w:val="000C1CF5"/>
    <w:rsid w:val="000C7A51"/>
    <w:rsid w:val="000D0395"/>
    <w:rsid w:val="000D3936"/>
    <w:rsid w:val="000D51DE"/>
    <w:rsid w:val="000D7439"/>
    <w:rsid w:val="000E4725"/>
    <w:rsid w:val="000F0F49"/>
    <w:rsid w:val="000F1295"/>
    <w:rsid w:val="000F1BF3"/>
    <w:rsid w:val="000F1D40"/>
    <w:rsid w:val="00100DB8"/>
    <w:rsid w:val="00101C79"/>
    <w:rsid w:val="00105A7C"/>
    <w:rsid w:val="00110113"/>
    <w:rsid w:val="00116EB0"/>
    <w:rsid w:val="0012138E"/>
    <w:rsid w:val="00130D00"/>
    <w:rsid w:val="00131443"/>
    <w:rsid w:val="0013204A"/>
    <w:rsid w:val="0013245B"/>
    <w:rsid w:val="00133A11"/>
    <w:rsid w:val="00137737"/>
    <w:rsid w:val="00140390"/>
    <w:rsid w:val="00143A7D"/>
    <w:rsid w:val="001450FE"/>
    <w:rsid w:val="0014799D"/>
    <w:rsid w:val="0015011A"/>
    <w:rsid w:val="001535BC"/>
    <w:rsid w:val="00156871"/>
    <w:rsid w:val="00161E3A"/>
    <w:rsid w:val="00166119"/>
    <w:rsid w:val="00171CCB"/>
    <w:rsid w:val="00172F88"/>
    <w:rsid w:val="0017418C"/>
    <w:rsid w:val="00174E73"/>
    <w:rsid w:val="00176B5A"/>
    <w:rsid w:val="00186A62"/>
    <w:rsid w:val="001873F6"/>
    <w:rsid w:val="00191EFE"/>
    <w:rsid w:val="00194CEF"/>
    <w:rsid w:val="001A0525"/>
    <w:rsid w:val="001A4B42"/>
    <w:rsid w:val="001B180A"/>
    <w:rsid w:val="001C0F4B"/>
    <w:rsid w:val="001C6BE0"/>
    <w:rsid w:val="001C77FC"/>
    <w:rsid w:val="001D1AC8"/>
    <w:rsid w:val="001E04A4"/>
    <w:rsid w:val="001E1416"/>
    <w:rsid w:val="001E23AA"/>
    <w:rsid w:val="001E3703"/>
    <w:rsid w:val="001E45D5"/>
    <w:rsid w:val="001E48F1"/>
    <w:rsid w:val="001E4DC7"/>
    <w:rsid w:val="001E5188"/>
    <w:rsid w:val="001E53AD"/>
    <w:rsid w:val="001E6A24"/>
    <w:rsid w:val="001F0385"/>
    <w:rsid w:val="001F0D61"/>
    <w:rsid w:val="001F0E6A"/>
    <w:rsid w:val="001F3341"/>
    <w:rsid w:val="001F683C"/>
    <w:rsid w:val="001F687D"/>
    <w:rsid w:val="00200BC6"/>
    <w:rsid w:val="0020278B"/>
    <w:rsid w:val="002048CD"/>
    <w:rsid w:val="0021080C"/>
    <w:rsid w:val="002150E5"/>
    <w:rsid w:val="00226225"/>
    <w:rsid w:val="00230104"/>
    <w:rsid w:val="002325E4"/>
    <w:rsid w:val="00234361"/>
    <w:rsid w:val="00234B05"/>
    <w:rsid w:val="002369B8"/>
    <w:rsid w:val="00236EB2"/>
    <w:rsid w:val="00241ACD"/>
    <w:rsid w:val="00244732"/>
    <w:rsid w:val="002449E6"/>
    <w:rsid w:val="002476AE"/>
    <w:rsid w:val="00252D5F"/>
    <w:rsid w:val="0025417A"/>
    <w:rsid w:val="00254DC6"/>
    <w:rsid w:val="002614C3"/>
    <w:rsid w:val="00261A57"/>
    <w:rsid w:val="002725CD"/>
    <w:rsid w:val="00274F72"/>
    <w:rsid w:val="00275906"/>
    <w:rsid w:val="00275DF2"/>
    <w:rsid w:val="002833D9"/>
    <w:rsid w:val="00294130"/>
    <w:rsid w:val="00294FCA"/>
    <w:rsid w:val="002A10EA"/>
    <w:rsid w:val="002A4103"/>
    <w:rsid w:val="002A52B1"/>
    <w:rsid w:val="002A5E6B"/>
    <w:rsid w:val="002B1C13"/>
    <w:rsid w:val="002B2730"/>
    <w:rsid w:val="002B2B9C"/>
    <w:rsid w:val="002C2C52"/>
    <w:rsid w:val="002C3DD0"/>
    <w:rsid w:val="002C62CF"/>
    <w:rsid w:val="002C72A2"/>
    <w:rsid w:val="002D3390"/>
    <w:rsid w:val="002D7D91"/>
    <w:rsid w:val="002E0F4A"/>
    <w:rsid w:val="002E25F4"/>
    <w:rsid w:val="002E3B40"/>
    <w:rsid w:val="002E53B9"/>
    <w:rsid w:val="002E78F7"/>
    <w:rsid w:val="002F2910"/>
    <w:rsid w:val="002F70E9"/>
    <w:rsid w:val="00301CA8"/>
    <w:rsid w:val="003035E8"/>
    <w:rsid w:val="00303609"/>
    <w:rsid w:val="00303EFB"/>
    <w:rsid w:val="003045E2"/>
    <w:rsid w:val="00304D39"/>
    <w:rsid w:val="00307FC5"/>
    <w:rsid w:val="003146D9"/>
    <w:rsid w:val="00320393"/>
    <w:rsid w:val="003240A6"/>
    <w:rsid w:val="003240F9"/>
    <w:rsid w:val="00325BC2"/>
    <w:rsid w:val="00325EB2"/>
    <w:rsid w:val="00332E13"/>
    <w:rsid w:val="003372BE"/>
    <w:rsid w:val="003436BF"/>
    <w:rsid w:val="00344188"/>
    <w:rsid w:val="00344FA1"/>
    <w:rsid w:val="0035514D"/>
    <w:rsid w:val="00363111"/>
    <w:rsid w:val="00364A6D"/>
    <w:rsid w:val="00365815"/>
    <w:rsid w:val="00370ADD"/>
    <w:rsid w:val="003711BA"/>
    <w:rsid w:val="00372BC6"/>
    <w:rsid w:val="00374539"/>
    <w:rsid w:val="00375997"/>
    <w:rsid w:val="003815F3"/>
    <w:rsid w:val="003817E6"/>
    <w:rsid w:val="00382209"/>
    <w:rsid w:val="00382E4D"/>
    <w:rsid w:val="00384794"/>
    <w:rsid w:val="00384AE2"/>
    <w:rsid w:val="00387205"/>
    <w:rsid w:val="00391879"/>
    <w:rsid w:val="003A3761"/>
    <w:rsid w:val="003A3C37"/>
    <w:rsid w:val="003A457D"/>
    <w:rsid w:val="003A4747"/>
    <w:rsid w:val="003A6E89"/>
    <w:rsid w:val="003A703E"/>
    <w:rsid w:val="003B6ACC"/>
    <w:rsid w:val="003B6D47"/>
    <w:rsid w:val="003C070A"/>
    <w:rsid w:val="003C218D"/>
    <w:rsid w:val="003C3FC1"/>
    <w:rsid w:val="003D5D97"/>
    <w:rsid w:val="003E2905"/>
    <w:rsid w:val="003E3DEA"/>
    <w:rsid w:val="003E657D"/>
    <w:rsid w:val="003F57F0"/>
    <w:rsid w:val="004050CC"/>
    <w:rsid w:val="00415003"/>
    <w:rsid w:val="0041542B"/>
    <w:rsid w:val="00415AB1"/>
    <w:rsid w:val="00416BE3"/>
    <w:rsid w:val="004241A1"/>
    <w:rsid w:val="00431367"/>
    <w:rsid w:val="0043144D"/>
    <w:rsid w:val="004404D5"/>
    <w:rsid w:val="0044066C"/>
    <w:rsid w:val="00442DA3"/>
    <w:rsid w:val="00444DB8"/>
    <w:rsid w:val="00447E3D"/>
    <w:rsid w:val="00454193"/>
    <w:rsid w:val="00457BC3"/>
    <w:rsid w:val="00464787"/>
    <w:rsid w:val="00475879"/>
    <w:rsid w:val="004B7AFB"/>
    <w:rsid w:val="004C3A3C"/>
    <w:rsid w:val="004C5399"/>
    <w:rsid w:val="004C726D"/>
    <w:rsid w:val="004D1EA6"/>
    <w:rsid w:val="004D7820"/>
    <w:rsid w:val="004F1020"/>
    <w:rsid w:val="005005F6"/>
    <w:rsid w:val="005021D0"/>
    <w:rsid w:val="0050287E"/>
    <w:rsid w:val="0051414C"/>
    <w:rsid w:val="00515602"/>
    <w:rsid w:val="00517252"/>
    <w:rsid w:val="00522372"/>
    <w:rsid w:val="0052301F"/>
    <w:rsid w:val="0052417A"/>
    <w:rsid w:val="00525050"/>
    <w:rsid w:val="00527247"/>
    <w:rsid w:val="00532143"/>
    <w:rsid w:val="005325A3"/>
    <w:rsid w:val="00533590"/>
    <w:rsid w:val="00537FF6"/>
    <w:rsid w:val="005451E6"/>
    <w:rsid w:val="00552885"/>
    <w:rsid w:val="005530E1"/>
    <w:rsid w:val="0055442A"/>
    <w:rsid w:val="005574E2"/>
    <w:rsid w:val="00570163"/>
    <w:rsid w:val="0057560E"/>
    <w:rsid w:val="00575A04"/>
    <w:rsid w:val="00581451"/>
    <w:rsid w:val="00581C17"/>
    <w:rsid w:val="005844BD"/>
    <w:rsid w:val="00584D89"/>
    <w:rsid w:val="00584F79"/>
    <w:rsid w:val="00587150"/>
    <w:rsid w:val="00590073"/>
    <w:rsid w:val="00596FF4"/>
    <w:rsid w:val="005A233C"/>
    <w:rsid w:val="005A277B"/>
    <w:rsid w:val="005B3498"/>
    <w:rsid w:val="005B4B9E"/>
    <w:rsid w:val="005C04A2"/>
    <w:rsid w:val="005C350D"/>
    <w:rsid w:val="005C5996"/>
    <w:rsid w:val="005C74C2"/>
    <w:rsid w:val="005D1F68"/>
    <w:rsid w:val="005D2201"/>
    <w:rsid w:val="005D2D1A"/>
    <w:rsid w:val="005D2FF1"/>
    <w:rsid w:val="005D3214"/>
    <w:rsid w:val="005D3E38"/>
    <w:rsid w:val="005D77FE"/>
    <w:rsid w:val="005E0E16"/>
    <w:rsid w:val="005E1FA1"/>
    <w:rsid w:val="005E26A0"/>
    <w:rsid w:val="005E317E"/>
    <w:rsid w:val="005E37D8"/>
    <w:rsid w:val="005E3A1D"/>
    <w:rsid w:val="00601F38"/>
    <w:rsid w:val="00607A17"/>
    <w:rsid w:val="006106F1"/>
    <w:rsid w:val="00622E87"/>
    <w:rsid w:val="006254BD"/>
    <w:rsid w:val="006321E9"/>
    <w:rsid w:val="006322D9"/>
    <w:rsid w:val="006372B3"/>
    <w:rsid w:val="00651171"/>
    <w:rsid w:val="00655E68"/>
    <w:rsid w:val="00660917"/>
    <w:rsid w:val="006701D5"/>
    <w:rsid w:val="0067125E"/>
    <w:rsid w:val="00673325"/>
    <w:rsid w:val="00680408"/>
    <w:rsid w:val="00683123"/>
    <w:rsid w:val="00683FE3"/>
    <w:rsid w:val="0068445E"/>
    <w:rsid w:val="00685C15"/>
    <w:rsid w:val="00685FB5"/>
    <w:rsid w:val="00697265"/>
    <w:rsid w:val="006A4FD3"/>
    <w:rsid w:val="006B26F2"/>
    <w:rsid w:val="006B2902"/>
    <w:rsid w:val="006B627F"/>
    <w:rsid w:val="006B7267"/>
    <w:rsid w:val="006C00C2"/>
    <w:rsid w:val="006C5495"/>
    <w:rsid w:val="006C64F5"/>
    <w:rsid w:val="006D5858"/>
    <w:rsid w:val="006E31CF"/>
    <w:rsid w:val="006E594C"/>
    <w:rsid w:val="006E6DED"/>
    <w:rsid w:val="006E7CEE"/>
    <w:rsid w:val="006F33C3"/>
    <w:rsid w:val="006F520C"/>
    <w:rsid w:val="0070071E"/>
    <w:rsid w:val="0070487E"/>
    <w:rsid w:val="0070702A"/>
    <w:rsid w:val="00712993"/>
    <w:rsid w:val="007167C9"/>
    <w:rsid w:val="0072012D"/>
    <w:rsid w:val="00721D14"/>
    <w:rsid w:val="007221B7"/>
    <w:rsid w:val="00727966"/>
    <w:rsid w:val="00733C44"/>
    <w:rsid w:val="00734A2F"/>
    <w:rsid w:val="007362B9"/>
    <w:rsid w:val="00736BAE"/>
    <w:rsid w:val="00736E23"/>
    <w:rsid w:val="00740BBC"/>
    <w:rsid w:val="00741E70"/>
    <w:rsid w:val="007544F0"/>
    <w:rsid w:val="00755E41"/>
    <w:rsid w:val="00757D21"/>
    <w:rsid w:val="0076010B"/>
    <w:rsid w:val="007654E6"/>
    <w:rsid w:val="00765616"/>
    <w:rsid w:val="00772BBA"/>
    <w:rsid w:val="007779B8"/>
    <w:rsid w:val="00780C7F"/>
    <w:rsid w:val="00787807"/>
    <w:rsid w:val="00791D39"/>
    <w:rsid w:val="00794997"/>
    <w:rsid w:val="00795FB8"/>
    <w:rsid w:val="007977E5"/>
    <w:rsid w:val="007A1505"/>
    <w:rsid w:val="007A38DA"/>
    <w:rsid w:val="007A3B66"/>
    <w:rsid w:val="007A4CDA"/>
    <w:rsid w:val="007A63F7"/>
    <w:rsid w:val="007C1168"/>
    <w:rsid w:val="007C1C00"/>
    <w:rsid w:val="007C294F"/>
    <w:rsid w:val="007C2B80"/>
    <w:rsid w:val="007C5451"/>
    <w:rsid w:val="007D184B"/>
    <w:rsid w:val="007D5435"/>
    <w:rsid w:val="007E2F31"/>
    <w:rsid w:val="007E5629"/>
    <w:rsid w:val="007E7731"/>
    <w:rsid w:val="007F2F4C"/>
    <w:rsid w:val="007F51F2"/>
    <w:rsid w:val="007F5241"/>
    <w:rsid w:val="007F575A"/>
    <w:rsid w:val="007F61A6"/>
    <w:rsid w:val="007F73F6"/>
    <w:rsid w:val="007F7502"/>
    <w:rsid w:val="00806C56"/>
    <w:rsid w:val="00812EC6"/>
    <w:rsid w:val="008139C0"/>
    <w:rsid w:val="00831E78"/>
    <w:rsid w:val="008441FE"/>
    <w:rsid w:val="00854FFA"/>
    <w:rsid w:val="00856A39"/>
    <w:rsid w:val="0086257F"/>
    <w:rsid w:val="00865DD0"/>
    <w:rsid w:val="00866F8D"/>
    <w:rsid w:val="008751AB"/>
    <w:rsid w:val="00887CC4"/>
    <w:rsid w:val="008914FB"/>
    <w:rsid w:val="00891C05"/>
    <w:rsid w:val="00892D58"/>
    <w:rsid w:val="00893B59"/>
    <w:rsid w:val="008A2040"/>
    <w:rsid w:val="008A65CE"/>
    <w:rsid w:val="008A7BFE"/>
    <w:rsid w:val="008B0638"/>
    <w:rsid w:val="008B1F86"/>
    <w:rsid w:val="008B301A"/>
    <w:rsid w:val="008B3265"/>
    <w:rsid w:val="008C33A1"/>
    <w:rsid w:val="008C74BF"/>
    <w:rsid w:val="008D41F4"/>
    <w:rsid w:val="008D685F"/>
    <w:rsid w:val="008E0CA3"/>
    <w:rsid w:val="008E2EBC"/>
    <w:rsid w:val="008E61D4"/>
    <w:rsid w:val="008E6320"/>
    <w:rsid w:val="00900D0A"/>
    <w:rsid w:val="0090511E"/>
    <w:rsid w:val="00906CBD"/>
    <w:rsid w:val="00906ED1"/>
    <w:rsid w:val="00911515"/>
    <w:rsid w:val="009116BD"/>
    <w:rsid w:val="00911A56"/>
    <w:rsid w:val="00912377"/>
    <w:rsid w:val="00912B88"/>
    <w:rsid w:val="009136D4"/>
    <w:rsid w:val="00914BB9"/>
    <w:rsid w:val="00914DF9"/>
    <w:rsid w:val="0092708F"/>
    <w:rsid w:val="00931BC9"/>
    <w:rsid w:val="00936137"/>
    <w:rsid w:val="00945E4C"/>
    <w:rsid w:val="00946A67"/>
    <w:rsid w:val="009507C7"/>
    <w:rsid w:val="009552C2"/>
    <w:rsid w:val="009612F7"/>
    <w:rsid w:val="00965A85"/>
    <w:rsid w:val="009666CD"/>
    <w:rsid w:val="00967429"/>
    <w:rsid w:val="00970891"/>
    <w:rsid w:val="00975D7E"/>
    <w:rsid w:val="009840A5"/>
    <w:rsid w:val="009876C0"/>
    <w:rsid w:val="009907A3"/>
    <w:rsid w:val="00991E98"/>
    <w:rsid w:val="009924E0"/>
    <w:rsid w:val="009945CA"/>
    <w:rsid w:val="009A48CE"/>
    <w:rsid w:val="009B3FE6"/>
    <w:rsid w:val="009B666D"/>
    <w:rsid w:val="009C1A29"/>
    <w:rsid w:val="009D12A3"/>
    <w:rsid w:val="009D12C5"/>
    <w:rsid w:val="009D13EE"/>
    <w:rsid w:val="009D327E"/>
    <w:rsid w:val="009D3D53"/>
    <w:rsid w:val="009D55C8"/>
    <w:rsid w:val="009E20A3"/>
    <w:rsid w:val="009F1166"/>
    <w:rsid w:val="009F49B8"/>
    <w:rsid w:val="009F51A8"/>
    <w:rsid w:val="00A005EF"/>
    <w:rsid w:val="00A06583"/>
    <w:rsid w:val="00A077AE"/>
    <w:rsid w:val="00A11AEC"/>
    <w:rsid w:val="00A11F8C"/>
    <w:rsid w:val="00A1567A"/>
    <w:rsid w:val="00A205A2"/>
    <w:rsid w:val="00A228E4"/>
    <w:rsid w:val="00A3031B"/>
    <w:rsid w:val="00A31AB9"/>
    <w:rsid w:val="00A34142"/>
    <w:rsid w:val="00A353F2"/>
    <w:rsid w:val="00A402FE"/>
    <w:rsid w:val="00A4045A"/>
    <w:rsid w:val="00A406BC"/>
    <w:rsid w:val="00A477D1"/>
    <w:rsid w:val="00A524B5"/>
    <w:rsid w:val="00A55BAF"/>
    <w:rsid w:val="00A605B5"/>
    <w:rsid w:val="00A62B87"/>
    <w:rsid w:val="00A6430E"/>
    <w:rsid w:val="00A668E8"/>
    <w:rsid w:val="00A71104"/>
    <w:rsid w:val="00A7410B"/>
    <w:rsid w:val="00A7579B"/>
    <w:rsid w:val="00A76A58"/>
    <w:rsid w:val="00A813F8"/>
    <w:rsid w:val="00A818CD"/>
    <w:rsid w:val="00A857B7"/>
    <w:rsid w:val="00A926B4"/>
    <w:rsid w:val="00A933DA"/>
    <w:rsid w:val="00A93F46"/>
    <w:rsid w:val="00A969BC"/>
    <w:rsid w:val="00AA0653"/>
    <w:rsid w:val="00AA35C7"/>
    <w:rsid w:val="00AA3AA6"/>
    <w:rsid w:val="00AA3E5C"/>
    <w:rsid w:val="00AA5676"/>
    <w:rsid w:val="00AB1409"/>
    <w:rsid w:val="00AB276E"/>
    <w:rsid w:val="00AB5F90"/>
    <w:rsid w:val="00AC72AC"/>
    <w:rsid w:val="00AD6D2B"/>
    <w:rsid w:val="00AE01E8"/>
    <w:rsid w:val="00AF1F5D"/>
    <w:rsid w:val="00AF3545"/>
    <w:rsid w:val="00AF6AC9"/>
    <w:rsid w:val="00B048EE"/>
    <w:rsid w:val="00B05C27"/>
    <w:rsid w:val="00B06A9F"/>
    <w:rsid w:val="00B13229"/>
    <w:rsid w:val="00B21ED4"/>
    <w:rsid w:val="00B2490D"/>
    <w:rsid w:val="00B24D65"/>
    <w:rsid w:val="00B263DA"/>
    <w:rsid w:val="00B305E3"/>
    <w:rsid w:val="00B37256"/>
    <w:rsid w:val="00B47D25"/>
    <w:rsid w:val="00B505CF"/>
    <w:rsid w:val="00B52D80"/>
    <w:rsid w:val="00B53396"/>
    <w:rsid w:val="00B5677B"/>
    <w:rsid w:val="00B56C5A"/>
    <w:rsid w:val="00B6321D"/>
    <w:rsid w:val="00B64855"/>
    <w:rsid w:val="00B650A9"/>
    <w:rsid w:val="00B6696F"/>
    <w:rsid w:val="00B66CC6"/>
    <w:rsid w:val="00B70FB2"/>
    <w:rsid w:val="00B81643"/>
    <w:rsid w:val="00B81B9B"/>
    <w:rsid w:val="00B87752"/>
    <w:rsid w:val="00BA120C"/>
    <w:rsid w:val="00BA1865"/>
    <w:rsid w:val="00BB06DA"/>
    <w:rsid w:val="00BB091D"/>
    <w:rsid w:val="00BC07D7"/>
    <w:rsid w:val="00BC357A"/>
    <w:rsid w:val="00BC3D6D"/>
    <w:rsid w:val="00BC6E04"/>
    <w:rsid w:val="00BD16C9"/>
    <w:rsid w:val="00BD660A"/>
    <w:rsid w:val="00BD78CA"/>
    <w:rsid w:val="00BD7FA4"/>
    <w:rsid w:val="00BE28A7"/>
    <w:rsid w:val="00BE4001"/>
    <w:rsid w:val="00BF18D5"/>
    <w:rsid w:val="00C00A3A"/>
    <w:rsid w:val="00C0243B"/>
    <w:rsid w:val="00C1049A"/>
    <w:rsid w:val="00C107CE"/>
    <w:rsid w:val="00C14303"/>
    <w:rsid w:val="00C14DC6"/>
    <w:rsid w:val="00C20DCE"/>
    <w:rsid w:val="00C3030B"/>
    <w:rsid w:val="00C34EC6"/>
    <w:rsid w:val="00C4536B"/>
    <w:rsid w:val="00C47F4E"/>
    <w:rsid w:val="00C576AF"/>
    <w:rsid w:val="00C6044B"/>
    <w:rsid w:val="00C60796"/>
    <w:rsid w:val="00C6219F"/>
    <w:rsid w:val="00C641E9"/>
    <w:rsid w:val="00C644F5"/>
    <w:rsid w:val="00C70F69"/>
    <w:rsid w:val="00C8302D"/>
    <w:rsid w:val="00C87AC8"/>
    <w:rsid w:val="00C91216"/>
    <w:rsid w:val="00C92574"/>
    <w:rsid w:val="00CA6D69"/>
    <w:rsid w:val="00CB61CE"/>
    <w:rsid w:val="00CB6BB7"/>
    <w:rsid w:val="00CC1802"/>
    <w:rsid w:val="00CE298D"/>
    <w:rsid w:val="00CE6114"/>
    <w:rsid w:val="00D27C1F"/>
    <w:rsid w:val="00D40280"/>
    <w:rsid w:val="00D4509F"/>
    <w:rsid w:val="00D542C8"/>
    <w:rsid w:val="00D6167E"/>
    <w:rsid w:val="00D61A04"/>
    <w:rsid w:val="00D67580"/>
    <w:rsid w:val="00D70054"/>
    <w:rsid w:val="00D75418"/>
    <w:rsid w:val="00D76FA8"/>
    <w:rsid w:val="00D90744"/>
    <w:rsid w:val="00D92E9F"/>
    <w:rsid w:val="00D934F2"/>
    <w:rsid w:val="00DA3E5E"/>
    <w:rsid w:val="00DA635D"/>
    <w:rsid w:val="00DA7651"/>
    <w:rsid w:val="00DA7EEC"/>
    <w:rsid w:val="00DB2FA1"/>
    <w:rsid w:val="00DB35CA"/>
    <w:rsid w:val="00DB519C"/>
    <w:rsid w:val="00DB5C0F"/>
    <w:rsid w:val="00DC32A0"/>
    <w:rsid w:val="00DC5127"/>
    <w:rsid w:val="00DC64A1"/>
    <w:rsid w:val="00DC7B87"/>
    <w:rsid w:val="00DD44CA"/>
    <w:rsid w:val="00DD47E2"/>
    <w:rsid w:val="00DD6338"/>
    <w:rsid w:val="00DE1B57"/>
    <w:rsid w:val="00DE379E"/>
    <w:rsid w:val="00DE4672"/>
    <w:rsid w:val="00DF4569"/>
    <w:rsid w:val="00DF4F49"/>
    <w:rsid w:val="00DF61FC"/>
    <w:rsid w:val="00E076C0"/>
    <w:rsid w:val="00E11599"/>
    <w:rsid w:val="00E21F98"/>
    <w:rsid w:val="00E275C2"/>
    <w:rsid w:val="00E44261"/>
    <w:rsid w:val="00E55D00"/>
    <w:rsid w:val="00E56D8F"/>
    <w:rsid w:val="00E627AE"/>
    <w:rsid w:val="00E63FDE"/>
    <w:rsid w:val="00E646A6"/>
    <w:rsid w:val="00E74099"/>
    <w:rsid w:val="00E751A1"/>
    <w:rsid w:val="00E838E3"/>
    <w:rsid w:val="00E84720"/>
    <w:rsid w:val="00E93E97"/>
    <w:rsid w:val="00E94D8E"/>
    <w:rsid w:val="00E955A7"/>
    <w:rsid w:val="00EA61ED"/>
    <w:rsid w:val="00EA6ABF"/>
    <w:rsid w:val="00EA7E71"/>
    <w:rsid w:val="00EB0715"/>
    <w:rsid w:val="00EB1337"/>
    <w:rsid w:val="00EB2C7B"/>
    <w:rsid w:val="00EB6E31"/>
    <w:rsid w:val="00EC1414"/>
    <w:rsid w:val="00EC2AFC"/>
    <w:rsid w:val="00EC5F1C"/>
    <w:rsid w:val="00ED156A"/>
    <w:rsid w:val="00ED67E0"/>
    <w:rsid w:val="00EE3F01"/>
    <w:rsid w:val="00EE6303"/>
    <w:rsid w:val="00F06A90"/>
    <w:rsid w:val="00F10244"/>
    <w:rsid w:val="00F118A0"/>
    <w:rsid w:val="00F11CC0"/>
    <w:rsid w:val="00F14E14"/>
    <w:rsid w:val="00F20CFE"/>
    <w:rsid w:val="00F20E79"/>
    <w:rsid w:val="00F2255D"/>
    <w:rsid w:val="00F22D1A"/>
    <w:rsid w:val="00F351EC"/>
    <w:rsid w:val="00F3689D"/>
    <w:rsid w:val="00F41B74"/>
    <w:rsid w:val="00F45857"/>
    <w:rsid w:val="00F523D2"/>
    <w:rsid w:val="00F5711C"/>
    <w:rsid w:val="00F72938"/>
    <w:rsid w:val="00F733FE"/>
    <w:rsid w:val="00F7375E"/>
    <w:rsid w:val="00F820E9"/>
    <w:rsid w:val="00F87D3E"/>
    <w:rsid w:val="00F9192C"/>
    <w:rsid w:val="00FA04FF"/>
    <w:rsid w:val="00FA346F"/>
    <w:rsid w:val="00FB7AC6"/>
    <w:rsid w:val="00FC0576"/>
    <w:rsid w:val="00FD0099"/>
    <w:rsid w:val="00FD05D4"/>
    <w:rsid w:val="00FD153C"/>
    <w:rsid w:val="00FD3B0A"/>
    <w:rsid w:val="00FD4ABD"/>
    <w:rsid w:val="00FE02FD"/>
    <w:rsid w:val="00FF0769"/>
    <w:rsid w:val="00FF08DF"/>
    <w:rsid w:val="00FF6CCA"/>
    <w:rsid w:val="0971D395"/>
    <w:rsid w:val="3B521540"/>
    <w:rsid w:val="40353203"/>
    <w:rsid w:val="4D650098"/>
    <w:rsid w:val="5F98A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F0553F"/>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tabs>
        <w:tab w:val="clear" w:pos="1134"/>
        <w:tab w:val="num" w:pos="360"/>
      </w:tabs>
      <w:spacing w:after="60"/>
      <w:ind w:left="0" w:firstLine="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character" w:customStyle="1" w:styleId="tgc">
    <w:name w:val="_tgc"/>
    <w:basedOn w:val="DefaultParagraphFont"/>
    <w:rsid w:val="00A7410B"/>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DA7EEC"/>
    <w:rPr>
      <w:rFonts w:ascii="Arial" w:hAnsi="Arial"/>
      <w:sz w:val="24"/>
      <w:szCs w:val="24"/>
      <w:lang w:eastAsia="en-US"/>
    </w:rPr>
  </w:style>
  <w:style w:type="paragraph" w:customStyle="1" w:styleId="normalnumbered">
    <w:name w:val="normal numbered"/>
    <w:basedOn w:val="Normal"/>
    <w:link w:val="normalnumberedChar"/>
    <w:uiPriority w:val="99"/>
    <w:rsid w:val="00DA7EEC"/>
    <w:pPr>
      <w:tabs>
        <w:tab w:val="num" w:pos="2666"/>
      </w:tabs>
      <w:spacing w:before="120" w:after="240" w:line="360" w:lineRule="auto"/>
      <w:ind w:left="2666" w:hanging="680"/>
      <w:jc w:val="both"/>
    </w:pPr>
    <w:rPr>
      <w:sz w:val="20"/>
      <w:lang w:eastAsia="en-GB"/>
    </w:rPr>
  </w:style>
  <w:style w:type="character" w:customStyle="1" w:styleId="normalnumberedChar">
    <w:name w:val="normal numbered Char"/>
    <w:link w:val="normalnumbered"/>
    <w:uiPriority w:val="99"/>
    <w:locked/>
    <w:rsid w:val="00DA7EEC"/>
    <w:rPr>
      <w:rFonts w:ascii="Arial" w:hAnsi="Arial"/>
      <w:szCs w:val="24"/>
    </w:rPr>
  </w:style>
  <w:style w:type="paragraph" w:styleId="ListBullet">
    <w:name w:val="List Bullet"/>
    <w:basedOn w:val="Normal"/>
    <w:unhideWhenUsed/>
    <w:rsid w:val="00D542C8"/>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58242372">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813908608">
      <w:bodyDiv w:val="1"/>
      <w:marLeft w:val="0"/>
      <w:marRight w:val="0"/>
      <w:marTop w:val="0"/>
      <w:marBottom w:val="0"/>
      <w:divBdr>
        <w:top w:val="none" w:sz="0" w:space="0" w:color="auto"/>
        <w:left w:val="none" w:sz="0" w:space="0" w:color="auto"/>
        <w:bottom w:val="none" w:sz="0" w:space="0" w:color="auto"/>
        <w:right w:val="none" w:sz="0" w:space="0" w:color="auto"/>
      </w:divBdr>
    </w:div>
    <w:div w:id="1892300735">
      <w:bodyDiv w:val="1"/>
      <w:marLeft w:val="0"/>
      <w:marRight w:val="0"/>
      <w:marTop w:val="0"/>
      <w:marBottom w:val="0"/>
      <w:divBdr>
        <w:top w:val="none" w:sz="0" w:space="0" w:color="auto"/>
        <w:left w:val="none" w:sz="0" w:space="0" w:color="auto"/>
        <w:bottom w:val="none" w:sz="0" w:space="0" w:color="auto"/>
        <w:right w:val="none" w:sz="0" w:space="0" w:color="auto"/>
      </w:divBdr>
    </w:div>
    <w:div w:id="1976568236">
      <w:bodyDiv w:val="1"/>
      <w:marLeft w:val="0"/>
      <w:marRight w:val="0"/>
      <w:marTop w:val="0"/>
      <w:marBottom w:val="0"/>
      <w:divBdr>
        <w:top w:val="none" w:sz="0" w:space="0" w:color="auto"/>
        <w:left w:val="none" w:sz="0" w:space="0" w:color="auto"/>
        <w:bottom w:val="none" w:sz="0" w:space="0" w:color="auto"/>
        <w:right w:val="none" w:sz="0" w:space="0" w:color="auto"/>
      </w:divBdr>
    </w:div>
    <w:div w:id="2089693954">
      <w:bodyDiv w:val="1"/>
      <w:marLeft w:val="0"/>
      <w:marRight w:val="0"/>
      <w:marTop w:val="0"/>
      <w:marBottom w:val="0"/>
      <w:divBdr>
        <w:top w:val="none" w:sz="0" w:space="0" w:color="auto"/>
        <w:left w:val="none" w:sz="0" w:space="0" w:color="auto"/>
        <w:bottom w:val="none" w:sz="0" w:space="0" w:color="auto"/>
        <w:right w:val="none" w:sz="0" w:space="0" w:color="auto"/>
      </w:divBdr>
    </w:div>
    <w:div w:id="2101022204">
      <w:bodyDiv w:val="1"/>
      <w:marLeft w:val="0"/>
      <w:marRight w:val="0"/>
      <w:marTop w:val="0"/>
      <w:marBottom w:val="0"/>
      <w:divBdr>
        <w:top w:val="none" w:sz="0" w:space="0" w:color="auto"/>
        <w:left w:val="none" w:sz="0" w:space="0" w:color="auto"/>
        <w:bottom w:val="none" w:sz="0" w:space="0" w:color="auto"/>
        <w:right w:val="none" w:sz="0" w:space="0" w:color="auto"/>
      </w:divBdr>
    </w:div>
    <w:div w:id="211913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humberlep.org/skills/skills-strategy" TargetMode="External"/><Relationship Id="rId3" Type="http://schemas.openxmlformats.org/officeDocument/2006/relationships/customXml" Target="../customXml/item3.xml"/><Relationship Id="rId21" Type="http://schemas.openxmlformats.org/officeDocument/2006/relationships/hyperlink" Target="https://www.gov.uk/government/publications/european-structural-and-investment-funds-programme-guidanc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humberlep.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usinessinspiredgrowth.com/corpdocs/eusif-implementation-plan/" TargetMode="External"/><Relationship Id="rId20" Type="http://schemas.openxmlformats.org/officeDocument/2006/relationships/hyperlink" Target="http://www.humberlep.org/strategies/european-structural-and-investment-fund-strate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businessinspiredgrowth.com/corpdocs/strategic-economic-plan-part-2/"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humberlep.org/strategies/strategic-economic-pla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usinessinspiredgrowth.com/corpdocs/strategic-economic-plan-part-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57662250-88eb-4feb-ad90-0853014cc4f8"/>
    <ds:schemaRef ds:uri="http://www.w3.org/XML/1998/namespace"/>
  </ds:schemaRefs>
</ds:datastoreItem>
</file>

<file path=customXml/itemProps2.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1BD5B884-5383-4BC9-B2A3-E48CD99D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5AF68E-E8E4-49EA-A003-0E1B43763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Pancholi</cp:lastModifiedBy>
  <cp:revision>2</cp:revision>
  <cp:lastPrinted>2015-08-13T11:52:00Z</cp:lastPrinted>
  <dcterms:created xsi:type="dcterms:W3CDTF">2016-02-22T16:29:00Z</dcterms:created>
  <dcterms:modified xsi:type="dcterms:W3CDTF">2016-02-22T16:29:00Z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