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F62C2" w14:textId="14A4AE93" w:rsidR="00481CB2" w:rsidRPr="00061979" w:rsidRDefault="004D7376">
      <w:pPr>
        <w:pStyle w:val="Title"/>
        <w:rPr>
          <w:rFonts w:ascii="Arial" w:hAnsi="Arial" w:cs="Arial"/>
          <w:b/>
          <w:bCs/>
          <w:sz w:val="22"/>
          <w:szCs w:val="22"/>
          <w:lang w:val="en-GB"/>
        </w:rPr>
      </w:pPr>
      <w:r>
        <w:rPr>
          <w:rFonts w:ascii="Arial" w:hAnsi="Arial" w:cs="Arial"/>
          <w:b/>
          <w:bCs/>
          <w:sz w:val="22"/>
          <w:szCs w:val="22"/>
          <w:lang w:val="en-GB"/>
        </w:rPr>
        <w:t>R</w:t>
      </w:r>
      <w:r w:rsidR="00481CB2" w:rsidRPr="00061979">
        <w:rPr>
          <w:rFonts w:ascii="Arial" w:hAnsi="Arial" w:cs="Arial"/>
          <w:b/>
          <w:bCs/>
          <w:sz w:val="22"/>
          <w:szCs w:val="22"/>
          <w:lang w:val="en-GB"/>
        </w:rPr>
        <w:t xml:space="preserve">equest for Quotes </w:t>
      </w:r>
    </w:p>
    <w:p w14:paraId="7E7F62C3" w14:textId="7909F69A" w:rsidR="00A10484" w:rsidRPr="00061979" w:rsidRDefault="00002223" w:rsidP="004F5BAE">
      <w:pPr>
        <w:pStyle w:val="Title"/>
        <w:tabs>
          <w:tab w:val="left" w:pos="7470"/>
          <w:tab w:val="right" w:pos="9360"/>
        </w:tabs>
        <w:rPr>
          <w:rFonts w:ascii="Arial" w:hAnsi="Arial" w:cs="Arial"/>
          <w:b/>
          <w:sz w:val="22"/>
          <w:szCs w:val="22"/>
        </w:rPr>
      </w:pPr>
      <w:r>
        <w:rPr>
          <w:rFonts w:ascii="Arial" w:hAnsi="Arial" w:cs="Arial"/>
          <w:b/>
          <w:sz w:val="22"/>
          <w:szCs w:val="22"/>
        </w:rPr>
        <w:t xml:space="preserve">Consultancy input for the Planning Service in respect of </w:t>
      </w:r>
      <w:r w:rsidR="00AB6802">
        <w:rPr>
          <w:rFonts w:ascii="Arial" w:hAnsi="Arial" w:cs="Arial"/>
          <w:b/>
          <w:sz w:val="22"/>
          <w:szCs w:val="22"/>
        </w:rPr>
        <w:t xml:space="preserve">Basement </w:t>
      </w:r>
      <w:r>
        <w:rPr>
          <w:rFonts w:ascii="Arial" w:hAnsi="Arial" w:cs="Arial"/>
          <w:b/>
          <w:sz w:val="22"/>
          <w:szCs w:val="22"/>
        </w:rPr>
        <w:t>Impact Assessment</w:t>
      </w:r>
      <w:r w:rsidR="004F5BAE" w:rsidRPr="00061979">
        <w:rPr>
          <w:rFonts w:ascii="Arial" w:hAnsi="Arial" w:cs="Arial"/>
          <w:b/>
          <w:sz w:val="22"/>
          <w:szCs w:val="22"/>
        </w:rPr>
        <w:tab/>
      </w:r>
    </w:p>
    <w:p w14:paraId="7E7F62C4" w14:textId="79AF289F" w:rsidR="00207A32" w:rsidRPr="00061979" w:rsidRDefault="00207A32" w:rsidP="00207A32">
      <w:pPr>
        <w:pStyle w:val="Title"/>
        <w:rPr>
          <w:rFonts w:ascii="Arial" w:hAnsi="Arial" w:cs="Arial"/>
          <w:b/>
          <w:sz w:val="22"/>
          <w:szCs w:val="22"/>
        </w:rPr>
      </w:pPr>
      <w:r w:rsidRPr="00061979">
        <w:rPr>
          <w:rFonts w:ascii="Arial" w:hAnsi="Arial" w:cs="Arial"/>
          <w:b/>
          <w:bCs/>
          <w:sz w:val="22"/>
          <w:szCs w:val="22"/>
          <w:lang w:val="en-GB"/>
        </w:rPr>
        <w:t xml:space="preserve">Contract Period: </w:t>
      </w:r>
      <w:proofErr w:type="gramStart"/>
      <w:r w:rsidR="00E063DE">
        <w:rPr>
          <w:rFonts w:ascii="Arial" w:hAnsi="Arial" w:cs="Arial"/>
          <w:b/>
          <w:bCs/>
          <w:sz w:val="22"/>
          <w:szCs w:val="22"/>
          <w:lang w:val="en-GB"/>
        </w:rPr>
        <w:t>3 year</w:t>
      </w:r>
      <w:proofErr w:type="gramEnd"/>
      <w:r w:rsidR="00E063DE">
        <w:rPr>
          <w:rFonts w:ascii="Arial" w:hAnsi="Arial" w:cs="Arial"/>
          <w:b/>
          <w:bCs/>
          <w:sz w:val="22"/>
          <w:szCs w:val="22"/>
          <w:lang w:val="en-GB"/>
        </w:rPr>
        <w:t xml:space="preserve"> period</w:t>
      </w:r>
    </w:p>
    <w:p w14:paraId="7E7F62C5" w14:textId="77777777" w:rsidR="00855982" w:rsidRPr="00061979" w:rsidRDefault="00D872AC" w:rsidP="00855982">
      <w:pPr>
        <w:pStyle w:val="Heading1"/>
        <w:rPr>
          <w:rFonts w:ascii="Arial" w:hAnsi="Arial" w:cs="Arial"/>
          <w:sz w:val="22"/>
          <w:szCs w:val="22"/>
        </w:rPr>
      </w:pPr>
      <w:r w:rsidRPr="00061979">
        <w:rPr>
          <w:rFonts w:ascii="Arial" w:hAnsi="Arial" w:cs="Arial"/>
          <w:sz w:val="22"/>
          <w:szCs w:val="22"/>
        </w:rPr>
        <w:t>Summary</w:t>
      </w:r>
    </w:p>
    <w:p w14:paraId="7E7F62C6" w14:textId="4E729B7C" w:rsidR="00D872AC" w:rsidRPr="00002223" w:rsidRDefault="00D872AC" w:rsidP="00EF2527">
      <w:pPr>
        <w:pStyle w:val="Default"/>
        <w:numPr>
          <w:ilvl w:val="0"/>
          <w:numId w:val="1"/>
        </w:numPr>
        <w:ind w:left="567" w:hanging="567"/>
        <w:rPr>
          <w:rFonts w:ascii="Arial" w:hAnsi="Arial" w:cs="Arial"/>
          <w:sz w:val="22"/>
          <w:szCs w:val="22"/>
        </w:rPr>
      </w:pPr>
      <w:r w:rsidRPr="00002223">
        <w:rPr>
          <w:rFonts w:ascii="Arial" w:hAnsi="Arial" w:cs="Arial"/>
          <w:sz w:val="22"/>
          <w:szCs w:val="22"/>
        </w:rPr>
        <w:t xml:space="preserve">Lambeth are seeking to appoint a consultancy to provide support </w:t>
      </w:r>
      <w:r w:rsidR="000E7C50">
        <w:rPr>
          <w:rFonts w:ascii="Arial" w:hAnsi="Arial" w:cs="Arial"/>
          <w:sz w:val="22"/>
          <w:szCs w:val="22"/>
        </w:rPr>
        <w:t xml:space="preserve">for a 3-year period </w:t>
      </w:r>
      <w:r w:rsidR="004C2144" w:rsidRPr="00002223">
        <w:rPr>
          <w:rFonts w:ascii="Arial" w:hAnsi="Arial" w:cs="Arial"/>
          <w:sz w:val="22"/>
          <w:szCs w:val="22"/>
        </w:rPr>
        <w:t>to the P</w:t>
      </w:r>
      <w:r w:rsidR="001E581A" w:rsidRPr="00002223">
        <w:rPr>
          <w:rFonts w:ascii="Arial" w:hAnsi="Arial" w:cs="Arial"/>
          <w:sz w:val="22"/>
          <w:szCs w:val="22"/>
        </w:rPr>
        <w:t>lanning</w:t>
      </w:r>
      <w:r w:rsidR="00C74695" w:rsidRPr="00002223">
        <w:rPr>
          <w:rFonts w:ascii="Arial" w:hAnsi="Arial" w:cs="Arial"/>
          <w:sz w:val="22"/>
          <w:szCs w:val="22"/>
        </w:rPr>
        <w:t xml:space="preserve"> </w:t>
      </w:r>
      <w:r w:rsidR="00C465D6" w:rsidRPr="00002223">
        <w:rPr>
          <w:rFonts w:ascii="Arial" w:hAnsi="Arial" w:cs="Arial"/>
          <w:sz w:val="22"/>
          <w:szCs w:val="22"/>
        </w:rPr>
        <w:t>service</w:t>
      </w:r>
      <w:r w:rsidR="00AB6802" w:rsidRPr="00002223">
        <w:rPr>
          <w:rFonts w:ascii="Arial" w:hAnsi="Arial" w:cs="Arial"/>
          <w:sz w:val="22"/>
          <w:szCs w:val="22"/>
        </w:rPr>
        <w:t xml:space="preserve"> for the review and assessment of Basement Impact Assessments</w:t>
      </w:r>
      <w:r w:rsidR="00726FAC">
        <w:rPr>
          <w:rFonts w:ascii="Arial" w:hAnsi="Arial" w:cs="Arial"/>
          <w:sz w:val="22"/>
          <w:szCs w:val="22"/>
        </w:rPr>
        <w:t xml:space="preserve"> (BIA)</w:t>
      </w:r>
      <w:r w:rsidR="00AB6802" w:rsidRPr="00002223">
        <w:rPr>
          <w:rFonts w:ascii="Arial" w:hAnsi="Arial" w:cs="Arial"/>
          <w:sz w:val="22"/>
          <w:szCs w:val="22"/>
        </w:rPr>
        <w:t xml:space="preserve"> in relation to planning applications involving basement works</w:t>
      </w:r>
      <w:r w:rsidR="00E624C5" w:rsidRPr="00002223">
        <w:rPr>
          <w:rFonts w:ascii="Arial" w:hAnsi="Arial" w:cs="Arial"/>
          <w:sz w:val="22"/>
          <w:szCs w:val="22"/>
        </w:rPr>
        <w:t>.</w:t>
      </w:r>
      <w:r w:rsidR="001E581A" w:rsidRPr="00002223">
        <w:rPr>
          <w:rFonts w:ascii="Arial" w:hAnsi="Arial" w:cs="Arial"/>
          <w:sz w:val="22"/>
          <w:szCs w:val="22"/>
        </w:rPr>
        <w:t xml:space="preserve"> </w:t>
      </w:r>
      <w:r w:rsidR="00BA196C" w:rsidRPr="00002223">
        <w:rPr>
          <w:rFonts w:ascii="Arial" w:hAnsi="Arial" w:cs="Arial"/>
          <w:sz w:val="22"/>
          <w:szCs w:val="22"/>
        </w:rPr>
        <w:t xml:space="preserve">The support would </w:t>
      </w:r>
      <w:r w:rsidR="00AB6802" w:rsidRPr="00002223">
        <w:rPr>
          <w:rFonts w:ascii="Arial" w:hAnsi="Arial" w:cs="Arial"/>
          <w:sz w:val="22"/>
          <w:szCs w:val="22"/>
        </w:rPr>
        <w:t xml:space="preserve">be </w:t>
      </w:r>
      <w:r w:rsidR="00002223">
        <w:rPr>
          <w:rFonts w:ascii="Arial" w:hAnsi="Arial" w:cs="Arial"/>
          <w:sz w:val="22"/>
          <w:szCs w:val="22"/>
        </w:rPr>
        <w:t>for</w:t>
      </w:r>
      <w:r w:rsidRPr="00002223">
        <w:rPr>
          <w:rFonts w:ascii="Arial" w:hAnsi="Arial" w:cs="Arial"/>
          <w:sz w:val="22"/>
          <w:szCs w:val="22"/>
        </w:rPr>
        <w:t xml:space="preserve"> </w:t>
      </w:r>
      <w:r w:rsidR="00C465D6" w:rsidRPr="00002223">
        <w:rPr>
          <w:rFonts w:ascii="Arial" w:hAnsi="Arial" w:cs="Arial"/>
          <w:sz w:val="22"/>
          <w:szCs w:val="22"/>
        </w:rPr>
        <w:t xml:space="preserve">the </w:t>
      </w:r>
      <w:r w:rsidRPr="00002223">
        <w:rPr>
          <w:rFonts w:ascii="Arial" w:hAnsi="Arial" w:cs="Arial"/>
          <w:sz w:val="22"/>
          <w:szCs w:val="22"/>
        </w:rPr>
        <w:t xml:space="preserve">Development Management </w:t>
      </w:r>
      <w:r w:rsidR="004C2144" w:rsidRPr="00002223">
        <w:rPr>
          <w:rFonts w:ascii="Arial" w:hAnsi="Arial" w:cs="Arial"/>
          <w:sz w:val="22"/>
          <w:szCs w:val="22"/>
        </w:rPr>
        <w:t xml:space="preserve">team </w:t>
      </w:r>
      <w:r w:rsidRPr="00002223">
        <w:rPr>
          <w:rFonts w:ascii="Arial" w:hAnsi="Arial" w:cs="Arial"/>
          <w:sz w:val="22"/>
          <w:szCs w:val="22"/>
        </w:rPr>
        <w:t xml:space="preserve">to enable it to deliver against its current planning policies and service delivery targets. </w:t>
      </w:r>
    </w:p>
    <w:p w14:paraId="7E7F62C7" w14:textId="77777777" w:rsidR="00D872AC" w:rsidRPr="00002223" w:rsidRDefault="00D872AC" w:rsidP="00002223">
      <w:pPr>
        <w:pStyle w:val="Default"/>
        <w:ind w:left="567" w:hanging="567"/>
        <w:rPr>
          <w:rFonts w:ascii="Arial" w:hAnsi="Arial" w:cs="Arial"/>
          <w:sz w:val="22"/>
          <w:szCs w:val="22"/>
        </w:rPr>
      </w:pPr>
    </w:p>
    <w:p w14:paraId="7E7F62C8" w14:textId="77777777" w:rsidR="00D872AC" w:rsidRPr="00002223" w:rsidRDefault="00D872AC" w:rsidP="00EF2527">
      <w:pPr>
        <w:pStyle w:val="Default"/>
        <w:numPr>
          <w:ilvl w:val="0"/>
          <w:numId w:val="1"/>
        </w:numPr>
        <w:ind w:left="567" w:hanging="567"/>
        <w:rPr>
          <w:rFonts w:ascii="Arial" w:hAnsi="Arial" w:cs="Arial"/>
          <w:sz w:val="22"/>
          <w:szCs w:val="22"/>
        </w:rPr>
      </w:pPr>
      <w:r w:rsidRPr="00002223">
        <w:rPr>
          <w:rFonts w:ascii="Arial" w:hAnsi="Arial" w:cs="Arial"/>
          <w:sz w:val="22"/>
          <w:szCs w:val="22"/>
        </w:rPr>
        <w:t>This brief sets out:</w:t>
      </w:r>
    </w:p>
    <w:p w14:paraId="7E7F62C9" w14:textId="77777777" w:rsidR="00D872AC" w:rsidRPr="00002223" w:rsidRDefault="00D872AC" w:rsidP="00002223">
      <w:pPr>
        <w:pStyle w:val="ListParagraph"/>
        <w:spacing w:after="0" w:line="240" w:lineRule="auto"/>
        <w:ind w:left="567" w:hanging="567"/>
        <w:rPr>
          <w:rFonts w:ascii="Arial" w:hAnsi="Arial" w:cs="Arial"/>
        </w:rPr>
      </w:pPr>
    </w:p>
    <w:p w14:paraId="2CA0962E" w14:textId="7148839B" w:rsidR="003957EF" w:rsidRPr="00002223" w:rsidRDefault="00D872AC" w:rsidP="00EF2527">
      <w:pPr>
        <w:pStyle w:val="Default"/>
        <w:numPr>
          <w:ilvl w:val="1"/>
          <w:numId w:val="2"/>
        </w:numPr>
        <w:ind w:left="1134" w:hanging="567"/>
        <w:rPr>
          <w:rFonts w:ascii="Arial" w:hAnsi="Arial" w:cs="Arial"/>
          <w:sz w:val="22"/>
          <w:szCs w:val="22"/>
        </w:rPr>
      </w:pPr>
      <w:r w:rsidRPr="00002223">
        <w:rPr>
          <w:rFonts w:ascii="Arial" w:hAnsi="Arial" w:cs="Arial"/>
          <w:sz w:val="22"/>
          <w:szCs w:val="22"/>
        </w:rPr>
        <w:t>Context</w:t>
      </w:r>
      <w:r w:rsidR="005504C0" w:rsidRPr="00002223">
        <w:rPr>
          <w:rFonts w:ascii="Arial" w:hAnsi="Arial" w:cs="Arial"/>
          <w:sz w:val="22"/>
          <w:szCs w:val="22"/>
        </w:rPr>
        <w:t xml:space="preserve"> – the backg</w:t>
      </w:r>
      <w:r w:rsidR="00C3307F" w:rsidRPr="00002223">
        <w:rPr>
          <w:rFonts w:ascii="Arial" w:hAnsi="Arial" w:cs="Arial"/>
          <w:sz w:val="22"/>
          <w:szCs w:val="22"/>
        </w:rPr>
        <w:t>r</w:t>
      </w:r>
      <w:r w:rsidR="005504C0" w:rsidRPr="00002223">
        <w:rPr>
          <w:rFonts w:ascii="Arial" w:hAnsi="Arial" w:cs="Arial"/>
          <w:sz w:val="22"/>
          <w:szCs w:val="22"/>
        </w:rPr>
        <w:t xml:space="preserve">ound </w:t>
      </w:r>
      <w:r w:rsidR="004B7B2E" w:rsidRPr="00002223">
        <w:rPr>
          <w:rFonts w:ascii="Arial" w:hAnsi="Arial" w:cs="Arial"/>
          <w:sz w:val="22"/>
          <w:szCs w:val="22"/>
        </w:rPr>
        <w:t>and context of the opportunity</w:t>
      </w:r>
    </w:p>
    <w:p w14:paraId="7941BB52" w14:textId="76678D56" w:rsidR="00C3307F" w:rsidRPr="00002223" w:rsidRDefault="003957EF" w:rsidP="00EF2527">
      <w:pPr>
        <w:pStyle w:val="Default"/>
        <w:numPr>
          <w:ilvl w:val="1"/>
          <w:numId w:val="2"/>
        </w:numPr>
        <w:ind w:left="1134" w:hanging="567"/>
        <w:rPr>
          <w:rFonts w:ascii="Arial" w:hAnsi="Arial" w:cs="Arial"/>
          <w:sz w:val="22"/>
          <w:szCs w:val="22"/>
        </w:rPr>
      </w:pPr>
      <w:r w:rsidRPr="00002223">
        <w:rPr>
          <w:rFonts w:ascii="Arial" w:hAnsi="Arial" w:cs="Arial"/>
          <w:sz w:val="22"/>
          <w:szCs w:val="22"/>
        </w:rPr>
        <w:t>Specification</w:t>
      </w:r>
      <w:r w:rsidR="00D872AC" w:rsidRPr="00002223">
        <w:rPr>
          <w:rFonts w:ascii="Arial" w:hAnsi="Arial" w:cs="Arial"/>
          <w:sz w:val="22"/>
          <w:szCs w:val="22"/>
        </w:rPr>
        <w:t xml:space="preserve"> </w:t>
      </w:r>
      <w:r w:rsidR="00C3307F" w:rsidRPr="00002223">
        <w:rPr>
          <w:rFonts w:ascii="Arial" w:hAnsi="Arial" w:cs="Arial"/>
          <w:sz w:val="22"/>
          <w:szCs w:val="22"/>
        </w:rPr>
        <w:t>–</w:t>
      </w:r>
      <w:r w:rsidR="004B7B2E" w:rsidRPr="00002223">
        <w:rPr>
          <w:rFonts w:ascii="Arial" w:hAnsi="Arial" w:cs="Arial"/>
          <w:sz w:val="22"/>
          <w:szCs w:val="22"/>
        </w:rPr>
        <w:t xml:space="preserve"> what</w:t>
      </w:r>
      <w:r w:rsidR="00C3307F" w:rsidRPr="00002223">
        <w:rPr>
          <w:rFonts w:ascii="Arial" w:hAnsi="Arial" w:cs="Arial"/>
          <w:sz w:val="22"/>
          <w:szCs w:val="22"/>
        </w:rPr>
        <w:t xml:space="preserve"> </w:t>
      </w:r>
      <w:r w:rsidR="004B7B2E" w:rsidRPr="00002223">
        <w:rPr>
          <w:rFonts w:ascii="Arial" w:hAnsi="Arial" w:cs="Arial"/>
          <w:sz w:val="22"/>
          <w:szCs w:val="22"/>
        </w:rPr>
        <w:t>we are looking for</w:t>
      </w:r>
    </w:p>
    <w:p w14:paraId="33439BA8" w14:textId="67045C3F" w:rsidR="00CA235F" w:rsidRPr="00002223" w:rsidRDefault="007A763D" w:rsidP="00EF2527">
      <w:pPr>
        <w:pStyle w:val="Default"/>
        <w:numPr>
          <w:ilvl w:val="1"/>
          <w:numId w:val="2"/>
        </w:numPr>
        <w:ind w:left="1134" w:hanging="567"/>
        <w:rPr>
          <w:rFonts w:ascii="Arial" w:hAnsi="Arial" w:cs="Arial"/>
          <w:sz w:val="22"/>
          <w:szCs w:val="22"/>
        </w:rPr>
      </w:pPr>
      <w:r w:rsidRPr="00002223">
        <w:rPr>
          <w:rFonts w:ascii="Arial" w:hAnsi="Arial" w:cs="Arial"/>
          <w:sz w:val="22"/>
          <w:szCs w:val="22"/>
        </w:rPr>
        <w:t>T</w:t>
      </w:r>
      <w:r w:rsidR="00CA235F" w:rsidRPr="00002223">
        <w:rPr>
          <w:rFonts w:ascii="Arial" w:hAnsi="Arial" w:cs="Arial"/>
          <w:sz w:val="22"/>
          <w:szCs w:val="22"/>
        </w:rPr>
        <w:t>imescales</w:t>
      </w:r>
      <w:r w:rsidRPr="00002223">
        <w:rPr>
          <w:rFonts w:ascii="Arial" w:hAnsi="Arial" w:cs="Arial"/>
          <w:sz w:val="22"/>
          <w:szCs w:val="22"/>
        </w:rPr>
        <w:t xml:space="preserve"> </w:t>
      </w:r>
      <w:r w:rsidR="00FB4845" w:rsidRPr="00002223">
        <w:rPr>
          <w:rFonts w:ascii="Arial" w:hAnsi="Arial" w:cs="Arial"/>
          <w:sz w:val="22"/>
          <w:szCs w:val="22"/>
        </w:rPr>
        <w:t>–</w:t>
      </w:r>
      <w:r w:rsidRPr="00002223">
        <w:rPr>
          <w:rFonts w:ascii="Arial" w:hAnsi="Arial" w:cs="Arial"/>
          <w:sz w:val="22"/>
          <w:szCs w:val="22"/>
        </w:rPr>
        <w:t xml:space="preserve"> </w:t>
      </w:r>
      <w:r w:rsidR="00FB4845" w:rsidRPr="00002223">
        <w:rPr>
          <w:rFonts w:ascii="Arial" w:hAnsi="Arial" w:cs="Arial"/>
          <w:sz w:val="22"/>
          <w:szCs w:val="22"/>
        </w:rPr>
        <w:t>response deadlines</w:t>
      </w:r>
      <w:r w:rsidR="000C62BF" w:rsidRPr="00002223">
        <w:rPr>
          <w:rFonts w:ascii="Arial" w:hAnsi="Arial" w:cs="Arial"/>
          <w:sz w:val="22"/>
          <w:szCs w:val="22"/>
        </w:rPr>
        <w:t xml:space="preserve">, </w:t>
      </w:r>
      <w:r w:rsidR="00BA6C69" w:rsidRPr="00002223">
        <w:rPr>
          <w:rFonts w:ascii="Arial" w:hAnsi="Arial" w:cs="Arial"/>
          <w:sz w:val="22"/>
          <w:szCs w:val="22"/>
        </w:rPr>
        <w:t>evaluation timescales</w:t>
      </w:r>
      <w:r w:rsidR="000C62BF" w:rsidRPr="00002223">
        <w:rPr>
          <w:rFonts w:ascii="Arial" w:hAnsi="Arial" w:cs="Arial"/>
          <w:sz w:val="22"/>
          <w:szCs w:val="22"/>
        </w:rPr>
        <w:t>, and proposed start date</w:t>
      </w:r>
    </w:p>
    <w:p w14:paraId="7E7F62CB" w14:textId="53316995" w:rsidR="00D872AC" w:rsidRPr="00002223" w:rsidRDefault="007A763D" w:rsidP="00EF2527">
      <w:pPr>
        <w:pStyle w:val="Default"/>
        <w:numPr>
          <w:ilvl w:val="1"/>
          <w:numId w:val="2"/>
        </w:numPr>
        <w:ind w:left="1134" w:hanging="567"/>
        <w:rPr>
          <w:rFonts w:ascii="Arial" w:hAnsi="Arial" w:cs="Arial"/>
          <w:sz w:val="22"/>
          <w:szCs w:val="22"/>
        </w:rPr>
      </w:pPr>
      <w:r w:rsidRPr="00002223">
        <w:rPr>
          <w:rFonts w:ascii="Arial" w:hAnsi="Arial" w:cs="Arial"/>
          <w:sz w:val="22"/>
          <w:szCs w:val="22"/>
        </w:rPr>
        <w:t xml:space="preserve">Tender Evaluation </w:t>
      </w:r>
      <w:r w:rsidR="00D872AC" w:rsidRPr="00002223">
        <w:rPr>
          <w:rFonts w:ascii="Arial" w:hAnsi="Arial" w:cs="Arial"/>
          <w:sz w:val="22"/>
          <w:szCs w:val="22"/>
        </w:rPr>
        <w:t xml:space="preserve">process </w:t>
      </w:r>
    </w:p>
    <w:p w14:paraId="7E7F62CC" w14:textId="77777777" w:rsidR="00D872AC" w:rsidRPr="00002223" w:rsidRDefault="00D872AC" w:rsidP="00002223">
      <w:pPr>
        <w:pStyle w:val="Default"/>
        <w:ind w:left="567" w:hanging="567"/>
        <w:rPr>
          <w:rFonts w:ascii="Arial" w:hAnsi="Arial" w:cs="Arial"/>
          <w:sz w:val="22"/>
          <w:szCs w:val="22"/>
        </w:rPr>
      </w:pPr>
    </w:p>
    <w:p w14:paraId="7E7F62CD" w14:textId="77777777" w:rsidR="00D872AC" w:rsidRPr="00002223" w:rsidRDefault="00D872AC" w:rsidP="00002223">
      <w:pPr>
        <w:pStyle w:val="Heading1"/>
        <w:ind w:left="567" w:hanging="567"/>
        <w:rPr>
          <w:rFonts w:ascii="Arial" w:hAnsi="Arial" w:cs="Arial"/>
          <w:sz w:val="22"/>
          <w:szCs w:val="22"/>
        </w:rPr>
      </w:pPr>
      <w:r w:rsidRPr="00002223">
        <w:rPr>
          <w:rFonts w:ascii="Arial" w:hAnsi="Arial" w:cs="Arial"/>
          <w:sz w:val="22"/>
          <w:szCs w:val="22"/>
        </w:rPr>
        <w:t>Context</w:t>
      </w:r>
    </w:p>
    <w:p w14:paraId="48792662" w14:textId="6F319967" w:rsidR="00854339" w:rsidRPr="00854339" w:rsidRDefault="00854339" w:rsidP="00EF2527">
      <w:pPr>
        <w:pStyle w:val="ListParagraph"/>
        <w:numPr>
          <w:ilvl w:val="0"/>
          <w:numId w:val="1"/>
        </w:numPr>
        <w:spacing w:after="0"/>
        <w:ind w:left="567" w:hanging="567"/>
        <w:rPr>
          <w:rFonts w:ascii="Arial" w:eastAsia="Times New Roman" w:hAnsi="Arial" w:cs="Arial"/>
          <w:color w:val="000000"/>
          <w:lang w:val="en-GB" w:eastAsia="en-GB"/>
        </w:rPr>
      </w:pPr>
      <w:r w:rsidRPr="00854339">
        <w:rPr>
          <w:rFonts w:ascii="Arial" w:eastAsia="Times New Roman" w:hAnsi="Arial" w:cs="Arial"/>
          <w:color w:val="000000"/>
          <w:lang w:val="en-GB" w:eastAsia="en-GB"/>
        </w:rPr>
        <w:t>Semi-basement residential accommodation is a common characteristic of much of Lambeth’s early</w:t>
      </w:r>
      <w:r w:rsidR="00060BAC">
        <w:rPr>
          <w:rFonts w:ascii="Arial" w:eastAsia="Times New Roman" w:hAnsi="Arial" w:cs="Arial"/>
          <w:color w:val="000000"/>
          <w:lang w:val="en-GB" w:eastAsia="en-GB"/>
        </w:rPr>
        <w:t xml:space="preserve"> </w:t>
      </w:r>
      <w:r w:rsidRPr="00854339">
        <w:rPr>
          <w:rFonts w:ascii="Arial" w:eastAsia="Times New Roman" w:hAnsi="Arial" w:cs="Arial"/>
          <w:color w:val="000000"/>
          <w:lang w:val="en-GB" w:eastAsia="en-GB"/>
        </w:rPr>
        <w:t>-</w:t>
      </w:r>
      <w:r w:rsidR="00060BAC">
        <w:rPr>
          <w:rFonts w:ascii="Arial" w:eastAsia="Times New Roman" w:hAnsi="Arial" w:cs="Arial"/>
          <w:color w:val="000000"/>
          <w:lang w:val="en-GB" w:eastAsia="en-GB"/>
        </w:rPr>
        <w:t xml:space="preserve"> </w:t>
      </w:r>
      <w:r w:rsidRPr="00854339">
        <w:rPr>
          <w:rFonts w:ascii="Arial" w:eastAsia="Times New Roman" w:hAnsi="Arial" w:cs="Arial"/>
          <w:color w:val="000000"/>
          <w:lang w:val="en-GB" w:eastAsia="en-GB"/>
        </w:rPr>
        <w:t>mid 19th Century housing. When built</w:t>
      </w:r>
      <w:r w:rsidR="00446A54">
        <w:rPr>
          <w:rFonts w:ascii="Arial" w:eastAsia="Times New Roman" w:hAnsi="Arial" w:cs="Arial"/>
          <w:color w:val="000000"/>
          <w:lang w:val="en-GB" w:eastAsia="en-GB"/>
        </w:rPr>
        <w:t>,</w:t>
      </w:r>
      <w:r w:rsidRPr="00854339">
        <w:rPr>
          <w:rFonts w:ascii="Arial" w:eastAsia="Times New Roman" w:hAnsi="Arial" w:cs="Arial"/>
          <w:color w:val="000000"/>
          <w:lang w:val="en-GB" w:eastAsia="en-GB"/>
        </w:rPr>
        <w:t xml:space="preserve"> the accommodation generally contained kitchen and service accommodation. At the front the semi-basement accommodation typically looked into a paved basement area although on some of the grander housing along the arterial roads the garden level was often artificially raised to screen the basement accommodation from </w:t>
      </w:r>
      <w:proofErr w:type="gramStart"/>
      <w:r w:rsidRPr="00854339">
        <w:rPr>
          <w:rFonts w:ascii="Arial" w:eastAsia="Times New Roman" w:hAnsi="Arial" w:cs="Arial"/>
          <w:color w:val="000000"/>
          <w:lang w:val="en-GB" w:eastAsia="en-GB"/>
        </w:rPr>
        <w:t>view</w:t>
      </w:r>
      <w:proofErr w:type="gramEnd"/>
      <w:r w:rsidRPr="00854339">
        <w:rPr>
          <w:rFonts w:ascii="Arial" w:eastAsia="Times New Roman" w:hAnsi="Arial" w:cs="Arial"/>
          <w:color w:val="000000"/>
          <w:lang w:val="en-GB" w:eastAsia="en-GB"/>
        </w:rPr>
        <w:t xml:space="preserve"> and it looked into a shallow light-well. At the rear the ground level is often a half storey lower to give better outlook from the basement accommodation. Irrespective of variation in the detailed design basement accommodation is always visually subordinate to the property as a whole and carefully integrated into the design. All new basement accommodation should seek to achieve similar visual integration and subordination.</w:t>
      </w:r>
    </w:p>
    <w:p w14:paraId="6EEAED69" w14:textId="77777777" w:rsidR="00854339" w:rsidRDefault="00854339" w:rsidP="00446A54">
      <w:pPr>
        <w:pStyle w:val="Default"/>
        <w:ind w:left="567"/>
        <w:rPr>
          <w:rFonts w:ascii="Arial" w:hAnsi="Arial" w:cs="Arial"/>
          <w:sz w:val="22"/>
          <w:szCs w:val="22"/>
        </w:rPr>
      </w:pPr>
    </w:p>
    <w:p w14:paraId="0CC44399" w14:textId="6B82D38D" w:rsidR="00002223" w:rsidRDefault="00AD12C2" w:rsidP="00EF2527">
      <w:pPr>
        <w:pStyle w:val="Default"/>
        <w:numPr>
          <w:ilvl w:val="0"/>
          <w:numId w:val="1"/>
        </w:numPr>
        <w:ind w:left="567" w:hanging="567"/>
        <w:rPr>
          <w:rFonts w:ascii="Arial" w:hAnsi="Arial" w:cs="Arial"/>
          <w:sz w:val="22"/>
          <w:szCs w:val="22"/>
        </w:rPr>
      </w:pPr>
      <w:r>
        <w:rPr>
          <w:rFonts w:ascii="Arial" w:hAnsi="Arial" w:cs="Arial"/>
          <w:sz w:val="22"/>
          <w:szCs w:val="22"/>
        </w:rPr>
        <w:t>The</w:t>
      </w:r>
      <w:r w:rsidR="00002223" w:rsidRPr="00002223">
        <w:rPr>
          <w:rFonts w:ascii="Arial" w:hAnsi="Arial" w:cs="Arial"/>
          <w:sz w:val="22"/>
          <w:szCs w:val="22"/>
        </w:rPr>
        <w:t xml:space="preserve"> Lambeth Design Guide </w:t>
      </w:r>
      <w:r w:rsidR="0013739E">
        <w:rPr>
          <w:rFonts w:ascii="Arial" w:hAnsi="Arial" w:cs="Arial"/>
          <w:sz w:val="22"/>
          <w:szCs w:val="22"/>
        </w:rPr>
        <w:t xml:space="preserve">Supplementary Planning Document (SPD) </w:t>
      </w:r>
      <w:r w:rsidR="00002223" w:rsidRPr="00002223">
        <w:rPr>
          <w:rFonts w:ascii="Arial" w:hAnsi="Arial" w:cs="Arial"/>
          <w:sz w:val="22"/>
          <w:szCs w:val="22"/>
        </w:rPr>
        <w:t>Part 5 (</w:t>
      </w:r>
      <w:r w:rsidR="0013739E">
        <w:rPr>
          <w:rFonts w:ascii="Arial" w:hAnsi="Arial" w:cs="Arial"/>
          <w:sz w:val="22"/>
          <w:szCs w:val="22"/>
        </w:rPr>
        <w:t>August</w:t>
      </w:r>
      <w:r w:rsidR="00002223" w:rsidRPr="00002223">
        <w:rPr>
          <w:rFonts w:ascii="Arial" w:hAnsi="Arial" w:cs="Arial"/>
          <w:sz w:val="22"/>
          <w:szCs w:val="22"/>
        </w:rPr>
        <w:t xml:space="preserve"> 202</w:t>
      </w:r>
      <w:r w:rsidR="0013739E">
        <w:rPr>
          <w:rFonts w:ascii="Arial" w:hAnsi="Arial" w:cs="Arial"/>
          <w:sz w:val="22"/>
          <w:szCs w:val="22"/>
        </w:rPr>
        <w:t>3</w:t>
      </w:r>
      <w:r w:rsidR="00002223" w:rsidRPr="00002223">
        <w:rPr>
          <w:rFonts w:ascii="Arial" w:hAnsi="Arial" w:cs="Arial"/>
          <w:sz w:val="22"/>
          <w:szCs w:val="22"/>
        </w:rPr>
        <w:t>)</w:t>
      </w:r>
      <w:r w:rsidR="0013739E">
        <w:rPr>
          <w:rFonts w:ascii="Arial" w:hAnsi="Arial" w:cs="Arial"/>
          <w:sz w:val="22"/>
          <w:szCs w:val="22"/>
        </w:rPr>
        <w:t xml:space="preserve"> </w:t>
      </w:r>
      <w:r w:rsidR="00002223" w:rsidRPr="00002223">
        <w:rPr>
          <w:rFonts w:ascii="Arial" w:hAnsi="Arial" w:cs="Arial"/>
          <w:sz w:val="22"/>
          <w:szCs w:val="22"/>
        </w:rPr>
        <w:t xml:space="preserve">sets out the </w:t>
      </w:r>
      <w:r w:rsidR="0013739E">
        <w:rPr>
          <w:rFonts w:ascii="Arial" w:hAnsi="Arial" w:cs="Arial"/>
          <w:sz w:val="22"/>
          <w:szCs w:val="22"/>
        </w:rPr>
        <w:t>p</w:t>
      </w:r>
      <w:r w:rsidR="00002223" w:rsidRPr="00002223">
        <w:rPr>
          <w:rFonts w:ascii="Arial" w:hAnsi="Arial" w:cs="Arial"/>
          <w:sz w:val="22"/>
          <w:szCs w:val="22"/>
        </w:rPr>
        <w:t>olicy context for basement applications across the borough</w:t>
      </w:r>
      <w:r w:rsidR="0013739E">
        <w:rPr>
          <w:rFonts w:ascii="Arial" w:hAnsi="Arial" w:cs="Arial"/>
          <w:sz w:val="22"/>
          <w:szCs w:val="22"/>
        </w:rPr>
        <w:t xml:space="preserve"> and provides guidance on the application of Lambeth Local Plan 2020-2035 (2021) </w:t>
      </w:r>
      <w:r w:rsidR="00726FAC">
        <w:rPr>
          <w:rFonts w:ascii="Arial" w:hAnsi="Arial" w:cs="Arial"/>
          <w:sz w:val="22"/>
          <w:szCs w:val="22"/>
        </w:rPr>
        <w:t xml:space="preserve">(LLP) </w:t>
      </w:r>
      <w:r w:rsidR="00002223" w:rsidRPr="00002223">
        <w:rPr>
          <w:rFonts w:ascii="Arial" w:hAnsi="Arial" w:cs="Arial"/>
          <w:sz w:val="22"/>
          <w:szCs w:val="22"/>
        </w:rPr>
        <w:t>policy</w:t>
      </w:r>
      <w:r w:rsidR="0013739E">
        <w:rPr>
          <w:rFonts w:ascii="Arial" w:hAnsi="Arial" w:cs="Arial"/>
          <w:sz w:val="22"/>
          <w:szCs w:val="22"/>
        </w:rPr>
        <w:t xml:space="preserve"> Q27. Guidance is provided on </w:t>
      </w:r>
      <w:r w:rsidR="00002223" w:rsidRPr="00002223">
        <w:rPr>
          <w:rFonts w:ascii="Arial" w:hAnsi="Arial" w:cs="Arial"/>
          <w:sz w:val="22"/>
          <w:szCs w:val="22"/>
        </w:rPr>
        <w:t xml:space="preserve">the impacts of basements on the geological, </w:t>
      </w:r>
      <w:r w:rsidR="00854339" w:rsidRPr="00002223">
        <w:rPr>
          <w:rFonts w:ascii="Arial" w:hAnsi="Arial" w:cs="Arial"/>
          <w:sz w:val="22"/>
          <w:szCs w:val="22"/>
        </w:rPr>
        <w:t>hydrological,</w:t>
      </w:r>
      <w:r w:rsidR="00002223" w:rsidRPr="00002223">
        <w:rPr>
          <w:rFonts w:ascii="Arial" w:hAnsi="Arial" w:cs="Arial"/>
          <w:sz w:val="22"/>
          <w:szCs w:val="22"/>
        </w:rPr>
        <w:t xml:space="preserve"> and hydrogeological environment, and to other properties.</w:t>
      </w:r>
    </w:p>
    <w:p w14:paraId="054C9400" w14:textId="77777777" w:rsidR="00466E71" w:rsidRPr="00002223" w:rsidRDefault="00466E71" w:rsidP="00446A54">
      <w:pPr>
        <w:pStyle w:val="Default"/>
        <w:ind w:left="567"/>
        <w:rPr>
          <w:rFonts w:ascii="Arial" w:hAnsi="Arial" w:cs="Arial"/>
          <w:sz w:val="22"/>
          <w:szCs w:val="22"/>
        </w:rPr>
      </w:pPr>
    </w:p>
    <w:p w14:paraId="7278550C" w14:textId="200A3684" w:rsidR="00466E71" w:rsidRPr="00002223" w:rsidRDefault="00466E71" w:rsidP="00EF2527">
      <w:pPr>
        <w:pStyle w:val="Default"/>
        <w:numPr>
          <w:ilvl w:val="0"/>
          <w:numId w:val="1"/>
        </w:numPr>
        <w:ind w:left="567" w:hanging="567"/>
        <w:rPr>
          <w:rFonts w:ascii="Arial" w:hAnsi="Arial" w:cs="Arial"/>
          <w:sz w:val="22"/>
          <w:szCs w:val="22"/>
        </w:rPr>
      </w:pPr>
      <w:r w:rsidRPr="00002223">
        <w:rPr>
          <w:rFonts w:ascii="Arial" w:hAnsi="Arial" w:cs="Arial"/>
          <w:sz w:val="22"/>
          <w:szCs w:val="22"/>
        </w:rPr>
        <w:t xml:space="preserve">The effect of plant and servicing is of particular importance on non-residential basements and matters </w:t>
      </w:r>
      <w:r w:rsidR="00E063DE">
        <w:rPr>
          <w:rFonts w:ascii="Arial" w:hAnsi="Arial" w:cs="Arial"/>
          <w:sz w:val="22"/>
          <w:szCs w:val="22"/>
        </w:rPr>
        <w:t xml:space="preserve">including </w:t>
      </w:r>
      <w:r w:rsidRPr="00002223">
        <w:rPr>
          <w:rFonts w:ascii="Arial" w:hAnsi="Arial" w:cs="Arial"/>
          <w:sz w:val="22"/>
          <w:szCs w:val="22"/>
        </w:rPr>
        <w:t>ventilation and means of escape need very careful consideration both in terms of functionality and neighbour amenity.</w:t>
      </w:r>
    </w:p>
    <w:p w14:paraId="407F7900" w14:textId="77777777" w:rsidR="00002223" w:rsidRPr="00002223" w:rsidRDefault="00002223" w:rsidP="00446A54">
      <w:pPr>
        <w:pStyle w:val="Default"/>
        <w:rPr>
          <w:rFonts w:ascii="Arial" w:hAnsi="Arial" w:cs="Arial"/>
          <w:sz w:val="22"/>
          <w:szCs w:val="22"/>
        </w:rPr>
      </w:pPr>
    </w:p>
    <w:p w14:paraId="46C29AD4" w14:textId="1E3A1472" w:rsidR="00002223" w:rsidRDefault="00E063DE" w:rsidP="00EF2527">
      <w:pPr>
        <w:pStyle w:val="Default"/>
        <w:numPr>
          <w:ilvl w:val="0"/>
          <w:numId w:val="1"/>
        </w:numPr>
        <w:ind w:left="567" w:hanging="567"/>
        <w:rPr>
          <w:rFonts w:ascii="Arial" w:hAnsi="Arial" w:cs="Arial"/>
          <w:sz w:val="22"/>
          <w:szCs w:val="22"/>
        </w:rPr>
      </w:pPr>
      <w:r>
        <w:rPr>
          <w:rFonts w:ascii="Arial" w:hAnsi="Arial" w:cs="Arial"/>
          <w:sz w:val="22"/>
          <w:szCs w:val="22"/>
        </w:rPr>
        <w:t>As a result of the</w:t>
      </w:r>
      <w:r w:rsidR="0013739E" w:rsidRPr="00002223">
        <w:rPr>
          <w:rFonts w:ascii="Arial" w:hAnsi="Arial" w:cs="Arial"/>
          <w:sz w:val="22"/>
          <w:szCs w:val="22"/>
        </w:rPr>
        <w:t xml:space="preserve"> </w:t>
      </w:r>
      <w:r w:rsidR="00446A54" w:rsidRPr="00002223">
        <w:rPr>
          <w:rFonts w:ascii="Arial" w:hAnsi="Arial" w:cs="Arial"/>
          <w:sz w:val="22"/>
          <w:szCs w:val="22"/>
        </w:rPr>
        <w:t>policy</w:t>
      </w:r>
      <w:r w:rsidR="00446A54">
        <w:rPr>
          <w:rFonts w:ascii="Arial" w:hAnsi="Arial" w:cs="Arial"/>
          <w:sz w:val="22"/>
          <w:szCs w:val="22"/>
        </w:rPr>
        <w:t xml:space="preserve"> </w:t>
      </w:r>
      <w:r w:rsidR="00061259">
        <w:rPr>
          <w:rFonts w:ascii="Arial" w:hAnsi="Arial" w:cs="Arial"/>
          <w:sz w:val="22"/>
          <w:szCs w:val="22"/>
        </w:rPr>
        <w:t xml:space="preserve">in the LLP, </w:t>
      </w:r>
      <w:r w:rsidR="00002223" w:rsidRPr="00002223">
        <w:rPr>
          <w:rFonts w:ascii="Arial" w:hAnsi="Arial" w:cs="Arial"/>
          <w:sz w:val="22"/>
          <w:szCs w:val="22"/>
        </w:rPr>
        <w:t xml:space="preserve">Lambeth Planning service requires independent expert assessment of new applications </w:t>
      </w:r>
      <w:r>
        <w:rPr>
          <w:rFonts w:ascii="Arial" w:hAnsi="Arial" w:cs="Arial"/>
          <w:sz w:val="22"/>
          <w:szCs w:val="22"/>
        </w:rPr>
        <w:t>that are submitted which</w:t>
      </w:r>
      <w:r w:rsidR="00002223" w:rsidRPr="00002223">
        <w:rPr>
          <w:rFonts w:ascii="Arial" w:hAnsi="Arial" w:cs="Arial"/>
          <w:sz w:val="22"/>
          <w:szCs w:val="22"/>
        </w:rPr>
        <w:t xml:space="preserve"> involv</w:t>
      </w:r>
      <w:r>
        <w:rPr>
          <w:rFonts w:ascii="Arial" w:hAnsi="Arial" w:cs="Arial"/>
          <w:sz w:val="22"/>
          <w:szCs w:val="22"/>
        </w:rPr>
        <w:t>e</w:t>
      </w:r>
      <w:r w:rsidR="00002223" w:rsidRPr="00002223">
        <w:rPr>
          <w:rFonts w:ascii="Arial" w:hAnsi="Arial" w:cs="Arial"/>
          <w:sz w:val="22"/>
          <w:szCs w:val="22"/>
        </w:rPr>
        <w:t xml:space="preserve"> works to basement areas</w:t>
      </w:r>
      <w:r>
        <w:rPr>
          <w:rFonts w:ascii="Arial" w:hAnsi="Arial" w:cs="Arial"/>
          <w:sz w:val="22"/>
          <w:szCs w:val="22"/>
        </w:rPr>
        <w:t xml:space="preserve"> or creation of new basements</w:t>
      </w:r>
      <w:r w:rsidR="00002223" w:rsidRPr="00002223">
        <w:rPr>
          <w:rFonts w:ascii="Arial" w:hAnsi="Arial" w:cs="Arial"/>
          <w:sz w:val="22"/>
          <w:szCs w:val="22"/>
        </w:rPr>
        <w:t>.  Lambeth will require consultancy advice in the following circumstances:</w:t>
      </w:r>
    </w:p>
    <w:p w14:paraId="756B41F4" w14:textId="77777777" w:rsidR="00002223" w:rsidRDefault="00002223" w:rsidP="00446A54">
      <w:pPr>
        <w:pStyle w:val="ListParagraph"/>
        <w:spacing w:after="0"/>
        <w:rPr>
          <w:rFonts w:ascii="Arial" w:hAnsi="Arial" w:cs="Arial"/>
        </w:rPr>
      </w:pPr>
    </w:p>
    <w:p w14:paraId="32BA7ECC" w14:textId="5CD7019F" w:rsidR="00002223" w:rsidRDefault="00002223" w:rsidP="00EF2527">
      <w:pPr>
        <w:pStyle w:val="Default"/>
        <w:numPr>
          <w:ilvl w:val="4"/>
          <w:numId w:val="2"/>
        </w:numPr>
        <w:ind w:left="1276" w:hanging="709"/>
        <w:rPr>
          <w:rFonts w:ascii="Arial" w:hAnsi="Arial" w:cs="Arial"/>
          <w:sz w:val="22"/>
          <w:szCs w:val="22"/>
        </w:rPr>
      </w:pPr>
      <w:r w:rsidRPr="00002223">
        <w:rPr>
          <w:rFonts w:ascii="Arial" w:hAnsi="Arial" w:cs="Arial"/>
          <w:sz w:val="22"/>
          <w:szCs w:val="22"/>
        </w:rPr>
        <w:lastRenderedPageBreak/>
        <w:t xml:space="preserve">Where a scheme requires applicants to proceed beyond the Screening Stage of the </w:t>
      </w:r>
      <w:r w:rsidR="00726FAC">
        <w:rPr>
          <w:rFonts w:ascii="Arial" w:hAnsi="Arial" w:cs="Arial"/>
          <w:sz w:val="22"/>
          <w:szCs w:val="22"/>
        </w:rPr>
        <w:t>BIA</w:t>
      </w:r>
      <w:r w:rsidRPr="00002223">
        <w:rPr>
          <w:rFonts w:ascii="Arial" w:hAnsi="Arial" w:cs="Arial"/>
          <w:sz w:val="22"/>
          <w:szCs w:val="22"/>
        </w:rPr>
        <w:t xml:space="preserve"> (</w:t>
      </w:r>
      <w:r w:rsidR="00074D4C" w:rsidRPr="00002223">
        <w:rPr>
          <w:rFonts w:ascii="Arial" w:hAnsi="Arial" w:cs="Arial"/>
          <w:sz w:val="22"/>
          <w:szCs w:val="22"/>
        </w:rPr>
        <w:t>i.e.,</w:t>
      </w:r>
      <w:r w:rsidRPr="00002223">
        <w:rPr>
          <w:rFonts w:ascii="Arial" w:hAnsi="Arial" w:cs="Arial"/>
          <w:sz w:val="22"/>
          <w:szCs w:val="22"/>
        </w:rPr>
        <w:t xml:space="preserve"> where a matter of concern has been identified which requires the preparation of a full </w:t>
      </w:r>
      <w:r w:rsidR="00726FAC">
        <w:rPr>
          <w:rFonts w:ascii="Arial" w:hAnsi="Arial" w:cs="Arial"/>
          <w:sz w:val="22"/>
          <w:szCs w:val="22"/>
        </w:rPr>
        <w:t>BIA</w:t>
      </w:r>
      <w:proofErr w:type="gramStart"/>
      <w:r w:rsidRPr="00002223">
        <w:rPr>
          <w:rFonts w:ascii="Arial" w:hAnsi="Arial" w:cs="Arial"/>
          <w:sz w:val="22"/>
          <w:szCs w:val="22"/>
        </w:rPr>
        <w:t>);</w:t>
      </w:r>
      <w:proofErr w:type="gramEnd"/>
    </w:p>
    <w:p w14:paraId="436AF9DE" w14:textId="77777777" w:rsidR="00446A54" w:rsidRPr="00446A54" w:rsidRDefault="00446A54" w:rsidP="00446A54">
      <w:pPr>
        <w:pStyle w:val="Default"/>
        <w:ind w:left="1276"/>
        <w:rPr>
          <w:rFonts w:ascii="Arial" w:hAnsi="Arial" w:cs="Arial"/>
          <w:sz w:val="16"/>
          <w:szCs w:val="16"/>
        </w:rPr>
      </w:pPr>
    </w:p>
    <w:p w14:paraId="379F3266" w14:textId="318C8728" w:rsidR="00002223" w:rsidRDefault="00002223" w:rsidP="00EF2527">
      <w:pPr>
        <w:pStyle w:val="Default"/>
        <w:numPr>
          <w:ilvl w:val="4"/>
          <w:numId w:val="2"/>
        </w:numPr>
        <w:ind w:left="1276" w:hanging="709"/>
        <w:rPr>
          <w:rFonts w:ascii="Arial" w:hAnsi="Arial" w:cs="Arial"/>
          <w:sz w:val="22"/>
          <w:szCs w:val="22"/>
        </w:rPr>
      </w:pPr>
      <w:r w:rsidRPr="00002223">
        <w:rPr>
          <w:rFonts w:ascii="Arial" w:hAnsi="Arial" w:cs="Arial"/>
          <w:sz w:val="22"/>
          <w:szCs w:val="22"/>
        </w:rPr>
        <w:t>Where the proposed basement development is located within an area of concern regarding slope stability, surface water or groundwater flow</w:t>
      </w:r>
      <w:r w:rsidR="00112810">
        <w:rPr>
          <w:rFonts w:ascii="Arial" w:hAnsi="Arial" w:cs="Arial"/>
          <w:sz w:val="22"/>
          <w:szCs w:val="22"/>
        </w:rPr>
        <w:t>, where cumulative effects from basement development may be apparent and issues in relation to designated and non-designated heritage assets;</w:t>
      </w:r>
      <w:r w:rsidRPr="00002223">
        <w:rPr>
          <w:rFonts w:ascii="Arial" w:hAnsi="Arial" w:cs="Arial"/>
          <w:sz w:val="22"/>
          <w:szCs w:val="22"/>
        </w:rPr>
        <w:t xml:space="preserve"> or </w:t>
      </w:r>
    </w:p>
    <w:p w14:paraId="4C983153" w14:textId="77777777" w:rsidR="00446A54" w:rsidRPr="00446A54" w:rsidRDefault="00446A54" w:rsidP="00446A54">
      <w:pPr>
        <w:pStyle w:val="Default"/>
        <w:ind w:left="1276"/>
        <w:rPr>
          <w:rFonts w:ascii="Arial" w:hAnsi="Arial" w:cs="Arial"/>
          <w:sz w:val="16"/>
          <w:szCs w:val="16"/>
        </w:rPr>
      </w:pPr>
    </w:p>
    <w:p w14:paraId="715D482C" w14:textId="002ED9CA" w:rsidR="00002223" w:rsidRPr="00002223" w:rsidRDefault="00002223" w:rsidP="00EF2527">
      <w:pPr>
        <w:pStyle w:val="Default"/>
        <w:numPr>
          <w:ilvl w:val="4"/>
          <w:numId w:val="2"/>
        </w:numPr>
        <w:ind w:left="1276" w:hanging="709"/>
        <w:rPr>
          <w:rFonts w:ascii="Arial" w:hAnsi="Arial" w:cs="Arial"/>
          <w:sz w:val="22"/>
          <w:szCs w:val="22"/>
        </w:rPr>
      </w:pPr>
      <w:r w:rsidRPr="00002223">
        <w:rPr>
          <w:rFonts w:ascii="Arial" w:hAnsi="Arial" w:cs="Arial"/>
          <w:sz w:val="22"/>
          <w:szCs w:val="22"/>
        </w:rPr>
        <w:t>For any other basement applications where the Council feels that independent verification would be appropriate (</w:t>
      </w:r>
      <w:r w:rsidR="00633485" w:rsidRPr="00002223">
        <w:rPr>
          <w:rFonts w:ascii="Arial" w:hAnsi="Arial" w:cs="Arial"/>
          <w:sz w:val="22"/>
          <w:szCs w:val="22"/>
        </w:rPr>
        <w:t>e.g.,</w:t>
      </w:r>
      <w:r w:rsidRPr="00002223">
        <w:rPr>
          <w:rFonts w:ascii="Arial" w:hAnsi="Arial" w:cs="Arial"/>
          <w:sz w:val="22"/>
          <w:szCs w:val="22"/>
        </w:rPr>
        <w:t xml:space="preserve"> where conflicting evidence is provided in response to a proposal).</w:t>
      </w:r>
    </w:p>
    <w:p w14:paraId="4048DFE8" w14:textId="77777777" w:rsidR="00002223" w:rsidRPr="00002223" w:rsidRDefault="00002223" w:rsidP="00002223">
      <w:pPr>
        <w:pStyle w:val="Default"/>
        <w:ind w:left="567"/>
        <w:rPr>
          <w:rFonts w:ascii="Arial" w:hAnsi="Arial" w:cs="Arial"/>
          <w:sz w:val="22"/>
          <w:szCs w:val="22"/>
        </w:rPr>
      </w:pPr>
    </w:p>
    <w:p w14:paraId="27279F61" w14:textId="77777777" w:rsidR="00466E71" w:rsidRPr="005836E3" w:rsidRDefault="00466E71" w:rsidP="00002223">
      <w:pPr>
        <w:pStyle w:val="Default"/>
        <w:ind w:left="567"/>
        <w:rPr>
          <w:rFonts w:ascii="Arial" w:hAnsi="Arial" w:cs="Arial"/>
          <w:sz w:val="22"/>
          <w:szCs w:val="22"/>
        </w:rPr>
      </w:pPr>
    </w:p>
    <w:p w14:paraId="791D06B1" w14:textId="665AB482" w:rsidR="00466E71" w:rsidRPr="005836E3" w:rsidRDefault="00466E71" w:rsidP="00EF2527">
      <w:pPr>
        <w:pStyle w:val="Default"/>
        <w:numPr>
          <w:ilvl w:val="0"/>
          <w:numId w:val="1"/>
        </w:numPr>
        <w:ind w:left="567"/>
        <w:rPr>
          <w:rFonts w:ascii="Arial" w:hAnsi="Arial" w:cs="Arial"/>
          <w:sz w:val="22"/>
          <w:szCs w:val="22"/>
        </w:rPr>
      </w:pPr>
      <w:r w:rsidRPr="005836E3">
        <w:rPr>
          <w:rFonts w:ascii="Arial" w:hAnsi="Arial" w:cs="Arial"/>
          <w:sz w:val="22"/>
          <w:szCs w:val="22"/>
        </w:rPr>
        <w:t xml:space="preserve">The following sets out key issues that require consideration as part of the planning assessment and will form part of the </w:t>
      </w:r>
      <w:r w:rsidR="00726FAC" w:rsidRPr="005836E3">
        <w:rPr>
          <w:rFonts w:ascii="Arial" w:hAnsi="Arial" w:cs="Arial"/>
          <w:sz w:val="22"/>
          <w:szCs w:val="22"/>
        </w:rPr>
        <w:t>BIA</w:t>
      </w:r>
      <w:r w:rsidRPr="005836E3">
        <w:rPr>
          <w:rFonts w:ascii="Arial" w:hAnsi="Arial" w:cs="Arial"/>
          <w:sz w:val="22"/>
          <w:szCs w:val="22"/>
        </w:rPr>
        <w:t>; a requirement for all basement development (whether new build or extension to an existing building), which provides extra floor space below ground.</w:t>
      </w:r>
    </w:p>
    <w:p w14:paraId="5B2A279D" w14:textId="77777777" w:rsidR="00E8651C" w:rsidRPr="005836E3" w:rsidRDefault="00E8651C" w:rsidP="00002223">
      <w:pPr>
        <w:pStyle w:val="Default"/>
        <w:ind w:left="567"/>
        <w:rPr>
          <w:rFonts w:ascii="Arial" w:hAnsi="Arial" w:cs="Arial"/>
          <w:sz w:val="22"/>
          <w:szCs w:val="22"/>
        </w:rPr>
      </w:pPr>
    </w:p>
    <w:p w14:paraId="6C7E47EF" w14:textId="548AA7D3" w:rsidR="00AB6802" w:rsidRPr="005836E3" w:rsidRDefault="00AB6802" w:rsidP="00EF2527">
      <w:pPr>
        <w:pStyle w:val="Default"/>
        <w:numPr>
          <w:ilvl w:val="0"/>
          <w:numId w:val="4"/>
        </w:numPr>
        <w:ind w:left="1134"/>
        <w:rPr>
          <w:rFonts w:ascii="Arial" w:hAnsi="Arial" w:cs="Arial"/>
          <w:sz w:val="22"/>
          <w:szCs w:val="22"/>
        </w:rPr>
      </w:pPr>
      <w:r w:rsidRPr="005836E3">
        <w:rPr>
          <w:rFonts w:ascii="Arial" w:hAnsi="Arial" w:cs="Arial"/>
          <w:sz w:val="22"/>
          <w:szCs w:val="22"/>
        </w:rPr>
        <w:t xml:space="preserve">Part (b) of Policy Q27 sets out general expectations for basement development seeking to protect visual amenity, mitigate against sewer flooding, minimise noise, incorporate sustainable drainage and be naturally ventilated. </w:t>
      </w:r>
    </w:p>
    <w:p w14:paraId="02CDD818" w14:textId="77777777" w:rsidR="00446A54" w:rsidRPr="005836E3" w:rsidRDefault="00446A54" w:rsidP="00446A54">
      <w:pPr>
        <w:pStyle w:val="Default"/>
        <w:ind w:left="1134"/>
        <w:rPr>
          <w:rFonts w:ascii="Arial" w:hAnsi="Arial" w:cs="Arial"/>
          <w:sz w:val="22"/>
          <w:szCs w:val="22"/>
        </w:rPr>
      </w:pPr>
    </w:p>
    <w:p w14:paraId="3C6FE3F9" w14:textId="6FBFD0BB" w:rsidR="00AB6802" w:rsidRPr="005836E3" w:rsidRDefault="00AB6802" w:rsidP="00EF2527">
      <w:pPr>
        <w:pStyle w:val="Default"/>
        <w:numPr>
          <w:ilvl w:val="0"/>
          <w:numId w:val="4"/>
        </w:numPr>
        <w:ind w:left="1134"/>
        <w:rPr>
          <w:rFonts w:ascii="Arial" w:hAnsi="Arial" w:cs="Arial"/>
          <w:sz w:val="22"/>
          <w:szCs w:val="22"/>
        </w:rPr>
      </w:pPr>
      <w:r w:rsidRPr="005836E3">
        <w:rPr>
          <w:rFonts w:ascii="Arial" w:hAnsi="Arial" w:cs="Arial"/>
          <w:sz w:val="22"/>
          <w:szCs w:val="22"/>
        </w:rPr>
        <w:t xml:space="preserve">Part (c) sets parameters for basement development beneath buildings. </w:t>
      </w:r>
    </w:p>
    <w:p w14:paraId="7D106F33" w14:textId="77777777" w:rsidR="00446A54" w:rsidRPr="005836E3" w:rsidRDefault="00446A54" w:rsidP="00446A54">
      <w:pPr>
        <w:pStyle w:val="ListParagraph"/>
        <w:rPr>
          <w:rFonts w:ascii="Arial" w:hAnsi="Arial" w:cs="Arial"/>
        </w:rPr>
      </w:pPr>
    </w:p>
    <w:p w14:paraId="74A2613B" w14:textId="10451289" w:rsidR="00475D06" w:rsidRPr="005836E3" w:rsidRDefault="00475D06" w:rsidP="00EF2527">
      <w:pPr>
        <w:pStyle w:val="Default"/>
        <w:numPr>
          <w:ilvl w:val="0"/>
          <w:numId w:val="4"/>
        </w:numPr>
        <w:ind w:left="1134"/>
        <w:rPr>
          <w:rFonts w:ascii="Arial" w:hAnsi="Arial" w:cs="Arial"/>
          <w:sz w:val="22"/>
          <w:szCs w:val="22"/>
        </w:rPr>
      </w:pPr>
      <w:r w:rsidRPr="005836E3">
        <w:rPr>
          <w:rFonts w:ascii="Arial" w:hAnsi="Arial" w:cs="Arial"/>
          <w:sz w:val="22"/>
          <w:szCs w:val="22"/>
        </w:rPr>
        <w:t xml:space="preserve">Part (d) sets parameters for basement development beyond the footprint of buildings. </w:t>
      </w:r>
    </w:p>
    <w:p w14:paraId="27368E8B" w14:textId="77777777" w:rsidR="00446A54" w:rsidRPr="005836E3" w:rsidRDefault="00446A54" w:rsidP="00446A54">
      <w:pPr>
        <w:pStyle w:val="Default"/>
        <w:ind w:left="1134"/>
        <w:rPr>
          <w:rFonts w:ascii="Arial" w:hAnsi="Arial" w:cs="Arial"/>
          <w:sz w:val="22"/>
          <w:szCs w:val="22"/>
        </w:rPr>
      </w:pPr>
    </w:p>
    <w:p w14:paraId="1478FFC5" w14:textId="66AD4180" w:rsidR="00475D06" w:rsidRPr="005836E3" w:rsidRDefault="00475D06" w:rsidP="00EF2527">
      <w:pPr>
        <w:pStyle w:val="Default"/>
        <w:numPr>
          <w:ilvl w:val="0"/>
          <w:numId w:val="4"/>
        </w:numPr>
        <w:ind w:left="1134"/>
        <w:rPr>
          <w:rFonts w:ascii="Arial" w:hAnsi="Arial" w:cs="Arial"/>
          <w:sz w:val="22"/>
          <w:szCs w:val="22"/>
        </w:rPr>
      </w:pPr>
      <w:r w:rsidRPr="005836E3">
        <w:rPr>
          <w:rFonts w:ascii="Arial" w:hAnsi="Arial" w:cs="Arial"/>
          <w:sz w:val="22"/>
          <w:szCs w:val="22"/>
        </w:rPr>
        <w:t xml:space="preserve">Policy Q27 part (e) relates to the design of basement light wells and areas. </w:t>
      </w:r>
    </w:p>
    <w:p w14:paraId="774E7A80" w14:textId="77777777" w:rsidR="00446A54" w:rsidRPr="005836E3" w:rsidRDefault="00446A54" w:rsidP="00446A54">
      <w:pPr>
        <w:pStyle w:val="Default"/>
        <w:ind w:left="1134"/>
        <w:rPr>
          <w:rFonts w:ascii="Arial" w:hAnsi="Arial" w:cs="Arial"/>
          <w:sz w:val="22"/>
          <w:szCs w:val="22"/>
        </w:rPr>
      </w:pPr>
    </w:p>
    <w:p w14:paraId="6A29351C" w14:textId="7BCBBABE" w:rsidR="00475D06" w:rsidRPr="005836E3" w:rsidRDefault="00475D06" w:rsidP="00EF2527">
      <w:pPr>
        <w:pStyle w:val="Default"/>
        <w:numPr>
          <w:ilvl w:val="0"/>
          <w:numId w:val="4"/>
        </w:numPr>
        <w:ind w:left="1134"/>
        <w:rPr>
          <w:rFonts w:ascii="Arial" w:hAnsi="Arial" w:cs="Arial"/>
          <w:sz w:val="22"/>
          <w:szCs w:val="22"/>
        </w:rPr>
      </w:pPr>
      <w:r w:rsidRPr="005836E3">
        <w:rPr>
          <w:rFonts w:ascii="Arial" w:hAnsi="Arial" w:cs="Arial"/>
          <w:sz w:val="22"/>
          <w:szCs w:val="22"/>
        </w:rPr>
        <w:t xml:space="preserve">Part (f) acknowledges that in non-residential development more than one storey of basement development may be possible. </w:t>
      </w:r>
    </w:p>
    <w:p w14:paraId="5D11E585" w14:textId="77777777" w:rsidR="00446A54" w:rsidRPr="005836E3" w:rsidRDefault="00446A54" w:rsidP="00446A54">
      <w:pPr>
        <w:pStyle w:val="Default"/>
        <w:ind w:left="1134"/>
        <w:rPr>
          <w:rFonts w:ascii="Arial" w:hAnsi="Arial" w:cs="Arial"/>
          <w:sz w:val="22"/>
          <w:szCs w:val="22"/>
        </w:rPr>
      </w:pPr>
    </w:p>
    <w:p w14:paraId="4B53F446" w14:textId="69CA38FE" w:rsidR="00475D06" w:rsidRPr="005836E3" w:rsidRDefault="00475D06" w:rsidP="00EF2527">
      <w:pPr>
        <w:pStyle w:val="Default"/>
        <w:numPr>
          <w:ilvl w:val="0"/>
          <w:numId w:val="4"/>
        </w:numPr>
        <w:ind w:left="1134"/>
        <w:rPr>
          <w:rFonts w:ascii="Arial" w:hAnsi="Arial" w:cs="Arial"/>
          <w:sz w:val="22"/>
          <w:szCs w:val="22"/>
        </w:rPr>
      </w:pPr>
      <w:r w:rsidRPr="005836E3">
        <w:rPr>
          <w:rFonts w:ascii="Arial" w:hAnsi="Arial" w:cs="Arial"/>
          <w:sz w:val="22"/>
          <w:szCs w:val="22"/>
        </w:rPr>
        <w:t xml:space="preserve">Part (g) places a requirement for applicants to submit a Stage 1 (Screening) </w:t>
      </w:r>
      <w:r w:rsidR="00726FAC" w:rsidRPr="005836E3">
        <w:rPr>
          <w:rFonts w:ascii="Arial" w:hAnsi="Arial" w:cs="Arial"/>
          <w:sz w:val="22"/>
          <w:szCs w:val="22"/>
        </w:rPr>
        <w:t>BIA</w:t>
      </w:r>
      <w:r w:rsidRPr="005836E3">
        <w:rPr>
          <w:rFonts w:ascii="Arial" w:hAnsi="Arial" w:cs="Arial"/>
          <w:sz w:val="22"/>
          <w:szCs w:val="22"/>
        </w:rPr>
        <w:t xml:space="preserve"> and sets out what it should address. </w:t>
      </w:r>
    </w:p>
    <w:p w14:paraId="520BC543" w14:textId="77777777" w:rsidR="00475D06" w:rsidRPr="005836E3" w:rsidRDefault="00475D06" w:rsidP="00002223">
      <w:pPr>
        <w:pStyle w:val="Default"/>
        <w:ind w:left="567"/>
        <w:rPr>
          <w:rFonts w:ascii="Arial" w:hAnsi="Arial" w:cs="Arial"/>
          <w:sz w:val="22"/>
          <w:szCs w:val="22"/>
        </w:rPr>
      </w:pPr>
    </w:p>
    <w:p w14:paraId="7DCB2D2D" w14:textId="77777777" w:rsidR="00AE54B3" w:rsidRPr="005836E3" w:rsidRDefault="00AE54B3" w:rsidP="00002223">
      <w:pPr>
        <w:pStyle w:val="Default"/>
        <w:ind w:left="567"/>
        <w:rPr>
          <w:rFonts w:ascii="Arial" w:hAnsi="Arial" w:cs="Arial"/>
          <w:sz w:val="22"/>
          <w:szCs w:val="22"/>
        </w:rPr>
      </w:pPr>
    </w:p>
    <w:p w14:paraId="75995162" w14:textId="0DF332B2" w:rsidR="00475D06" w:rsidRDefault="00475D06" w:rsidP="00EF2527">
      <w:pPr>
        <w:pStyle w:val="Default"/>
        <w:numPr>
          <w:ilvl w:val="0"/>
          <w:numId w:val="1"/>
        </w:numPr>
        <w:ind w:left="567" w:hanging="567"/>
        <w:rPr>
          <w:rFonts w:ascii="Arial" w:hAnsi="Arial" w:cs="Arial"/>
          <w:sz w:val="22"/>
          <w:szCs w:val="22"/>
        </w:rPr>
      </w:pPr>
      <w:r w:rsidRPr="005836E3">
        <w:rPr>
          <w:rFonts w:ascii="Arial" w:hAnsi="Arial" w:cs="Arial"/>
          <w:sz w:val="22"/>
          <w:szCs w:val="22"/>
        </w:rPr>
        <w:t xml:space="preserve">Applicants are advised to seek advice prior to submission of applications from the Greater London Archaeological Advisory Service (GLAAS).  The Council’s planning team will require review of submitted </w:t>
      </w:r>
      <w:r w:rsidR="00726FAC" w:rsidRPr="005836E3">
        <w:rPr>
          <w:rFonts w:ascii="Arial" w:hAnsi="Arial" w:cs="Arial"/>
          <w:sz w:val="22"/>
          <w:szCs w:val="22"/>
        </w:rPr>
        <w:t>BIAs</w:t>
      </w:r>
      <w:r w:rsidRPr="005836E3">
        <w:rPr>
          <w:rFonts w:ascii="Arial" w:hAnsi="Arial" w:cs="Arial"/>
          <w:sz w:val="22"/>
          <w:szCs w:val="22"/>
        </w:rPr>
        <w:t xml:space="preserve">, to ensure that the assessment adequately considers the impact of the works on drainage, flooding, groundwater conditions and structural stability. </w:t>
      </w:r>
      <w:r w:rsidR="0013739E" w:rsidRPr="005836E3">
        <w:rPr>
          <w:rFonts w:ascii="Arial" w:hAnsi="Arial" w:cs="Arial"/>
          <w:sz w:val="22"/>
          <w:szCs w:val="22"/>
        </w:rPr>
        <w:t>W</w:t>
      </w:r>
      <w:r w:rsidRPr="005836E3">
        <w:rPr>
          <w:rFonts w:ascii="Arial" w:hAnsi="Arial" w:cs="Arial"/>
          <w:sz w:val="22"/>
          <w:szCs w:val="22"/>
        </w:rPr>
        <w:t xml:space="preserve">orks should also consider the proposed construction approach and highlight what impacts will be expected during the phases of construction, and the relevant mitigating action for each stage. </w:t>
      </w:r>
    </w:p>
    <w:p w14:paraId="02537E0C" w14:textId="77777777" w:rsidR="00740307" w:rsidRDefault="00740307" w:rsidP="00740307">
      <w:pPr>
        <w:pStyle w:val="Default"/>
        <w:ind w:left="567"/>
        <w:rPr>
          <w:rFonts w:ascii="Arial" w:hAnsi="Arial" w:cs="Arial"/>
          <w:sz w:val="22"/>
          <w:szCs w:val="22"/>
        </w:rPr>
      </w:pPr>
    </w:p>
    <w:p w14:paraId="116302F6" w14:textId="77777777" w:rsidR="00740307" w:rsidRDefault="00740307" w:rsidP="00740307">
      <w:pPr>
        <w:pStyle w:val="Default"/>
        <w:ind w:left="567"/>
        <w:rPr>
          <w:rFonts w:ascii="Arial" w:hAnsi="Arial" w:cs="Arial"/>
          <w:sz w:val="22"/>
          <w:szCs w:val="22"/>
        </w:rPr>
      </w:pPr>
    </w:p>
    <w:p w14:paraId="15438C74" w14:textId="77777777" w:rsidR="00740307" w:rsidRDefault="00740307" w:rsidP="00740307">
      <w:pPr>
        <w:pStyle w:val="Default"/>
        <w:ind w:left="567"/>
        <w:rPr>
          <w:rFonts w:ascii="Arial" w:hAnsi="Arial" w:cs="Arial"/>
          <w:sz w:val="22"/>
          <w:szCs w:val="22"/>
        </w:rPr>
      </w:pPr>
    </w:p>
    <w:p w14:paraId="72163ABD" w14:textId="77777777" w:rsidR="00740307" w:rsidRDefault="00740307" w:rsidP="00740307">
      <w:pPr>
        <w:pStyle w:val="Default"/>
        <w:ind w:left="567"/>
        <w:rPr>
          <w:rFonts w:ascii="Arial" w:hAnsi="Arial" w:cs="Arial"/>
          <w:sz w:val="22"/>
          <w:szCs w:val="22"/>
        </w:rPr>
      </w:pPr>
    </w:p>
    <w:p w14:paraId="5B4C5EEE" w14:textId="77777777" w:rsidR="00740307" w:rsidRPr="005836E3" w:rsidRDefault="00740307" w:rsidP="00740307">
      <w:pPr>
        <w:pStyle w:val="Default"/>
        <w:ind w:left="567"/>
        <w:rPr>
          <w:rFonts w:ascii="Arial" w:hAnsi="Arial" w:cs="Arial"/>
          <w:sz w:val="22"/>
          <w:szCs w:val="22"/>
        </w:rPr>
      </w:pPr>
    </w:p>
    <w:p w14:paraId="4962F3C8" w14:textId="77777777" w:rsidR="00475D06" w:rsidRPr="005836E3" w:rsidRDefault="00475D06" w:rsidP="00002223">
      <w:pPr>
        <w:pStyle w:val="Default"/>
        <w:ind w:left="567"/>
        <w:rPr>
          <w:rFonts w:ascii="Arial" w:hAnsi="Arial" w:cs="Arial"/>
          <w:sz w:val="22"/>
          <w:szCs w:val="22"/>
        </w:rPr>
      </w:pPr>
    </w:p>
    <w:p w14:paraId="7B46B571" w14:textId="20AD72D3" w:rsidR="00633485" w:rsidRPr="00740307" w:rsidRDefault="00446A54" w:rsidP="00740307">
      <w:pPr>
        <w:pStyle w:val="Default"/>
        <w:numPr>
          <w:ilvl w:val="0"/>
          <w:numId w:val="1"/>
        </w:numPr>
        <w:ind w:left="567" w:hanging="567"/>
        <w:rPr>
          <w:rFonts w:ascii="Arial" w:hAnsi="Arial" w:cs="Arial"/>
          <w:sz w:val="22"/>
          <w:szCs w:val="22"/>
        </w:rPr>
      </w:pPr>
      <w:r w:rsidRPr="005836E3">
        <w:rPr>
          <w:rFonts w:ascii="Arial" w:hAnsi="Arial" w:cs="Arial"/>
          <w:b/>
          <w:bCs/>
          <w:sz w:val="22"/>
          <w:szCs w:val="22"/>
        </w:rPr>
        <w:lastRenderedPageBreak/>
        <w:t>Table 1</w:t>
      </w:r>
      <w:r w:rsidRPr="005836E3">
        <w:rPr>
          <w:rFonts w:ascii="Arial" w:hAnsi="Arial" w:cs="Arial"/>
          <w:sz w:val="22"/>
          <w:szCs w:val="22"/>
        </w:rPr>
        <w:t xml:space="preserve"> below provides the number of applications received with basement related works </w:t>
      </w:r>
      <w:r w:rsidR="00A24F6C">
        <w:rPr>
          <w:rFonts w:ascii="Arial" w:hAnsi="Arial" w:cs="Arial"/>
          <w:sz w:val="22"/>
          <w:szCs w:val="22"/>
        </w:rPr>
        <w:t xml:space="preserve">or </w:t>
      </w:r>
      <w:r w:rsidR="002861E6">
        <w:rPr>
          <w:rFonts w:ascii="Arial" w:hAnsi="Arial" w:cs="Arial"/>
          <w:sz w:val="22"/>
          <w:szCs w:val="22"/>
        </w:rPr>
        <w:t xml:space="preserve">works </w:t>
      </w:r>
      <w:r w:rsidR="00A24F6C">
        <w:rPr>
          <w:rFonts w:ascii="Arial" w:hAnsi="Arial" w:cs="Arial"/>
          <w:sz w:val="22"/>
          <w:szCs w:val="22"/>
        </w:rPr>
        <w:t>affecting a basement level of a property</w:t>
      </w:r>
      <w:r w:rsidR="002861E6">
        <w:rPr>
          <w:rFonts w:ascii="Arial" w:hAnsi="Arial" w:cs="Arial"/>
          <w:sz w:val="22"/>
          <w:szCs w:val="22"/>
        </w:rPr>
        <w:t xml:space="preserve">, </w:t>
      </w:r>
      <w:r w:rsidRPr="005836E3">
        <w:rPr>
          <w:rFonts w:ascii="Arial" w:hAnsi="Arial" w:cs="Arial"/>
          <w:sz w:val="22"/>
          <w:szCs w:val="22"/>
        </w:rPr>
        <w:t xml:space="preserve">for the last full </w:t>
      </w:r>
      <w:r w:rsidR="002861E6">
        <w:rPr>
          <w:rFonts w:ascii="Arial" w:hAnsi="Arial" w:cs="Arial"/>
          <w:sz w:val="22"/>
          <w:szCs w:val="22"/>
        </w:rPr>
        <w:t>four</w:t>
      </w:r>
      <w:r w:rsidRPr="005836E3">
        <w:rPr>
          <w:rFonts w:ascii="Arial" w:hAnsi="Arial" w:cs="Arial"/>
          <w:sz w:val="22"/>
          <w:szCs w:val="22"/>
        </w:rPr>
        <w:t xml:space="preserve"> financial years:</w:t>
      </w:r>
    </w:p>
    <w:p w14:paraId="1D4A8318" w14:textId="77777777" w:rsidR="00633485" w:rsidRPr="005836E3" w:rsidRDefault="00633485" w:rsidP="00446A54">
      <w:pPr>
        <w:pStyle w:val="Default"/>
        <w:ind w:left="567"/>
        <w:rPr>
          <w:rFonts w:ascii="Arial" w:hAnsi="Arial" w:cs="Arial"/>
          <w:sz w:val="18"/>
          <w:szCs w:val="18"/>
        </w:rPr>
      </w:pPr>
    </w:p>
    <w:p w14:paraId="5608638B" w14:textId="70502E39" w:rsidR="00446A54" w:rsidRPr="005836E3" w:rsidRDefault="00446A54" w:rsidP="00060BAC">
      <w:pPr>
        <w:pStyle w:val="Default"/>
        <w:rPr>
          <w:rFonts w:ascii="Arial" w:hAnsi="Arial" w:cs="Arial"/>
          <w:sz w:val="18"/>
          <w:szCs w:val="18"/>
        </w:rPr>
      </w:pPr>
    </w:p>
    <w:tbl>
      <w:tblPr>
        <w:tblW w:w="0" w:type="auto"/>
        <w:tblInd w:w="699" w:type="dxa"/>
        <w:tblCellMar>
          <w:left w:w="0" w:type="dxa"/>
          <w:right w:w="0" w:type="dxa"/>
        </w:tblCellMar>
        <w:tblLook w:val="04A0" w:firstRow="1" w:lastRow="0" w:firstColumn="1" w:lastColumn="0" w:noHBand="0" w:noVBand="1"/>
      </w:tblPr>
      <w:tblGrid>
        <w:gridCol w:w="2268"/>
        <w:gridCol w:w="951"/>
      </w:tblGrid>
      <w:tr w:rsidR="00446A54" w:rsidRPr="005836E3" w14:paraId="42FAD342" w14:textId="77777777" w:rsidTr="004F6D6C">
        <w:trPr>
          <w:trHeight w:val="300"/>
        </w:trPr>
        <w:tc>
          <w:tcPr>
            <w:tcW w:w="2268" w:type="dxa"/>
            <w:tcBorders>
              <w:top w:val="single" w:sz="8" w:space="0" w:color="DBDBDB"/>
              <w:left w:val="single" w:sz="8" w:space="0" w:color="DBDBDB"/>
              <w:bottom w:val="single" w:sz="12" w:space="0" w:color="C9C9C9"/>
              <w:right w:val="single" w:sz="8" w:space="0" w:color="DBDBDB"/>
            </w:tcBorders>
            <w:noWrap/>
            <w:tcMar>
              <w:top w:w="0" w:type="dxa"/>
              <w:left w:w="108" w:type="dxa"/>
              <w:bottom w:w="0" w:type="dxa"/>
              <w:right w:w="108" w:type="dxa"/>
            </w:tcMar>
            <w:hideMark/>
          </w:tcPr>
          <w:p w14:paraId="1ADFA410" w14:textId="60F55CBE" w:rsidR="00446A54" w:rsidRPr="005836E3" w:rsidRDefault="00446A54" w:rsidP="00446A54">
            <w:pPr>
              <w:pStyle w:val="xmsonormal"/>
              <w:rPr>
                <w:rFonts w:ascii="Arial" w:hAnsi="Arial" w:cs="Arial"/>
                <w:b/>
                <w:bCs/>
                <w:color w:val="000000" w:themeColor="text1"/>
              </w:rPr>
            </w:pPr>
            <w:r w:rsidRPr="005836E3">
              <w:rPr>
                <w:rFonts w:ascii="Arial" w:hAnsi="Arial" w:cs="Arial"/>
                <w:b/>
                <w:bCs/>
                <w:color w:val="000000" w:themeColor="text1"/>
              </w:rPr>
              <w:t>Financial Year</w:t>
            </w:r>
          </w:p>
        </w:tc>
        <w:tc>
          <w:tcPr>
            <w:tcW w:w="951" w:type="dxa"/>
            <w:tcBorders>
              <w:top w:val="single" w:sz="8" w:space="0" w:color="DBDBDB"/>
              <w:left w:val="nil"/>
              <w:bottom w:val="single" w:sz="12" w:space="0" w:color="C9C9C9"/>
              <w:right w:val="single" w:sz="8" w:space="0" w:color="DBDBDB"/>
            </w:tcBorders>
            <w:noWrap/>
            <w:tcMar>
              <w:top w:w="0" w:type="dxa"/>
              <w:left w:w="108" w:type="dxa"/>
              <w:bottom w:w="0" w:type="dxa"/>
              <w:right w:w="108" w:type="dxa"/>
            </w:tcMar>
            <w:hideMark/>
          </w:tcPr>
          <w:p w14:paraId="10A5C81E" w14:textId="52E7D126" w:rsidR="00446A54" w:rsidRPr="005836E3" w:rsidRDefault="00446A54">
            <w:pPr>
              <w:pStyle w:val="xmsonormal"/>
              <w:rPr>
                <w:rFonts w:ascii="Arial" w:hAnsi="Arial" w:cs="Arial"/>
                <w:color w:val="000000" w:themeColor="text1"/>
              </w:rPr>
            </w:pPr>
            <w:r w:rsidRPr="005836E3">
              <w:rPr>
                <w:rFonts w:ascii="Arial" w:hAnsi="Arial" w:cs="Arial"/>
                <w:b/>
                <w:bCs/>
                <w:color w:val="000000" w:themeColor="text1"/>
              </w:rPr>
              <w:t>No</w:t>
            </w:r>
          </w:p>
        </w:tc>
      </w:tr>
      <w:tr w:rsidR="00446A54" w:rsidRPr="005836E3" w14:paraId="637CBC36" w14:textId="77777777" w:rsidTr="004F6D6C">
        <w:trPr>
          <w:trHeight w:val="300"/>
        </w:trPr>
        <w:tc>
          <w:tcPr>
            <w:tcW w:w="2268" w:type="dxa"/>
            <w:tcBorders>
              <w:top w:val="nil"/>
              <w:left w:val="single" w:sz="8" w:space="0" w:color="DBDBDB"/>
              <w:bottom w:val="single" w:sz="8" w:space="0" w:color="DBDBDB"/>
              <w:right w:val="single" w:sz="8" w:space="0" w:color="DBDBDB"/>
            </w:tcBorders>
            <w:noWrap/>
            <w:tcMar>
              <w:top w:w="0" w:type="dxa"/>
              <w:left w:w="108" w:type="dxa"/>
              <w:bottom w:w="0" w:type="dxa"/>
              <w:right w:w="108" w:type="dxa"/>
            </w:tcMar>
            <w:hideMark/>
          </w:tcPr>
          <w:p w14:paraId="2B8752D6" w14:textId="77777777" w:rsidR="00446A54" w:rsidRPr="005836E3" w:rsidRDefault="00446A54">
            <w:pPr>
              <w:pStyle w:val="xmsonormal"/>
              <w:rPr>
                <w:rFonts w:ascii="Arial" w:hAnsi="Arial" w:cs="Arial"/>
                <w:color w:val="000000" w:themeColor="text1"/>
              </w:rPr>
            </w:pPr>
            <w:r w:rsidRPr="005836E3">
              <w:rPr>
                <w:rFonts w:ascii="Arial" w:hAnsi="Arial" w:cs="Arial"/>
                <w:color w:val="000000" w:themeColor="text1"/>
              </w:rPr>
              <w:t>2020-2021</w:t>
            </w:r>
          </w:p>
        </w:tc>
        <w:tc>
          <w:tcPr>
            <w:tcW w:w="951" w:type="dxa"/>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018196A4" w14:textId="154268C4" w:rsidR="00446A54" w:rsidRPr="005836E3" w:rsidRDefault="004F6D6C">
            <w:pPr>
              <w:pStyle w:val="xmsonormal"/>
              <w:jc w:val="right"/>
              <w:rPr>
                <w:rFonts w:ascii="Arial" w:hAnsi="Arial" w:cs="Arial"/>
                <w:color w:val="000000" w:themeColor="text1"/>
              </w:rPr>
            </w:pPr>
            <w:r>
              <w:rPr>
                <w:rFonts w:ascii="Arial" w:hAnsi="Arial" w:cs="Arial"/>
                <w:color w:val="000000" w:themeColor="text1"/>
              </w:rPr>
              <w:t>213</w:t>
            </w:r>
          </w:p>
        </w:tc>
      </w:tr>
      <w:tr w:rsidR="00446A54" w:rsidRPr="005836E3" w14:paraId="50A4D929" w14:textId="77777777" w:rsidTr="004F6D6C">
        <w:trPr>
          <w:trHeight w:val="300"/>
        </w:trPr>
        <w:tc>
          <w:tcPr>
            <w:tcW w:w="2268" w:type="dxa"/>
            <w:tcBorders>
              <w:top w:val="nil"/>
              <w:left w:val="single" w:sz="8" w:space="0" w:color="DBDBDB"/>
              <w:bottom w:val="single" w:sz="8" w:space="0" w:color="DBDBDB"/>
              <w:right w:val="single" w:sz="8" w:space="0" w:color="DBDBDB"/>
            </w:tcBorders>
            <w:noWrap/>
            <w:tcMar>
              <w:top w:w="0" w:type="dxa"/>
              <w:left w:w="108" w:type="dxa"/>
              <w:bottom w:w="0" w:type="dxa"/>
              <w:right w:w="108" w:type="dxa"/>
            </w:tcMar>
            <w:hideMark/>
          </w:tcPr>
          <w:p w14:paraId="434D4B05" w14:textId="77777777" w:rsidR="00446A54" w:rsidRPr="005836E3" w:rsidRDefault="00446A54">
            <w:pPr>
              <w:pStyle w:val="xmsonormal"/>
              <w:rPr>
                <w:rFonts w:ascii="Arial" w:hAnsi="Arial" w:cs="Arial"/>
                <w:color w:val="000000" w:themeColor="text1"/>
              </w:rPr>
            </w:pPr>
            <w:r w:rsidRPr="005836E3">
              <w:rPr>
                <w:rFonts w:ascii="Arial" w:hAnsi="Arial" w:cs="Arial"/>
                <w:color w:val="000000" w:themeColor="text1"/>
              </w:rPr>
              <w:t>2021-2022</w:t>
            </w:r>
          </w:p>
        </w:tc>
        <w:tc>
          <w:tcPr>
            <w:tcW w:w="951" w:type="dxa"/>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0743D73C" w14:textId="69EAC669" w:rsidR="00446A54" w:rsidRPr="005836E3" w:rsidRDefault="004F6D6C">
            <w:pPr>
              <w:pStyle w:val="xmsonormal"/>
              <w:jc w:val="right"/>
              <w:rPr>
                <w:rFonts w:ascii="Arial" w:hAnsi="Arial" w:cs="Arial"/>
                <w:color w:val="000000" w:themeColor="text1"/>
              </w:rPr>
            </w:pPr>
            <w:r>
              <w:rPr>
                <w:rFonts w:ascii="Arial" w:hAnsi="Arial" w:cs="Arial"/>
                <w:color w:val="000000" w:themeColor="text1"/>
              </w:rPr>
              <w:t>164</w:t>
            </w:r>
          </w:p>
        </w:tc>
      </w:tr>
      <w:tr w:rsidR="00446A54" w:rsidRPr="005836E3" w14:paraId="05F3CBD9" w14:textId="77777777" w:rsidTr="005F565E">
        <w:trPr>
          <w:trHeight w:val="300"/>
        </w:trPr>
        <w:tc>
          <w:tcPr>
            <w:tcW w:w="2268" w:type="dxa"/>
            <w:tcBorders>
              <w:top w:val="nil"/>
              <w:left w:val="single" w:sz="8" w:space="0" w:color="DBDBDB"/>
              <w:bottom w:val="nil"/>
              <w:right w:val="single" w:sz="8" w:space="0" w:color="DBDBDB"/>
            </w:tcBorders>
            <w:noWrap/>
            <w:tcMar>
              <w:top w:w="0" w:type="dxa"/>
              <w:left w:w="108" w:type="dxa"/>
              <w:bottom w:w="0" w:type="dxa"/>
              <w:right w:w="108" w:type="dxa"/>
            </w:tcMar>
            <w:hideMark/>
          </w:tcPr>
          <w:p w14:paraId="5F2BD4DB" w14:textId="77777777" w:rsidR="00446A54" w:rsidRPr="005836E3" w:rsidRDefault="00446A54">
            <w:pPr>
              <w:pStyle w:val="xmsonormal"/>
              <w:rPr>
                <w:rFonts w:ascii="Arial" w:hAnsi="Arial" w:cs="Arial"/>
                <w:color w:val="000000" w:themeColor="text1"/>
              </w:rPr>
            </w:pPr>
            <w:r w:rsidRPr="005836E3">
              <w:rPr>
                <w:rFonts w:ascii="Arial" w:hAnsi="Arial" w:cs="Arial"/>
                <w:color w:val="000000" w:themeColor="text1"/>
              </w:rPr>
              <w:t>2022-2023</w:t>
            </w:r>
          </w:p>
        </w:tc>
        <w:tc>
          <w:tcPr>
            <w:tcW w:w="951" w:type="dxa"/>
            <w:tcBorders>
              <w:top w:val="nil"/>
              <w:left w:val="nil"/>
              <w:bottom w:val="nil"/>
              <w:right w:val="single" w:sz="8" w:space="0" w:color="DBDBDB"/>
            </w:tcBorders>
            <w:noWrap/>
            <w:tcMar>
              <w:top w:w="0" w:type="dxa"/>
              <w:left w:w="108" w:type="dxa"/>
              <w:bottom w:w="0" w:type="dxa"/>
              <w:right w:w="108" w:type="dxa"/>
            </w:tcMar>
            <w:vAlign w:val="bottom"/>
            <w:hideMark/>
          </w:tcPr>
          <w:p w14:paraId="2F91C308" w14:textId="37BFEE97" w:rsidR="00446A54" w:rsidRPr="005836E3" w:rsidRDefault="004F6D6C">
            <w:pPr>
              <w:pStyle w:val="xmsonormal"/>
              <w:jc w:val="right"/>
              <w:rPr>
                <w:rFonts w:ascii="Arial" w:hAnsi="Arial" w:cs="Arial"/>
                <w:color w:val="000000" w:themeColor="text1"/>
              </w:rPr>
            </w:pPr>
            <w:r>
              <w:rPr>
                <w:rFonts w:ascii="Arial" w:hAnsi="Arial" w:cs="Arial"/>
                <w:color w:val="000000" w:themeColor="text1"/>
              </w:rPr>
              <w:t>137</w:t>
            </w:r>
          </w:p>
        </w:tc>
      </w:tr>
      <w:tr w:rsidR="004F6D6C" w:rsidRPr="005836E3" w14:paraId="2DA74C41" w14:textId="77777777" w:rsidTr="004F6D6C">
        <w:trPr>
          <w:trHeight w:val="300"/>
        </w:trPr>
        <w:tc>
          <w:tcPr>
            <w:tcW w:w="2268" w:type="dxa"/>
            <w:tcBorders>
              <w:top w:val="nil"/>
              <w:left w:val="single" w:sz="8" w:space="0" w:color="DBDBDB"/>
              <w:bottom w:val="single" w:sz="8" w:space="0" w:color="DBDBDB"/>
              <w:right w:val="single" w:sz="8" w:space="0" w:color="DBDBDB"/>
            </w:tcBorders>
            <w:noWrap/>
            <w:tcMar>
              <w:top w:w="0" w:type="dxa"/>
              <w:left w:w="108" w:type="dxa"/>
              <w:bottom w:w="0" w:type="dxa"/>
              <w:right w:w="108" w:type="dxa"/>
            </w:tcMar>
          </w:tcPr>
          <w:p w14:paraId="6E8FBA8B" w14:textId="500C514D" w:rsidR="004F6D6C" w:rsidRPr="005836E3" w:rsidRDefault="004F6D6C" w:rsidP="004F6D6C">
            <w:pPr>
              <w:pStyle w:val="xmsonormal"/>
              <w:rPr>
                <w:rFonts w:ascii="Arial" w:hAnsi="Arial" w:cs="Arial"/>
                <w:color w:val="000000" w:themeColor="text1"/>
              </w:rPr>
            </w:pPr>
            <w:r w:rsidRPr="005836E3">
              <w:rPr>
                <w:rFonts w:ascii="Arial" w:hAnsi="Arial" w:cs="Arial"/>
                <w:color w:val="000000" w:themeColor="text1"/>
              </w:rPr>
              <w:t>202</w:t>
            </w:r>
            <w:r>
              <w:rPr>
                <w:rFonts w:ascii="Arial" w:hAnsi="Arial" w:cs="Arial"/>
                <w:color w:val="000000" w:themeColor="text1"/>
              </w:rPr>
              <w:t>3</w:t>
            </w:r>
            <w:r w:rsidRPr="005836E3">
              <w:rPr>
                <w:rFonts w:ascii="Arial" w:hAnsi="Arial" w:cs="Arial"/>
                <w:color w:val="000000" w:themeColor="text1"/>
              </w:rPr>
              <w:t>-202</w:t>
            </w:r>
            <w:r>
              <w:rPr>
                <w:rFonts w:ascii="Arial" w:hAnsi="Arial" w:cs="Arial"/>
                <w:color w:val="000000" w:themeColor="text1"/>
              </w:rPr>
              <w:t>4</w:t>
            </w:r>
          </w:p>
        </w:tc>
        <w:tc>
          <w:tcPr>
            <w:tcW w:w="951" w:type="dxa"/>
            <w:tcBorders>
              <w:top w:val="nil"/>
              <w:left w:val="nil"/>
              <w:bottom w:val="single" w:sz="8" w:space="0" w:color="DBDBDB"/>
              <w:right w:val="single" w:sz="8" w:space="0" w:color="DBDBDB"/>
            </w:tcBorders>
            <w:noWrap/>
            <w:tcMar>
              <w:top w:w="0" w:type="dxa"/>
              <w:left w:w="108" w:type="dxa"/>
              <w:bottom w:w="0" w:type="dxa"/>
              <w:right w:w="108" w:type="dxa"/>
            </w:tcMar>
            <w:vAlign w:val="bottom"/>
          </w:tcPr>
          <w:p w14:paraId="1AF46A86" w14:textId="02A0F4AB" w:rsidR="004F6D6C" w:rsidRPr="005836E3" w:rsidDel="004F6D6C" w:rsidRDefault="004F6D6C" w:rsidP="004F6D6C">
            <w:pPr>
              <w:pStyle w:val="xmsonormal"/>
              <w:jc w:val="right"/>
              <w:rPr>
                <w:rFonts w:ascii="Arial" w:hAnsi="Arial" w:cs="Arial"/>
                <w:color w:val="000000" w:themeColor="text1"/>
              </w:rPr>
            </w:pPr>
            <w:r>
              <w:rPr>
                <w:rFonts w:ascii="Arial" w:hAnsi="Arial" w:cs="Arial"/>
                <w:color w:val="000000" w:themeColor="text1"/>
              </w:rPr>
              <w:t>116</w:t>
            </w:r>
          </w:p>
        </w:tc>
      </w:tr>
    </w:tbl>
    <w:p w14:paraId="74DFF150" w14:textId="77777777" w:rsidR="00446A54" w:rsidRPr="005836E3" w:rsidRDefault="00446A54" w:rsidP="00446A54">
      <w:pPr>
        <w:rPr>
          <w:rFonts w:ascii="Arial" w:eastAsiaTheme="minorHAnsi" w:hAnsi="Arial" w:cs="Arial"/>
          <w:lang w:eastAsia="en-US"/>
        </w:rPr>
      </w:pPr>
    </w:p>
    <w:p w14:paraId="525F87AF" w14:textId="19C5B737" w:rsidR="00446A54" w:rsidRPr="005836E3" w:rsidRDefault="00446A54" w:rsidP="00446A54">
      <w:pPr>
        <w:rPr>
          <w:rFonts w:ascii="Arial" w:eastAsia="Times New Roman" w:hAnsi="Arial" w:cs="Arial"/>
          <w:color w:val="000000"/>
          <w:lang w:val="en-GB" w:eastAsia="en-GB"/>
        </w:rPr>
      </w:pPr>
      <w:r w:rsidRPr="005836E3">
        <w:rPr>
          <w:rFonts w:ascii="Arial" w:eastAsiaTheme="minorHAnsi" w:hAnsi="Arial" w:cs="Arial"/>
          <w:lang w:eastAsia="en-US"/>
        </w:rPr>
        <w:tab/>
      </w:r>
      <w:r w:rsidRPr="005836E3">
        <w:rPr>
          <w:rFonts w:ascii="Arial" w:eastAsia="Times New Roman" w:hAnsi="Arial" w:cs="Arial"/>
          <w:b/>
          <w:bCs/>
          <w:color w:val="000000"/>
          <w:lang w:val="en-GB" w:eastAsia="en-GB"/>
        </w:rPr>
        <w:t>Table 2</w:t>
      </w:r>
      <w:r w:rsidRPr="005836E3">
        <w:rPr>
          <w:rFonts w:ascii="Arial" w:eastAsia="Times New Roman" w:hAnsi="Arial" w:cs="Arial"/>
          <w:color w:val="000000"/>
          <w:lang w:val="en-GB" w:eastAsia="en-GB"/>
        </w:rPr>
        <w:t xml:space="preserve"> provides the breakdown by category type of the same applications:</w:t>
      </w:r>
    </w:p>
    <w:tbl>
      <w:tblPr>
        <w:tblW w:w="0" w:type="auto"/>
        <w:tblInd w:w="699" w:type="dxa"/>
        <w:tblCellMar>
          <w:left w:w="0" w:type="dxa"/>
          <w:right w:w="0" w:type="dxa"/>
        </w:tblCellMar>
        <w:tblLook w:val="04A0" w:firstRow="1" w:lastRow="0" w:firstColumn="1" w:lastColumn="0" w:noHBand="0" w:noVBand="1"/>
      </w:tblPr>
      <w:tblGrid>
        <w:gridCol w:w="1684"/>
        <w:gridCol w:w="1269"/>
        <w:gridCol w:w="1269"/>
        <w:gridCol w:w="1269"/>
        <w:gridCol w:w="1224"/>
      </w:tblGrid>
      <w:tr w:rsidR="00517F58" w:rsidRPr="005836E3" w14:paraId="37042472" w14:textId="753CD847" w:rsidTr="00571E74">
        <w:trPr>
          <w:trHeight w:val="300"/>
        </w:trPr>
        <w:tc>
          <w:tcPr>
            <w:tcW w:w="0" w:type="auto"/>
            <w:tcBorders>
              <w:top w:val="single" w:sz="8" w:space="0" w:color="DBDBDB"/>
              <w:left w:val="single" w:sz="8" w:space="0" w:color="DBDBDB"/>
              <w:bottom w:val="single" w:sz="12" w:space="0" w:color="C9C9C9"/>
              <w:right w:val="single" w:sz="8" w:space="0" w:color="DBDBDB"/>
            </w:tcBorders>
            <w:noWrap/>
            <w:tcMar>
              <w:top w:w="0" w:type="dxa"/>
              <w:left w:w="108" w:type="dxa"/>
              <w:bottom w:w="0" w:type="dxa"/>
              <w:right w:w="108" w:type="dxa"/>
            </w:tcMar>
            <w:hideMark/>
          </w:tcPr>
          <w:p w14:paraId="1353D653" w14:textId="224F80AA" w:rsidR="00517F58" w:rsidRPr="005836E3" w:rsidRDefault="00517F58">
            <w:pPr>
              <w:rPr>
                <w:rFonts w:ascii="Arial" w:hAnsi="Arial" w:cs="Arial"/>
                <w:b/>
                <w:bCs/>
                <w:color w:val="0D0D0D"/>
              </w:rPr>
            </w:pPr>
            <w:r w:rsidRPr="005836E3">
              <w:rPr>
                <w:rFonts w:ascii="Arial" w:hAnsi="Arial" w:cs="Arial"/>
                <w:b/>
                <w:bCs/>
                <w:color w:val="0D0D0D"/>
              </w:rPr>
              <w:t>Category type</w:t>
            </w:r>
          </w:p>
        </w:tc>
        <w:tc>
          <w:tcPr>
            <w:tcW w:w="0" w:type="auto"/>
            <w:tcBorders>
              <w:top w:val="single" w:sz="8" w:space="0" w:color="DBDBDB"/>
              <w:left w:val="nil"/>
              <w:bottom w:val="single" w:sz="12" w:space="0" w:color="C9C9C9"/>
              <w:right w:val="single" w:sz="8" w:space="0" w:color="DBDBDB"/>
            </w:tcBorders>
            <w:noWrap/>
            <w:tcMar>
              <w:top w:w="0" w:type="dxa"/>
              <w:left w:w="108" w:type="dxa"/>
              <w:bottom w:w="0" w:type="dxa"/>
              <w:right w:w="108" w:type="dxa"/>
            </w:tcMar>
            <w:hideMark/>
          </w:tcPr>
          <w:p w14:paraId="1251DEEF" w14:textId="77777777" w:rsidR="00517F58" w:rsidRPr="005836E3" w:rsidRDefault="00517F58">
            <w:pPr>
              <w:jc w:val="right"/>
              <w:rPr>
                <w:rFonts w:ascii="Arial" w:hAnsi="Arial" w:cs="Arial"/>
                <w:b/>
                <w:bCs/>
                <w:color w:val="0D0D0D"/>
              </w:rPr>
            </w:pPr>
            <w:r w:rsidRPr="005836E3">
              <w:rPr>
                <w:rFonts w:ascii="Arial" w:hAnsi="Arial" w:cs="Arial"/>
                <w:b/>
                <w:bCs/>
                <w:color w:val="0D0D0D"/>
              </w:rPr>
              <w:t>2020-2021</w:t>
            </w:r>
          </w:p>
        </w:tc>
        <w:tc>
          <w:tcPr>
            <w:tcW w:w="0" w:type="auto"/>
            <w:tcBorders>
              <w:top w:val="single" w:sz="8" w:space="0" w:color="DBDBDB"/>
              <w:left w:val="nil"/>
              <w:bottom w:val="single" w:sz="12" w:space="0" w:color="C9C9C9"/>
              <w:right w:val="single" w:sz="8" w:space="0" w:color="DBDBDB"/>
            </w:tcBorders>
            <w:noWrap/>
            <w:tcMar>
              <w:top w:w="0" w:type="dxa"/>
              <w:left w:w="108" w:type="dxa"/>
              <w:bottom w:w="0" w:type="dxa"/>
              <w:right w:w="108" w:type="dxa"/>
            </w:tcMar>
            <w:hideMark/>
          </w:tcPr>
          <w:p w14:paraId="69E233D0" w14:textId="77777777" w:rsidR="00517F58" w:rsidRPr="005836E3" w:rsidRDefault="00517F58">
            <w:pPr>
              <w:jc w:val="right"/>
              <w:rPr>
                <w:rFonts w:ascii="Arial" w:hAnsi="Arial" w:cs="Arial"/>
                <w:b/>
                <w:bCs/>
                <w:color w:val="0D0D0D"/>
              </w:rPr>
            </w:pPr>
            <w:r w:rsidRPr="005836E3">
              <w:rPr>
                <w:rFonts w:ascii="Arial" w:hAnsi="Arial" w:cs="Arial"/>
                <w:b/>
                <w:bCs/>
                <w:color w:val="0D0D0D"/>
              </w:rPr>
              <w:t>2021-2022</w:t>
            </w:r>
          </w:p>
        </w:tc>
        <w:tc>
          <w:tcPr>
            <w:tcW w:w="0" w:type="auto"/>
            <w:tcBorders>
              <w:top w:val="single" w:sz="8" w:space="0" w:color="DBDBDB"/>
              <w:left w:val="nil"/>
              <w:bottom w:val="single" w:sz="12" w:space="0" w:color="C9C9C9"/>
              <w:right w:val="single" w:sz="8" w:space="0" w:color="DBDBDB"/>
            </w:tcBorders>
            <w:noWrap/>
            <w:tcMar>
              <w:top w:w="0" w:type="dxa"/>
              <w:left w:w="108" w:type="dxa"/>
              <w:bottom w:w="0" w:type="dxa"/>
              <w:right w:w="108" w:type="dxa"/>
            </w:tcMar>
            <w:hideMark/>
          </w:tcPr>
          <w:p w14:paraId="25EAAD39" w14:textId="77777777" w:rsidR="00517F58" w:rsidRPr="005836E3" w:rsidRDefault="00517F58">
            <w:pPr>
              <w:jc w:val="right"/>
              <w:rPr>
                <w:rFonts w:ascii="Arial" w:hAnsi="Arial" w:cs="Arial"/>
                <w:b/>
                <w:bCs/>
                <w:color w:val="0D0D0D"/>
              </w:rPr>
            </w:pPr>
            <w:r w:rsidRPr="005836E3">
              <w:rPr>
                <w:rFonts w:ascii="Arial" w:hAnsi="Arial" w:cs="Arial"/>
                <w:b/>
                <w:bCs/>
                <w:color w:val="0D0D0D"/>
              </w:rPr>
              <w:t>2022-2023</w:t>
            </w:r>
          </w:p>
        </w:tc>
        <w:tc>
          <w:tcPr>
            <w:tcW w:w="1224" w:type="dxa"/>
            <w:tcBorders>
              <w:top w:val="single" w:sz="8" w:space="0" w:color="DBDBDB"/>
              <w:left w:val="nil"/>
              <w:bottom w:val="single" w:sz="12" w:space="0" w:color="C9C9C9"/>
              <w:right w:val="single" w:sz="8" w:space="0" w:color="DBDBDB"/>
            </w:tcBorders>
          </w:tcPr>
          <w:p w14:paraId="3A420990" w14:textId="7BCE4847" w:rsidR="00517F58" w:rsidRPr="005836E3" w:rsidRDefault="00517F58">
            <w:pPr>
              <w:jc w:val="right"/>
              <w:rPr>
                <w:rFonts w:ascii="Arial" w:hAnsi="Arial" w:cs="Arial"/>
                <w:b/>
                <w:bCs/>
                <w:color w:val="0D0D0D"/>
              </w:rPr>
            </w:pPr>
            <w:r>
              <w:rPr>
                <w:rFonts w:ascii="Arial" w:hAnsi="Arial" w:cs="Arial"/>
                <w:b/>
                <w:bCs/>
                <w:color w:val="0D0D0D"/>
              </w:rPr>
              <w:t>2023-2024</w:t>
            </w:r>
          </w:p>
        </w:tc>
      </w:tr>
      <w:tr w:rsidR="00571E74" w:rsidRPr="005836E3" w14:paraId="0CD248F6" w14:textId="69755797" w:rsidTr="005F565E">
        <w:trPr>
          <w:trHeight w:val="300"/>
        </w:trPr>
        <w:tc>
          <w:tcPr>
            <w:tcW w:w="0" w:type="auto"/>
            <w:tcBorders>
              <w:top w:val="nil"/>
              <w:left w:val="single" w:sz="8" w:space="0" w:color="DBDBDB"/>
              <w:bottom w:val="single" w:sz="8" w:space="0" w:color="DBDBDB"/>
              <w:right w:val="single" w:sz="8" w:space="0" w:color="DBDBDB"/>
            </w:tcBorders>
            <w:noWrap/>
            <w:tcMar>
              <w:top w:w="0" w:type="dxa"/>
              <w:left w:w="108" w:type="dxa"/>
              <w:bottom w:w="0" w:type="dxa"/>
              <w:right w:w="108" w:type="dxa"/>
            </w:tcMar>
            <w:hideMark/>
          </w:tcPr>
          <w:p w14:paraId="34F700DB" w14:textId="77777777" w:rsidR="00571E74" w:rsidRPr="005836E3" w:rsidRDefault="00571E74" w:rsidP="00571E74">
            <w:pPr>
              <w:rPr>
                <w:rFonts w:ascii="Arial" w:hAnsi="Arial" w:cs="Arial"/>
                <w:color w:val="0D0D0D"/>
              </w:rPr>
            </w:pPr>
            <w:r w:rsidRPr="005836E3">
              <w:rPr>
                <w:rFonts w:ascii="Arial" w:hAnsi="Arial" w:cs="Arial"/>
                <w:color w:val="0D0D0D"/>
              </w:rPr>
              <w:t>MAJOR</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02E8AA6D" w14:textId="76601D6B" w:rsidR="00571E74" w:rsidRPr="005836E3" w:rsidRDefault="00571E74" w:rsidP="00571E74">
            <w:pPr>
              <w:jc w:val="right"/>
              <w:rPr>
                <w:rFonts w:ascii="Arial" w:hAnsi="Arial" w:cs="Arial"/>
                <w:color w:val="0D0D0D"/>
              </w:rPr>
            </w:pPr>
            <w:r>
              <w:rPr>
                <w:rFonts w:ascii="Calibri" w:hAnsi="Calibri" w:cs="Calibri"/>
                <w:color w:val="000000"/>
              </w:rPr>
              <w:t>19</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32DEDB69" w14:textId="69897952" w:rsidR="00571E74" w:rsidRPr="005836E3" w:rsidRDefault="00571E74" w:rsidP="00571E74">
            <w:pPr>
              <w:jc w:val="right"/>
              <w:rPr>
                <w:rFonts w:ascii="Arial" w:hAnsi="Arial" w:cs="Arial"/>
                <w:color w:val="0D0D0D"/>
              </w:rPr>
            </w:pPr>
            <w:r>
              <w:rPr>
                <w:rFonts w:ascii="Calibri" w:hAnsi="Calibri" w:cs="Calibri"/>
                <w:color w:val="000000"/>
              </w:rPr>
              <w:t>13</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2A940D63" w14:textId="5A003600" w:rsidR="00571E74" w:rsidRPr="005836E3" w:rsidRDefault="00571E74" w:rsidP="00571E74">
            <w:pPr>
              <w:jc w:val="right"/>
              <w:rPr>
                <w:rFonts w:ascii="Arial" w:hAnsi="Arial" w:cs="Arial"/>
                <w:color w:val="0D0D0D"/>
              </w:rPr>
            </w:pPr>
            <w:r>
              <w:rPr>
                <w:rFonts w:ascii="Calibri" w:hAnsi="Calibri" w:cs="Calibri"/>
                <w:color w:val="000000"/>
              </w:rPr>
              <w:t>10</w:t>
            </w:r>
          </w:p>
        </w:tc>
        <w:tc>
          <w:tcPr>
            <w:tcW w:w="1224" w:type="dxa"/>
            <w:tcBorders>
              <w:top w:val="nil"/>
              <w:left w:val="nil"/>
              <w:bottom w:val="single" w:sz="8" w:space="0" w:color="DBDBDB"/>
              <w:right w:val="single" w:sz="8" w:space="0" w:color="DBDBDB"/>
            </w:tcBorders>
            <w:vAlign w:val="bottom"/>
          </w:tcPr>
          <w:p w14:paraId="55AE1E4F" w14:textId="72BDDA84" w:rsidR="00571E74" w:rsidRPr="005836E3" w:rsidRDefault="00571E74" w:rsidP="00571E74">
            <w:pPr>
              <w:jc w:val="right"/>
              <w:rPr>
                <w:rFonts w:ascii="Arial" w:hAnsi="Arial" w:cs="Arial"/>
                <w:color w:val="0D0D0D"/>
              </w:rPr>
            </w:pPr>
            <w:r>
              <w:rPr>
                <w:rFonts w:ascii="Calibri" w:hAnsi="Calibri" w:cs="Calibri"/>
                <w:color w:val="000000"/>
              </w:rPr>
              <w:t>8</w:t>
            </w:r>
          </w:p>
        </w:tc>
      </w:tr>
      <w:tr w:rsidR="00571E74" w:rsidRPr="005836E3" w14:paraId="407D0DCB" w14:textId="3884BF65" w:rsidTr="005F565E">
        <w:trPr>
          <w:trHeight w:val="300"/>
        </w:trPr>
        <w:tc>
          <w:tcPr>
            <w:tcW w:w="0" w:type="auto"/>
            <w:tcBorders>
              <w:top w:val="nil"/>
              <w:left w:val="single" w:sz="8" w:space="0" w:color="DBDBDB"/>
              <w:bottom w:val="single" w:sz="8" w:space="0" w:color="DBDBDB"/>
              <w:right w:val="single" w:sz="8" w:space="0" w:color="DBDBDB"/>
            </w:tcBorders>
            <w:noWrap/>
            <w:tcMar>
              <w:top w:w="0" w:type="dxa"/>
              <w:left w:w="108" w:type="dxa"/>
              <w:bottom w:w="0" w:type="dxa"/>
              <w:right w:w="108" w:type="dxa"/>
            </w:tcMar>
            <w:hideMark/>
          </w:tcPr>
          <w:p w14:paraId="2719A2B8" w14:textId="77777777" w:rsidR="00571E74" w:rsidRPr="005836E3" w:rsidRDefault="00571E74" w:rsidP="00571E74">
            <w:pPr>
              <w:rPr>
                <w:rFonts w:ascii="Arial" w:hAnsi="Arial" w:cs="Arial"/>
                <w:color w:val="0D0D0D"/>
              </w:rPr>
            </w:pPr>
            <w:r w:rsidRPr="005836E3">
              <w:rPr>
                <w:rFonts w:ascii="Arial" w:hAnsi="Arial" w:cs="Arial"/>
                <w:color w:val="0D0D0D"/>
              </w:rPr>
              <w:t>MINOR</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1D8443FD" w14:textId="16F4B653" w:rsidR="00571E74" w:rsidRPr="005836E3" w:rsidRDefault="00571E74" w:rsidP="00571E74">
            <w:pPr>
              <w:jc w:val="right"/>
              <w:rPr>
                <w:rFonts w:ascii="Arial" w:hAnsi="Arial" w:cs="Arial"/>
                <w:color w:val="0D0D0D"/>
              </w:rPr>
            </w:pPr>
            <w:r>
              <w:rPr>
                <w:rFonts w:ascii="Calibri" w:hAnsi="Calibri" w:cs="Calibri"/>
                <w:color w:val="000000"/>
              </w:rPr>
              <w:t>63</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7630FDE6" w14:textId="4640F13C" w:rsidR="00571E74" w:rsidRPr="005836E3" w:rsidRDefault="00571E74" w:rsidP="00571E74">
            <w:pPr>
              <w:jc w:val="right"/>
              <w:rPr>
                <w:rFonts w:ascii="Arial" w:hAnsi="Arial" w:cs="Arial"/>
                <w:color w:val="0D0D0D"/>
              </w:rPr>
            </w:pPr>
            <w:r>
              <w:rPr>
                <w:rFonts w:ascii="Calibri" w:hAnsi="Calibri" w:cs="Calibri"/>
                <w:color w:val="000000"/>
              </w:rPr>
              <w:t>53</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50895B36" w14:textId="6D420DCA" w:rsidR="00571E74" w:rsidRPr="005836E3" w:rsidRDefault="00571E74" w:rsidP="00571E74">
            <w:pPr>
              <w:jc w:val="right"/>
              <w:rPr>
                <w:rFonts w:ascii="Arial" w:hAnsi="Arial" w:cs="Arial"/>
                <w:color w:val="0D0D0D"/>
              </w:rPr>
            </w:pPr>
            <w:r>
              <w:rPr>
                <w:rFonts w:ascii="Calibri" w:hAnsi="Calibri" w:cs="Calibri"/>
                <w:color w:val="000000"/>
              </w:rPr>
              <w:t>37</w:t>
            </w:r>
          </w:p>
        </w:tc>
        <w:tc>
          <w:tcPr>
            <w:tcW w:w="1224" w:type="dxa"/>
            <w:tcBorders>
              <w:top w:val="nil"/>
              <w:left w:val="nil"/>
              <w:bottom w:val="single" w:sz="8" w:space="0" w:color="DBDBDB"/>
              <w:right w:val="single" w:sz="8" w:space="0" w:color="DBDBDB"/>
            </w:tcBorders>
            <w:vAlign w:val="bottom"/>
          </w:tcPr>
          <w:p w14:paraId="57AF6274" w14:textId="5A42E66A" w:rsidR="00571E74" w:rsidRPr="005836E3" w:rsidRDefault="00571E74" w:rsidP="00571E74">
            <w:pPr>
              <w:jc w:val="right"/>
              <w:rPr>
                <w:rFonts w:ascii="Arial" w:hAnsi="Arial" w:cs="Arial"/>
                <w:color w:val="0D0D0D"/>
              </w:rPr>
            </w:pPr>
            <w:r>
              <w:rPr>
                <w:rFonts w:ascii="Calibri" w:hAnsi="Calibri" w:cs="Calibri"/>
                <w:color w:val="000000"/>
              </w:rPr>
              <w:t>31</w:t>
            </w:r>
          </w:p>
        </w:tc>
      </w:tr>
      <w:tr w:rsidR="00571E74" w:rsidRPr="005836E3" w14:paraId="21836CEC" w14:textId="2CF4912A" w:rsidTr="005F565E">
        <w:trPr>
          <w:trHeight w:val="300"/>
        </w:trPr>
        <w:tc>
          <w:tcPr>
            <w:tcW w:w="0" w:type="auto"/>
            <w:tcBorders>
              <w:top w:val="nil"/>
              <w:left w:val="single" w:sz="8" w:space="0" w:color="DBDBDB"/>
              <w:bottom w:val="single" w:sz="8" w:space="0" w:color="DBDBDB"/>
              <w:right w:val="single" w:sz="8" w:space="0" w:color="DBDBDB"/>
            </w:tcBorders>
            <w:noWrap/>
            <w:tcMar>
              <w:top w:w="0" w:type="dxa"/>
              <w:left w:w="108" w:type="dxa"/>
              <w:bottom w:w="0" w:type="dxa"/>
              <w:right w:w="108" w:type="dxa"/>
            </w:tcMar>
            <w:hideMark/>
          </w:tcPr>
          <w:p w14:paraId="159DBF2B" w14:textId="77777777" w:rsidR="00571E74" w:rsidRPr="005836E3" w:rsidRDefault="00571E74" w:rsidP="00571E74">
            <w:pPr>
              <w:rPr>
                <w:rFonts w:ascii="Arial" w:hAnsi="Arial" w:cs="Arial"/>
                <w:color w:val="0D0D0D"/>
              </w:rPr>
            </w:pPr>
            <w:r w:rsidRPr="005836E3">
              <w:rPr>
                <w:rFonts w:ascii="Arial" w:hAnsi="Arial" w:cs="Arial"/>
                <w:color w:val="0D0D0D"/>
              </w:rPr>
              <w:t>OTHER</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5FBB8E50" w14:textId="1A1800FC" w:rsidR="00571E74" w:rsidRPr="005836E3" w:rsidRDefault="00571E74" w:rsidP="00571E74">
            <w:pPr>
              <w:jc w:val="right"/>
              <w:rPr>
                <w:rFonts w:ascii="Arial" w:hAnsi="Arial" w:cs="Arial"/>
                <w:color w:val="0D0D0D"/>
              </w:rPr>
            </w:pPr>
            <w:r>
              <w:rPr>
                <w:rFonts w:ascii="Calibri" w:hAnsi="Calibri" w:cs="Calibri"/>
                <w:color w:val="000000"/>
              </w:rPr>
              <w:t>92</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394F8E05" w14:textId="5DF88A5D" w:rsidR="00571E74" w:rsidRPr="005836E3" w:rsidRDefault="00571E74" w:rsidP="00571E74">
            <w:pPr>
              <w:jc w:val="right"/>
              <w:rPr>
                <w:rFonts w:ascii="Arial" w:hAnsi="Arial" w:cs="Arial"/>
                <w:color w:val="0D0D0D"/>
              </w:rPr>
            </w:pPr>
            <w:r>
              <w:rPr>
                <w:rFonts w:ascii="Calibri" w:hAnsi="Calibri" w:cs="Calibri"/>
                <w:color w:val="000000"/>
              </w:rPr>
              <w:t>69</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3C08326E" w14:textId="0665E606" w:rsidR="00571E74" w:rsidRPr="005836E3" w:rsidRDefault="00571E74" w:rsidP="00571E74">
            <w:pPr>
              <w:jc w:val="right"/>
              <w:rPr>
                <w:rFonts w:ascii="Arial" w:hAnsi="Arial" w:cs="Arial"/>
                <w:color w:val="0D0D0D"/>
              </w:rPr>
            </w:pPr>
            <w:r>
              <w:rPr>
                <w:rFonts w:ascii="Calibri" w:hAnsi="Calibri" w:cs="Calibri"/>
                <w:color w:val="000000"/>
              </w:rPr>
              <w:t>68</w:t>
            </w:r>
          </w:p>
        </w:tc>
        <w:tc>
          <w:tcPr>
            <w:tcW w:w="1224" w:type="dxa"/>
            <w:tcBorders>
              <w:top w:val="nil"/>
              <w:left w:val="nil"/>
              <w:bottom w:val="single" w:sz="8" w:space="0" w:color="DBDBDB"/>
              <w:right w:val="single" w:sz="8" w:space="0" w:color="DBDBDB"/>
            </w:tcBorders>
            <w:vAlign w:val="bottom"/>
          </w:tcPr>
          <w:p w14:paraId="3D71D41F" w14:textId="5B5CEC15" w:rsidR="00571E74" w:rsidRPr="005836E3" w:rsidRDefault="00571E74" w:rsidP="00571E74">
            <w:pPr>
              <w:jc w:val="right"/>
              <w:rPr>
                <w:rFonts w:ascii="Arial" w:hAnsi="Arial" w:cs="Arial"/>
                <w:color w:val="0D0D0D"/>
              </w:rPr>
            </w:pPr>
            <w:r>
              <w:rPr>
                <w:rFonts w:ascii="Calibri" w:hAnsi="Calibri" w:cs="Calibri"/>
                <w:color w:val="000000"/>
              </w:rPr>
              <w:t>56</w:t>
            </w:r>
          </w:p>
        </w:tc>
      </w:tr>
      <w:tr w:rsidR="00571E74" w:rsidRPr="005836E3" w14:paraId="77050B3A" w14:textId="7F956D52" w:rsidTr="005F565E">
        <w:trPr>
          <w:trHeight w:val="300"/>
        </w:trPr>
        <w:tc>
          <w:tcPr>
            <w:tcW w:w="0" w:type="auto"/>
            <w:tcBorders>
              <w:top w:val="nil"/>
              <w:left w:val="single" w:sz="8" w:space="0" w:color="DBDBDB"/>
              <w:bottom w:val="single" w:sz="8" w:space="0" w:color="DBDBDB"/>
              <w:right w:val="single" w:sz="8" w:space="0" w:color="DBDBDB"/>
            </w:tcBorders>
            <w:noWrap/>
            <w:tcMar>
              <w:top w:w="0" w:type="dxa"/>
              <w:left w:w="108" w:type="dxa"/>
              <w:bottom w:w="0" w:type="dxa"/>
              <w:right w:w="108" w:type="dxa"/>
            </w:tcMar>
            <w:hideMark/>
          </w:tcPr>
          <w:p w14:paraId="6E635278" w14:textId="77777777" w:rsidR="00571E74" w:rsidRPr="005836E3" w:rsidRDefault="00571E74" w:rsidP="00571E74">
            <w:pPr>
              <w:rPr>
                <w:rFonts w:ascii="Arial" w:hAnsi="Arial" w:cs="Arial"/>
                <w:color w:val="0D0D0D"/>
              </w:rPr>
            </w:pPr>
            <w:r w:rsidRPr="005836E3">
              <w:rPr>
                <w:rFonts w:ascii="Arial" w:hAnsi="Arial" w:cs="Arial"/>
                <w:color w:val="0D0D0D"/>
              </w:rPr>
              <w:t>Prior Approval</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735FBD40" w14:textId="421BE682" w:rsidR="00571E74" w:rsidRPr="005836E3" w:rsidRDefault="00571E74" w:rsidP="00571E74">
            <w:pPr>
              <w:jc w:val="right"/>
              <w:rPr>
                <w:rFonts w:ascii="Arial" w:hAnsi="Arial" w:cs="Arial"/>
                <w:color w:val="0D0D0D"/>
              </w:rPr>
            </w:pPr>
            <w:r>
              <w:rPr>
                <w:rFonts w:ascii="Calibri" w:hAnsi="Calibri" w:cs="Calibri"/>
                <w:color w:val="000000"/>
              </w:rPr>
              <w:t>6</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3AEC439A" w14:textId="67AD5FDD" w:rsidR="00571E74" w:rsidRPr="005836E3" w:rsidRDefault="00571E74" w:rsidP="00571E74">
            <w:pPr>
              <w:jc w:val="right"/>
              <w:rPr>
                <w:rFonts w:ascii="Arial" w:hAnsi="Arial" w:cs="Arial"/>
                <w:color w:val="0D0D0D"/>
              </w:rPr>
            </w:pPr>
            <w:r>
              <w:rPr>
                <w:rFonts w:ascii="Calibri" w:hAnsi="Calibri" w:cs="Calibri"/>
                <w:color w:val="000000"/>
              </w:rPr>
              <w:t>2</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14EA2E75" w14:textId="752BAA53" w:rsidR="00571E74" w:rsidRPr="005836E3" w:rsidRDefault="005E60C8" w:rsidP="00AF4A9E">
            <w:pPr>
              <w:jc w:val="right"/>
              <w:rPr>
                <w:rFonts w:ascii="Arial" w:hAnsi="Arial" w:cs="Arial"/>
                <w:color w:val="0D0D0D"/>
              </w:rPr>
            </w:pPr>
            <w:r>
              <w:rPr>
                <w:rFonts w:ascii="Arial" w:hAnsi="Arial" w:cs="Arial"/>
                <w:color w:val="0D0D0D"/>
              </w:rPr>
              <w:t>0</w:t>
            </w:r>
          </w:p>
        </w:tc>
        <w:tc>
          <w:tcPr>
            <w:tcW w:w="1224" w:type="dxa"/>
            <w:tcBorders>
              <w:top w:val="nil"/>
              <w:left w:val="nil"/>
              <w:bottom w:val="single" w:sz="8" w:space="0" w:color="DBDBDB"/>
              <w:right w:val="single" w:sz="8" w:space="0" w:color="DBDBDB"/>
            </w:tcBorders>
            <w:vAlign w:val="bottom"/>
          </w:tcPr>
          <w:p w14:paraId="228FE5D7" w14:textId="089519E5" w:rsidR="00571E74" w:rsidRPr="005836E3" w:rsidRDefault="00571E74" w:rsidP="00AF4A9E">
            <w:pPr>
              <w:jc w:val="right"/>
              <w:rPr>
                <w:rFonts w:ascii="Arial" w:hAnsi="Arial" w:cs="Arial"/>
                <w:color w:val="0D0D0D"/>
              </w:rPr>
            </w:pPr>
            <w:r>
              <w:rPr>
                <w:rFonts w:ascii="Calibri" w:hAnsi="Calibri" w:cs="Calibri"/>
                <w:color w:val="000000"/>
              </w:rPr>
              <w:t>2</w:t>
            </w:r>
          </w:p>
        </w:tc>
      </w:tr>
      <w:tr w:rsidR="00571E74" w:rsidRPr="005836E3" w14:paraId="2C5BBC87" w14:textId="57476C28" w:rsidTr="005F565E">
        <w:trPr>
          <w:trHeight w:val="300"/>
        </w:trPr>
        <w:tc>
          <w:tcPr>
            <w:tcW w:w="0" w:type="auto"/>
            <w:tcBorders>
              <w:top w:val="nil"/>
              <w:left w:val="single" w:sz="8" w:space="0" w:color="DBDBDB"/>
              <w:bottom w:val="single" w:sz="8" w:space="0" w:color="DBDBDB"/>
              <w:right w:val="single" w:sz="8" w:space="0" w:color="DBDBDB"/>
            </w:tcBorders>
            <w:noWrap/>
            <w:tcMar>
              <w:top w:w="0" w:type="dxa"/>
              <w:left w:w="108" w:type="dxa"/>
              <w:bottom w:w="0" w:type="dxa"/>
              <w:right w:w="108" w:type="dxa"/>
            </w:tcMar>
            <w:hideMark/>
          </w:tcPr>
          <w:p w14:paraId="1843652E" w14:textId="77777777" w:rsidR="00571E74" w:rsidRPr="005836E3" w:rsidRDefault="00571E74" w:rsidP="00571E74">
            <w:pPr>
              <w:rPr>
                <w:rFonts w:ascii="Arial" w:hAnsi="Arial" w:cs="Arial"/>
                <w:color w:val="0D0D0D"/>
              </w:rPr>
            </w:pPr>
            <w:r w:rsidRPr="005836E3">
              <w:rPr>
                <w:rFonts w:ascii="Arial" w:hAnsi="Arial" w:cs="Arial"/>
                <w:color w:val="0D0D0D"/>
              </w:rPr>
              <w:t>PREAPP</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6C8D61FC" w14:textId="59C29E47" w:rsidR="00571E74" w:rsidRPr="005836E3" w:rsidRDefault="00571E74" w:rsidP="00571E74">
            <w:pPr>
              <w:jc w:val="right"/>
              <w:rPr>
                <w:rFonts w:ascii="Arial" w:hAnsi="Arial" w:cs="Arial"/>
                <w:color w:val="0D0D0D"/>
              </w:rPr>
            </w:pPr>
            <w:r>
              <w:rPr>
                <w:rFonts w:ascii="Calibri" w:hAnsi="Calibri" w:cs="Calibri"/>
                <w:color w:val="000000"/>
              </w:rPr>
              <w:t>33</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06F4FD4E" w14:textId="48C5A884" w:rsidR="00571E74" w:rsidRPr="005836E3" w:rsidRDefault="00571E74" w:rsidP="00571E74">
            <w:pPr>
              <w:jc w:val="right"/>
              <w:rPr>
                <w:rFonts w:ascii="Arial" w:hAnsi="Arial" w:cs="Arial"/>
                <w:color w:val="0D0D0D"/>
              </w:rPr>
            </w:pPr>
            <w:r>
              <w:rPr>
                <w:rFonts w:ascii="Calibri" w:hAnsi="Calibri" w:cs="Calibri"/>
                <w:color w:val="000000"/>
              </w:rPr>
              <w:t>27</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7FA65D71" w14:textId="5EF658A8" w:rsidR="00571E74" w:rsidRPr="005836E3" w:rsidRDefault="00571E74" w:rsidP="00571E74">
            <w:pPr>
              <w:jc w:val="right"/>
              <w:rPr>
                <w:rFonts w:ascii="Arial" w:hAnsi="Arial" w:cs="Arial"/>
                <w:color w:val="0D0D0D"/>
              </w:rPr>
            </w:pPr>
            <w:r>
              <w:rPr>
                <w:rFonts w:ascii="Calibri" w:hAnsi="Calibri" w:cs="Calibri"/>
                <w:color w:val="000000"/>
              </w:rPr>
              <w:t>22</w:t>
            </w:r>
          </w:p>
        </w:tc>
        <w:tc>
          <w:tcPr>
            <w:tcW w:w="1224" w:type="dxa"/>
            <w:tcBorders>
              <w:top w:val="nil"/>
              <w:left w:val="nil"/>
              <w:bottom w:val="single" w:sz="8" w:space="0" w:color="DBDBDB"/>
              <w:right w:val="single" w:sz="8" w:space="0" w:color="DBDBDB"/>
            </w:tcBorders>
            <w:vAlign w:val="bottom"/>
          </w:tcPr>
          <w:p w14:paraId="6A0D1A4A" w14:textId="5C287ABC" w:rsidR="00571E74" w:rsidRPr="005836E3" w:rsidRDefault="00571E74" w:rsidP="00571E74">
            <w:pPr>
              <w:jc w:val="right"/>
              <w:rPr>
                <w:rFonts w:ascii="Arial" w:hAnsi="Arial" w:cs="Arial"/>
                <w:color w:val="0D0D0D"/>
              </w:rPr>
            </w:pPr>
            <w:r>
              <w:rPr>
                <w:rFonts w:ascii="Calibri" w:hAnsi="Calibri" w:cs="Calibri"/>
                <w:color w:val="000000"/>
              </w:rPr>
              <w:t>19</w:t>
            </w:r>
          </w:p>
        </w:tc>
      </w:tr>
      <w:tr w:rsidR="00354B78" w:rsidRPr="005836E3" w14:paraId="3990C80B" w14:textId="63329979" w:rsidTr="005F565E">
        <w:trPr>
          <w:trHeight w:val="300"/>
        </w:trPr>
        <w:tc>
          <w:tcPr>
            <w:tcW w:w="0" w:type="auto"/>
            <w:tcBorders>
              <w:top w:val="nil"/>
              <w:left w:val="single" w:sz="8" w:space="0" w:color="DBDBDB"/>
              <w:bottom w:val="single" w:sz="8" w:space="0" w:color="DBDBDB"/>
              <w:right w:val="single" w:sz="8" w:space="0" w:color="DBDBDB"/>
            </w:tcBorders>
            <w:noWrap/>
            <w:tcMar>
              <w:top w:w="0" w:type="dxa"/>
              <w:left w:w="108" w:type="dxa"/>
              <w:bottom w:w="0" w:type="dxa"/>
              <w:right w:w="108" w:type="dxa"/>
            </w:tcMar>
            <w:hideMark/>
          </w:tcPr>
          <w:p w14:paraId="73E0AB02" w14:textId="137C0039" w:rsidR="00354B78" w:rsidRPr="005836E3" w:rsidRDefault="00354B78" w:rsidP="00354B78">
            <w:pPr>
              <w:rPr>
                <w:rFonts w:ascii="Arial" w:hAnsi="Arial" w:cs="Arial"/>
                <w:color w:val="0D0D0D"/>
              </w:rPr>
            </w:pPr>
            <w:r w:rsidRPr="005836E3">
              <w:rPr>
                <w:rFonts w:ascii="Arial" w:hAnsi="Arial" w:cs="Arial"/>
                <w:color w:val="0D0D0D"/>
              </w:rPr>
              <w:t>Total</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0D0D6650" w14:textId="03A98EFC" w:rsidR="00354B78" w:rsidRPr="005836E3" w:rsidRDefault="00354B78" w:rsidP="00354B78">
            <w:pPr>
              <w:jc w:val="right"/>
              <w:rPr>
                <w:rFonts w:ascii="Arial" w:eastAsia="Times New Roman" w:hAnsi="Arial" w:cs="Arial"/>
                <w:b/>
                <w:bCs/>
              </w:rPr>
            </w:pPr>
            <w:r>
              <w:rPr>
                <w:rFonts w:ascii="Calibri" w:hAnsi="Calibri" w:cs="Calibri"/>
                <w:b/>
                <w:bCs/>
                <w:color w:val="000000"/>
              </w:rPr>
              <w:t>213</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561AC4D5" w14:textId="1A7E79DA" w:rsidR="00354B78" w:rsidRPr="005836E3" w:rsidRDefault="00354B78" w:rsidP="00354B78">
            <w:pPr>
              <w:jc w:val="right"/>
              <w:rPr>
                <w:rFonts w:ascii="Arial" w:eastAsia="Times New Roman" w:hAnsi="Arial" w:cs="Arial"/>
                <w:b/>
                <w:bCs/>
              </w:rPr>
            </w:pPr>
            <w:r>
              <w:rPr>
                <w:rFonts w:ascii="Calibri" w:hAnsi="Calibri" w:cs="Calibri"/>
                <w:b/>
                <w:bCs/>
                <w:color w:val="000000"/>
              </w:rPr>
              <w:t>164</w:t>
            </w:r>
          </w:p>
        </w:tc>
        <w:tc>
          <w:tcPr>
            <w:tcW w:w="0" w:type="auto"/>
            <w:tcBorders>
              <w:top w:val="nil"/>
              <w:left w:val="nil"/>
              <w:bottom w:val="single" w:sz="8" w:space="0" w:color="DBDBDB"/>
              <w:right w:val="single" w:sz="8" w:space="0" w:color="DBDBDB"/>
            </w:tcBorders>
            <w:noWrap/>
            <w:tcMar>
              <w:top w:w="0" w:type="dxa"/>
              <w:left w:w="108" w:type="dxa"/>
              <w:bottom w:w="0" w:type="dxa"/>
              <w:right w:w="108" w:type="dxa"/>
            </w:tcMar>
            <w:vAlign w:val="bottom"/>
            <w:hideMark/>
          </w:tcPr>
          <w:p w14:paraId="5BFDFAF1" w14:textId="296D5241" w:rsidR="00354B78" w:rsidRPr="005836E3" w:rsidRDefault="00354B78" w:rsidP="00354B78">
            <w:pPr>
              <w:jc w:val="right"/>
              <w:rPr>
                <w:rFonts w:ascii="Arial" w:eastAsia="Times New Roman" w:hAnsi="Arial" w:cs="Arial"/>
                <w:b/>
                <w:bCs/>
              </w:rPr>
            </w:pPr>
            <w:r>
              <w:rPr>
                <w:rFonts w:ascii="Calibri" w:hAnsi="Calibri" w:cs="Calibri"/>
                <w:b/>
                <w:bCs/>
                <w:color w:val="000000"/>
              </w:rPr>
              <w:t>137</w:t>
            </w:r>
          </w:p>
        </w:tc>
        <w:tc>
          <w:tcPr>
            <w:tcW w:w="1224" w:type="dxa"/>
            <w:tcBorders>
              <w:top w:val="nil"/>
              <w:left w:val="nil"/>
              <w:bottom w:val="single" w:sz="8" w:space="0" w:color="DBDBDB"/>
              <w:right w:val="single" w:sz="8" w:space="0" w:color="DBDBDB"/>
            </w:tcBorders>
            <w:vAlign w:val="bottom"/>
          </w:tcPr>
          <w:p w14:paraId="27369F69" w14:textId="2910133B" w:rsidR="00354B78" w:rsidRPr="005836E3" w:rsidRDefault="00354B78" w:rsidP="00354B78">
            <w:pPr>
              <w:jc w:val="right"/>
              <w:rPr>
                <w:rFonts w:ascii="Arial" w:eastAsia="Times New Roman" w:hAnsi="Arial" w:cs="Arial"/>
                <w:b/>
                <w:bCs/>
              </w:rPr>
            </w:pPr>
            <w:r>
              <w:rPr>
                <w:rFonts w:ascii="Calibri" w:hAnsi="Calibri" w:cs="Calibri"/>
                <w:b/>
                <w:bCs/>
                <w:color w:val="000000"/>
              </w:rPr>
              <w:t>116</w:t>
            </w:r>
          </w:p>
        </w:tc>
      </w:tr>
    </w:tbl>
    <w:p w14:paraId="4E586DD3" w14:textId="756E3125" w:rsidR="00446A54" w:rsidRPr="00AF4A9E" w:rsidRDefault="00F2254F" w:rsidP="00AF4A9E">
      <w:pPr>
        <w:ind w:left="709" w:right="1280"/>
        <w:rPr>
          <w:rFonts w:ascii="Arial" w:eastAsiaTheme="minorHAnsi" w:hAnsi="Arial" w:cs="Arial"/>
          <w:sz w:val="18"/>
          <w:szCs w:val="18"/>
          <w:lang w:eastAsia="en-US"/>
        </w:rPr>
      </w:pPr>
      <w:r w:rsidRPr="00AF4A9E">
        <w:rPr>
          <w:rFonts w:ascii="Arial" w:eastAsiaTheme="minorHAnsi" w:hAnsi="Arial" w:cs="Arial"/>
          <w:sz w:val="18"/>
          <w:szCs w:val="18"/>
          <w:lang w:eastAsia="en-US"/>
        </w:rPr>
        <w:t xml:space="preserve">*The other category includes </w:t>
      </w:r>
      <w:r w:rsidR="00222E50" w:rsidRPr="00AF4A9E">
        <w:rPr>
          <w:rFonts w:ascii="Arial" w:eastAsiaTheme="minorHAnsi" w:hAnsi="Arial" w:cs="Arial"/>
          <w:sz w:val="18"/>
          <w:szCs w:val="18"/>
          <w:lang w:eastAsia="en-US"/>
        </w:rPr>
        <w:t xml:space="preserve">but is not limited to </w:t>
      </w:r>
      <w:r w:rsidRPr="00AF4A9E">
        <w:rPr>
          <w:rFonts w:ascii="Arial" w:eastAsiaTheme="minorHAnsi" w:hAnsi="Arial" w:cs="Arial"/>
          <w:sz w:val="18"/>
          <w:szCs w:val="18"/>
          <w:lang w:eastAsia="en-US"/>
        </w:rPr>
        <w:t xml:space="preserve">householder, </w:t>
      </w:r>
      <w:r w:rsidR="00405011" w:rsidRPr="00AF4A9E">
        <w:rPr>
          <w:rFonts w:ascii="Arial" w:eastAsiaTheme="minorHAnsi" w:hAnsi="Arial" w:cs="Arial"/>
          <w:sz w:val="18"/>
          <w:szCs w:val="18"/>
          <w:lang w:eastAsia="en-US"/>
        </w:rPr>
        <w:t xml:space="preserve">change of use, listed building and </w:t>
      </w:r>
      <w:r w:rsidR="00222E50" w:rsidRPr="00AF4A9E">
        <w:rPr>
          <w:rFonts w:ascii="Arial" w:eastAsiaTheme="minorHAnsi" w:hAnsi="Arial" w:cs="Arial"/>
          <w:sz w:val="18"/>
          <w:szCs w:val="18"/>
          <w:lang w:eastAsia="en-US"/>
        </w:rPr>
        <w:t>commercial applications</w:t>
      </w:r>
    </w:p>
    <w:p w14:paraId="03D2FFB4" w14:textId="77777777" w:rsidR="00475D06" w:rsidRPr="005836E3" w:rsidRDefault="00475D06" w:rsidP="00002223">
      <w:pPr>
        <w:pStyle w:val="Default"/>
        <w:ind w:left="567"/>
        <w:rPr>
          <w:rFonts w:ascii="Arial" w:hAnsi="Arial" w:cs="Arial"/>
          <w:sz w:val="22"/>
          <w:szCs w:val="22"/>
        </w:rPr>
      </w:pPr>
    </w:p>
    <w:p w14:paraId="3B6CA641" w14:textId="77777777" w:rsidR="00475D06" w:rsidRPr="005836E3" w:rsidRDefault="00475D06" w:rsidP="00002223">
      <w:pPr>
        <w:pStyle w:val="Default"/>
        <w:ind w:left="567"/>
        <w:rPr>
          <w:rFonts w:ascii="Arial" w:hAnsi="Arial" w:cs="Arial"/>
          <w:sz w:val="22"/>
          <w:szCs w:val="22"/>
        </w:rPr>
      </w:pPr>
    </w:p>
    <w:p w14:paraId="2E01E56D" w14:textId="108502D3" w:rsidR="00446A54" w:rsidRPr="005836E3" w:rsidRDefault="00475D06" w:rsidP="00EF2527">
      <w:pPr>
        <w:pStyle w:val="Default"/>
        <w:numPr>
          <w:ilvl w:val="0"/>
          <w:numId w:val="1"/>
        </w:numPr>
        <w:ind w:left="567"/>
        <w:rPr>
          <w:rFonts w:ascii="Arial" w:hAnsi="Arial" w:cs="Arial"/>
          <w:sz w:val="22"/>
          <w:szCs w:val="22"/>
        </w:rPr>
      </w:pPr>
      <w:r w:rsidRPr="005836E3">
        <w:rPr>
          <w:rFonts w:ascii="Arial" w:hAnsi="Arial" w:cs="Arial"/>
          <w:sz w:val="22"/>
          <w:szCs w:val="22"/>
        </w:rPr>
        <w:t xml:space="preserve">The number of applications that will be received in any period is not something that can be predetermined, however the activity figures shown </w:t>
      </w:r>
      <w:r w:rsidR="00446A54" w:rsidRPr="005836E3">
        <w:rPr>
          <w:rFonts w:ascii="Arial" w:hAnsi="Arial" w:cs="Arial"/>
          <w:sz w:val="22"/>
          <w:szCs w:val="22"/>
        </w:rPr>
        <w:t>in Table</w:t>
      </w:r>
      <w:r w:rsidR="000E7C50" w:rsidRPr="005836E3">
        <w:rPr>
          <w:rFonts w:ascii="Arial" w:hAnsi="Arial" w:cs="Arial"/>
          <w:sz w:val="22"/>
          <w:szCs w:val="22"/>
        </w:rPr>
        <w:t>s</w:t>
      </w:r>
      <w:r w:rsidR="00446A54" w:rsidRPr="005836E3">
        <w:rPr>
          <w:rFonts w:ascii="Arial" w:hAnsi="Arial" w:cs="Arial"/>
          <w:sz w:val="22"/>
          <w:szCs w:val="22"/>
        </w:rPr>
        <w:t xml:space="preserve"> 1</w:t>
      </w:r>
      <w:r w:rsidR="000E7C50" w:rsidRPr="005836E3">
        <w:rPr>
          <w:rFonts w:ascii="Arial" w:hAnsi="Arial" w:cs="Arial"/>
          <w:sz w:val="22"/>
          <w:szCs w:val="22"/>
        </w:rPr>
        <w:t xml:space="preserve"> and 2</w:t>
      </w:r>
      <w:r w:rsidR="00446A54" w:rsidRPr="005836E3">
        <w:rPr>
          <w:rFonts w:ascii="Arial" w:hAnsi="Arial" w:cs="Arial"/>
          <w:sz w:val="22"/>
          <w:szCs w:val="22"/>
        </w:rPr>
        <w:t xml:space="preserve"> provide </w:t>
      </w:r>
      <w:r w:rsidRPr="005836E3">
        <w:rPr>
          <w:rFonts w:ascii="Arial" w:hAnsi="Arial" w:cs="Arial"/>
          <w:sz w:val="22"/>
          <w:szCs w:val="22"/>
        </w:rPr>
        <w:t xml:space="preserve">an indicative level of activity.  </w:t>
      </w:r>
    </w:p>
    <w:p w14:paraId="2685254C" w14:textId="77777777" w:rsidR="00446A54" w:rsidRPr="005836E3" w:rsidRDefault="00446A54" w:rsidP="00446A54">
      <w:pPr>
        <w:pStyle w:val="Default"/>
        <w:ind w:left="567"/>
        <w:rPr>
          <w:rFonts w:ascii="Arial" w:hAnsi="Arial" w:cs="Arial"/>
          <w:sz w:val="22"/>
          <w:szCs w:val="22"/>
        </w:rPr>
      </w:pPr>
    </w:p>
    <w:p w14:paraId="7E7F62DE" w14:textId="79FFB050" w:rsidR="008116BD" w:rsidRPr="00446A54" w:rsidRDefault="00446A54" w:rsidP="00EF2527">
      <w:pPr>
        <w:pStyle w:val="Default"/>
        <w:numPr>
          <w:ilvl w:val="0"/>
          <w:numId w:val="1"/>
        </w:numPr>
        <w:ind w:left="567"/>
        <w:rPr>
          <w:rFonts w:ascii="Arial" w:hAnsi="Arial" w:cs="Arial"/>
          <w:sz w:val="22"/>
          <w:szCs w:val="22"/>
        </w:rPr>
      </w:pPr>
      <w:r>
        <w:rPr>
          <w:rFonts w:ascii="Arial" w:hAnsi="Arial" w:cs="Arial"/>
          <w:sz w:val="22"/>
          <w:szCs w:val="22"/>
        </w:rPr>
        <w:t>A</w:t>
      </w:r>
      <w:r w:rsidR="00D872AC" w:rsidRPr="00446A54">
        <w:rPr>
          <w:rFonts w:ascii="Arial" w:hAnsi="Arial" w:cs="Arial"/>
          <w:sz w:val="22"/>
          <w:szCs w:val="22"/>
        </w:rPr>
        <w:t>pplications are of varying complexity. It should be noted that not all applications</w:t>
      </w:r>
      <w:r w:rsidR="00583ADA">
        <w:rPr>
          <w:rFonts w:ascii="Arial" w:hAnsi="Arial" w:cs="Arial"/>
          <w:sz w:val="22"/>
          <w:szCs w:val="22"/>
        </w:rPr>
        <w:t xml:space="preserve"> (as noted in the figures above)</w:t>
      </w:r>
      <w:r w:rsidR="00D872AC" w:rsidRPr="00446A54">
        <w:rPr>
          <w:rFonts w:ascii="Arial" w:hAnsi="Arial" w:cs="Arial"/>
          <w:sz w:val="22"/>
          <w:szCs w:val="22"/>
        </w:rPr>
        <w:t xml:space="preserve"> submitted to the council will include </w:t>
      </w:r>
      <w:r>
        <w:rPr>
          <w:rFonts w:ascii="Arial" w:hAnsi="Arial" w:cs="Arial"/>
          <w:sz w:val="22"/>
          <w:szCs w:val="22"/>
        </w:rPr>
        <w:t>basement</w:t>
      </w:r>
      <w:r w:rsidR="00D872AC" w:rsidRPr="00446A54">
        <w:rPr>
          <w:rFonts w:ascii="Arial" w:hAnsi="Arial" w:cs="Arial"/>
          <w:sz w:val="22"/>
          <w:szCs w:val="22"/>
        </w:rPr>
        <w:t xml:space="preserve"> </w:t>
      </w:r>
      <w:r w:rsidR="005700C0">
        <w:rPr>
          <w:rFonts w:ascii="Arial" w:hAnsi="Arial" w:cs="Arial"/>
          <w:sz w:val="22"/>
          <w:szCs w:val="22"/>
        </w:rPr>
        <w:t>impact assessments (BIA) or reports</w:t>
      </w:r>
      <w:r w:rsidR="005700C0" w:rsidRPr="00446A54">
        <w:rPr>
          <w:rFonts w:ascii="Arial" w:hAnsi="Arial" w:cs="Arial"/>
          <w:sz w:val="22"/>
          <w:szCs w:val="22"/>
        </w:rPr>
        <w:t xml:space="preserve"> </w:t>
      </w:r>
      <w:r w:rsidR="00D872AC" w:rsidRPr="00446A54">
        <w:rPr>
          <w:rFonts w:ascii="Arial" w:hAnsi="Arial" w:cs="Arial"/>
          <w:sz w:val="22"/>
          <w:szCs w:val="22"/>
        </w:rPr>
        <w:t xml:space="preserve">and not all applications including </w:t>
      </w:r>
      <w:r w:rsidR="005700C0">
        <w:rPr>
          <w:rFonts w:ascii="Arial" w:hAnsi="Arial" w:cs="Arial"/>
          <w:sz w:val="22"/>
          <w:szCs w:val="22"/>
        </w:rPr>
        <w:t>BIA or reports</w:t>
      </w:r>
      <w:r w:rsidR="00D872AC" w:rsidRPr="00446A54">
        <w:rPr>
          <w:rFonts w:ascii="Arial" w:hAnsi="Arial" w:cs="Arial"/>
          <w:sz w:val="22"/>
          <w:szCs w:val="22"/>
        </w:rPr>
        <w:t xml:space="preserve"> will necessarily be passed for external assessment.</w:t>
      </w:r>
    </w:p>
    <w:p w14:paraId="1971F42B" w14:textId="43B0E32C" w:rsidR="003063E2" w:rsidRPr="00002223" w:rsidRDefault="003063E2" w:rsidP="00002223">
      <w:pPr>
        <w:pStyle w:val="Default"/>
        <w:ind w:left="567"/>
        <w:rPr>
          <w:rFonts w:ascii="Arial" w:hAnsi="Arial" w:cs="Arial"/>
          <w:sz w:val="22"/>
          <w:szCs w:val="22"/>
        </w:rPr>
      </w:pPr>
    </w:p>
    <w:p w14:paraId="7E7F62EA" w14:textId="10709D89" w:rsidR="00D872AC" w:rsidRPr="00002223" w:rsidRDefault="00FA28A6" w:rsidP="00002223">
      <w:pPr>
        <w:pStyle w:val="Heading1"/>
        <w:ind w:left="567" w:hanging="567"/>
        <w:rPr>
          <w:rFonts w:ascii="Arial" w:hAnsi="Arial" w:cs="Arial"/>
          <w:sz w:val="22"/>
          <w:szCs w:val="22"/>
        </w:rPr>
      </w:pPr>
      <w:r w:rsidRPr="00002223">
        <w:rPr>
          <w:rFonts w:ascii="Arial" w:hAnsi="Arial" w:cs="Arial"/>
          <w:sz w:val="22"/>
          <w:szCs w:val="22"/>
        </w:rPr>
        <w:t>Specification</w:t>
      </w:r>
    </w:p>
    <w:p w14:paraId="7E7F62EB" w14:textId="77777777" w:rsidR="00D872AC" w:rsidRPr="00002223" w:rsidRDefault="00D872AC" w:rsidP="00002223">
      <w:pPr>
        <w:pStyle w:val="Default"/>
        <w:ind w:left="567" w:hanging="567"/>
        <w:rPr>
          <w:rFonts w:ascii="Arial" w:hAnsi="Arial" w:cs="Arial"/>
          <w:sz w:val="22"/>
          <w:szCs w:val="22"/>
        </w:rPr>
      </w:pPr>
    </w:p>
    <w:p w14:paraId="0C76B1D5" w14:textId="48340A5F" w:rsidR="005E129B" w:rsidRPr="00002223" w:rsidRDefault="001E7473" w:rsidP="00EF2527">
      <w:pPr>
        <w:pStyle w:val="Default"/>
        <w:numPr>
          <w:ilvl w:val="0"/>
          <w:numId w:val="1"/>
        </w:numPr>
        <w:ind w:left="567" w:hanging="567"/>
        <w:rPr>
          <w:rFonts w:ascii="Arial" w:hAnsi="Arial" w:cs="Arial"/>
          <w:sz w:val="22"/>
          <w:szCs w:val="22"/>
        </w:rPr>
      </w:pPr>
      <w:bookmarkStart w:id="0" w:name="_Hlk133411224"/>
      <w:r w:rsidRPr="00002223">
        <w:rPr>
          <w:rFonts w:ascii="Arial" w:hAnsi="Arial" w:cs="Arial"/>
          <w:bCs/>
          <w:sz w:val="22"/>
          <w:szCs w:val="22"/>
        </w:rPr>
        <w:t>Lambeth are seeking to appoint a consultancy to provide support</w:t>
      </w:r>
      <w:r w:rsidR="002A5F4A" w:rsidRPr="00002223">
        <w:rPr>
          <w:rFonts w:ascii="Arial" w:hAnsi="Arial" w:cs="Arial"/>
          <w:bCs/>
          <w:sz w:val="22"/>
          <w:szCs w:val="22"/>
        </w:rPr>
        <w:t xml:space="preserve"> to</w:t>
      </w:r>
      <w:r w:rsidRPr="00002223">
        <w:rPr>
          <w:rFonts w:ascii="Arial" w:hAnsi="Arial" w:cs="Arial"/>
          <w:bCs/>
          <w:sz w:val="22"/>
          <w:szCs w:val="22"/>
        </w:rPr>
        <w:t xml:space="preserve"> its </w:t>
      </w:r>
      <w:r w:rsidR="00275016" w:rsidRPr="00002223">
        <w:rPr>
          <w:rFonts w:ascii="Arial" w:hAnsi="Arial" w:cs="Arial"/>
          <w:bCs/>
          <w:sz w:val="22"/>
          <w:szCs w:val="22"/>
        </w:rPr>
        <w:t>Development Management team</w:t>
      </w:r>
      <w:r w:rsidR="000E7C50">
        <w:rPr>
          <w:rFonts w:ascii="Arial" w:hAnsi="Arial" w:cs="Arial"/>
          <w:bCs/>
          <w:sz w:val="22"/>
          <w:szCs w:val="22"/>
        </w:rPr>
        <w:t xml:space="preserve"> </w:t>
      </w:r>
      <w:r w:rsidR="005836E3">
        <w:rPr>
          <w:rFonts w:ascii="Arial" w:hAnsi="Arial" w:cs="Arial"/>
          <w:bCs/>
          <w:sz w:val="22"/>
          <w:szCs w:val="22"/>
        </w:rPr>
        <w:t xml:space="preserve">(see context </w:t>
      </w:r>
      <w:r w:rsidR="000E7C50">
        <w:rPr>
          <w:rFonts w:ascii="Arial" w:hAnsi="Arial" w:cs="Arial"/>
          <w:bCs/>
          <w:sz w:val="22"/>
          <w:szCs w:val="22"/>
        </w:rPr>
        <w:t>above</w:t>
      </w:r>
      <w:r w:rsidR="005836E3">
        <w:rPr>
          <w:rFonts w:ascii="Arial" w:hAnsi="Arial" w:cs="Arial"/>
          <w:bCs/>
          <w:sz w:val="22"/>
          <w:szCs w:val="22"/>
        </w:rPr>
        <w:t>)</w:t>
      </w:r>
    </w:p>
    <w:p w14:paraId="5AA741F6" w14:textId="7C4C708D" w:rsidR="001E7473" w:rsidRPr="00002223" w:rsidRDefault="001E7473" w:rsidP="00002223">
      <w:pPr>
        <w:pStyle w:val="Default"/>
        <w:ind w:left="567"/>
        <w:rPr>
          <w:rFonts w:ascii="Arial" w:hAnsi="Arial" w:cs="Arial"/>
          <w:sz w:val="22"/>
          <w:szCs w:val="22"/>
        </w:rPr>
      </w:pPr>
    </w:p>
    <w:p w14:paraId="44E9354E" w14:textId="12D2F365" w:rsidR="00C0279F" w:rsidRPr="00002223" w:rsidRDefault="00C0279F" w:rsidP="00EF2527">
      <w:pPr>
        <w:pStyle w:val="Default"/>
        <w:numPr>
          <w:ilvl w:val="0"/>
          <w:numId w:val="1"/>
        </w:numPr>
        <w:ind w:left="567" w:hanging="567"/>
        <w:rPr>
          <w:rFonts w:ascii="Arial" w:hAnsi="Arial" w:cs="Arial"/>
          <w:sz w:val="22"/>
          <w:szCs w:val="22"/>
        </w:rPr>
      </w:pPr>
      <w:r w:rsidRPr="00002223">
        <w:rPr>
          <w:rFonts w:ascii="Arial" w:hAnsi="Arial" w:cs="Arial"/>
          <w:sz w:val="22"/>
          <w:szCs w:val="22"/>
        </w:rPr>
        <w:t>This support will comprise of assessment of</w:t>
      </w:r>
      <w:r w:rsidR="005700C0">
        <w:rPr>
          <w:rFonts w:ascii="Arial" w:hAnsi="Arial" w:cs="Arial"/>
          <w:sz w:val="22"/>
          <w:szCs w:val="22"/>
        </w:rPr>
        <w:t xml:space="preserve"> BIAs or reports </w:t>
      </w:r>
      <w:r w:rsidRPr="00002223">
        <w:rPr>
          <w:rFonts w:ascii="Arial" w:hAnsi="Arial" w:cs="Arial"/>
          <w:sz w:val="22"/>
          <w:szCs w:val="22"/>
        </w:rPr>
        <w:t xml:space="preserve">that accompany relevant planning applications (excluding applications which are subject to Planning Performance Agreements). </w:t>
      </w:r>
    </w:p>
    <w:p w14:paraId="6506DF58" w14:textId="77777777" w:rsidR="00275016" w:rsidRPr="00002223" w:rsidRDefault="00275016" w:rsidP="00002223">
      <w:pPr>
        <w:pStyle w:val="Default"/>
        <w:ind w:left="567"/>
        <w:rPr>
          <w:rFonts w:ascii="Arial" w:hAnsi="Arial" w:cs="Arial"/>
          <w:sz w:val="22"/>
          <w:szCs w:val="22"/>
        </w:rPr>
      </w:pPr>
    </w:p>
    <w:p w14:paraId="7CE9236B" w14:textId="1FC46FC6" w:rsidR="00475D06" w:rsidRPr="00002223" w:rsidRDefault="001E7473" w:rsidP="00EF2527">
      <w:pPr>
        <w:pStyle w:val="Default"/>
        <w:numPr>
          <w:ilvl w:val="0"/>
          <w:numId w:val="1"/>
        </w:numPr>
        <w:ind w:left="567" w:hanging="567"/>
        <w:rPr>
          <w:rFonts w:ascii="Arial" w:hAnsi="Arial" w:cs="Arial"/>
          <w:sz w:val="22"/>
          <w:szCs w:val="22"/>
        </w:rPr>
      </w:pPr>
      <w:r w:rsidRPr="00002223">
        <w:rPr>
          <w:rFonts w:ascii="Arial" w:hAnsi="Arial" w:cs="Arial"/>
          <w:sz w:val="22"/>
          <w:szCs w:val="22"/>
        </w:rPr>
        <w:lastRenderedPageBreak/>
        <w:t xml:space="preserve">Following </w:t>
      </w:r>
      <w:r w:rsidR="005700C0">
        <w:rPr>
          <w:rFonts w:ascii="Arial" w:hAnsi="Arial" w:cs="Arial"/>
          <w:sz w:val="22"/>
          <w:szCs w:val="22"/>
        </w:rPr>
        <w:t xml:space="preserve">your </w:t>
      </w:r>
      <w:r w:rsidRPr="00002223">
        <w:rPr>
          <w:rFonts w:ascii="Arial" w:hAnsi="Arial" w:cs="Arial"/>
          <w:sz w:val="22"/>
          <w:szCs w:val="22"/>
        </w:rPr>
        <w:t xml:space="preserve">assessment, the Council will require you to advise on the degree of compliance with current planning policy requirements, </w:t>
      </w:r>
      <w:r w:rsidR="005700C0">
        <w:rPr>
          <w:rFonts w:ascii="Arial" w:hAnsi="Arial" w:cs="Arial"/>
          <w:sz w:val="22"/>
          <w:szCs w:val="22"/>
        </w:rPr>
        <w:t xml:space="preserve">whether sufficient information has been provided to achieve compliance with planning policy, </w:t>
      </w:r>
      <w:r w:rsidRPr="00002223">
        <w:rPr>
          <w:rFonts w:ascii="Arial" w:hAnsi="Arial" w:cs="Arial"/>
          <w:sz w:val="22"/>
          <w:szCs w:val="22"/>
        </w:rPr>
        <w:t>on potential amendments that would further improve the performance of the developments and on suggested conditions and planning obligations that would ensure the delivery of the highest standards of sustainable design and construction and subsequent operation</w:t>
      </w:r>
      <w:r w:rsidR="00726FAC">
        <w:rPr>
          <w:rFonts w:ascii="Arial" w:hAnsi="Arial" w:cs="Arial"/>
          <w:sz w:val="22"/>
          <w:szCs w:val="22"/>
        </w:rPr>
        <w:t>, and that would ensure the impacts of the basement development are appropriately mitigated</w:t>
      </w:r>
      <w:r w:rsidRPr="00002223">
        <w:rPr>
          <w:rFonts w:ascii="Arial" w:hAnsi="Arial" w:cs="Arial"/>
          <w:sz w:val="22"/>
          <w:szCs w:val="22"/>
        </w:rPr>
        <w:t xml:space="preserve">.  </w:t>
      </w:r>
    </w:p>
    <w:p w14:paraId="4D7B070D" w14:textId="77777777" w:rsidR="00475D06" w:rsidRPr="00002223" w:rsidRDefault="00475D06" w:rsidP="00002223">
      <w:pPr>
        <w:pStyle w:val="ListParagraph"/>
        <w:ind w:left="567"/>
        <w:rPr>
          <w:rFonts w:ascii="Arial" w:hAnsi="Arial" w:cs="Arial"/>
        </w:rPr>
      </w:pPr>
    </w:p>
    <w:p w14:paraId="0A7A384F" w14:textId="6B723766" w:rsidR="00C45B01" w:rsidRPr="00002223" w:rsidRDefault="00475D06" w:rsidP="00EF2527">
      <w:pPr>
        <w:pStyle w:val="Default"/>
        <w:numPr>
          <w:ilvl w:val="0"/>
          <w:numId w:val="1"/>
        </w:numPr>
        <w:ind w:left="567" w:hanging="567"/>
        <w:rPr>
          <w:rFonts w:ascii="Arial" w:hAnsi="Arial" w:cs="Arial"/>
          <w:sz w:val="22"/>
          <w:szCs w:val="22"/>
        </w:rPr>
      </w:pPr>
      <w:r w:rsidRPr="00002223">
        <w:rPr>
          <w:rFonts w:ascii="Arial" w:hAnsi="Arial" w:cs="Arial"/>
          <w:sz w:val="22"/>
          <w:szCs w:val="22"/>
        </w:rPr>
        <w:t>Co</w:t>
      </w:r>
      <w:r w:rsidR="00C45B01" w:rsidRPr="00002223">
        <w:rPr>
          <w:rFonts w:ascii="Arial" w:hAnsi="Arial" w:cs="Arial"/>
          <w:sz w:val="22"/>
          <w:szCs w:val="22"/>
        </w:rPr>
        <w:t>nsideration</w:t>
      </w:r>
      <w:r w:rsidRPr="00002223">
        <w:rPr>
          <w:rFonts w:ascii="Arial" w:hAnsi="Arial" w:cs="Arial"/>
          <w:sz w:val="22"/>
          <w:szCs w:val="22"/>
        </w:rPr>
        <w:t xml:space="preserve"> </w:t>
      </w:r>
      <w:r w:rsidR="005700C0">
        <w:rPr>
          <w:rFonts w:ascii="Arial" w:hAnsi="Arial" w:cs="Arial"/>
          <w:sz w:val="22"/>
          <w:szCs w:val="22"/>
        </w:rPr>
        <w:t>of other</w:t>
      </w:r>
      <w:r w:rsidR="005700C0" w:rsidRPr="00002223">
        <w:rPr>
          <w:rFonts w:ascii="Arial" w:hAnsi="Arial" w:cs="Arial"/>
          <w:sz w:val="22"/>
          <w:szCs w:val="22"/>
        </w:rPr>
        <w:t xml:space="preserve"> </w:t>
      </w:r>
      <w:r w:rsidR="00C45B01" w:rsidRPr="00002223">
        <w:rPr>
          <w:rFonts w:ascii="Arial" w:hAnsi="Arial" w:cs="Arial"/>
          <w:sz w:val="22"/>
          <w:szCs w:val="22"/>
        </w:rPr>
        <w:t>key policies will need to be part of the provision and the expertise/understanding of these policies should form part of your submitted bid, along with any other key considerations in terms of basement works</w:t>
      </w:r>
      <w:r w:rsidR="00726FAC">
        <w:rPr>
          <w:rFonts w:ascii="Arial" w:hAnsi="Arial" w:cs="Arial"/>
          <w:sz w:val="22"/>
          <w:szCs w:val="22"/>
        </w:rPr>
        <w:t>. The following list of policies is not an exhaustive list of all policy requirements but provides an example; these policies are all within the LLP</w:t>
      </w:r>
      <w:r w:rsidR="005700C0">
        <w:rPr>
          <w:rFonts w:ascii="Arial" w:hAnsi="Arial" w:cs="Arial"/>
          <w:sz w:val="22"/>
          <w:szCs w:val="22"/>
        </w:rPr>
        <w:t xml:space="preserve"> 2021</w:t>
      </w:r>
      <w:r w:rsidR="00726FAC">
        <w:rPr>
          <w:rFonts w:ascii="Arial" w:hAnsi="Arial" w:cs="Arial"/>
          <w:sz w:val="22"/>
          <w:szCs w:val="22"/>
        </w:rPr>
        <w:t>:</w:t>
      </w:r>
      <w:r w:rsidR="00C45B01" w:rsidRPr="00002223">
        <w:rPr>
          <w:rFonts w:ascii="Arial" w:hAnsi="Arial" w:cs="Arial"/>
          <w:sz w:val="22"/>
          <w:szCs w:val="22"/>
        </w:rPr>
        <w:t xml:space="preserve"> </w:t>
      </w:r>
    </w:p>
    <w:p w14:paraId="0DCED3A4" w14:textId="34A2E3A3" w:rsidR="00C45B01" w:rsidRPr="00D02506" w:rsidRDefault="00C45B01" w:rsidP="00D02506">
      <w:pPr>
        <w:pStyle w:val="Default"/>
        <w:ind w:left="567"/>
        <w:rPr>
          <w:rFonts w:ascii="Arial" w:hAnsi="Arial" w:cs="Arial"/>
          <w:sz w:val="22"/>
          <w:szCs w:val="22"/>
        </w:rPr>
      </w:pPr>
    </w:p>
    <w:p w14:paraId="313B14AF" w14:textId="77777777" w:rsidR="00854339" w:rsidRPr="00D02506" w:rsidRDefault="00854339" w:rsidP="00D02506">
      <w:pPr>
        <w:pStyle w:val="Default"/>
        <w:ind w:left="567"/>
        <w:rPr>
          <w:rFonts w:ascii="Arial" w:hAnsi="Arial" w:cs="Arial"/>
          <w:sz w:val="22"/>
          <w:szCs w:val="22"/>
        </w:rPr>
      </w:pPr>
      <w:r w:rsidRPr="00D02506">
        <w:rPr>
          <w:rFonts w:ascii="Arial" w:hAnsi="Arial" w:cs="Arial"/>
          <w:sz w:val="22"/>
          <w:szCs w:val="22"/>
        </w:rPr>
        <w:t>• Policy Q2 – Amenity</w:t>
      </w:r>
    </w:p>
    <w:p w14:paraId="50178386" w14:textId="2DE3CBE3" w:rsidR="000807CB" w:rsidRPr="00D02506" w:rsidRDefault="00854339" w:rsidP="00D02506">
      <w:pPr>
        <w:pStyle w:val="Default"/>
        <w:ind w:left="567"/>
        <w:rPr>
          <w:rFonts w:ascii="Arial" w:hAnsi="Arial" w:cs="Arial"/>
          <w:sz w:val="22"/>
          <w:szCs w:val="22"/>
        </w:rPr>
      </w:pPr>
      <w:r w:rsidRPr="00D02506">
        <w:rPr>
          <w:rFonts w:ascii="Arial" w:hAnsi="Arial" w:cs="Arial"/>
          <w:sz w:val="22"/>
          <w:szCs w:val="22"/>
        </w:rPr>
        <w:t>• Policies Q9 and Q10 – Landscaping and Trees</w:t>
      </w:r>
    </w:p>
    <w:p w14:paraId="74C340A3" w14:textId="77777777" w:rsidR="00854339" w:rsidRPr="00D02506" w:rsidRDefault="00854339" w:rsidP="00D02506">
      <w:pPr>
        <w:pStyle w:val="Default"/>
        <w:ind w:left="567"/>
        <w:rPr>
          <w:rFonts w:ascii="Arial" w:hAnsi="Arial" w:cs="Arial"/>
          <w:sz w:val="22"/>
          <w:szCs w:val="22"/>
        </w:rPr>
      </w:pPr>
      <w:r w:rsidRPr="00D02506">
        <w:rPr>
          <w:rFonts w:ascii="Arial" w:hAnsi="Arial" w:cs="Arial"/>
          <w:sz w:val="22"/>
          <w:szCs w:val="22"/>
        </w:rPr>
        <w:t>• Policies Q19, Q20, Q22 and Q23 – Heritage Assets</w:t>
      </w:r>
    </w:p>
    <w:p w14:paraId="019399DD" w14:textId="2559C794" w:rsidR="00854339" w:rsidRPr="00D02506" w:rsidRDefault="00854339" w:rsidP="00D02506">
      <w:pPr>
        <w:pStyle w:val="Default"/>
        <w:ind w:left="567"/>
        <w:rPr>
          <w:rFonts w:ascii="Arial" w:hAnsi="Arial" w:cs="Arial"/>
          <w:sz w:val="22"/>
          <w:szCs w:val="22"/>
        </w:rPr>
      </w:pPr>
      <w:r w:rsidRPr="00D02506">
        <w:rPr>
          <w:rFonts w:ascii="Arial" w:hAnsi="Arial" w:cs="Arial"/>
          <w:sz w:val="22"/>
          <w:szCs w:val="22"/>
        </w:rPr>
        <w:t>• Policy T</w:t>
      </w:r>
      <w:r w:rsidR="00726FAC" w:rsidRPr="00D02506">
        <w:rPr>
          <w:rFonts w:ascii="Arial" w:hAnsi="Arial" w:cs="Arial"/>
          <w:sz w:val="22"/>
          <w:szCs w:val="22"/>
        </w:rPr>
        <w:t>7</w:t>
      </w:r>
      <w:r w:rsidRPr="00D02506">
        <w:rPr>
          <w:rFonts w:ascii="Arial" w:hAnsi="Arial" w:cs="Arial"/>
          <w:sz w:val="22"/>
          <w:szCs w:val="22"/>
        </w:rPr>
        <w:t xml:space="preserve"> - Traffic, road access, </w:t>
      </w:r>
      <w:r w:rsidR="000807CB" w:rsidRPr="00D02506">
        <w:rPr>
          <w:rFonts w:ascii="Arial" w:hAnsi="Arial" w:cs="Arial"/>
          <w:sz w:val="22"/>
          <w:szCs w:val="22"/>
        </w:rPr>
        <w:t>parking</w:t>
      </w:r>
      <w:r w:rsidRPr="00D02506">
        <w:rPr>
          <w:rFonts w:ascii="Arial" w:hAnsi="Arial" w:cs="Arial"/>
          <w:sz w:val="22"/>
          <w:szCs w:val="22"/>
        </w:rPr>
        <w:t xml:space="preserve"> and servicing (the completed </w:t>
      </w:r>
    </w:p>
    <w:p w14:paraId="16827573" w14:textId="77777777" w:rsidR="00854339" w:rsidRPr="00D02506" w:rsidRDefault="00854339" w:rsidP="00D02506">
      <w:pPr>
        <w:pStyle w:val="Default"/>
        <w:ind w:left="567"/>
        <w:rPr>
          <w:rFonts w:ascii="Arial" w:hAnsi="Arial" w:cs="Arial"/>
          <w:sz w:val="22"/>
          <w:szCs w:val="22"/>
        </w:rPr>
      </w:pPr>
      <w:r w:rsidRPr="00D02506">
        <w:rPr>
          <w:rFonts w:ascii="Arial" w:hAnsi="Arial" w:cs="Arial"/>
          <w:sz w:val="22"/>
          <w:szCs w:val="22"/>
        </w:rPr>
        <w:t xml:space="preserve"> development)</w:t>
      </w:r>
    </w:p>
    <w:p w14:paraId="67391837" w14:textId="255B0481" w:rsidR="00854339" w:rsidRPr="00D02506" w:rsidRDefault="00854339" w:rsidP="00D02506">
      <w:pPr>
        <w:pStyle w:val="Default"/>
        <w:ind w:left="567"/>
        <w:rPr>
          <w:rFonts w:ascii="Arial" w:hAnsi="Arial" w:cs="Arial"/>
          <w:sz w:val="22"/>
          <w:szCs w:val="22"/>
        </w:rPr>
      </w:pPr>
      <w:r w:rsidRPr="00D02506">
        <w:rPr>
          <w:rFonts w:ascii="Arial" w:hAnsi="Arial" w:cs="Arial"/>
          <w:sz w:val="22"/>
          <w:szCs w:val="22"/>
        </w:rPr>
        <w:t>• Policies EN5 and EN6 - Flood risk, ground conditions and land instability</w:t>
      </w:r>
    </w:p>
    <w:p w14:paraId="1FB1EC93" w14:textId="004A32C4" w:rsidR="00726FAC" w:rsidRPr="00D02506" w:rsidRDefault="00854339" w:rsidP="00D02506">
      <w:pPr>
        <w:pStyle w:val="Default"/>
        <w:ind w:left="567"/>
        <w:rPr>
          <w:rFonts w:ascii="Arial" w:hAnsi="Arial" w:cs="Arial"/>
          <w:sz w:val="22"/>
          <w:szCs w:val="22"/>
        </w:rPr>
      </w:pPr>
      <w:r w:rsidRPr="00D02506">
        <w:rPr>
          <w:rFonts w:ascii="Arial" w:hAnsi="Arial" w:cs="Arial"/>
          <w:sz w:val="22"/>
          <w:szCs w:val="22"/>
        </w:rPr>
        <w:t>•</w:t>
      </w:r>
      <w:r w:rsidRPr="00D02506">
        <w:rPr>
          <w:rFonts w:ascii="Arial" w:hAnsi="Arial" w:cs="Arial"/>
          <w:sz w:val="22"/>
          <w:szCs w:val="22"/>
        </w:rPr>
        <w:tab/>
        <w:t>Policy H5 – Housing standards</w:t>
      </w:r>
    </w:p>
    <w:p w14:paraId="70CF037A" w14:textId="77777777" w:rsidR="00C45B01" w:rsidRPr="00D02506" w:rsidRDefault="00C45B01" w:rsidP="00D02506">
      <w:pPr>
        <w:pStyle w:val="Default"/>
        <w:ind w:left="567"/>
        <w:rPr>
          <w:rFonts w:ascii="Arial" w:hAnsi="Arial" w:cs="Arial"/>
          <w:sz w:val="22"/>
          <w:szCs w:val="22"/>
        </w:rPr>
      </w:pPr>
    </w:p>
    <w:p w14:paraId="40BDF65C" w14:textId="28BC96A6" w:rsidR="00C45B01" w:rsidRPr="00002223" w:rsidRDefault="00C45B01" w:rsidP="00D02506">
      <w:pPr>
        <w:pStyle w:val="Default"/>
        <w:numPr>
          <w:ilvl w:val="0"/>
          <w:numId w:val="1"/>
        </w:numPr>
        <w:ind w:left="567" w:hanging="567"/>
        <w:rPr>
          <w:rFonts w:ascii="Arial" w:hAnsi="Arial" w:cs="Arial"/>
          <w:sz w:val="22"/>
          <w:szCs w:val="22"/>
        </w:rPr>
      </w:pPr>
      <w:r w:rsidRPr="00002223">
        <w:rPr>
          <w:rFonts w:ascii="Arial" w:hAnsi="Arial" w:cs="Arial"/>
          <w:sz w:val="22"/>
          <w:szCs w:val="22"/>
        </w:rPr>
        <w:t>Bids should demonstrate a full understanding of the calculations involved in</w:t>
      </w:r>
      <w:r w:rsidR="007C445F">
        <w:rPr>
          <w:rFonts w:ascii="Arial" w:hAnsi="Arial" w:cs="Arial"/>
          <w:sz w:val="22"/>
          <w:szCs w:val="22"/>
        </w:rPr>
        <w:t xml:space="preserve"> the process</w:t>
      </w:r>
      <w:r w:rsidRPr="00002223">
        <w:rPr>
          <w:rFonts w:ascii="Arial" w:hAnsi="Arial" w:cs="Arial"/>
          <w:sz w:val="22"/>
          <w:szCs w:val="22"/>
        </w:rPr>
        <w:t xml:space="preserve">, for example, </w:t>
      </w:r>
      <w:r w:rsidR="00726FAC">
        <w:rPr>
          <w:rFonts w:ascii="Arial" w:hAnsi="Arial" w:cs="Arial"/>
          <w:sz w:val="22"/>
          <w:szCs w:val="22"/>
        </w:rPr>
        <w:t>LLP p</w:t>
      </w:r>
      <w:r w:rsidRPr="00002223">
        <w:rPr>
          <w:rFonts w:ascii="Arial" w:hAnsi="Arial" w:cs="Arial"/>
          <w:sz w:val="22"/>
          <w:szCs w:val="22"/>
        </w:rPr>
        <w:t>olicy Q27</w:t>
      </w:r>
      <w:r w:rsidR="00C23911">
        <w:rPr>
          <w:rFonts w:ascii="Arial" w:hAnsi="Arial" w:cs="Arial"/>
          <w:sz w:val="22"/>
          <w:szCs w:val="22"/>
        </w:rPr>
        <w:t>d</w:t>
      </w:r>
      <w:r w:rsidRPr="00002223">
        <w:rPr>
          <w:rFonts w:ascii="Arial" w:hAnsi="Arial" w:cs="Arial"/>
          <w:sz w:val="22"/>
          <w:szCs w:val="22"/>
        </w:rPr>
        <w:t>.</w:t>
      </w:r>
    </w:p>
    <w:p w14:paraId="5323E826" w14:textId="77777777" w:rsidR="00475D06" w:rsidRPr="00D02506" w:rsidRDefault="00475D06" w:rsidP="00D02506">
      <w:pPr>
        <w:pStyle w:val="Default"/>
        <w:ind w:left="567"/>
        <w:rPr>
          <w:rFonts w:ascii="Arial" w:hAnsi="Arial" w:cs="Arial"/>
          <w:sz w:val="22"/>
          <w:szCs w:val="22"/>
        </w:rPr>
      </w:pPr>
    </w:p>
    <w:p w14:paraId="302F06AD" w14:textId="77777777" w:rsidR="005B6882" w:rsidRDefault="00466E71" w:rsidP="005B6882">
      <w:pPr>
        <w:pStyle w:val="Default"/>
        <w:numPr>
          <w:ilvl w:val="0"/>
          <w:numId w:val="1"/>
        </w:numPr>
        <w:ind w:left="567" w:hanging="567"/>
        <w:rPr>
          <w:rFonts w:ascii="Arial" w:hAnsi="Arial" w:cs="Arial"/>
          <w:sz w:val="22"/>
          <w:szCs w:val="22"/>
        </w:rPr>
      </w:pPr>
      <w:r w:rsidRPr="00D02506">
        <w:rPr>
          <w:rFonts w:ascii="Arial" w:hAnsi="Arial" w:cs="Arial"/>
          <w:sz w:val="22"/>
          <w:szCs w:val="22"/>
        </w:rPr>
        <w:t xml:space="preserve">Bids should consider and demonstrate how the successful tender would provide assurance that all key issues identified in the Lambeth </w:t>
      </w:r>
      <w:r w:rsidR="00C23911" w:rsidRPr="00D02506">
        <w:rPr>
          <w:rFonts w:ascii="Arial" w:hAnsi="Arial" w:cs="Arial"/>
          <w:sz w:val="22"/>
          <w:szCs w:val="22"/>
        </w:rPr>
        <w:t xml:space="preserve">Design </w:t>
      </w:r>
      <w:r w:rsidR="00726FAC" w:rsidRPr="00D02506">
        <w:rPr>
          <w:rFonts w:ascii="Arial" w:hAnsi="Arial" w:cs="Arial"/>
          <w:sz w:val="22"/>
          <w:szCs w:val="22"/>
        </w:rPr>
        <w:t>G</w:t>
      </w:r>
      <w:r w:rsidR="00C23911" w:rsidRPr="00D02506">
        <w:rPr>
          <w:rFonts w:ascii="Arial" w:hAnsi="Arial" w:cs="Arial"/>
          <w:sz w:val="22"/>
          <w:szCs w:val="22"/>
        </w:rPr>
        <w:t xml:space="preserve">uide </w:t>
      </w:r>
      <w:r w:rsidR="00726FAC" w:rsidRPr="00D02506">
        <w:rPr>
          <w:rFonts w:ascii="Arial" w:hAnsi="Arial" w:cs="Arial"/>
          <w:sz w:val="22"/>
          <w:szCs w:val="22"/>
        </w:rPr>
        <w:t xml:space="preserve">SPD </w:t>
      </w:r>
      <w:r w:rsidR="00A85E41" w:rsidRPr="00D02506">
        <w:rPr>
          <w:rFonts w:ascii="Arial" w:hAnsi="Arial" w:cs="Arial"/>
          <w:sz w:val="22"/>
          <w:szCs w:val="22"/>
        </w:rPr>
        <w:t xml:space="preserve">Part 5 - </w:t>
      </w:r>
      <w:r w:rsidR="00002223" w:rsidRPr="00D02506">
        <w:rPr>
          <w:rFonts w:ascii="Arial" w:hAnsi="Arial" w:cs="Arial"/>
          <w:sz w:val="22"/>
          <w:szCs w:val="22"/>
        </w:rPr>
        <w:t>Key Issues</w:t>
      </w:r>
      <w:r w:rsidR="00A85E41" w:rsidRPr="00D02506">
        <w:rPr>
          <w:rFonts w:ascii="Arial" w:hAnsi="Arial" w:cs="Arial"/>
          <w:sz w:val="22"/>
          <w:szCs w:val="22"/>
        </w:rPr>
        <w:t>,</w:t>
      </w:r>
      <w:r w:rsidR="00C23911" w:rsidRPr="00D02506">
        <w:rPr>
          <w:rFonts w:ascii="Arial" w:hAnsi="Arial" w:cs="Arial"/>
          <w:sz w:val="22"/>
          <w:szCs w:val="22"/>
        </w:rPr>
        <w:t xml:space="preserve"> </w:t>
      </w:r>
      <w:r w:rsidRPr="00D02506">
        <w:rPr>
          <w:rFonts w:ascii="Arial" w:hAnsi="Arial" w:cs="Arial"/>
          <w:sz w:val="22"/>
          <w:szCs w:val="22"/>
        </w:rPr>
        <w:t xml:space="preserve">have been considered and addressed in any submitted </w:t>
      </w:r>
      <w:r w:rsidR="00726FAC" w:rsidRPr="00D02506">
        <w:rPr>
          <w:rFonts w:ascii="Arial" w:hAnsi="Arial" w:cs="Arial"/>
          <w:sz w:val="22"/>
          <w:szCs w:val="22"/>
        </w:rPr>
        <w:t>BIA</w:t>
      </w:r>
      <w:r w:rsidRPr="00D02506">
        <w:rPr>
          <w:rFonts w:ascii="Arial" w:hAnsi="Arial" w:cs="Arial"/>
          <w:sz w:val="22"/>
          <w:szCs w:val="22"/>
        </w:rPr>
        <w:t xml:space="preserve"> and provide examples for how this would be presented back to the service as part of their consultation on each BIA submitted for assessment. </w:t>
      </w:r>
    </w:p>
    <w:p w14:paraId="171FEBFF" w14:textId="77777777" w:rsidR="005B6882" w:rsidRDefault="005B6882" w:rsidP="005B6882">
      <w:pPr>
        <w:pStyle w:val="ListParagraph"/>
        <w:rPr>
          <w:rFonts w:ascii="Arial" w:hAnsi="Arial" w:cs="Arial"/>
        </w:rPr>
      </w:pPr>
    </w:p>
    <w:p w14:paraId="15631B07" w14:textId="0E5A1046" w:rsidR="000E7C50" w:rsidRPr="005B6882" w:rsidRDefault="00275016" w:rsidP="005B6882">
      <w:pPr>
        <w:pStyle w:val="Default"/>
        <w:numPr>
          <w:ilvl w:val="0"/>
          <w:numId w:val="1"/>
        </w:numPr>
        <w:ind w:left="567" w:hanging="567"/>
        <w:rPr>
          <w:rFonts w:ascii="Arial" w:hAnsi="Arial" w:cs="Arial"/>
          <w:sz w:val="22"/>
          <w:szCs w:val="22"/>
        </w:rPr>
      </w:pPr>
      <w:r w:rsidRPr="005B6882">
        <w:rPr>
          <w:rFonts w:ascii="Arial" w:hAnsi="Arial" w:cs="Arial"/>
          <w:sz w:val="22"/>
          <w:szCs w:val="22"/>
        </w:rPr>
        <w:t xml:space="preserve">Timing of responses </w:t>
      </w:r>
      <w:r w:rsidR="001E7473" w:rsidRPr="005B6882">
        <w:rPr>
          <w:rFonts w:ascii="Arial" w:hAnsi="Arial" w:cs="Arial"/>
          <w:sz w:val="22"/>
          <w:szCs w:val="22"/>
        </w:rPr>
        <w:t xml:space="preserve">to all consultations </w:t>
      </w:r>
      <w:r w:rsidRPr="005B6882">
        <w:rPr>
          <w:rFonts w:ascii="Arial" w:hAnsi="Arial" w:cs="Arial"/>
          <w:sz w:val="22"/>
          <w:szCs w:val="22"/>
        </w:rPr>
        <w:t>are</w:t>
      </w:r>
      <w:r w:rsidR="001E7473" w:rsidRPr="005B6882">
        <w:rPr>
          <w:rFonts w:ascii="Arial" w:hAnsi="Arial" w:cs="Arial"/>
          <w:sz w:val="22"/>
          <w:szCs w:val="22"/>
        </w:rPr>
        <w:t xml:space="preserve"> expected to</w:t>
      </w:r>
      <w:r w:rsidRPr="005B6882">
        <w:rPr>
          <w:rFonts w:ascii="Arial" w:hAnsi="Arial" w:cs="Arial"/>
          <w:sz w:val="22"/>
          <w:szCs w:val="22"/>
        </w:rPr>
        <w:t xml:space="preserve"> be </w:t>
      </w:r>
      <w:r w:rsidR="00AD12C2" w:rsidRPr="005B6882">
        <w:rPr>
          <w:rFonts w:ascii="Arial" w:hAnsi="Arial" w:cs="Arial"/>
          <w:sz w:val="22"/>
          <w:szCs w:val="22"/>
        </w:rPr>
        <w:t>within 21 day</w:t>
      </w:r>
      <w:r w:rsidR="00660311" w:rsidRPr="005B6882">
        <w:rPr>
          <w:rFonts w:ascii="Arial" w:hAnsi="Arial" w:cs="Arial"/>
          <w:sz w:val="22"/>
          <w:szCs w:val="22"/>
        </w:rPr>
        <w:t>s</w:t>
      </w:r>
      <w:r w:rsidRPr="005B6882">
        <w:rPr>
          <w:rFonts w:ascii="Arial" w:hAnsi="Arial" w:cs="Arial"/>
          <w:sz w:val="22"/>
          <w:szCs w:val="22"/>
        </w:rPr>
        <w:t>, to</w:t>
      </w:r>
      <w:r w:rsidR="001E7473" w:rsidRPr="005B6882">
        <w:rPr>
          <w:rFonts w:ascii="Arial" w:hAnsi="Arial" w:cs="Arial"/>
          <w:sz w:val="22"/>
          <w:szCs w:val="22"/>
        </w:rPr>
        <w:t xml:space="preserve"> enable the </w:t>
      </w:r>
      <w:r w:rsidR="00B04736" w:rsidRPr="005B6882">
        <w:rPr>
          <w:rFonts w:ascii="Arial" w:hAnsi="Arial" w:cs="Arial"/>
          <w:sz w:val="22"/>
          <w:szCs w:val="22"/>
        </w:rPr>
        <w:t>c</w:t>
      </w:r>
      <w:r w:rsidR="001E7473" w:rsidRPr="005B6882">
        <w:rPr>
          <w:rFonts w:ascii="Arial" w:hAnsi="Arial" w:cs="Arial"/>
          <w:sz w:val="22"/>
          <w:szCs w:val="22"/>
        </w:rPr>
        <w:t xml:space="preserve">ouncil to deliver against its statutory planning application performance targets </w:t>
      </w:r>
      <w:r w:rsidR="000E7C50" w:rsidRPr="005B6882">
        <w:rPr>
          <w:rFonts w:ascii="Arial" w:hAnsi="Arial" w:cs="Arial"/>
          <w:sz w:val="22"/>
          <w:szCs w:val="22"/>
        </w:rPr>
        <w:t>of:</w:t>
      </w:r>
    </w:p>
    <w:p w14:paraId="1BBAB6C7" w14:textId="77777777" w:rsidR="000E7C50" w:rsidRDefault="000E7C50" w:rsidP="00633485">
      <w:pPr>
        <w:pStyle w:val="Default"/>
        <w:ind w:left="567"/>
        <w:rPr>
          <w:rFonts w:ascii="Arial" w:hAnsi="Arial" w:cs="Arial"/>
          <w:sz w:val="22"/>
          <w:szCs w:val="22"/>
        </w:rPr>
      </w:pPr>
    </w:p>
    <w:p w14:paraId="0A99171D" w14:textId="4BB32D06" w:rsidR="000E7C50" w:rsidRDefault="00D02506" w:rsidP="00633485">
      <w:pPr>
        <w:pStyle w:val="Default"/>
        <w:numPr>
          <w:ilvl w:val="3"/>
          <w:numId w:val="1"/>
        </w:numPr>
        <w:ind w:left="1560" w:hanging="426"/>
        <w:rPr>
          <w:rFonts w:ascii="Arial" w:hAnsi="Arial" w:cs="Arial"/>
          <w:sz w:val="22"/>
          <w:szCs w:val="22"/>
        </w:rPr>
      </w:pPr>
      <w:r>
        <w:rPr>
          <w:rFonts w:ascii="Arial" w:hAnsi="Arial" w:cs="Arial"/>
          <w:sz w:val="22"/>
          <w:szCs w:val="22"/>
        </w:rPr>
        <w:t xml:space="preserve"> </w:t>
      </w:r>
      <w:r w:rsidR="001E7473" w:rsidRPr="0050118B">
        <w:rPr>
          <w:rFonts w:ascii="Arial" w:hAnsi="Arial" w:cs="Arial"/>
          <w:sz w:val="22"/>
          <w:szCs w:val="22"/>
        </w:rPr>
        <w:t>8</w:t>
      </w:r>
      <w:r w:rsidR="001E7473" w:rsidRPr="00061979">
        <w:rPr>
          <w:rFonts w:ascii="Arial" w:hAnsi="Arial" w:cs="Arial"/>
          <w:sz w:val="22"/>
          <w:szCs w:val="22"/>
        </w:rPr>
        <w:t xml:space="preserve"> weeks for minor and other applications</w:t>
      </w:r>
      <w:r w:rsidR="000E7C50">
        <w:rPr>
          <w:rFonts w:ascii="Arial" w:hAnsi="Arial" w:cs="Arial"/>
          <w:sz w:val="22"/>
          <w:szCs w:val="22"/>
        </w:rPr>
        <w:t>;</w:t>
      </w:r>
      <w:r w:rsidR="001E7473" w:rsidRPr="00061979">
        <w:rPr>
          <w:rFonts w:ascii="Arial" w:hAnsi="Arial" w:cs="Arial"/>
          <w:sz w:val="22"/>
          <w:szCs w:val="22"/>
        </w:rPr>
        <w:t xml:space="preserve"> a</w:t>
      </w:r>
      <w:r w:rsidR="001E7473" w:rsidRPr="0050118B">
        <w:rPr>
          <w:rFonts w:ascii="Arial" w:hAnsi="Arial" w:cs="Arial"/>
          <w:sz w:val="22"/>
          <w:szCs w:val="22"/>
        </w:rPr>
        <w:t xml:space="preserve">nd </w:t>
      </w:r>
    </w:p>
    <w:p w14:paraId="3F07D50F" w14:textId="205BFEBF" w:rsidR="000E7C50" w:rsidRDefault="001E7473" w:rsidP="00633485">
      <w:pPr>
        <w:pStyle w:val="Default"/>
        <w:numPr>
          <w:ilvl w:val="3"/>
          <w:numId w:val="1"/>
        </w:numPr>
        <w:ind w:left="1560" w:hanging="426"/>
        <w:rPr>
          <w:rFonts w:ascii="Arial" w:hAnsi="Arial" w:cs="Arial"/>
          <w:sz w:val="22"/>
          <w:szCs w:val="22"/>
        </w:rPr>
      </w:pPr>
      <w:r w:rsidRPr="0050118B">
        <w:rPr>
          <w:rFonts w:ascii="Arial" w:hAnsi="Arial" w:cs="Arial"/>
          <w:sz w:val="22"/>
          <w:szCs w:val="22"/>
        </w:rPr>
        <w:t>13 weeks</w:t>
      </w:r>
      <w:r w:rsidRPr="00061979">
        <w:rPr>
          <w:rFonts w:ascii="Arial" w:hAnsi="Arial" w:cs="Arial"/>
          <w:sz w:val="22"/>
          <w:szCs w:val="22"/>
        </w:rPr>
        <w:t xml:space="preserve"> for major applications</w:t>
      </w:r>
      <w:r w:rsidR="00275016" w:rsidRPr="00061979">
        <w:rPr>
          <w:rFonts w:ascii="Arial" w:hAnsi="Arial" w:cs="Arial"/>
          <w:sz w:val="22"/>
          <w:szCs w:val="22"/>
        </w:rPr>
        <w:t>.</w:t>
      </w:r>
      <w:r w:rsidR="005D35F3">
        <w:rPr>
          <w:rFonts w:ascii="Arial" w:hAnsi="Arial" w:cs="Arial"/>
          <w:sz w:val="22"/>
          <w:szCs w:val="22"/>
        </w:rPr>
        <w:t xml:space="preserve">  </w:t>
      </w:r>
    </w:p>
    <w:p w14:paraId="78BEC9ED" w14:textId="77777777" w:rsidR="000E7C50" w:rsidRDefault="000E7C50" w:rsidP="00636224">
      <w:pPr>
        <w:pStyle w:val="Default"/>
        <w:rPr>
          <w:rFonts w:ascii="Arial" w:hAnsi="Arial" w:cs="Arial"/>
          <w:sz w:val="22"/>
          <w:szCs w:val="22"/>
        </w:rPr>
      </w:pPr>
    </w:p>
    <w:p w14:paraId="048C07B5" w14:textId="5AE82A23" w:rsidR="001E7473" w:rsidRPr="00061979" w:rsidRDefault="000E7C50" w:rsidP="00D02506">
      <w:pPr>
        <w:pStyle w:val="Default"/>
        <w:ind w:left="709"/>
        <w:rPr>
          <w:rFonts w:ascii="Arial" w:hAnsi="Arial" w:cs="Arial"/>
          <w:sz w:val="22"/>
          <w:szCs w:val="22"/>
        </w:rPr>
      </w:pPr>
      <w:r>
        <w:rPr>
          <w:rFonts w:ascii="Arial" w:hAnsi="Arial" w:cs="Arial"/>
          <w:sz w:val="22"/>
          <w:szCs w:val="22"/>
        </w:rPr>
        <w:t xml:space="preserve">Timings for responses should form part of your proposal.  </w:t>
      </w:r>
      <w:r w:rsidR="005D35F3">
        <w:rPr>
          <w:rFonts w:ascii="Arial" w:hAnsi="Arial" w:cs="Arial"/>
          <w:sz w:val="22"/>
          <w:szCs w:val="22"/>
        </w:rPr>
        <w:t>For pre-application responses, the turnaround for comments should be 1</w:t>
      </w:r>
      <w:r w:rsidR="0050118B">
        <w:rPr>
          <w:rFonts w:ascii="Arial" w:hAnsi="Arial" w:cs="Arial"/>
          <w:sz w:val="22"/>
          <w:szCs w:val="22"/>
        </w:rPr>
        <w:t>0</w:t>
      </w:r>
      <w:r w:rsidR="005D35F3">
        <w:rPr>
          <w:rFonts w:ascii="Arial" w:hAnsi="Arial" w:cs="Arial"/>
          <w:sz w:val="22"/>
          <w:szCs w:val="22"/>
        </w:rPr>
        <w:t xml:space="preserve"> working days.</w:t>
      </w:r>
    </w:p>
    <w:p w14:paraId="60C758D1" w14:textId="77777777" w:rsidR="001E7473" w:rsidRPr="00061979" w:rsidRDefault="001E7473" w:rsidP="000A6B2E">
      <w:pPr>
        <w:pStyle w:val="ListParagraph"/>
        <w:ind w:left="567"/>
        <w:rPr>
          <w:rFonts w:ascii="Arial" w:hAnsi="Arial" w:cs="Arial"/>
        </w:rPr>
      </w:pPr>
    </w:p>
    <w:p w14:paraId="7E7F62EC" w14:textId="5B79BC15" w:rsidR="00D872AC" w:rsidRPr="00061979" w:rsidRDefault="00207A32" w:rsidP="00EF2527">
      <w:pPr>
        <w:pStyle w:val="ListParagraph"/>
        <w:numPr>
          <w:ilvl w:val="0"/>
          <w:numId w:val="1"/>
        </w:numPr>
        <w:ind w:left="567" w:hanging="567"/>
        <w:rPr>
          <w:rFonts w:ascii="Arial" w:hAnsi="Arial" w:cs="Arial"/>
        </w:rPr>
      </w:pPr>
      <w:r w:rsidRPr="00061979">
        <w:rPr>
          <w:rFonts w:ascii="Arial" w:hAnsi="Arial" w:cs="Arial"/>
        </w:rPr>
        <w:t>The provision will be for an off-site, electronic service.</w:t>
      </w:r>
      <w:r w:rsidR="00683EB8" w:rsidRPr="00061979">
        <w:rPr>
          <w:rFonts w:ascii="Arial" w:hAnsi="Arial" w:cs="Arial"/>
        </w:rPr>
        <w:t xml:space="preserve">  </w:t>
      </w:r>
      <w:r w:rsidR="0050118B" w:rsidRPr="00061979">
        <w:rPr>
          <w:rFonts w:ascii="Arial" w:hAnsi="Arial" w:cs="Arial"/>
        </w:rPr>
        <w:t xml:space="preserve">The selected contractor delivering the service will be required to collaborate remotely with officers within the Development Management service.  </w:t>
      </w:r>
      <w:r w:rsidR="00683EB8" w:rsidRPr="00061979">
        <w:rPr>
          <w:rFonts w:ascii="Arial" w:hAnsi="Arial" w:cs="Arial"/>
        </w:rPr>
        <w:t>Meetings and site visits for more complex sites may also be required from time to time</w:t>
      </w:r>
      <w:r w:rsidR="00275016" w:rsidRPr="00061979">
        <w:rPr>
          <w:rFonts w:ascii="Arial" w:hAnsi="Arial" w:cs="Arial"/>
        </w:rPr>
        <w:t xml:space="preserve"> along with occasional attendance at the council’s Planning Applications Committee.</w:t>
      </w:r>
      <w:r w:rsidR="000E7C50">
        <w:rPr>
          <w:rFonts w:ascii="Arial" w:hAnsi="Arial" w:cs="Arial"/>
        </w:rPr>
        <w:t xml:space="preserve">  Bids should indicate the cost for attendance </w:t>
      </w:r>
      <w:proofErr w:type="gramStart"/>
      <w:r w:rsidR="000E7C50">
        <w:rPr>
          <w:rFonts w:ascii="Arial" w:hAnsi="Arial" w:cs="Arial"/>
        </w:rPr>
        <w:t>at Committee</w:t>
      </w:r>
      <w:proofErr w:type="gramEnd"/>
      <w:r w:rsidR="000E7C50">
        <w:rPr>
          <w:rFonts w:ascii="Arial" w:hAnsi="Arial" w:cs="Arial"/>
        </w:rPr>
        <w:t>.</w:t>
      </w:r>
    </w:p>
    <w:p w14:paraId="7E7F62ED" w14:textId="77777777" w:rsidR="00D872AC" w:rsidRPr="00061979" w:rsidRDefault="00D872AC" w:rsidP="00D872AC">
      <w:pPr>
        <w:pStyle w:val="ListParagraph"/>
        <w:ind w:left="567" w:hanging="567"/>
        <w:rPr>
          <w:rFonts w:ascii="Arial" w:hAnsi="Arial" w:cs="Arial"/>
        </w:rPr>
      </w:pPr>
    </w:p>
    <w:p w14:paraId="7E7F62EE" w14:textId="3BC30B2E" w:rsidR="00D872AC" w:rsidRPr="00061979" w:rsidRDefault="00D872AC" w:rsidP="00EF2527">
      <w:pPr>
        <w:pStyle w:val="ListParagraph"/>
        <w:numPr>
          <w:ilvl w:val="0"/>
          <w:numId w:val="1"/>
        </w:numPr>
        <w:ind w:left="567" w:hanging="567"/>
        <w:rPr>
          <w:rFonts w:ascii="Arial" w:hAnsi="Arial" w:cs="Arial"/>
        </w:rPr>
      </w:pPr>
      <w:r w:rsidRPr="00061979">
        <w:rPr>
          <w:rFonts w:ascii="Arial" w:hAnsi="Arial" w:cs="Arial"/>
          <w:lang w:val="en-GB"/>
        </w:rPr>
        <w:t xml:space="preserve">It is not possible to predict an exact workflow arising from planning applications. Lambeth will therefore require a degree of flexibility to account for peaks and troughs of submission, </w:t>
      </w:r>
      <w:r w:rsidR="00930CEE" w:rsidRPr="00061979">
        <w:rPr>
          <w:rFonts w:ascii="Arial" w:hAnsi="Arial" w:cs="Arial"/>
          <w:lang w:val="en-GB"/>
        </w:rPr>
        <w:t>to</w:t>
      </w:r>
      <w:r w:rsidRPr="00061979">
        <w:rPr>
          <w:rFonts w:ascii="Arial" w:hAnsi="Arial" w:cs="Arial"/>
          <w:lang w:val="en-GB"/>
        </w:rPr>
        <w:t xml:space="preserve"> ensure optimum service delivery.  </w:t>
      </w:r>
      <w:r w:rsidR="002D5B56">
        <w:rPr>
          <w:rFonts w:ascii="Arial" w:hAnsi="Arial" w:cs="Arial"/>
          <w:lang w:val="en-GB"/>
        </w:rPr>
        <w:t>Paragraph</w:t>
      </w:r>
      <w:r w:rsidR="0050118B">
        <w:rPr>
          <w:rFonts w:ascii="Arial" w:hAnsi="Arial" w:cs="Arial"/>
          <w:lang w:val="en-GB"/>
        </w:rPr>
        <w:t xml:space="preserve"> 9 provides an indication of volume based </w:t>
      </w:r>
      <w:r w:rsidR="0050118B">
        <w:rPr>
          <w:rFonts w:ascii="Arial" w:hAnsi="Arial" w:cs="Arial"/>
          <w:lang w:val="en-GB"/>
        </w:rPr>
        <w:lastRenderedPageBreak/>
        <w:t xml:space="preserve">on the last 3 years activity.  </w:t>
      </w:r>
      <w:r w:rsidRPr="00061979">
        <w:rPr>
          <w:rFonts w:ascii="Arial" w:hAnsi="Arial" w:cs="Arial"/>
          <w:lang w:val="en-GB"/>
        </w:rPr>
        <w:t xml:space="preserve">The cost of the contract will be monitored </w:t>
      </w:r>
      <w:proofErr w:type="gramStart"/>
      <w:r w:rsidRPr="00061979">
        <w:rPr>
          <w:rFonts w:ascii="Arial" w:hAnsi="Arial" w:cs="Arial"/>
          <w:lang w:val="en-GB"/>
        </w:rPr>
        <w:t>on a monthly basis</w:t>
      </w:r>
      <w:proofErr w:type="gramEnd"/>
      <w:r w:rsidRPr="00061979">
        <w:rPr>
          <w:rFonts w:ascii="Arial" w:hAnsi="Arial" w:cs="Arial"/>
          <w:lang w:val="en-GB"/>
        </w:rPr>
        <w:t>, along with the quality of advice being provided.</w:t>
      </w:r>
    </w:p>
    <w:p w14:paraId="7E7F62EF" w14:textId="77777777" w:rsidR="00520F6B" w:rsidRPr="00061979" w:rsidRDefault="00520F6B" w:rsidP="00520F6B">
      <w:pPr>
        <w:pStyle w:val="ListParagraph"/>
        <w:rPr>
          <w:rFonts w:ascii="Arial" w:hAnsi="Arial" w:cs="Arial"/>
        </w:rPr>
      </w:pPr>
    </w:p>
    <w:p w14:paraId="09B18502" w14:textId="77777777" w:rsidR="004E24F2" w:rsidRPr="004E24F2" w:rsidRDefault="003E01A8" w:rsidP="000048E1">
      <w:pPr>
        <w:pStyle w:val="ListParagraph"/>
        <w:numPr>
          <w:ilvl w:val="0"/>
          <w:numId w:val="1"/>
        </w:numPr>
        <w:autoSpaceDE w:val="0"/>
        <w:autoSpaceDN w:val="0"/>
        <w:adjustRightInd w:val="0"/>
        <w:spacing w:after="0" w:line="240" w:lineRule="auto"/>
        <w:ind w:left="567" w:hanging="567"/>
        <w:rPr>
          <w:rFonts w:ascii="Arial" w:hAnsi="Arial" w:cs="Arial"/>
          <w:color w:val="000000"/>
          <w:lang w:val="en-GB"/>
        </w:rPr>
      </w:pPr>
      <w:r w:rsidRPr="00061979">
        <w:rPr>
          <w:rFonts w:ascii="Arial" w:hAnsi="Arial" w:cs="Arial"/>
        </w:rPr>
        <w:t>Key outputs will include</w:t>
      </w:r>
      <w:r w:rsidR="004E24F2">
        <w:rPr>
          <w:rFonts w:ascii="Arial" w:hAnsi="Arial" w:cs="Arial"/>
        </w:rPr>
        <w:t>:</w:t>
      </w:r>
    </w:p>
    <w:p w14:paraId="7A485180" w14:textId="77777777" w:rsidR="004E24F2" w:rsidRPr="004E24F2" w:rsidRDefault="004E24F2" w:rsidP="004E24F2">
      <w:pPr>
        <w:pStyle w:val="ListParagraph"/>
        <w:rPr>
          <w:rFonts w:ascii="Arial" w:hAnsi="Arial" w:cs="Arial"/>
        </w:rPr>
      </w:pPr>
    </w:p>
    <w:p w14:paraId="677A3D5C" w14:textId="5D8E728F" w:rsidR="005D35F3" w:rsidRDefault="004E24F2" w:rsidP="00BF39AB">
      <w:pPr>
        <w:pStyle w:val="ListParagraph"/>
        <w:numPr>
          <w:ilvl w:val="0"/>
          <w:numId w:val="19"/>
        </w:numPr>
        <w:autoSpaceDE w:val="0"/>
        <w:autoSpaceDN w:val="0"/>
        <w:adjustRightInd w:val="0"/>
        <w:spacing w:after="0" w:line="240" w:lineRule="auto"/>
        <w:rPr>
          <w:rFonts w:ascii="Arial" w:hAnsi="Arial" w:cs="Arial"/>
          <w:color w:val="000000"/>
          <w:lang w:val="en-GB"/>
        </w:rPr>
      </w:pPr>
      <w:r>
        <w:rPr>
          <w:rFonts w:ascii="Arial" w:hAnsi="Arial" w:cs="Arial"/>
          <w:color w:val="000000"/>
          <w:lang w:val="en-GB"/>
        </w:rPr>
        <w:t>R</w:t>
      </w:r>
      <w:r w:rsidR="00FA6F86" w:rsidRPr="000048E1">
        <w:rPr>
          <w:rFonts w:ascii="Arial" w:hAnsi="Arial" w:cs="Arial"/>
          <w:color w:val="000000"/>
          <w:lang w:val="en-GB"/>
        </w:rPr>
        <w:t>eview</w:t>
      </w:r>
      <w:r w:rsidR="005D35F3" w:rsidRPr="000048E1">
        <w:rPr>
          <w:rFonts w:ascii="Arial" w:hAnsi="Arial" w:cs="Arial"/>
          <w:color w:val="000000"/>
          <w:lang w:val="en-GB"/>
        </w:rPr>
        <w:t xml:space="preserve"> of Basement Impact Assessments and </w:t>
      </w:r>
      <w:r w:rsidR="00137B9C" w:rsidRPr="000048E1">
        <w:rPr>
          <w:rFonts w:ascii="Arial" w:hAnsi="Arial" w:cs="Arial"/>
          <w:color w:val="000000"/>
          <w:lang w:val="en-GB"/>
        </w:rPr>
        <w:t>providing advice</w:t>
      </w:r>
      <w:r w:rsidR="005D35F3" w:rsidRPr="000048E1">
        <w:rPr>
          <w:rFonts w:ascii="Arial" w:hAnsi="Arial" w:cs="Arial"/>
          <w:color w:val="000000"/>
          <w:lang w:val="en-GB"/>
        </w:rPr>
        <w:t xml:space="preserve"> to the Development Management service in relation to key </w:t>
      </w:r>
      <w:r w:rsidR="003C3496">
        <w:rPr>
          <w:rFonts w:ascii="Arial" w:hAnsi="Arial" w:cs="Arial"/>
          <w:color w:val="000000"/>
          <w:lang w:val="en-GB"/>
        </w:rPr>
        <w:t xml:space="preserve">planning </w:t>
      </w:r>
      <w:r w:rsidR="005D35F3" w:rsidRPr="000048E1">
        <w:rPr>
          <w:rFonts w:ascii="Arial" w:hAnsi="Arial" w:cs="Arial"/>
          <w:color w:val="000000"/>
          <w:lang w:val="en-GB"/>
        </w:rPr>
        <w:t>policy</w:t>
      </w:r>
      <w:r>
        <w:rPr>
          <w:rFonts w:ascii="Arial" w:hAnsi="Arial" w:cs="Arial"/>
          <w:color w:val="000000"/>
          <w:lang w:val="en-GB"/>
        </w:rPr>
        <w:t xml:space="preserve"> (</w:t>
      </w:r>
      <w:r w:rsidR="00341C4C">
        <w:rPr>
          <w:rFonts w:ascii="Arial" w:hAnsi="Arial" w:cs="Arial"/>
          <w:color w:val="000000"/>
          <w:lang w:val="en-GB"/>
        </w:rPr>
        <w:t>national, regional and local)</w:t>
      </w:r>
      <w:r w:rsidR="005D35F3" w:rsidRPr="000048E1">
        <w:rPr>
          <w:rFonts w:ascii="Arial" w:hAnsi="Arial" w:cs="Arial"/>
          <w:color w:val="000000"/>
          <w:lang w:val="en-GB"/>
        </w:rPr>
        <w:t xml:space="preserve"> </w:t>
      </w:r>
      <w:r w:rsidR="00341C4C">
        <w:rPr>
          <w:rFonts w:ascii="Arial" w:hAnsi="Arial" w:cs="Arial"/>
          <w:color w:val="000000"/>
          <w:lang w:val="en-GB"/>
        </w:rPr>
        <w:t xml:space="preserve">and guidance </w:t>
      </w:r>
      <w:r w:rsidR="005D35F3" w:rsidRPr="000048E1">
        <w:rPr>
          <w:rFonts w:ascii="Arial" w:hAnsi="Arial" w:cs="Arial"/>
          <w:color w:val="000000"/>
          <w:lang w:val="en-GB"/>
        </w:rPr>
        <w:t>requirement</w:t>
      </w:r>
      <w:r w:rsidR="0050118B" w:rsidRPr="000048E1">
        <w:rPr>
          <w:rFonts w:ascii="Arial" w:hAnsi="Arial" w:cs="Arial"/>
          <w:color w:val="000000"/>
          <w:lang w:val="en-GB"/>
        </w:rPr>
        <w:t>s</w:t>
      </w:r>
      <w:r w:rsidR="00B765C4">
        <w:rPr>
          <w:rFonts w:ascii="Arial" w:hAnsi="Arial" w:cs="Arial"/>
          <w:color w:val="000000"/>
          <w:lang w:val="en-GB"/>
        </w:rPr>
        <w:t xml:space="preserve"> for all types of planning applications.</w:t>
      </w:r>
    </w:p>
    <w:p w14:paraId="35981FBD" w14:textId="5A5D5AFE" w:rsidR="00341C4C" w:rsidRDefault="00341C4C" w:rsidP="00BF39AB">
      <w:pPr>
        <w:pStyle w:val="ListParagraph"/>
        <w:numPr>
          <w:ilvl w:val="0"/>
          <w:numId w:val="19"/>
        </w:numPr>
        <w:autoSpaceDE w:val="0"/>
        <w:autoSpaceDN w:val="0"/>
        <w:adjustRightInd w:val="0"/>
        <w:spacing w:after="0" w:line="240" w:lineRule="auto"/>
        <w:rPr>
          <w:rFonts w:ascii="Arial" w:hAnsi="Arial" w:cs="Arial"/>
          <w:color w:val="000000"/>
          <w:lang w:val="en-GB"/>
        </w:rPr>
      </w:pPr>
      <w:r>
        <w:rPr>
          <w:rFonts w:ascii="Arial" w:hAnsi="Arial" w:cs="Arial"/>
          <w:color w:val="000000"/>
          <w:lang w:val="en-GB"/>
        </w:rPr>
        <w:t xml:space="preserve">To attend meetings </w:t>
      </w:r>
      <w:r w:rsidR="007532C3">
        <w:rPr>
          <w:rFonts w:ascii="Arial" w:hAnsi="Arial" w:cs="Arial"/>
          <w:color w:val="000000"/>
          <w:lang w:val="en-GB"/>
        </w:rPr>
        <w:t xml:space="preserve">and / or site visits </w:t>
      </w:r>
      <w:r>
        <w:rPr>
          <w:rFonts w:ascii="Arial" w:hAnsi="Arial" w:cs="Arial"/>
          <w:color w:val="000000"/>
          <w:lang w:val="en-GB"/>
        </w:rPr>
        <w:t>where necessary</w:t>
      </w:r>
      <w:r w:rsidR="003C3496">
        <w:rPr>
          <w:rFonts w:ascii="Arial" w:hAnsi="Arial" w:cs="Arial"/>
          <w:color w:val="000000"/>
          <w:lang w:val="en-GB"/>
        </w:rPr>
        <w:t>.</w:t>
      </w:r>
    </w:p>
    <w:p w14:paraId="5715D8CF" w14:textId="52455141" w:rsidR="00341C4C" w:rsidRDefault="00B6710C" w:rsidP="00BF39AB">
      <w:pPr>
        <w:pStyle w:val="ListParagraph"/>
        <w:numPr>
          <w:ilvl w:val="0"/>
          <w:numId w:val="19"/>
        </w:numPr>
        <w:autoSpaceDE w:val="0"/>
        <w:autoSpaceDN w:val="0"/>
        <w:adjustRightInd w:val="0"/>
        <w:spacing w:after="0" w:line="240" w:lineRule="auto"/>
        <w:rPr>
          <w:rFonts w:ascii="Arial" w:hAnsi="Arial" w:cs="Arial"/>
          <w:color w:val="000000"/>
          <w:lang w:val="en-GB"/>
        </w:rPr>
      </w:pPr>
      <w:r>
        <w:rPr>
          <w:rFonts w:ascii="Arial" w:hAnsi="Arial" w:cs="Arial"/>
          <w:color w:val="000000"/>
          <w:lang w:val="en-GB"/>
        </w:rPr>
        <w:t xml:space="preserve">To attend planning committee and contribute to office presentation / committee reports (including visual aids if and where necessary) and </w:t>
      </w:r>
      <w:r w:rsidR="00BF39AB">
        <w:rPr>
          <w:rFonts w:ascii="Arial" w:hAnsi="Arial" w:cs="Arial"/>
          <w:color w:val="000000"/>
          <w:lang w:val="en-GB"/>
        </w:rPr>
        <w:t>questioning from members of the committee where required.</w:t>
      </w:r>
    </w:p>
    <w:p w14:paraId="149321F6" w14:textId="2ED882E5" w:rsidR="003C3496" w:rsidRDefault="003C3496" w:rsidP="00BF39AB">
      <w:pPr>
        <w:pStyle w:val="ListParagraph"/>
        <w:numPr>
          <w:ilvl w:val="0"/>
          <w:numId w:val="19"/>
        </w:numPr>
        <w:autoSpaceDE w:val="0"/>
        <w:autoSpaceDN w:val="0"/>
        <w:adjustRightInd w:val="0"/>
        <w:spacing w:after="0" w:line="240" w:lineRule="auto"/>
        <w:rPr>
          <w:rFonts w:ascii="Arial" w:hAnsi="Arial" w:cs="Arial"/>
          <w:color w:val="000000"/>
          <w:lang w:val="en-GB"/>
        </w:rPr>
      </w:pPr>
      <w:r>
        <w:rPr>
          <w:rFonts w:ascii="Arial" w:hAnsi="Arial" w:cs="Arial"/>
          <w:color w:val="000000"/>
          <w:lang w:val="en-GB"/>
        </w:rPr>
        <w:t xml:space="preserve">Providing </w:t>
      </w:r>
      <w:r w:rsidR="00E84577">
        <w:rPr>
          <w:rFonts w:ascii="Arial" w:hAnsi="Arial" w:cs="Arial"/>
          <w:color w:val="000000"/>
          <w:lang w:val="en-GB"/>
        </w:rPr>
        <w:t xml:space="preserve">ongoing </w:t>
      </w:r>
      <w:r>
        <w:rPr>
          <w:rFonts w:ascii="Arial" w:hAnsi="Arial" w:cs="Arial"/>
          <w:color w:val="000000"/>
          <w:lang w:val="en-GB"/>
        </w:rPr>
        <w:t xml:space="preserve">training to </w:t>
      </w:r>
      <w:r w:rsidR="00E84577">
        <w:rPr>
          <w:rFonts w:ascii="Arial" w:hAnsi="Arial" w:cs="Arial"/>
          <w:color w:val="000000"/>
          <w:lang w:val="en-GB"/>
        </w:rPr>
        <w:t>members of the Lambeth Planning Team and other relevant officers.</w:t>
      </w:r>
    </w:p>
    <w:p w14:paraId="7E7F62F7" w14:textId="77777777" w:rsidR="003E01A8" w:rsidRPr="00061979" w:rsidRDefault="003E01A8" w:rsidP="00596D55">
      <w:pPr>
        <w:spacing w:after="0" w:line="240" w:lineRule="auto"/>
        <w:rPr>
          <w:rFonts w:ascii="Arial" w:hAnsi="Arial" w:cs="Arial"/>
        </w:rPr>
      </w:pPr>
    </w:p>
    <w:p w14:paraId="7E7F62F8" w14:textId="57E1FBBC" w:rsidR="003E01A8" w:rsidRPr="00061979" w:rsidRDefault="003E01A8" w:rsidP="00EF2527">
      <w:pPr>
        <w:pStyle w:val="ListParagraph"/>
        <w:numPr>
          <w:ilvl w:val="0"/>
          <w:numId w:val="1"/>
        </w:numPr>
        <w:ind w:left="567" w:hanging="567"/>
        <w:rPr>
          <w:rFonts w:ascii="Arial" w:hAnsi="Arial" w:cs="Arial"/>
        </w:rPr>
      </w:pPr>
      <w:r w:rsidRPr="00061979">
        <w:rPr>
          <w:rFonts w:ascii="Arial" w:hAnsi="Arial" w:cs="Arial"/>
        </w:rPr>
        <w:t xml:space="preserve">The types of applications requiring assessment will fall into </w:t>
      </w:r>
      <w:r w:rsidR="006B0119" w:rsidRPr="00061979">
        <w:rPr>
          <w:rFonts w:ascii="Arial" w:hAnsi="Arial" w:cs="Arial"/>
        </w:rPr>
        <w:t>5</w:t>
      </w:r>
      <w:r w:rsidRPr="00061979">
        <w:rPr>
          <w:rFonts w:ascii="Arial" w:hAnsi="Arial" w:cs="Arial"/>
        </w:rPr>
        <w:t xml:space="preserve"> main </w:t>
      </w:r>
      <w:r w:rsidR="004F5BAE" w:rsidRPr="00061979">
        <w:rPr>
          <w:rFonts w:ascii="Arial" w:hAnsi="Arial" w:cs="Arial"/>
        </w:rPr>
        <w:t>category</w:t>
      </w:r>
      <w:r w:rsidRPr="00061979">
        <w:rPr>
          <w:rFonts w:ascii="Arial" w:hAnsi="Arial" w:cs="Arial"/>
        </w:rPr>
        <w:t xml:space="preserve"> areas:</w:t>
      </w:r>
    </w:p>
    <w:p w14:paraId="337BFC8B" w14:textId="2AE2B3C6" w:rsidR="005A6E40" w:rsidRPr="000048E1" w:rsidRDefault="003E01A8" w:rsidP="000048E1">
      <w:pPr>
        <w:pStyle w:val="ListParagraph"/>
        <w:numPr>
          <w:ilvl w:val="0"/>
          <w:numId w:val="18"/>
        </w:numPr>
        <w:spacing w:after="0" w:line="240" w:lineRule="auto"/>
        <w:rPr>
          <w:rFonts w:ascii="Arial" w:hAnsi="Arial" w:cs="Arial"/>
        </w:rPr>
      </w:pPr>
      <w:r w:rsidRPr="000048E1">
        <w:rPr>
          <w:rFonts w:ascii="Arial" w:hAnsi="Arial" w:cs="Arial"/>
        </w:rPr>
        <w:t>Major, Minor, Other</w:t>
      </w:r>
      <w:r w:rsidR="00E7446C" w:rsidRPr="000048E1">
        <w:rPr>
          <w:rFonts w:ascii="Arial" w:hAnsi="Arial" w:cs="Arial"/>
        </w:rPr>
        <w:t xml:space="preserve">, </w:t>
      </w:r>
      <w:r w:rsidR="000D292B" w:rsidRPr="000048E1">
        <w:rPr>
          <w:rFonts w:ascii="Arial" w:hAnsi="Arial" w:cs="Arial"/>
        </w:rPr>
        <w:t>Unknown, Prior Approva</w:t>
      </w:r>
      <w:r w:rsidR="004D7376" w:rsidRPr="000048E1">
        <w:rPr>
          <w:rFonts w:ascii="Arial" w:hAnsi="Arial" w:cs="Arial"/>
        </w:rPr>
        <w:t>l and Pre-application advice (excluding PPA</w:t>
      </w:r>
      <w:r w:rsidR="004D7376">
        <w:rPr>
          <w:rStyle w:val="FootnoteReference"/>
          <w:rFonts w:ascii="Arial" w:hAnsi="Arial" w:cs="Arial"/>
        </w:rPr>
        <w:footnoteReference w:id="2"/>
      </w:r>
      <w:r w:rsidR="004D7376" w:rsidRPr="000048E1">
        <w:rPr>
          <w:rFonts w:ascii="Arial" w:hAnsi="Arial" w:cs="Arial"/>
        </w:rPr>
        <w:t>s)</w:t>
      </w:r>
    </w:p>
    <w:p w14:paraId="58201348" w14:textId="77777777" w:rsidR="005A6E40" w:rsidRPr="00061979" w:rsidRDefault="005A6E40" w:rsidP="000E6D2F">
      <w:pPr>
        <w:spacing w:after="0" w:line="240" w:lineRule="auto"/>
        <w:ind w:left="567"/>
        <w:rPr>
          <w:rFonts w:ascii="Arial" w:hAnsi="Arial" w:cs="Arial"/>
        </w:rPr>
      </w:pPr>
    </w:p>
    <w:p w14:paraId="3E35B69A" w14:textId="5ACECDB8" w:rsidR="002F09D9" w:rsidRPr="000048E1" w:rsidRDefault="000F5759" w:rsidP="000048E1">
      <w:pPr>
        <w:pStyle w:val="ListParagraph"/>
        <w:numPr>
          <w:ilvl w:val="0"/>
          <w:numId w:val="18"/>
        </w:numPr>
        <w:rPr>
          <w:rFonts w:ascii="Arial" w:hAnsi="Arial" w:cs="Arial"/>
        </w:rPr>
      </w:pPr>
      <w:r w:rsidRPr="00061979">
        <w:rPr>
          <w:rFonts w:ascii="Arial" w:hAnsi="Arial" w:cs="Arial"/>
        </w:rPr>
        <w:t xml:space="preserve">Major, Minor and Other applications are </w:t>
      </w:r>
      <w:r w:rsidR="00757342" w:rsidRPr="00061979">
        <w:rPr>
          <w:rFonts w:ascii="Arial" w:hAnsi="Arial" w:cs="Arial"/>
        </w:rPr>
        <w:t xml:space="preserve">as </w:t>
      </w:r>
      <w:r w:rsidRPr="00061979">
        <w:rPr>
          <w:rFonts w:ascii="Arial" w:hAnsi="Arial" w:cs="Arial"/>
        </w:rPr>
        <w:t xml:space="preserve">defined in </w:t>
      </w:r>
      <w:r w:rsidR="000E7C50">
        <w:rPr>
          <w:rFonts w:ascii="Arial" w:hAnsi="Arial" w:cs="Arial"/>
        </w:rPr>
        <w:t>DLUHC’s</w:t>
      </w:r>
      <w:r w:rsidR="000E7C50" w:rsidRPr="00061979">
        <w:rPr>
          <w:rFonts w:ascii="Arial" w:hAnsi="Arial" w:cs="Arial"/>
        </w:rPr>
        <w:t xml:space="preserve"> </w:t>
      </w:r>
      <w:r w:rsidRPr="00061979">
        <w:rPr>
          <w:rFonts w:ascii="Arial" w:hAnsi="Arial" w:cs="Arial"/>
        </w:rPr>
        <w:t>PS1, PS2 returns guide</w:t>
      </w:r>
      <w:r w:rsidR="005B7850" w:rsidRPr="00061979">
        <w:rPr>
          <w:rFonts w:ascii="Arial" w:hAnsi="Arial" w:cs="Arial"/>
        </w:rPr>
        <w:t>:</w:t>
      </w:r>
      <w:bookmarkEnd w:id="0"/>
      <w:r w:rsidR="000048E1">
        <w:rPr>
          <w:rFonts w:ascii="Arial" w:hAnsi="Arial" w:cs="Arial"/>
        </w:rPr>
        <w:t xml:space="preserve"> </w:t>
      </w:r>
      <w:hyperlink r:id="rId10" w:anchor="appendix" w:history="1">
        <w:r w:rsidR="000048E1" w:rsidRPr="00D65847">
          <w:rPr>
            <w:rStyle w:val="Hyperlink"/>
          </w:rPr>
          <w:t>https://www.gov.uk/government/publications/district-planning-matters-return-ps1-and-ps2/ps1-and-ps2-district-planning-matters-return-guidance-notes#appendix</w:t>
        </w:r>
      </w:hyperlink>
    </w:p>
    <w:p w14:paraId="4D66B41E" w14:textId="77777777" w:rsidR="000F5759" w:rsidRPr="00061979" w:rsidRDefault="000F5759" w:rsidP="005B7850">
      <w:pPr>
        <w:pStyle w:val="ListParagraph"/>
        <w:ind w:left="567"/>
        <w:rPr>
          <w:rFonts w:ascii="Arial" w:hAnsi="Arial" w:cs="Arial"/>
        </w:rPr>
      </w:pPr>
    </w:p>
    <w:p w14:paraId="7ECAFE82" w14:textId="1F46A475" w:rsidR="008F3CDE" w:rsidRDefault="003F6D54" w:rsidP="00EF2527">
      <w:pPr>
        <w:pStyle w:val="ListParagraph"/>
        <w:numPr>
          <w:ilvl w:val="0"/>
          <w:numId w:val="1"/>
        </w:numPr>
        <w:ind w:left="567" w:hanging="567"/>
        <w:rPr>
          <w:rFonts w:ascii="Arial" w:hAnsi="Arial" w:cs="Arial"/>
        </w:rPr>
      </w:pPr>
      <w:r w:rsidRPr="00061979">
        <w:rPr>
          <w:rFonts w:ascii="Arial" w:hAnsi="Arial" w:cs="Arial"/>
        </w:rPr>
        <w:t xml:space="preserve">Proposals should include an estimate </w:t>
      </w:r>
      <w:r w:rsidR="0050118B">
        <w:rPr>
          <w:rFonts w:ascii="Arial" w:hAnsi="Arial" w:cs="Arial"/>
        </w:rPr>
        <w:t>that provides</w:t>
      </w:r>
      <w:r w:rsidRPr="00061979">
        <w:rPr>
          <w:rFonts w:ascii="Arial" w:hAnsi="Arial" w:cs="Arial"/>
        </w:rPr>
        <w:t xml:space="preserve"> the average time </w:t>
      </w:r>
      <w:r w:rsidR="0050118B">
        <w:rPr>
          <w:rFonts w:ascii="Arial" w:hAnsi="Arial" w:cs="Arial"/>
        </w:rPr>
        <w:t>to review and assess each category type of application.  Hourly rates should</w:t>
      </w:r>
      <w:r w:rsidR="005C4896">
        <w:rPr>
          <w:rFonts w:ascii="Arial" w:hAnsi="Arial" w:cs="Arial"/>
        </w:rPr>
        <w:t xml:space="preserve"> also</w:t>
      </w:r>
      <w:r w:rsidR="0050118B">
        <w:rPr>
          <w:rFonts w:ascii="Arial" w:hAnsi="Arial" w:cs="Arial"/>
        </w:rPr>
        <w:t xml:space="preserve"> be provided</w:t>
      </w:r>
      <w:r w:rsidRPr="00061979">
        <w:rPr>
          <w:rFonts w:ascii="Arial" w:hAnsi="Arial" w:cs="Arial"/>
        </w:rPr>
        <w:t>.</w:t>
      </w:r>
    </w:p>
    <w:p w14:paraId="3DC0F2AE" w14:textId="77777777" w:rsidR="008F3CDE" w:rsidRDefault="008F3CDE" w:rsidP="007A5B6D">
      <w:pPr>
        <w:pStyle w:val="ListParagraph"/>
        <w:ind w:left="567"/>
        <w:rPr>
          <w:rFonts w:ascii="Arial" w:hAnsi="Arial" w:cs="Arial"/>
        </w:rPr>
      </w:pPr>
    </w:p>
    <w:p w14:paraId="4FCDE35C" w14:textId="13D3892A" w:rsidR="00AB6C64" w:rsidRPr="00061979" w:rsidRDefault="00386B6C" w:rsidP="00EF2527">
      <w:pPr>
        <w:pStyle w:val="ListParagraph"/>
        <w:numPr>
          <w:ilvl w:val="0"/>
          <w:numId w:val="1"/>
        </w:numPr>
        <w:spacing w:after="0" w:line="240" w:lineRule="auto"/>
        <w:ind w:left="567" w:hanging="567"/>
        <w:rPr>
          <w:rFonts w:ascii="Arial" w:hAnsi="Arial" w:cs="Arial"/>
        </w:rPr>
      </w:pPr>
      <w:r w:rsidRPr="00061979">
        <w:rPr>
          <w:rFonts w:ascii="Arial" w:hAnsi="Arial" w:cs="Arial"/>
        </w:rPr>
        <w:t xml:space="preserve">The selected contractors delivering the service </w:t>
      </w:r>
      <w:r w:rsidR="00275016" w:rsidRPr="00061979">
        <w:rPr>
          <w:rFonts w:ascii="Arial" w:hAnsi="Arial" w:cs="Arial"/>
        </w:rPr>
        <w:t xml:space="preserve">will </w:t>
      </w:r>
      <w:r w:rsidRPr="00061979">
        <w:rPr>
          <w:rFonts w:ascii="Arial" w:hAnsi="Arial" w:cs="Arial"/>
        </w:rPr>
        <w:t xml:space="preserve">be required to submit a detailed timesheet, including a breakdown of hours worked on each task, alongside their monthly invoice. Additionally, the supplier </w:t>
      </w:r>
      <w:r w:rsidR="00275016" w:rsidRPr="00061979">
        <w:rPr>
          <w:rFonts w:ascii="Arial" w:hAnsi="Arial" w:cs="Arial"/>
        </w:rPr>
        <w:t>will need to</w:t>
      </w:r>
      <w:r w:rsidRPr="00061979">
        <w:rPr>
          <w:rFonts w:ascii="Arial" w:hAnsi="Arial" w:cs="Arial"/>
        </w:rPr>
        <w:t xml:space="preserve"> provide a comprehensive breakdown of staff resources allocated to this project. </w:t>
      </w:r>
    </w:p>
    <w:p w14:paraId="243499AF" w14:textId="77777777" w:rsidR="00386B6C" w:rsidRPr="00061979" w:rsidRDefault="00386B6C" w:rsidP="00386B6C">
      <w:pPr>
        <w:pStyle w:val="ListParagraph"/>
        <w:rPr>
          <w:rFonts w:ascii="Arial" w:hAnsi="Arial" w:cs="Arial"/>
        </w:rPr>
      </w:pPr>
    </w:p>
    <w:p w14:paraId="1DBE2F98" w14:textId="77777777" w:rsidR="00386B6C" w:rsidRPr="00061979" w:rsidRDefault="00386B6C" w:rsidP="00386B6C">
      <w:pPr>
        <w:pStyle w:val="ListParagraph"/>
        <w:spacing w:after="0" w:line="240" w:lineRule="auto"/>
        <w:ind w:left="567"/>
        <w:rPr>
          <w:rFonts w:ascii="Arial" w:hAnsi="Arial" w:cs="Arial"/>
        </w:rPr>
      </w:pPr>
    </w:p>
    <w:p w14:paraId="5406ACFC" w14:textId="1E754828" w:rsidR="00B73459" w:rsidRPr="00061979" w:rsidRDefault="00B73459" w:rsidP="00B73459">
      <w:pPr>
        <w:pStyle w:val="ListParagraph"/>
        <w:ind w:left="567"/>
        <w:rPr>
          <w:rFonts w:ascii="Arial" w:hAnsi="Arial" w:cs="Arial"/>
          <w:b/>
          <w:bCs/>
        </w:rPr>
      </w:pPr>
      <w:r w:rsidRPr="00061979">
        <w:rPr>
          <w:rFonts w:ascii="Arial" w:hAnsi="Arial" w:cs="Arial"/>
          <w:b/>
          <w:bCs/>
        </w:rPr>
        <w:t>Your quote</w:t>
      </w:r>
    </w:p>
    <w:p w14:paraId="145DFAC1" w14:textId="77777777" w:rsidR="00B73459" w:rsidRPr="00061979" w:rsidRDefault="00B73459" w:rsidP="0010537E">
      <w:pPr>
        <w:pStyle w:val="ListParagraph"/>
        <w:ind w:left="567"/>
        <w:rPr>
          <w:rFonts w:ascii="Arial" w:hAnsi="Arial" w:cs="Arial"/>
          <w:b/>
          <w:bCs/>
        </w:rPr>
      </w:pPr>
    </w:p>
    <w:p w14:paraId="55609131" w14:textId="68239BA8" w:rsidR="00A542AE" w:rsidRPr="00061979" w:rsidRDefault="00B73459" w:rsidP="00EF2527">
      <w:pPr>
        <w:pStyle w:val="ListParagraph"/>
        <w:numPr>
          <w:ilvl w:val="0"/>
          <w:numId w:val="1"/>
        </w:numPr>
        <w:ind w:left="567" w:hanging="567"/>
        <w:rPr>
          <w:rFonts w:ascii="Arial" w:hAnsi="Arial" w:cs="Arial"/>
        </w:rPr>
      </w:pPr>
      <w:r w:rsidRPr="00061979">
        <w:rPr>
          <w:rFonts w:ascii="Arial" w:hAnsi="Arial" w:cs="Arial"/>
        </w:rPr>
        <w:t xml:space="preserve">Proposals should cover </w:t>
      </w:r>
      <w:r w:rsidR="004D282E" w:rsidRPr="00061979">
        <w:rPr>
          <w:rFonts w:ascii="Arial" w:hAnsi="Arial" w:cs="Arial"/>
        </w:rPr>
        <w:t xml:space="preserve">all the </w:t>
      </w:r>
      <w:r w:rsidRPr="00061979">
        <w:rPr>
          <w:rFonts w:ascii="Arial" w:hAnsi="Arial" w:cs="Arial"/>
        </w:rPr>
        <w:t xml:space="preserve">components identified </w:t>
      </w:r>
      <w:r w:rsidR="0050118B">
        <w:rPr>
          <w:rFonts w:ascii="Arial" w:hAnsi="Arial" w:cs="Arial"/>
        </w:rPr>
        <w:t xml:space="preserve">above along with </w:t>
      </w:r>
      <w:r w:rsidR="00137B9C">
        <w:rPr>
          <w:rFonts w:ascii="Arial" w:hAnsi="Arial" w:cs="Arial"/>
        </w:rPr>
        <w:t xml:space="preserve">reference to </w:t>
      </w:r>
      <w:r w:rsidR="0050118B">
        <w:rPr>
          <w:rFonts w:ascii="Arial" w:hAnsi="Arial" w:cs="Arial"/>
        </w:rPr>
        <w:t xml:space="preserve">relevant Policy and </w:t>
      </w:r>
      <w:r w:rsidR="00137B9C">
        <w:rPr>
          <w:rFonts w:ascii="Arial" w:hAnsi="Arial" w:cs="Arial"/>
        </w:rPr>
        <w:t>Supplementary Planning Documents</w:t>
      </w:r>
      <w:r w:rsidR="0050118B">
        <w:rPr>
          <w:rFonts w:ascii="Arial" w:hAnsi="Arial" w:cs="Arial"/>
        </w:rPr>
        <w:t xml:space="preserve">.  </w:t>
      </w:r>
      <w:r w:rsidRPr="00061979">
        <w:rPr>
          <w:rFonts w:ascii="Arial" w:hAnsi="Arial" w:cs="Arial"/>
        </w:rPr>
        <w:t xml:space="preserve">It is recommended that proposals are kept to a maximum of </w:t>
      </w:r>
      <w:r w:rsidR="00275016" w:rsidRPr="00061979">
        <w:rPr>
          <w:rFonts w:ascii="Arial" w:hAnsi="Arial" w:cs="Arial"/>
        </w:rPr>
        <w:t xml:space="preserve">6 </w:t>
      </w:r>
      <w:r w:rsidRPr="00061979">
        <w:rPr>
          <w:rFonts w:ascii="Arial" w:hAnsi="Arial" w:cs="Arial"/>
        </w:rPr>
        <w:t>pages</w:t>
      </w:r>
      <w:r w:rsidR="00CE024F" w:rsidRPr="00061979">
        <w:rPr>
          <w:rFonts w:ascii="Arial" w:hAnsi="Arial" w:cs="Arial"/>
        </w:rPr>
        <w:t xml:space="preserve"> (using a minimum of font size 1</w:t>
      </w:r>
      <w:r w:rsidR="0050118B">
        <w:rPr>
          <w:rFonts w:ascii="Arial" w:hAnsi="Arial" w:cs="Arial"/>
        </w:rPr>
        <w:t>0</w:t>
      </w:r>
      <w:r w:rsidR="00CE024F" w:rsidRPr="00061979">
        <w:rPr>
          <w:rFonts w:ascii="Arial" w:hAnsi="Arial" w:cs="Arial"/>
        </w:rPr>
        <w:t>, Arial – single line spacing)</w:t>
      </w:r>
      <w:r w:rsidRPr="00061979">
        <w:rPr>
          <w:rFonts w:ascii="Arial" w:hAnsi="Arial" w:cs="Arial"/>
        </w:rPr>
        <w:t>, excluding CVs.</w:t>
      </w:r>
    </w:p>
    <w:p w14:paraId="17F44D1B" w14:textId="77777777" w:rsidR="004D282E" w:rsidRPr="00061979" w:rsidRDefault="004D282E" w:rsidP="0010537E">
      <w:pPr>
        <w:pStyle w:val="ListParagraph"/>
        <w:ind w:left="567"/>
        <w:rPr>
          <w:rFonts w:ascii="Arial" w:hAnsi="Arial" w:cs="Arial"/>
        </w:rPr>
      </w:pPr>
    </w:p>
    <w:p w14:paraId="2FD97915" w14:textId="1A77E144" w:rsidR="00740307" w:rsidRDefault="004D282E" w:rsidP="00521277">
      <w:pPr>
        <w:pStyle w:val="ListParagraph"/>
        <w:numPr>
          <w:ilvl w:val="0"/>
          <w:numId w:val="1"/>
        </w:numPr>
        <w:autoSpaceDE w:val="0"/>
        <w:autoSpaceDN w:val="0"/>
        <w:adjustRightInd w:val="0"/>
        <w:spacing w:after="0" w:line="240" w:lineRule="auto"/>
        <w:ind w:left="567" w:hanging="567"/>
        <w:rPr>
          <w:rFonts w:ascii="Arial" w:hAnsi="Arial" w:cs="Arial"/>
        </w:rPr>
      </w:pPr>
      <w:r w:rsidRPr="00740307">
        <w:rPr>
          <w:rFonts w:ascii="Arial" w:hAnsi="Arial" w:cs="Arial"/>
        </w:rPr>
        <w:t>The proposals presented should not exceed £99,</w:t>
      </w:r>
      <w:r w:rsidR="009D1C6A" w:rsidRPr="00740307">
        <w:rPr>
          <w:rFonts w:ascii="Arial" w:hAnsi="Arial" w:cs="Arial"/>
        </w:rPr>
        <w:t xml:space="preserve">999 </w:t>
      </w:r>
      <w:r w:rsidRPr="00740307">
        <w:rPr>
          <w:rFonts w:ascii="Arial" w:hAnsi="Arial" w:cs="Arial"/>
        </w:rPr>
        <w:t>(excluding VAT)</w:t>
      </w:r>
      <w:r w:rsidR="0050118B" w:rsidRPr="00740307">
        <w:rPr>
          <w:rFonts w:ascii="Arial" w:hAnsi="Arial" w:cs="Arial"/>
        </w:rPr>
        <w:t xml:space="preserve"> over the course of the contrac</w:t>
      </w:r>
      <w:r w:rsidR="005836E3" w:rsidRPr="00740307">
        <w:rPr>
          <w:rFonts w:ascii="Arial" w:hAnsi="Arial" w:cs="Arial"/>
        </w:rPr>
        <w:t>t and should be informed by the activity provided in Tables 1 and 2 of point 9</w:t>
      </w:r>
      <w:r w:rsidR="00A77BE9" w:rsidRPr="00740307">
        <w:rPr>
          <w:rFonts w:ascii="Arial" w:hAnsi="Arial" w:cs="Arial"/>
        </w:rPr>
        <w:t>, taking an average of those activities presented.</w:t>
      </w:r>
      <w:r w:rsidR="005836E3" w:rsidRPr="00740307">
        <w:rPr>
          <w:rFonts w:ascii="Arial" w:hAnsi="Arial" w:cs="Arial"/>
        </w:rPr>
        <w:t xml:space="preserve">  </w:t>
      </w:r>
      <w:r w:rsidR="0050118B" w:rsidRPr="00740307">
        <w:rPr>
          <w:rFonts w:ascii="Arial" w:hAnsi="Arial" w:cs="Arial"/>
        </w:rPr>
        <w:t xml:space="preserve">Proposals should indicate the expected number of years that the pricing covers.  </w:t>
      </w:r>
      <w:r w:rsidRPr="00740307">
        <w:rPr>
          <w:rFonts w:ascii="Arial" w:hAnsi="Arial" w:cs="Arial"/>
        </w:rPr>
        <w:t xml:space="preserve">Proposals that exceed </w:t>
      </w:r>
      <w:r w:rsidR="005836E3" w:rsidRPr="00740307">
        <w:rPr>
          <w:rFonts w:ascii="Arial" w:hAnsi="Arial" w:cs="Arial"/>
        </w:rPr>
        <w:t>£99,999 will not</w:t>
      </w:r>
      <w:r w:rsidRPr="00740307">
        <w:rPr>
          <w:rFonts w:ascii="Arial" w:hAnsi="Arial" w:cs="Arial"/>
        </w:rPr>
        <w:t xml:space="preserve"> be considered.</w:t>
      </w:r>
    </w:p>
    <w:p w14:paraId="54003505" w14:textId="77777777" w:rsidR="00740307" w:rsidRDefault="00740307" w:rsidP="00CE552E">
      <w:pPr>
        <w:autoSpaceDE w:val="0"/>
        <w:autoSpaceDN w:val="0"/>
        <w:adjustRightInd w:val="0"/>
        <w:spacing w:after="0" w:line="240" w:lineRule="auto"/>
        <w:rPr>
          <w:rFonts w:ascii="Arial" w:hAnsi="Arial" w:cs="Arial"/>
        </w:rPr>
      </w:pPr>
    </w:p>
    <w:p w14:paraId="7E7F62FE" w14:textId="39D51F60" w:rsidR="00520F6B" w:rsidRPr="00061979" w:rsidRDefault="004E5791" w:rsidP="002813B1">
      <w:pPr>
        <w:pStyle w:val="Heading1"/>
        <w:ind w:left="567" w:hanging="567"/>
        <w:rPr>
          <w:rFonts w:ascii="Arial" w:hAnsi="Arial" w:cs="Arial"/>
          <w:sz w:val="22"/>
          <w:szCs w:val="22"/>
        </w:rPr>
      </w:pPr>
      <w:r w:rsidRPr="00061979">
        <w:rPr>
          <w:rFonts w:ascii="Arial" w:hAnsi="Arial" w:cs="Arial"/>
          <w:sz w:val="22"/>
          <w:szCs w:val="22"/>
        </w:rPr>
        <w:lastRenderedPageBreak/>
        <w:t>Timescales</w:t>
      </w:r>
    </w:p>
    <w:p w14:paraId="7E7F6302" w14:textId="18522D0F" w:rsidR="00520F6B" w:rsidRPr="00061979" w:rsidRDefault="00520F6B" w:rsidP="00EF2527">
      <w:pPr>
        <w:pStyle w:val="ListParagraph"/>
        <w:numPr>
          <w:ilvl w:val="0"/>
          <w:numId w:val="1"/>
        </w:numPr>
        <w:ind w:left="567" w:hanging="567"/>
        <w:rPr>
          <w:rFonts w:ascii="Arial" w:hAnsi="Arial" w:cs="Arial"/>
        </w:rPr>
      </w:pPr>
      <w:r w:rsidRPr="00061979">
        <w:rPr>
          <w:rFonts w:ascii="Arial" w:hAnsi="Arial" w:cs="Arial"/>
        </w:rPr>
        <w:t>A timetable for the selection process is detailed below:</w:t>
      </w:r>
    </w:p>
    <w:p w14:paraId="7E7F6303" w14:textId="5E8B7958" w:rsidR="00520F6B" w:rsidRDefault="00520F8C" w:rsidP="0082419C">
      <w:pPr>
        <w:spacing w:after="0"/>
        <w:ind w:firstLine="567"/>
        <w:rPr>
          <w:rFonts w:ascii="Arial" w:eastAsia="Times New Roman" w:hAnsi="Arial" w:cs="Arial"/>
          <w:b/>
          <w:bCs/>
          <w:color w:val="000000"/>
          <w:lang w:val="en-GB" w:eastAsia="en-GB"/>
        </w:rPr>
      </w:pPr>
      <w:r w:rsidRPr="00F47515">
        <w:rPr>
          <w:rFonts w:ascii="Arial" w:eastAsia="Times New Roman" w:hAnsi="Arial" w:cs="Arial"/>
          <w:b/>
          <w:bCs/>
          <w:color w:val="000000"/>
          <w:lang w:val="en-GB" w:eastAsia="en-GB"/>
        </w:rPr>
        <w:t xml:space="preserve">Table </w:t>
      </w:r>
      <w:r w:rsidR="0082419C" w:rsidRPr="00F47515">
        <w:rPr>
          <w:rFonts w:ascii="Arial" w:eastAsia="Times New Roman" w:hAnsi="Arial" w:cs="Arial"/>
          <w:b/>
          <w:bCs/>
          <w:color w:val="000000"/>
          <w:lang w:val="en-GB" w:eastAsia="en-GB"/>
        </w:rPr>
        <w:t>3</w:t>
      </w:r>
    </w:p>
    <w:p w14:paraId="27BB0A46" w14:textId="77777777" w:rsidR="00F47515" w:rsidRPr="00F47515" w:rsidRDefault="00F47515" w:rsidP="0082419C">
      <w:pPr>
        <w:spacing w:after="0"/>
        <w:ind w:firstLine="567"/>
        <w:rPr>
          <w:rFonts w:ascii="Arial" w:eastAsia="Times New Roman" w:hAnsi="Arial" w:cs="Arial"/>
          <w:b/>
          <w:bCs/>
          <w:color w:val="000000"/>
          <w:lang w:val="en-GB" w:eastAsia="en-GB"/>
        </w:rPr>
      </w:pPr>
    </w:p>
    <w:tbl>
      <w:tblPr>
        <w:tblStyle w:val="TableGrid"/>
        <w:tblW w:w="0" w:type="auto"/>
        <w:tblInd w:w="562" w:type="dxa"/>
        <w:tblLook w:val="04A0" w:firstRow="1" w:lastRow="0" w:firstColumn="1" w:lastColumn="0" w:noHBand="0" w:noVBand="1"/>
      </w:tblPr>
      <w:tblGrid>
        <w:gridCol w:w="2552"/>
        <w:gridCol w:w="3544"/>
        <w:gridCol w:w="2409"/>
      </w:tblGrid>
      <w:tr w:rsidR="00520F6B" w:rsidRPr="008A568A" w14:paraId="7E7F6307" w14:textId="77777777" w:rsidTr="009B48AC">
        <w:tc>
          <w:tcPr>
            <w:tcW w:w="2552" w:type="dxa"/>
          </w:tcPr>
          <w:p w14:paraId="7E7F6304" w14:textId="77777777" w:rsidR="00520F6B" w:rsidRPr="00061979" w:rsidRDefault="00520F6B" w:rsidP="0082419C">
            <w:pPr>
              <w:ind w:left="27"/>
              <w:rPr>
                <w:rFonts w:ascii="Arial" w:hAnsi="Arial" w:cs="Arial"/>
                <w:b/>
              </w:rPr>
            </w:pPr>
            <w:r w:rsidRPr="00061979">
              <w:rPr>
                <w:rFonts w:ascii="Arial" w:hAnsi="Arial" w:cs="Arial"/>
                <w:b/>
              </w:rPr>
              <w:t>Stage</w:t>
            </w:r>
          </w:p>
        </w:tc>
        <w:tc>
          <w:tcPr>
            <w:tcW w:w="3544" w:type="dxa"/>
          </w:tcPr>
          <w:p w14:paraId="7E7F6305" w14:textId="77777777" w:rsidR="00520F6B" w:rsidRPr="00061979" w:rsidRDefault="00520F6B" w:rsidP="0082419C">
            <w:pPr>
              <w:rPr>
                <w:rFonts w:ascii="Arial" w:hAnsi="Arial" w:cs="Arial"/>
                <w:b/>
              </w:rPr>
            </w:pPr>
            <w:r w:rsidRPr="00061979">
              <w:rPr>
                <w:rFonts w:ascii="Arial" w:hAnsi="Arial" w:cs="Arial"/>
                <w:b/>
              </w:rPr>
              <w:t>Component</w:t>
            </w:r>
          </w:p>
        </w:tc>
        <w:tc>
          <w:tcPr>
            <w:tcW w:w="2409" w:type="dxa"/>
          </w:tcPr>
          <w:p w14:paraId="7E7F6306" w14:textId="67DF82E7" w:rsidR="00520F6B" w:rsidRPr="00061979" w:rsidRDefault="00520F6B" w:rsidP="0082419C">
            <w:pPr>
              <w:rPr>
                <w:rFonts w:ascii="Arial" w:hAnsi="Arial" w:cs="Arial"/>
                <w:b/>
              </w:rPr>
            </w:pPr>
            <w:r w:rsidRPr="0004282C">
              <w:rPr>
                <w:rFonts w:ascii="Arial" w:hAnsi="Arial" w:cs="Arial"/>
                <w:b/>
              </w:rPr>
              <w:t>Indicative timescale</w:t>
            </w:r>
          </w:p>
        </w:tc>
      </w:tr>
      <w:tr w:rsidR="0096199F" w:rsidRPr="008A568A" w14:paraId="7E7F630B" w14:textId="77777777" w:rsidTr="009B48AC">
        <w:tc>
          <w:tcPr>
            <w:tcW w:w="2552" w:type="dxa"/>
            <w:vMerge w:val="restart"/>
          </w:tcPr>
          <w:p w14:paraId="7E7F6308" w14:textId="77777777" w:rsidR="0096199F" w:rsidRPr="00061979" w:rsidRDefault="0096199F" w:rsidP="00520F6B">
            <w:pPr>
              <w:rPr>
                <w:rFonts w:ascii="Arial" w:hAnsi="Arial" w:cs="Arial"/>
              </w:rPr>
            </w:pPr>
            <w:r w:rsidRPr="00061979">
              <w:rPr>
                <w:rFonts w:ascii="Arial" w:hAnsi="Arial" w:cs="Arial"/>
              </w:rPr>
              <w:t>Request for quotation</w:t>
            </w:r>
          </w:p>
        </w:tc>
        <w:tc>
          <w:tcPr>
            <w:tcW w:w="3544" w:type="dxa"/>
          </w:tcPr>
          <w:p w14:paraId="7E7F6309" w14:textId="77777777" w:rsidR="0096199F" w:rsidRPr="00061979" w:rsidRDefault="0096199F" w:rsidP="00520F6B">
            <w:pPr>
              <w:rPr>
                <w:rFonts w:ascii="Arial" w:hAnsi="Arial" w:cs="Arial"/>
              </w:rPr>
            </w:pPr>
            <w:r w:rsidRPr="00061979">
              <w:rPr>
                <w:rFonts w:ascii="Arial" w:hAnsi="Arial" w:cs="Arial"/>
              </w:rPr>
              <w:t>Requests distributed</w:t>
            </w:r>
          </w:p>
        </w:tc>
        <w:tc>
          <w:tcPr>
            <w:tcW w:w="2409" w:type="dxa"/>
          </w:tcPr>
          <w:p w14:paraId="7E7F630A" w14:textId="640CA221" w:rsidR="0096199F" w:rsidRPr="00061979" w:rsidRDefault="00A81729" w:rsidP="00520F6B">
            <w:pPr>
              <w:rPr>
                <w:rFonts w:ascii="Arial" w:hAnsi="Arial" w:cs="Arial"/>
              </w:rPr>
            </w:pPr>
            <w:r>
              <w:rPr>
                <w:rFonts w:ascii="Arial" w:hAnsi="Arial" w:cs="Arial"/>
              </w:rPr>
              <w:t xml:space="preserve">w/c </w:t>
            </w:r>
            <w:r w:rsidR="004C7BC9">
              <w:rPr>
                <w:rFonts w:ascii="Arial" w:hAnsi="Arial" w:cs="Arial"/>
              </w:rPr>
              <w:t>29 July</w:t>
            </w:r>
            <w:r w:rsidR="00BF48D9">
              <w:rPr>
                <w:rFonts w:ascii="Arial" w:hAnsi="Arial" w:cs="Arial"/>
              </w:rPr>
              <w:t xml:space="preserve"> </w:t>
            </w:r>
            <w:r w:rsidR="007E5ED4">
              <w:rPr>
                <w:rFonts w:ascii="Arial" w:hAnsi="Arial" w:cs="Arial"/>
              </w:rPr>
              <w:t>2024</w:t>
            </w:r>
          </w:p>
        </w:tc>
      </w:tr>
      <w:tr w:rsidR="007A63E4" w:rsidRPr="008A568A" w14:paraId="5EC306AD" w14:textId="77777777" w:rsidTr="009B48AC">
        <w:tc>
          <w:tcPr>
            <w:tcW w:w="2552" w:type="dxa"/>
            <w:vMerge/>
          </w:tcPr>
          <w:p w14:paraId="2E4B5510" w14:textId="77777777" w:rsidR="007A63E4" w:rsidRPr="00061979" w:rsidRDefault="007A63E4" w:rsidP="00520F6B">
            <w:pPr>
              <w:rPr>
                <w:rFonts w:ascii="Arial" w:hAnsi="Arial" w:cs="Arial"/>
              </w:rPr>
            </w:pPr>
          </w:p>
        </w:tc>
        <w:tc>
          <w:tcPr>
            <w:tcW w:w="3544" w:type="dxa"/>
          </w:tcPr>
          <w:p w14:paraId="1B0B132B" w14:textId="1036E714" w:rsidR="007A63E4" w:rsidRPr="00061979" w:rsidRDefault="007A63E4" w:rsidP="00520F6B">
            <w:pPr>
              <w:rPr>
                <w:rFonts w:ascii="Arial" w:hAnsi="Arial" w:cs="Arial"/>
              </w:rPr>
            </w:pPr>
            <w:r w:rsidRPr="00061979">
              <w:rPr>
                <w:rFonts w:ascii="Arial" w:hAnsi="Arial" w:cs="Arial"/>
              </w:rPr>
              <w:t>Cl</w:t>
            </w:r>
            <w:r w:rsidR="00387056" w:rsidRPr="00061979">
              <w:rPr>
                <w:rFonts w:ascii="Arial" w:hAnsi="Arial" w:cs="Arial"/>
              </w:rPr>
              <w:t>arification question closing date</w:t>
            </w:r>
          </w:p>
        </w:tc>
        <w:tc>
          <w:tcPr>
            <w:tcW w:w="2409" w:type="dxa"/>
          </w:tcPr>
          <w:p w14:paraId="12EB0F9F" w14:textId="6347EFBA" w:rsidR="007A63E4" w:rsidRPr="00061979" w:rsidRDefault="00A81729" w:rsidP="00520F6B">
            <w:pPr>
              <w:rPr>
                <w:rFonts w:ascii="Arial" w:hAnsi="Arial" w:cs="Arial"/>
              </w:rPr>
            </w:pPr>
            <w:r>
              <w:rPr>
                <w:rFonts w:ascii="Arial" w:hAnsi="Arial" w:cs="Arial"/>
              </w:rPr>
              <w:t>21</w:t>
            </w:r>
            <w:r w:rsidR="004C7BC9">
              <w:rPr>
                <w:rFonts w:ascii="Arial" w:hAnsi="Arial" w:cs="Arial"/>
              </w:rPr>
              <w:t xml:space="preserve"> August</w:t>
            </w:r>
            <w:r w:rsidR="00137B9C">
              <w:rPr>
                <w:rFonts w:ascii="Arial" w:hAnsi="Arial" w:cs="Arial"/>
              </w:rPr>
              <w:t xml:space="preserve"> 2024</w:t>
            </w:r>
          </w:p>
        </w:tc>
      </w:tr>
      <w:tr w:rsidR="0096199F" w:rsidRPr="008A568A" w14:paraId="7E7F630F" w14:textId="77777777" w:rsidTr="009B48AC">
        <w:tc>
          <w:tcPr>
            <w:tcW w:w="2552" w:type="dxa"/>
            <w:vMerge/>
          </w:tcPr>
          <w:p w14:paraId="7E7F630C" w14:textId="77777777" w:rsidR="0096199F" w:rsidRPr="00061979" w:rsidRDefault="0096199F" w:rsidP="00520F6B">
            <w:pPr>
              <w:rPr>
                <w:rFonts w:ascii="Arial" w:hAnsi="Arial" w:cs="Arial"/>
              </w:rPr>
            </w:pPr>
          </w:p>
        </w:tc>
        <w:tc>
          <w:tcPr>
            <w:tcW w:w="3544" w:type="dxa"/>
          </w:tcPr>
          <w:p w14:paraId="7E7F630D" w14:textId="77777777" w:rsidR="0096199F" w:rsidRPr="00061979" w:rsidRDefault="0096199F" w:rsidP="00520F6B">
            <w:pPr>
              <w:rPr>
                <w:rFonts w:ascii="Arial" w:hAnsi="Arial" w:cs="Arial"/>
              </w:rPr>
            </w:pPr>
            <w:r w:rsidRPr="00061979">
              <w:rPr>
                <w:rFonts w:ascii="Arial" w:hAnsi="Arial" w:cs="Arial"/>
              </w:rPr>
              <w:t>Proposal submission deadline</w:t>
            </w:r>
            <w:r w:rsidR="00481CB2" w:rsidRPr="00061979">
              <w:rPr>
                <w:rFonts w:ascii="Arial" w:hAnsi="Arial" w:cs="Arial"/>
              </w:rPr>
              <w:t xml:space="preserve"> (Closing date)</w:t>
            </w:r>
          </w:p>
        </w:tc>
        <w:tc>
          <w:tcPr>
            <w:tcW w:w="2409" w:type="dxa"/>
          </w:tcPr>
          <w:p w14:paraId="7E7F630E" w14:textId="6183D174" w:rsidR="0096199F" w:rsidRPr="00061979" w:rsidRDefault="00F719EE" w:rsidP="00520F6B">
            <w:pPr>
              <w:rPr>
                <w:rFonts w:ascii="Arial" w:hAnsi="Arial" w:cs="Arial"/>
              </w:rPr>
            </w:pPr>
            <w:r>
              <w:rPr>
                <w:rFonts w:ascii="Arial" w:hAnsi="Arial" w:cs="Arial"/>
              </w:rPr>
              <w:t>30 August</w:t>
            </w:r>
            <w:r w:rsidR="00137B9C">
              <w:rPr>
                <w:rFonts w:ascii="Arial" w:hAnsi="Arial" w:cs="Arial"/>
              </w:rPr>
              <w:t xml:space="preserve"> 2024</w:t>
            </w:r>
          </w:p>
        </w:tc>
      </w:tr>
      <w:tr w:rsidR="0096199F" w:rsidRPr="008A568A" w14:paraId="7E7F6313" w14:textId="77777777" w:rsidTr="009B48AC">
        <w:tc>
          <w:tcPr>
            <w:tcW w:w="2552" w:type="dxa"/>
            <w:vMerge w:val="restart"/>
          </w:tcPr>
          <w:p w14:paraId="7E7F6310" w14:textId="77777777" w:rsidR="0096199F" w:rsidRPr="00061979" w:rsidRDefault="0096199F" w:rsidP="00520F6B">
            <w:pPr>
              <w:rPr>
                <w:rFonts w:ascii="Arial" w:hAnsi="Arial" w:cs="Arial"/>
              </w:rPr>
            </w:pPr>
            <w:r w:rsidRPr="00061979">
              <w:rPr>
                <w:rFonts w:ascii="Arial" w:hAnsi="Arial" w:cs="Arial"/>
              </w:rPr>
              <w:t>Selection</w:t>
            </w:r>
          </w:p>
        </w:tc>
        <w:tc>
          <w:tcPr>
            <w:tcW w:w="3544" w:type="dxa"/>
          </w:tcPr>
          <w:p w14:paraId="7E7F6311" w14:textId="73C1986C" w:rsidR="0096199F" w:rsidRPr="00061979" w:rsidRDefault="00CE024F" w:rsidP="00520F6B">
            <w:pPr>
              <w:rPr>
                <w:rFonts w:ascii="Arial" w:hAnsi="Arial" w:cs="Arial"/>
              </w:rPr>
            </w:pPr>
            <w:r w:rsidRPr="00061979">
              <w:rPr>
                <w:rFonts w:ascii="Arial" w:hAnsi="Arial" w:cs="Arial"/>
              </w:rPr>
              <w:t>Commencement of Evaluation</w:t>
            </w:r>
          </w:p>
        </w:tc>
        <w:tc>
          <w:tcPr>
            <w:tcW w:w="2409" w:type="dxa"/>
          </w:tcPr>
          <w:p w14:paraId="7E7F6312" w14:textId="3DB22E19" w:rsidR="0096199F" w:rsidRPr="00061979" w:rsidRDefault="005C01F4" w:rsidP="00520F6B">
            <w:pPr>
              <w:rPr>
                <w:rFonts w:ascii="Arial" w:hAnsi="Arial" w:cs="Arial"/>
              </w:rPr>
            </w:pPr>
            <w:r>
              <w:rPr>
                <w:rFonts w:ascii="Arial" w:hAnsi="Arial" w:cs="Arial"/>
              </w:rPr>
              <w:t>2 September</w:t>
            </w:r>
            <w:r w:rsidR="00137B9C">
              <w:rPr>
                <w:rFonts w:ascii="Arial" w:hAnsi="Arial" w:cs="Arial"/>
              </w:rPr>
              <w:t xml:space="preserve"> 2024</w:t>
            </w:r>
          </w:p>
        </w:tc>
      </w:tr>
      <w:tr w:rsidR="0096199F" w:rsidRPr="008A568A" w14:paraId="7E7F6317" w14:textId="77777777" w:rsidTr="009B48AC">
        <w:tc>
          <w:tcPr>
            <w:tcW w:w="2552" w:type="dxa"/>
            <w:vMerge/>
          </w:tcPr>
          <w:p w14:paraId="7E7F6314" w14:textId="77777777" w:rsidR="0096199F" w:rsidRPr="00061979" w:rsidRDefault="0096199F" w:rsidP="00520F6B">
            <w:pPr>
              <w:rPr>
                <w:rFonts w:ascii="Arial" w:hAnsi="Arial" w:cs="Arial"/>
              </w:rPr>
            </w:pPr>
          </w:p>
        </w:tc>
        <w:tc>
          <w:tcPr>
            <w:tcW w:w="3544" w:type="dxa"/>
          </w:tcPr>
          <w:p w14:paraId="7E7F6315" w14:textId="77777777" w:rsidR="0096199F" w:rsidRPr="00061979" w:rsidRDefault="0096199F" w:rsidP="00520F6B">
            <w:pPr>
              <w:rPr>
                <w:rFonts w:ascii="Arial" w:hAnsi="Arial" w:cs="Arial"/>
              </w:rPr>
            </w:pPr>
            <w:r w:rsidRPr="00061979">
              <w:rPr>
                <w:rFonts w:ascii="Arial" w:hAnsi="Arial" w:cs="Arial"/>
              </w:rPr>
              <w:t>Successful applicant selected and confirmed</w:t>
            </w:r>
          </w:p>
        </w:tc>
        <w:tc>
          <w:tcPr>
            <w:tcW w:w="2409" w:type="dxa"/>
          </w:tcPr>
          <w:p w14:paraId="7E7F6316" w14:textId="69A0DF3C" w:rsidR="0096199F" w:rsidRPr="00061979" w:rsidRDefault="00D12C7D" w:rsidP="00520F6B">
            <w:pPr>
              <w:rPr>
                <w:rFonts w:ascii="Arial" w:hAnsi="Arial" w:cs="Arial"/>
              </w:rPr>
            </w:pPr>
            <w:r>
              <w:rPr>
                <w:rFonts w:ascii="Arial" w:hAnsi="Arial" w:cs="Arial"/>
              </w:rPr>
              <w:t>w/c 16</w:t>
            </w:r>
            <w:r w:rsidRPr="00D12C7D">
              <w:rPr>
                <w:rFonts w:ascii="Arial" w:hAnsi="Arial" w:cs="Arial"/>
                <w:vertAlign w:val="superscript"/>
              </w:rPr>
              <w:t>th</w:t>
            </w:r>
            <w:r>
              <w:rPr>
                <w:rFonts w:ascii="Arial" w:hAnsi="Arial" w:cs="Arial"/>
              </w:rPr>
              <w:t xml:space="preserve"> September</w:t>
            </w:r>
            <w:r w:rsidR="00137B9C">
              <w:rPr>
                <w:rFonts w:ascii="Arial" w:hAnsi="Arial" w:cs="Arial"/>
              </w:rPr>
              <w:t xml:space="preserve"> 2024</w:t>
            </w:r>
          </w:p>
        </w:tc>
      </w:tr>
      <w:tr w:rsidR="0096199F" w:rsidRPr="008A568A" w14:paraId="7E7F631B" w14:textId="77777777" w:rsidTr="009B48AC">
        <w:tc>
          <w:tcPr>
            <w:tcW w:w="2552" w:type="dxa"/>
          </w:tcPr>
          <w:p w14:paraId="7E7F6318" w14:textId="77777777" w:rsidR="0096199F" w:rsidRPr="00061979" w:rsidRDefault="00C12A00" w:rsidP="00520F6B">
            <w:pPr>
              <w:rPr>
                <w:rFonts w:ascii="Arial" w:hAnsi="Arial" w:cs="Arial"/>
              </w:rPr>
            </w:pPr>
            <w:r w:rsidRPr="00061979">
              <w:rPr>
                <w:rFonts w:ascii="Arial" w:hAnsi="Arial" w:cs="Arial"/>
              </w:rPr>
              <w:t>Contract Commencement</w:t>
            </w:r>
          </w:p>
        </w:tc>
        <w:tc>
          <w:tcPr>
            <w:tcW w:w="3544" w:type="dxa"/>
          </w:tcPr>
          <w:p w14:paraId="7E7F6319" w14:textId="77777777" w:rsidR="0096199F" w:rsidRPr="00061979" w:rsidRDefault="0096199F" w:rsidP="00520F6B">
            <w:pPr>
              <w:rPr>
                <w:rFonts w:ascii="Arial" w:hAnsi="Arial" w:cs="Arial"/>
              </w:rPr>
            </w:pPr>
            <w:r w:rsidRPr="00061979">
              <w:rPr>
                <w:rFonts w:ascii="Arial" w:hAnsi="Arial" w:cs="Arial"/>
              </w:rPr>
              <w:t>Successful applicant commences contract</w:t>
            </w:r>
          </w:p>
        </w:tc>
        <w:tc>
          <w:tcPr>
            <w:tcW w:w="2409" w:type="dxa"/>
          </w:tcPr>
          <w:p w14:paraId="7E7F631A" w14:textId="2FEA697B" w:rsidR="0096199F" w:rsidRPr="00061979" w:rsidRDefault="00D12C7D" w:rsidP="00520F6B">
            <w:pPr>
              <w:rPr>
                <w:rFonts w:ascii="Arial" w:hAnsi="Arial" w:cs="Arial"/>
              </w:rPr>
            </w:pPr>
            <w:r>
              <w:rPr>
                <w:rFonts w:ascii="Arial" w:hAnsi="Arial" w:cs="Arial"/>
              </w:rPr>
              <w:t>October</w:t>
            </w:r>
            <w:r w:rsidR="00137B9C">
              <w:rPr>
                <w:rFonts w:ascii="Arial" w:hAnsi="Arial" w:cs="Arial"/>
              </w:rPr>
              <w:t xml:space="preserve"> 2024</w:t>
            </w:r>
          </w:p>
        </w:tc>
      </w:tr>
    </w:tbl>
    <w:p w14:paraId="7E7F631C" w14:textId="6501675C" w:rsidR="00520F6B" w:rsidRPr="00061979" w:rsidRDefault="00520F6B" w:rsidP="00061979">
      <w:pPr>
        <w:rPr>
          <w:rFonts w:ascii="Arial" w:hAnsi="Arial" w:cs="Arial"/>
        </w:rPr>
      </w:pPr>
    </w:p>
    <w:p w14:paraId="56CF3A0B" w14:textId="77777777" w:rsidR="00076C88" w:rsidRPr="00061979" w:rsidRDefault="00076C88" w:rsidP="008119FD">
      <w:pPr>
        <w:pStyle w:val="ListParagraph"/>
        <w:ind w:left="567"/>
        <w:rPr>
          <w:rFonts w:ascii="Arial" w:hAnsi="Arial" w:cs="Arial"/>
        </w:rPr>
      </w:pPr>
    </w:p>
    <w:p w14:paraId="742D1821" w14:textId="3C87C31C" w:rsidR="005C3956" w:rsidRPr="00137B9C" w:rsidRDefault="005C3956" w:rsidP="00EF2527">
      <w:pPr>
        <w:pStyle w:val="ListParagraph"/>
        <w:numPr>
          <w:ilvl w:val="0"/>
          <w:numId w:val="1"/>
        </w:numPr>
        <w:ind w:left="567" w:hanging="567"/>
        <w:rPr>
          <w:rFonts w:ascii="Arial" w:eastAsia="Arial" w:hAnsi="Arial" w:cs="Arial"/>
        </w:rPr>
      </w:pPr>
      <w:r w:rsidRPr="00137B9C">
        <w:rPr>
          <w:rFonts w:ascii="Arial" w:eastAsia="Arial" w:hAnsi="Arial" w:cs="Arial"/>
        </w:rPr>
        <w:t xml:space="preserve">Any </w:t>
      </w:r>
      <w:proofErr w:type="gramStart"/>
      <w:r w:rsidRPr="00137B9C">
        <w:rPr>
          <w:rFonts w:ascii="Arial" w:eastAsia="Arial" w:hAnsi="Arial" w:cs="Arial"/>
        </w:rPr>
        <w:t>clarifications</w:t>
      </w:r>
      <w:proofErr w:type="gramEnd"/>
      <w:r w:rsidRPr="00137B9C">
        <w:rPr>
          <w:rFonts w:ascii="Arial" w:eastAsia="Arial" w:hAnsi="Arial" w:cs="Arial"/>
        </w:rPr>
        <w:t xml:space="preserve"> questions and proposal should be submitted to</w:t>
      </w:r>
      <w:r w:rsidR="00275016" w:rsidRPr="00137B9C">
        <w:rPr>
          <w:rFonts w:ascii="Arial" w:eastAsia="Arial" w:hAnsi="Arial" w:cs="Arial"/>
        </w:rPr>
        <w:t xml:space="preserve"> </w:t>
      </w:r>
      <w:r w:rsidR="00137B9C" w:rsidRPr="00137B9C">
        <w:rPr>
          <w:rFonts w:ascii="Arial" w:eastAsia="Arial" w:hAnsi="Arial" w:cs="Arial"/>
        </w:rPr>
        <w:t>Clare Taylor</w:t>
      </w:r>
      <w:r w:rsidR="002221EB" w:rsidRPr="00137B9C">
        <w:rPr>
          <w:rFonts w:ascii="Arial" w:eastAsia="Arial" w:hAnsi="Arial" w:cs="Arial"/>
        </w:rPr>
        <w:t xml:space="preserve"> at </w:t>
      </w:r>
      <w:r w:rsidR="00137B9C" w:rsidRPr="00AF4A9E">
        <w:rPr>
          <w:rFonts w:ascii="Arial" w:hAnsi="Arial" w:cs="Arial"/>
        </w:rPr>
        <w:t>ctaylor1</w:t>
      </w:r>
      <w:r w:rsidR="009D1C6A" w:rsidRPr="00AF4A9E">
        <w:rPr>
          <w:rFonts w:ascii="Arial" w:hAnsi="Arial" w:cs="Arial"/>
        </w:rPr>
        <w:t>@lambeth.gov.uk</w:t>
      </w:r>
      <w:r w:rsidR="004F5BAE" w:rsidRPr="00137B9C">
        <w:rPr>
          <w:rFonts w:ascii="Arial" w:eastAsia="Arial" w:hAnsi="Arial" w:cs="Arial"/>
        </w:rPr>
        <w:t xml:space="preserve"> </w:t>
      </w:r>
      <w:r w:rsidRPr="00137B9C">
        <w:rPr>
          <w:rFonts w:ascii="Arial" w:eastAsia="Arial" w:hAnsi="Arial" w:cs="Arial"/>
        </w:rPr>
        <w:t xml:space="preserve">by the relevant deadlines as per Table </w:t>
      </w:r>
      <w:r w:rsidR="0082419C" w:rsidRPr="00137B9C">
        <w:rPr>
          <w:rFonts w:ascii="Arial" w:eastAsia="Arial" w:hAnsi="Arial" w:cs="Arial"/>
        </w:rPr>
        <w:t>3</w:t>
      </w:r>
      <w:r w:rsidRPr="00137B9C">
        <w:rPr>
          <w:rFonts w:ascii="Arial" w:eastAsia="Arial" w:hAnsi="Arial" w:cs="Arial"/>
        </w:rPr>
        <w:t xml:space="preserve"> above.</w:t>
      </w:r>
    </w:p>
    <w:p w14:paraId="79C9DD84" w14:textId="77777777" w:rsidR="00757342" w:rsidRPr="00061979" w:rsidRDefault="00757342" w:rsidP="00757342">
      <w:pPr>
        <w:pStyle w:val="ListParagraph"/>
        <w:ind w:left="567"/>
        <w:rPr>
          <w:rFonts w:ascii="Arial" w:eastAsia="Arial" w:hAnsi="Arial" w:cs="Arial"/>
        </w:rPr>
      </w:pPr>
    </w:p>
    <w:p w14:paraId="7E7F6327" w14:textId="3098DAE7" w:rsidR="00931D44" w:rsidRPr="005D35F3" w:rsidRDefault="00076C88" w:rsidP="00EF2527">
      <w:pPr>
        <w:pStyle w:val="ListParagraph"/>
        <w:numPr>
          <w:ilvl w:val="0"/>
          <w:numId w:val="1"/>
        </w:numPr>
        <w:ind w:left="567" w:hanging="567"/>
        <w:rPr>
          <w:rFonts w:ascii="Arial" w:hAnsi="Arial" w:cs="Arial"/>
        </w:rPr>
      </w:pPr>
      <w:r w:rsidRPr="005D35F3">
        <w:rPr>
          <w:rFonts w:ascii="Arial" w:hAnsi="Arial" w:cs="Arial"/>
        </w:rPr>
        <w:t xml:space="preserve">The proposed period of the contract </w:t>
      </w:r>
      <w:r w:rsidR="001E5C4E" w:rsidRPr="005D35F3">
        <w:rPr>
          <w:rFonts w:ascii="Arial" w:hAnsi="Arial" w:cs="Arial"/>
        </w:rPr>
        <w:t>is expected to run from</w:t>
      </w:r>
      <w:r w:rsidRPr="005D35F3">
        <w:rPr>
          <w:rFonts w:ascii="Arial" w:hAnsi="Arial" w:cs="Arial"/>
        </w:rPr>
        <w:t xml:space="preserve"> </w:t>
      </w:r>
      <w:r w:rsidR="00E716D3">
        <w:rPr>
          <w:rFonts w:ascii="Arial" w:hAnsi="Arial" w:cs="Arial"/>
        </w:rPr>
        <w:t>October</w:t>
      </w:r>
      <w:r w:rsidR="009D1C6A">
        <w:rPr>
          <w:rFonts w:ascii="Arial" w:hAnsi="Arial" w:cs="Arial"/>
        </w:rPr>
        <w:t xml:space="preserve"> </w:t>
      </w:r>
      <w:r w:rsidR="0082419C">
        <w:rPr>
          <w:rFonts w:ascii="Arial" w:hAnsi="Arial" w:cs="Arial"/>
        </w:rPr>
        <w:t>20</w:t>
      </w:r>
      <w:r w:rsidR="00137B9C">
        <w:rPr>
          <w:rFonts w:ascii="Arial" w:hAnsi="Arial" w:cs="Arial"/>
        </w:rPr>
        <w:t>24</w:t>
      </w:r>
      <w:r w:rsidR="0082419C">
        <w:rPr>
          <w:rFonts w:ascii="Arial" w:hAnsi="Arial" w:cs="Arial"/>
        </w:rPr>
        <w:t xml:space="preserve">.  </w:t>
      </w:r>
    </w:p>
    <w:p w14:paraId="7E7F6328" w14:textId="77777777" w:rsidR="0002564A" w:rsidRPr="00061979" w:rsidRDefault="0002564A" w:rsidP="0002564A">
      <w:pPr>
        <w:pStyle w:val="Heading1"/>
        <w:ind w:left="567" w:hanging="567"/>
        <w:rPr>
          <w:rFonts w:ascii="Arial" w:hAnsi="Arial" w:cs="Arial"/>
          <w:sz w:val="22"/>
          <w:szCs w:val="22"/>
        </w:rPr>
      </w:pPr>
      <w:r w:rsidRPr="00061979">
        <w:rPr>
          <w:rFonts w:ascii="Arial" w:hAnsi="Arial" w:cs="Arial"/>
          <w:sz w:val="22"/>
          <w:szCs w:val="22"/>
        </w:rPr>
        <w:t>Tender Evaluation</w:t>
      </w:r>
    </w:p>
    <w:p w14:paraId="7E7F6329" w14:textId="77777777" w:rsidR="0002564A" w:rsidRPr="00061979" w:rsidRDefault="0002564A" w:rsidP="0002564A">
      <w:pPr>
        <w:autoSpaceDE w:val="0"/>
        <w:autoSpaceDN w:val="0"/>
        <w:adjustRightInd w:val="0"/>
        <w:spacing w:after="0" w:line="240" w:lineRule="auto"/>
        <w:rPr>
          <w:rFonts w:ascii="Arial" w:hAnsi="Arial" w:cs="Arial"/>
        </w:rPr>
      </w:pPr>
    </w:p>
    <w:p w14:paraId="7E7F632A" w14:textId="1B9BC9AA" w:rsidR="0002564A" w:rsidRPr="00061979" w:rsidRDefault="0002564A"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The </w:t>
      </w:r>
      <w:r w:rsidR="00C12A00" w:rsidRPr="00061979">
        <w:rPr>
          <w:rFonts w:ascii="Arial" w:hAnsi="Arial" w:cs="Arial"/>
        </w:rPr>
        <w:t>ratio</w:t>
      </w:r>
      <w:r w:rsidRPr="00061979">
        <w:rPr>
          <w:rFonts w:ascii="Arial" w:hAnsi="Arial" w:cs="Arial"/>
        </w:rPr>
        <w:t xml:space="preserve"> that will be used to evaluate the tenders is as follows:</w:t>
      </w:r>
    </w:p>
    <w:p w14:paraId="7E7F632B" w14:textId="77777777" w:rsidR="0002564A" w:rsidRPr="00061979" w:rsidRDefault="0002564A" w:rsidP="0002564A">
      <w:pPr>
        <w:pStyle w:val="ListParagraph"/>
        <w:autoSpaceDE w:val="0"/>
        <w:autoSpaceDN w:val="0"/>
        <w:adjustRightInd w:val="0"/>
        <w:spacing w:after="0" w:line="240" w:lineRule="auto"/>
        <w:rPr>
          <w:rFonts w:ascii="Arial" w:hAnsi="Arial" w:cs="Arial"/>
        </w:rPr>
      </w:pPr>
    </w:p>
    <w:p w14:paraId="7E7F632D" w14:textId="7B5EFD6E" w:rsidR="0002564A" w:rsidRPr="00061979" w:rsidRDefault="0002564A" w:rsidP="00EF2527">
      <w:pPr>
        <w:pStyle w:val="ListParagraph"/>
        <w:numPr>
          <w:ilvl w:val="1"/>
          <w:numId w:val="3"/>
        </w:numPr>
        <w:autoSpaceDE w:val="0"/>
        <w:autoSpaceDN w:val="0"/>
        <w:adjustRightInd w:val="0"/>
        <w:spacing w:after="0" w:line="240" w:lineRule="auto"/>
        <w:rPr>
          <w:rFonts w:ascii="Arial" w:hAnsi="Arial" w:cs="Arial"/>
        </w:rPr>
      </w:pPr>
      <w:r w:rsidRPr="00061979">
        <w:rPr>
          <w:rFonts w:ascii="Arial" w:hAnsi="Arial" w:cs="Arial"/>
        </w:rPr>
        <w:t xml:space="preserve">Quality – </w:t>
      </w:r>
      <w:r w:rsidR="004C4067">
        <w:rPr>
          <w:rFonts w:ascii="Arial" w:hAnsi="Arial" w:cs="Arial"/>
        </w:rPr>
        <w:t>65</w:t>
      </w:r>
      <w:r w:rsidRPr="00061979">
        <w:rPr>
          <w:rFonts w:ascii="Arial" w:hAnsi="Arial" w:cs="Arial"/>
        </w:rPr>
        <w:t>%</w:t>
      </w:r>
    </w:p>
    <w:p w14:paraId="1B34904D" w14:textId="4711710A" w:rsidR="007C2A78" w:rsidRPr="00061979" w:rsidRDefault="007C2A78" w:rsidP="00EF2527">
      <w:pPr>
        <w:pStyle w:val="ListParagraph"/>
        <w:numPr>
          <w:ilvl w:val="1"/>
          <w:numId w:val="3"/>
        </w:numPr>
        <w:autoSpaceDE w:val="0"/>
        <w:autoSpaceDN w:val="0"/>
        <w:adjustRightInd w:val="0"/>
        <w:spacing w:after="0" w:line="240" w:lineRule="auto"/>
        <w:rPr>
          <w:rFonts w:ascii="Arial" w:hAnsi="Arial" w:cs="Arial"/>
        </w:rPr>
      </w:pPr>
      <w:r w:rsidRPr="00061979">
        <w:rPr>
          <w:rFonts w:ascii="Arial" w:hAnsi="Arial" w:cs="Arial"/>
        </w:rPr>
        <w:t xml:space="preserve">Price – </w:t>
      </w:r>
      <w:r w:rsidR="004C4067">
        <w:rPr>
          <w:rFonts w:ascii="Arial" w:hAnsi="Arial" w:cs="Arial"/>
        </w:rPr>
        <w:t>35</w:t>
      </w:r>
      <w:r w:rsidRPr="00061979">
        <w:rPr>
          <w:rFonts w:ascii="Arial" w:hAnsi="Arial" w:cs="Arial"/>
        </w:rPr>
        <w:t>%</w:t>
      </w:r>
    </w:p>
    <w:p w14:paraId="7F6D049D" w14:textId="77777777" w:rsidR="007C2A78" w:rsidRPr="00061979" w:rsidRDefault="007C2A78" w:rsidP="009B48AC">
      <w:pPr>
        <w:pStyle w:val="ListParagraph"/>
        <w:autoSpaceDE w:val="0"/>
        <w:autoSpaceDN w:val="0"/>
        <w:adjustRightInd w:val="0"/>
        <w:spacing w:after="0" w:line="240" w:lineRule="auto"/>
        <w:ind w:left="1440"/>
        <w:rPr>
          <w:rFonts w:ascii="Arial" w:hAnsi="Arial" w:cs="Arial"/>
        </w:rPr>
      </w:pPr>
    </w:p>
    <w:p w14:paraId="53D80C53" w14:textId="77777777" w:rsidR="008948CC" w:rsidRPr="00061979" w:rsidRDefault="008948CC" w:rsidP="008948CC">
      <w:pPr>
        <w:autoSpaceDE w:val="0"/>
        <w:autoSpaceDN w:val="0"/>
        <w:adjustRightInd w:val="0"/>
        <w:spacing w:after="0" w:line="240" w:lineRule="auto"/>
        <w:rPr>
          <w:rFonts w:ascii="Arial" w:hAnsi="Arial" w:cs="Arial"/>
          <w:b/>
          <w:bCs/>
        </w:rPr>
      </w:pPr>
    </w:p>
    <w:p w14:paraId="7E7F632E" w14:textId="46F68C9B" w:rsidR="0002564A" w:rsidRPr="00061979" w:rsidRDefault="00D96CD1" w:rsidP="00354215">
      <w:pPr>
        <w:autoSpaceDE w:val="0"/>
        <w:autoSpaceDN w:val="0"/>
        <w:adjustRightInd w:val="0"/>
        <w:spacing w:after="0" w:line="240" w:lineRule="auto"/>
        <w:ind w:left="567"/>
        <w:rPr>
          <w:rFonts w:ascii="Arial" w:hAnsi="Arial" w:cs="Arial"/>
          <w:b/>
          <w:bCs/>
        </w:rPr>
      </w:pPr>
      <w:r w:rsidRPr="00061979">
        <w:rPr>
          <w:rFonts w:ascii="Arial" w:hAnsi="Arial" w:cs="Arial"/>
          <w:b/>
          <w:bCs/>
        </w:rPr>
        <w:t>a</w:t>
      </w:r>
      <w:r w:rsidR="008948CC" w:rsidRPr="00061979">
        <w:rPr>
          <w:rFonts w:ascii="Arial" w:hAnsi="Arial" w:cs="Arial"/>
          <w:b/>
          <w:bCs/>
        </w:rPr>
        <w:t>. Quality evaluation</w:t>
      </w:r>
    </w:p>
    <w:p w14:paraId="086F5417" w14:textId="77777777" w:rsidR="008948CC" w:rsidRPr="00061979" w:rsidRDefault="008948CC" w:rsidP="00623D28">
      <w:pPr>
        <w:autoSpaceDE w:val="0"/>
        <w:autoSpaceDN w:val="0"/>
        <w:adjustRightInd w:val="0"/>
        <w:spacing w:after="0" w:line="240" w:lineRule="auto"/>
        <w:rPr>
          <w:rFonts w:ascii="Arial" w:hAnsi="Arial" w:cs="Arial"/>
        </w:rPr>
      </w:pPr>
    </w:p>
    <w:p w14:paraId="4FD2FE5B" w14:textId="0642662D" w:rsidR="00BE6422" w:rsidRPr="00061979" w:rsidRDefault="00BE6422" w:rsidP="00EF2527">
      <w:pPr>
        <w:pStyle w:val="ListParagraph"/>
        <w:numPr>
          <w:ilvl w:val="0"/>
          <w:numId w:val="1"/>
        </w:numPr>
        <w:ind w:left="567" w:hanging="567"/>
        <w:rPr>
          <w:rFonts w:ascii="Arial" w:hAnsi="Arial" w:cs="Arial"/>
        </w:rPr>
      </w:pPr>
      <w:r w:rsidRPr="00061979">
        <w:rPr>
          <w:rFonts w:ascii="Arial" w:hAnsi="Arial" w:cs="Arial"/>
        </w:rPr>
        <w:t xml:space="preserve">Proposals should </w:t>
      </w:r>
      <w:proofErr w:type="gramStart"/>
      <w:r w:rsidRPr="00061979">
        <w:rPr>
          <w:rFonts w:ascii="Arial" w:hAnsi="Arial" w:cs="Arial"/>
        </w:rPr>
        <w:t>take into account</w:t>
      </w:r>
      <w:proofErr w:type="gramEnd"/>
      <w:r w:rsidRPr="00061979">
        <w:rPr>
          <w:rFonts w:ascii="Arial" w:hAnsi="Arial" w:cs="Arial"/>
        </w:rPr>
        <w:t xml:space="preserve"> the requirements laid out in the specification section of this document.</w:t>
      </w:r>
    </w:p>
    <w:p w14:paraId="3C56831F" w14:textId="77777777" w:rsidR="00BE6422" w:rsidRPr="00061979" w:rsidRDefault="00BE6422" w:rsidP="00757342">
      <w:pPr>
        <w:pStyle w:val="ListParagraph"/>
        <w:ind w:left="567"/>
        <w:rPr>
          <w:rFonts w:ascii="Arial" w:hAnsi="Arial" w:cs="Arial"/>
        </w:rPr>
      </w:pPr>
    </w:p>
    <w:p w14:paraId="7E7F632F" w14:textId="2D7BF670" w:rsidR="0002564A" w:rsidRPr="00061979" w:rsidRDefault="00365482"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T</w:t>
      </w:r>
      <w:r w:rsidR="0002564A" w:rsidRPr="00061979">
        <w:rPr>
          <w:rFonts w:ascii="Arial" w:hAnsi="Arial" w:cs="Arial"/>
        </w:rPr>
        <w:t xml:space="preserve">he proposal components along with the minimum acceptable score, </w:t>
      </w:r>
      <w:r w:rsidR="00520F8C" w:rsidRPr="00061979">
        <w:rPr>
          <w:rFonts w:ascii="Arial" w:hAnsi="Arial" w:cs="Arial"/>
        </w:rPr>
        <w:t xml:space="preserve">the </w:t>
      </w:r>
      <w:r w:rsidR="002F09D9" w:rsidRPr="00061979">
        <w:rPr>
          <w:rFonts w:ascii="Arial" w:hAnsi="Arial" w:cs="Arial"/>
        </w:rPr>
        <w:t>marks available</w:t>
      </w:r>
      <w:r w:rsidR="0002564A" w:rsidRPr="00061979">
        <w:rPr>
          <w:rFonts w:ascii="Arial" w:hAnsi="Arial" w:cs="Arial"/>
        </w:rPr>
        <w:t xml:space="preserve"> and weighting</w:t>
      </w:r>
      <w:r w:rsidR="00520F8C" w:rsidRPr="00061979">
        <w:rPr>
          <w:rFonts w:ascii="Arial" w:hAnsi="Arial" w:cs="Arial"/>
        </w:rPr>
        <w:t>s</w:t>
      </w:r>
      <w:r w:rsidR="0002564A" w:rsidRPr="00061979">
        <w:rPr>
          <w:rFonts w:ascii="Arial" w:hAnsi="Arial" w:cs="Arial"/>
        </w:rPr>
        <w:t xml:space="preserve"> are set out below:</w:t>
      </w:r>
    </w:p>
    <w:p w14:paraId="7E7F6331" w14:textId="2C462BF6" w:rsidR="00764B4F" w:rsidRDefault="00764B4F">
      <w:pPr>
        <w:rPr>
          <w:rFonts w:ascii="Arial" w:hAnsi="Arial" w:cs="Arial"/>
        </w:rPr>
      </w:pPr>
    </w:p>
    <w:p w14:paraId="1B113E75" w14:textId="229050EC" w:rsidR="002F09D9" w:rsidRPr="002F09D9" w:rsidRDefault="002F09D9" w:rsidP="002F09D9">
      <w:pPr>
        <w:ind w:left="567"/>
        <w:rPr>
          <w:rFonts w:ascii="Arial" w:hAnsi="Arial" w:cs="Arial"/>
          <w:b/>
          <w:bCs/>
        </w:rPr>
      </w:pPr>
      <w:r w:rsidRPr="002F09D9">
        <w:rPr>
          <w:rFonts w:ascii="Arial" w:hAnsi="Arial" w:cs="Arial"/>
          <w:b/>
          <w:bCs/>
        </w:rPr>
        <w:t xml:space="preserve">Table </w:t>
      </w:r>
      <w:r w:rsidR="004D7376">
        <w:rPr>
          <w:rFonts w:ascii="Arial" w:hAnsi="Arial" w:cs="Arial"/>
          <w:b/>
          <w:bCs/>
        </w:rPr>
        <w:t>4</w:t>
      </w:r>
    </w:p>
    <w:tbl>
      <w:tblPr>
        <w:tblStyle w:val="TableGrid"/>
        <w:tblW w:w="8762" w:type="dxa"/>
        <w:tblInd w:w="704" w:type="dxa"/>
        <w:tblLayout w:type="fixed"/>
        <w:tblLook w:val="04A0" w:firstRow="1" w:lastRow="0" w:firstColumn="1" w:lastColumn="0" w:noHBand="0" w:noVBand="1"/>
      </w:tblPr>
      <w:tblGrid>
        <w:gridCol w:w="1701"/>
        <w:gridCol w:w="4510"/>
        <w:gridCol w:w="1418"/>
        <w:gridCol w:w="1133"/>
      </w:tblGrid>
      <w:tr w:rsidR="006413B6" w:rsidRPr="008A568A" w14:paraId="7E7F6339" w14:textId="77777777" w:rsidTr="005B6DD5">
        <w:tc>
          <w:tcPr>
            <w:tcW w:w="1701" w:type="dxa"/>
          </w:tcPr>
          <w:p w14:paraId="7E7F6332" w14:textId="77777777" w:rsidR="00636AA5" w:rsidRPr="00061979" w:rsidRDefault="00636AA5">
            <w:pPr>
              <w:autoSpaceDE w:val="0"/>
              <w:autoSpaceDN w:val="0"/>
              <w:adjustRightInd w:val="0"/>
              <w:rPr>
                <w:rFonts w:ascii="Arial" w:hAnsi="Arial" w:cs="Arial"/>
                <w:b/>
              </w:rPr>
            </w:pPr>
            <w:bookmarkStart w:id="1" w:name="OLE_LINK1"/>
            <w:r w:rsidRPr="00061979">
              <w:rPr>
                <w:rFonts w:ascii="Arial" w:hAnsi="Arial" w:cs="Arial"/>
                <w:b/>
              </w:rPr>
              <w:t>Type</w:t>
            </w:r>
          </w:p>
        </w:tc>
        <w:tc>
          <w:tcPr>
            <w:tcW w:w="4510" w:type="dxa"/>
          </w:tcPr>
          <w:p w14:paraId="7E7F6333" w14:textId="77777777" w:rsidR="00636AA5" w:rsidRPr="00061979" w:rsidRDefault="00636AA5">
            <w:pPr>
              <w:autoSpaceDE w:val="0"/>
              <w:autoSpaceDN w:val="0"/>
              <w:adjustRightInd w:val="0"/>
              <w:rPr>
                <w:rFonts w:ascii="Arial" w:hAnsi="Arial" w:cs="Arial"/>
                <w:b/>
              </w:rPr>
            </w:pPr>
            <w:r w:rsidRPr="00061979">
              <w:rPr>
                <w:rFonts w:ascii="Arial" w:hAnsi="Arial" w:cs="Arial"/>
                <w:b/>
              </w:rPr>
              <w:t>Questions</w:t>
            </w:r>
          </w:p>
        </w:tc>
        <w:tc>
          <w:tcPr>
            <w:tcW w:w="1418" w:type="dxa"/>
          </w:tcPr>
          <w:p w14:paraId="7E7F6335" w14:textId="59973B4D" w:rsidR="00636AA5" w:rsidRPr="00061979" w:rsidRDefault="00520F8C" w:rsidP="00636AA5">
            <w:pPr>
              <w:autoSpaceDE w:val="0"/>
              <w:autoSpaceDN w:val="0"/>
              <w:adjustRightInd w:val="0"/>
              <w:jc w:val="center"/>
              <w:rPr>
                <w:rFonts w:ascii="Arial" w:hAnsi="Arial" w:cs="Arial"/>
                <w:b/>
              </w:rPr>
            </w:pPr>
            <w:r w:rsidRPr="00061979">
              <w:rPr>
                <w:rFonts w:ascii="Arial" w:hAnsi="Arial" w:cs="Arial"/>
                <w:b/>
              </w:rPr>
              <w:t>Marks Available</w:t>
            </w:r>
            <w:r w:rsidR="00636AA5" w:rsidRPr="00061979">
              <w:rPr>
                <w:rFonts w:ascii="Arial" w:hAnsi="Arial" w:cs="Arial"/>
                <w:b/>
              </w:rPr>
              <w:t xml:space="preserve">  </w:t>
            </w:r>
          </w:p>
        </w:tc>
        <w:tc>
          <w:tcPr>
            <w:tcW w:w="1133" w:type="dxa"/>
          </w:tcPr>
          <w:p w14:paraId="7E7F6336" w14:textId="18D1DB86" w:rsidR="00636AA5" w:rsidRPr="00061979" w:rsidRDefault="00636AA5" w:rsidP="00845E0F">
            <w:pPr>
              <w:autoSpaceDE w:val="0"/>
              <w:autoSpaceDN w:val="0"/>
              <w:adjustRightInd w:val="0"/>
              <w:jc w:val="center"/>
              <w:rPr>
                <w:rFonts w:ascii="Arial" w:hAnsi="Arial" w:cs="Arial"/>
                <w:b/>
              </w:rPr>
            </w:pPr>
            <w:r w:rsidRPr="00061979">
              <w:rPr>
                <w:rFonts w:ascii="Arial" w:hAnsi="Arial" w:cs="Arial"/>
                <w:b/>
              </w:rPr>
              <w:t>Weight</w:t>
            </w:r>
            <w:r w:rsidR="00520F8C" w:rsidRPr="00061979">
              <w:rPr>
                <w:rFonts w:ascii="Arial" w:hAnsi="Arial" w:cs="Arial"/>
                <w:b/>
              </w:rPr>
              <w:t>ing</w:t>
            </w:r>
            <w:r w:rsidRPr="00061979">
              <w:rPr>
                <w:rFonts w:ascii="Arial" w:hAnsi="Arial" w:cs="Arial"/>
                <w:b/>
              </w:rPr>
              <w:t xml:space="preserve"> % </w:t>
            </w:r>
          </w:p>
        </w:tc>
      </w:tr>
      <w:tr w:rsidR="006413B6" w:rsidRPr="008A568A" w14:paraId="7E7F6342" w14:textId="77777777" w:rsidTr="005B6DD5">
        <w:tc>
          <w:tcPr>
            <w:tcW w:w="1701" w:type="dxa"/>
          </w:tcPr>
          <w:p w14:paraId="7E7F633A" w14:textId="56A72715" w:rsidR="00636AA5" w:rsidRPr="00061979" w:rsidRDefault="005B6DD5" w:rsidP="009933EC">
            <w:pPr>
              <w:autoSpaceDE w:val="0"/>
              <w:autoSpaceDN w:val="0"/>
              <w:adjustRightInd w:val="0"/>
              <w:rPr>
                <w:rFonts w:ascii="Arial" w:hAnsi="Arial" w:cs="Arial"/>
                <w:b/>
              </w:rPr>
            </w:pPr>
            <w:r>
              <w:rPr>
                <w:rFonts w:ascii="Arial" w:hAnsi="Arial" w:cs="Arial"/>
                <w:b/>
              </w:rPr>
              <w:t>Technical Requirements</w:t>
            </w:r>
          </w:p>
          <w:p w14:paraId="7E7F633B" w14:textId="77777777" w:rsidR="00636AA5" w:rsidRPr="00061979" w:rsidRDefault="00636AA5" w:rsidP="009933EC">
            <w:pPr>
              <w:autoSpaceDE w:val="0"/>
              <w:autoSpaceDN w:val="0"/>
              <w:adjustRightInd w:val="0"/>
              <w:rPr>
                <w:rFonts w:ascii="Arial" w:hAnsi="Arial" w:cs="Arial"/>
                <w:b/>
              </w:rPr>
            </w:pPr>
          </w:p>
        </w:tc>
        <w:tc>
          <w:tcPr>
            <w:tcW w:w="4510" w:type="dxa"/>
          </w:tcPr>
          <w:p w14:paraId="4D9FD1AD" w14:textId="77777777" w:rsidR="00660311" w:rsidRDefault="006413B6" w:rsidP="00660311">
            <w:pPr>
              <w:pStyle w:val="ListParagraph"/>
              <w:numPr>
                <w:ilvl w:val="0"/>
                <w:numId w:val="6"/>
              </w:numPr>
              <w:rPr>
                <w:rFonts w:ascii="Arial" w:hAnsi="Arial" w:cs="Arial"/>
                <w:bCs/>
              </w:rPr>
            </w:pPr>
            <w:r w:rsidRPr="00660311">
              <w:rPr>
                <w:rFonts w:ascii="Arial" w:hAnsi="Arial" w:cs="Arial"/>
                <w:bCs/>
              </w:rPr>
              <w:t>Please detail your knowledge of the legislative requirements around Basement construction and design for planning applications</w:t>
            </w:r>
            <w:r w:rsidR="00660311" w:rsidRPr="00660311">
              <w:rPr>
                <w:rFonts w:ascii="Arial" w:hAnsi="Arial" w:cs="Arial"/>
                <w:bCs/>
              </w:rPr>
              <w:t xml:space="preserve"> </w:t>
            </w:r>
            <w:r w:rsidR="00660311">
              <w:rPr>
                <w:rFonts w:ascii="Arial" w:hAnsi="Arial" w:cs="Arial"/>
                <w:bCs/>
              </w:rPr>
              <w:t xml:space="preserve">including </w:t>
            </w:r>
            <w:r w:rsidR="00660311" w:rsidRPr="00660311">
              <w:rPr>
                <w:rFonts w:ascii="Arial" w:hAnsi="Arial" w:cs="Arial"/>
                <w:bCs/>
              </w:rPr>
              <w:t xml:space="preserve">details </w:t>
            </w:r>
            <w:r w:rsidR="00660311" w:rsidRPr="00660311">
              <w:rPr>
                <w:rFonts w:ascii="Arial" w:hAnsi="Arial" w:cs="Arial"/>
                <w:bCs/>
              </w:rPr>
              <w:lastRenderedPageBreak/>
              <w:t>of expertise on listed buildings</w:t>
            </w:r>
            <w:r w:rsidR="009D1C6A">
              <w:rPr>
                <w:rFonts w:ascii="Arial" w:hAnsi="Arial" w:cs="Arial"/>
                <w:bCs/>
              </w:rPr>
              <w:t xml:space="preserve"> and basement construction with </w:t>
            </w:r>
            <w:r w:rsidR="00660311" w:rsidRPr="00660311">
              <w:rPr>
                <w:rFonts w:ascii="Arial" w:hAnsi="Arial" w:cs="Arial"/>
                <w:bCs/>
              </w:rPr>
              <w:t xml:space="preserve">adjoining </w:t>
            </w:r>
            <w:r w:rsidR="009D1C6A">
              <w:rPr>
                <w:rFonts w:ascii="Arial" w:hAnsi="Arial" w:cs="Arial"/>
                <w:bCs/>
              </w:rPr>
              <w:t>properties</w:t>
            </w:r>
            <w:r w:rsidR="002221EB">
              <w:rPr>
                <w:rFonts w:ascii="Arial" w:hAnsi="Arial" w:cs="Arial"/>
                <w:bCs/>
              </w:rPr>
              <w:t xml:space="preserve">. Also </w:t>
            </w:r>
            <w:r w:rsidR="00636224">
              <w:rPr>
                <w:rFonts w:ascii="Arial" w:hAnsi="Arial" w:cs="Arial"/>
                <w:bCs/>
              </w:rPr>
              <w:t xml:space="preserve">provide evidence, experience &amp; approach to the analysis of structure surveys. </w:t>
            </w:r>
          </w:p>
          <w:p w14:paraId="7E7F633D" w14:textId="7A0A7EA1" w:rsidR="009C190A" w:rsidRPr="00660311" w:rsidRDefault="009C190A" w:rsidP="009C190A">
            <w:pPr>
              <w:pStyle w:val="ListParagraph"/>
              <w:ind w:left="394"/>
              <w:rPr>
                <w:rFonts w:ascii="Arial" w:hAnsi="Arial" w:cs="Arial"/>
                <w:bCs/>
              </w:rPr>
            </w:pPr>
          </w:p>
        </w:tc>
        <w:tc>
          <w:tcPr>
            <w:tcW w:w="1418" w:type="dxa"/>
          </w:tcPr>
          <w:p w14:paraId="35D43C2F" w14:textId="77777777" w:rsidR="00520F8C" w:rsidRPr="00061979" w:rsidRDefault="00520F8C" w:rsidP="000607A0">
            <w:pPr>
              <w:autoSpaceDE w:val="0"/>
              <w:autoSpaceDN w:val="0"/>
              <w:adjustRightInd w:val="0"/>
              <w:jc w:val="center"/>
              <w:rPr>
                <w:rFonts w:ascii="Arial" w:hAnsi="Arial" w:cs="Arial"/>
              </w:rPr>
            </w:pPr>
          </w:p>
          <w:p w14:paraId="10C1435D" w14:textId="77777777" w:rsidR="00520F8C" w:rsidRPr="00061979" w:rsidRDefault="00520F8C" w:rsidP="000607A0">
            <w:pPr>
              <w:autoSpaceDE w:val="0"/>
              <w:autoSpaceDN w:val="0"/>
              <w:adjustRightInd w:val="0"/>
              <w:jc w:val="center"/>
              <w:rPr>
                <w:rFonts w:ascii="Arial" w:hAnsi="Arial" w:cs="Arial"/>
              </w:rPr>
            </w:pPr>
          </w:p>
          <w:p w14:paraId="7E7F633E" w14:textId="07F9AF28"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w:t>
            </w:r>
            <w:r w:rsidR="00636AA5" w:rsidRPr="00061979">
              <w:rPr>
                <w:rFonts w:ascii="Arial" w:hAnsi="Arial" w:cs="Arial"/>
              </w:rPr>
              <w:t>5</w:t>
            </w:r>
          </w:p>
        </w:tc>
        <w:tc>
          <w:tcPr>
            <w:tcW w:w="1133" w:type="dxa"/>
          </w:tcPr>
          <w:p w14:paraId="1AAB8EB7" w14:textId="77777777" w:rsidR="00520F8C" w:rsidRPr="00061979" w:rsidRDefault="00520F8C" w:rsidP="000607A0">
            <w:pPr>
              <w:autoSpaceDE w:val="0"/>
              <w:autoSpaceDN w:val="0"/>
              <w:adjustRightInd w:val="0"/>
              <w:jc w:val="center"/>
              <w:rPr>
                <w:rFonts w:ascii="Arial" w:hAnsi="Arial" w:cs="Arial"/>
              </w:rPr>
            </w:pPr>
          </w:p>
          <w:p w14:paraId="20008D18" w14:textId="77777777" w:rsidR="00520F8C" w:rsidRPr="00061979" w:rsidRDefault="00520F8C" w:rsidP="000607A0">
            <w:pPr>
              <w:autoSpaceDE w:val="0"/>
              <w:autoSpaceDN w:val="0"/>
              <w:adjustRightInd w:val="0"/>
              <w:jc w:val="center"/>
              <w:rPr>
                <w:rFonts w:ascii="Arial" w:hAnsi="Arial" w:cs="Arial"/>
              </w:rPr>
            </w:pPr>
          </w:p>
          <w:p w14:paraId="7E7F633F" w14:textId="5FE99B88"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0D292B" w:rsidRPr="008A568A" w14:paraId="1829988A" w14:textId="77777777" w:rsidTr="005B6DD5">
        <w:trPr>
          <w:trHeight w:val="831"/>
        </w:trPr>
        <w:tc>
          <w:tcPr>
            <w:tcW w:w="1701" w:type="dxa"/>
          </w:tcPr>
          <w:p w14:paraId="7B05EB48" w14:textId="691891CB" w:rsidR="000D292B" w:rsidRPr="00061979" w:rsidRDefault="00A92A50" w:rsidP="009933EC">
            <w:pPr>
              <w:autoSpaceDE w:val="0"/>
              <w:autoSpaceDN w:val="0"/>
              <w:adjustRightInd w:val="0"/>
              <w:rPr>
                <w:rFonts w:ascii="Arial" w:hAnsi="Arial" w:cs="Arial"/>
                <w:b/>
              </w:rPr>
            </w:pPr>
            <w:r>
              <w:rPr>
                <w:rFonts w:ascii="Arial" w:hAnsi="Arial" w:cs="Arial"/>
                <w:b/>
              </w:rPr>
              <w:t>Skills and Knowledge</w:t>
            </w:r>
          </w:p>
        </w:tc>
        <w:tc>
          <w:tcPr>
            <w:tcW w:w="4510" w:type="dxa"/>
          </w:tcPr>
          <w:p w14:paraId="192CAFD1" w14:textId="77777777" w:rsidR="000D292B" w:rsidRDefault="000D292B" w:rsidP="002221EB">
            <w:pPr>
              <w:pStyle w:val="ListParagraph"/>
              <w:numPr>
                <w:ilvl w:val="0"/>
                <w:numId w:val="6"/>
              </w:numPr>
              <w:autoSpaceDE w:val="0"/>
              <w:autoSpaceDN w:val="0"/>
              <w:adjustRightInd w:val="0"/>
              <w:rPr>
                <w:rFonts w:ascii="Arial" w:hAnsi="Arial" w:cs="Arial"/>
                <w:bCs/>
              </w:rPr>
            </w:pPr>
            <w:r w:rsidRPr="002221EB">
              <w:rPr>
                <w:rFonts w:ascii="Arial" w:hAnsi="Arial" w:cs="Arial"/>
                <w:bCs/>
              </w:rPr>
              <w:t>Please detail your experience around providing advice reviewing basement impact assessments for Local Authority Planning Services.</w:t>
            </w:r>
          </w:p>
          <w:p w14:paraId="2D201CD9" w14:textId="039FA5C7" w:rsidR="009C190A" w:rsidRPr="002221EB" w:rsidRDefault="009C190A" w:rsidP="009C190A">
            <w:pPr>
              <w:pStyle w:val="ListParagraph"/>
              <w:autoSpaceDE w:val="0"/>
              <w:autoSpaceDN w:val="0"/>
              <w:adjustRightInd w:val="0"/>
              <w:ind w:left="394"/>
              <w:rPr>
                <w:rFonts w:ascii="Arial" w:hAnsi="Arial" w:cs="Arial"/>
                <w:bCs/>
              </w:rPr>
            </w:pPr>
          </w:p>
        </w:tc>
        <w:tc>
          <w:tcPr>
            <w:tcW w:w="1418" w:type="dxa"/>
          </w:tcPr>
          <w:p w14:paraId="43FF75B1" w14:textId="77E9363A" w:rsidR="000D292B" w:rsidRPr="00061979" w:rsidRDefault="007E5ED4" w:rsidP="000607A0">
            <w:pPr>
              <w:autoSpaceDE w:val="0"/>
              <w:autoSpaceDN w:val="0"/>
              <w:adjustRightInd w:val="0"/>
              <w:jc w:val="center"/>
              <w:rPr>
                <w:rFonts w:ascii="Arial" w:hAnsi="Arial" w:cs="Arial"/>
              </w:rPr>
            </w:pPr>
            <w:r>
              <w:rPr>
                <w:rFonts w:ascii="Arial" w:hAnsi="Arial" w:cs="Arial"/>
              </w:rPr>
              <w:t>0-5</w:t>
            </w:r>
          </w:p>
        </w:tc>
        <w:tc>
          <w:tcPr>
            <w:tcW w:w="1133" w:type="dxa"/>
          </w:tcPr>
          <w:p w14:paraId="3A52DE5E" w14:textId="6A16039F" w:rsidR="000D292B" w:rsidRPr="00061979" w:rsidRDefault="00636224" w:rsidP="000607A0">
            <w:pPr>
              <w:autoSpaceDE w:val="0"/>
              <w:autoSpaceDN w:val="0"/>
              <w:adjustRightInd w:val="0"/>
              <w:jc w:val="center"/>
              <w:rPr>
                <w:rFonts w:ascii="Arial" w:hAnsi="Arial" w:cs="Arial"/>
              </w:rPr>
            </w:pPr>
            <w:r>
              <w:rPr>
                <w:rFonts w:ascii="Arial" w:hAnsi="Arial" w:cs="Arial"/>
              </w:rPr>
              <w:t>10%</w:t>
            </w:r>
          </w:p>
        </w:tc>
      </w:tr>
      <w:tr w:rsidR="006413B6" w:rsidRPr="008A568A" w14:paraId="7E7F634A" w14:textId="77777777" w:rsidTr="005B6DD5">
        <w:tc>
          <w:tcPr>
            <w:tcW w:w="1701" w:type="dxa"/>
          </w:tcPr>
          <w:p w14:paraId="7E7F6343" w14:textId="6826C058" w:rsidR="00636AA5" w:rsidRPr="00061979" w:rsidRDefault="00A92A50" w:rsidP="00A92A50">
            <w:pPr>
              <w:pStyle w:val="ListParagraph"/>
              <w:autoSpaceDE w:val="0"/>
              <w:autoSpaceDN w:val="0"/>
              <w:adjustRightInd w:val="0"/>
              <w:ind w:left="0"/>
              <w:rPr>
                <w:rFonts w:ascii="Arial" w:hAnsi="Arial" w:cs="Arial"/>
              </w:rPr>
            </w:pPr>
            <w:r>
              <w:rPr>
                <w:rFonts w:ascii="Arial" w:hAnsi="Arial" w:cs="Arial"/>
                <w:b/>
              </w:rPr>
              <w:t>Skills and Knowledge</w:t>
            </w:r>
          </w:p>
        </w:tc>
        <w:tc>
          <w:tcPr>
            <w:tcW w:w="4510" w:type="dxa"/>
          </w:tcPr>
          <w:p w14:paraId="743D07A5" w14:textId="6FD3F9A1" w:rsidR="006413B6" w:rsidRPr="00A6473F" w:rsidRDefault="006413B6" w:rsidP="00365DD5">
            <w:pPr>
              <w:pStyle w:val="ListParagraph"/>
              <w:numPr>
                <w:ilvl w:val="0"/>
                <w:numId w:val="6"/>
              </w:numPr>
              <w:autoSpaceDE w:val="0"/>
              <w:autoSpaceDN w:val="0"/>
              <w:adjustRightInd w:val="0"/>
              <w:rPr>
                <w:rFonts w:ascii="Arial" w:hAnsi="Arial" w:cs="Arial"/>
                <w:bCs/>
              </w:rPr>
            </w:pPr>
            <w:r w:rsidRPr="00365DD5">
              <w:rPr>
                <w:rFonts w:ascii="Arial" w:hAnsi="Arial" w:cs="Arial"/>
                <w:bCs/>
              </w:rPr>
              <w:t xml:space="preserve">Please demonstrate your understanding and experience in assessing the </w:t>
            </w:r>
            <w:r w:rsidR="007E5ED4">
              <w:rPr>
                <w:rFonts w:ascii="Arial" w:hAnsi="Arial" w:cs="Arial"/>
                <w:bCs/>
              </w:rPr>
              <w:t>integration</w:t>
            </w:r>
            <w:r w:rsidR="007E5ED4" w:rsidRPr="00365DD5">
              <w:rPr>
                <w:rFonts w:ascii="Arial" w:hAnsi="Arial" w:cs="Arial"/>
                <w:bCs/>
              </w:rPr>
              <w:t xml:space="preserve"> </w:t>
            </w:r>
            <w:r w:rsidRPr="00365DD5">
              <w:rPr>
                <w:rFonts w:ascii="Arial" w:hAnsi="Arial" w:cs="Arial"/>
                <w:bCs/>
              </w:rPr>
              <w:t xml:space="preserve">of </w:t>
            </w:r>
            <w:proofErr w:type="gramStart"/>
            <w:r w:rsidRPr="00365DD5">
              <w:rPr>
                <w:rFonts w:ascii="Arial" w:hAnsi="Arial" w:cs="Arial"/>
                <w:bCs/>
              </w:rPr>
              <w:t>plant</w:t>
            </w:r>
            <w:proofErr w:type="gramEnd"/>
            <w:r w:rsidRPr="00365DD5">
              <w:rPr>
                <w:rFonts w:ascii="Arial" w:hAnsi="Arial" w:cs="Arial"/>
                <w:bCs/>
              </w:rPr>
              <w:t xml:space="preserve"> and servicing</w:t>
            </w:r>
            <w:r w:rsidR="007E5ED4">
              <w:rPr>
                <w:rFonts w:ascii="Arial" w:hAnsi="Arial" w:cs="Arial"/>
                <w:bCs/>
              </w:rPr>
              <w:t xml:space="preserve"> within basements</w:t>
            </w:r>
            <w:r w:rsidRPr="00365DD5">
              <w:rPr>
                <w:rFonts w:ascii="Arial" w:hAnsi="Arial" w:cs="Arial"/>
                <w:bCs/>
              </w:rPr>
              <w:t xml:space="preserve">, </w:t>
            </w:r>
            <w:r w:rsidRPr="00A6473F">
              <w:rPr>
                <w:rFonts w:ascii="Arial" w:hAnsi="Arial" w:cs="Arial"/>
                <w:bCs/>
              </w:rPr>
              <w:t xml:space="preserve">ventilation </w:t>
            </w:r>
            <w:r w:rsidR="007E5ED4">
              <w:rPr>
                <w:rFonts w:ascii="Arial" w:hAnsi="Arial" w:cs="Arial"/>
                <w:bCs/>
              </w:rPr>
              <w:t xml:space="preserve">of basements, </w:t>
            </w:r>
            <w:r w:rsidRPr="00A6473F">
              <w:rPr>
                <w:rFonts w:ascii="Arial" w:hAnsi="Arial" w:cs="Arial"/>
                <w:bCs/>
              </w:rPr>
              <w:t>and means of escape in terms of functionality and neighbour amenity.</w:t>
            </w:r>
          </w:p>
          <w:p w14:paraId="7E7F6345" w14:textId="77777777" w:rsidR="00636AA5" w:rsidRPr="00061979" w:rsidRDefault="00636AA5" w:rsidP="00B72851">
            <w:pPr>
              <w:autoSpaceDE w:val="0"/>
              <w:autoSpaceDN w:val="0"/>
              <w:adjustRightInd w:val="0"/>
              <w:ind w:left="318" w:hanging="284"/>
              <w:rPr>
                <w:rFonts w:ascii="Arial" w:hAnsi="Arial" w:cs="Arial"/>
              </w:rPr>
            </w:pPr>
          </w:p>
        </w:tc>
        <w:tc>
          <w:tcPr>
            <w:tcW w:w="1418" w:type="dxa"/>
          </w:tcPr>
          <w:p w14:paraId="53C696C2" w14:textId="77777777" w:rsidR="00520F8C" w:rsidRPr="00061979" w:rsidRDefault="00520F8C" w:rsidP="000607A0">
            <w:pPr>
              <w:autoSpaceDE w:val="0"/>
              <w:autoSpaceDN w:val="0"/>
              <w:adjustRightInd w:val="0"/>
              <w:jc w:val="center"/>
              <w:rPr>
                <w:rFonts w:ascii="Arial" w:hAnsi="Arial" w:cs="Arial"/>
              </w:rPr>
            </w:pPr>
          </w:p>
          <w:p w14:paraId="6DC9BC0A" w14:textId="77777777" w:rsidR="00520F8C" w:rsidRPr="00061979" w:rsidRDefault="00520F8C" w:rsidP="000607A0">
            <w:pPr>
              <w:autoSpaceDE w:val="0"/>
              <w:autoSpaceDN w:val="0"/>
              <w:adjustRightInd w:val="0"/>
              <w:jc w:val="center"/>
              <w:rPr>
                <w:rFonts w:ascii="Arial" w:hAnsi="Arial" w:cs="Arial"/>
              </w:rPr>
            </w:pPr>
          </w:p>
          <w:p w14:paraId="3CCCF794" w14:textId="77777777" w:rsidR="00520F8C" w:rsidRPr="00061979" w:rsidRDefault="00520F8C" w:rsidP="000607A0">
            <w:pPr>
              <w:autoSpaceDE w:val="0"/>
              <w:autoSpaceDN w:val="0"/>
              <w:adjustRightInd w:val="0"/>
              <w:jc w:val="center"/>
              <w:rPr>
                <w:rFonts w:ascii="Arial" w:hAnsi="Arial" w:cs="Arial"/>
              </w:rPr>
            </w:pPr>
          </w:p>
          <w:p w14:paraId="7E7F6346" w14:textId="2807BE33" w:rsidR="00636AA5" w:rsidRPr="00061979" w:rsidRDefault="00520F8C" w:rsidP="00061979">
            <w:pPr>
              <w:autoSpaceDE w:val="0"/>
              <w:autoSpaceDN w:val="0"/>
              <w:adjustRightInd w:val="0"/>
              <w:jc w:val="center"/>
              <w:rPr>
                <w:rFonts w:ascii="Arial" w:hAnsi="Arial" w:cs="Arial"/>
              </w:rPr>
            </w:pPr>
            <w:r w:rsidRPr="00061979">
              <w:rPr>
                <w:rFonts w:ascii="Arial" w:hAnsi="Arial" w:cs="Arial"/>
              </w:rPr>
              <w:t>0-5</w:t>
            </w:r>
          </w:p>
        </w:tc>
        <w:tc>
          <w:tcPr>
            <w:tcW w:w="1133" w:type="dxa"/>
          </w:tcPr>
          <w:p w14:paraId="23F66FCD" w14:textId="77777777" w:rsidR="00520F8C" w:rsidRPr="00061979" w:rsidRDefault="00520F8C" w:rsidP="000607A0">
            <w:pPr>
              <w:autoSpaceDE w:val="0"/>
              <w:autoSpaceDN w:val="0"/>
              <w:adjustRightInd w:val="0"/>
              <w:jc w:val="center"/>
              <w:rPr>
                <w:rFonts w:ascii="Arial" w:hAnsi="Arial" w:cs="Arial"/>
              </w:rPr>
            </w:pPr>
          </w:p>
          <w:p w14:paraId="26DA3825" w14:textId="77777777" w:rsidR="00520F8C" w:rsidRPr="00061979" w:rsidRDefault="00520F8C" w:rsidP="000607A0">
            <w:pPr>
              <w:autoSpaceDE w:val="0"/>
              <w:autoSpaceDN w:val="0"/>
              <w:adjustRightInd w:val="0"/>
              <w:jc w:val="center"/>
              <w:rPr>
                <w:rFonts w:ascii="Arial" w:hAnsi="Arial" w:cs="Arial"/>
              </w:rPr>
            </w:pPr>
          </w:p>
          <w:p w14:paraId="289B0754" w14:textId="77777777" w:rsidR="00520F8C" w:rsidRPr="00061979" w:rsidRDefault="00520F8C" w:rsidP="000607A0">
            <w:pPr>
              <w:autoSpaceDE w:val="0"/>
              <w:autoSpaceDN w:val="0"/>
              <w:adjustRightInd w:val="0"/>
              <w:jc w:val="center"/>
              <w:rPr>
                <w:rFonts w:ascii="Arial" w:hAnsi="Arial" w:cs="Arial"/>
              </w:rPr>
            </w:pPr>
          </w:p>
          <w:p w14:paraId="7E7F6347" w14:textId="43C646E8" w:rsidR="00636AA5" w:rsidRPr="00061979" w:rsidRDefault="00636AA5" w:rsidP="00061979">
            <w:pPr>
              <w:autoSpaceDE w:val="0"/>
              <w:autoSpaceDN w:val="0"/>
              <w:adjustRightInd w:val="0"/>
              <w:jc w:val="center"/>
              <w:rPr>
                <w:rFonts w:ascii="Arial" w:hAnsi="Arial" w:cs="Arial"/>
              </w:rPr>
            </w:pPr>
            <w:r w:rsidRPr="00061979">
              <w:rPr>
                <w:rFonts w:ascii="Arial" w:hAnsi="Arial" w:cs="Arial"/>
              </w:rPr>
              <w:t>10%</w:t>
            </w:r>
          </w:p>
        </w:tc>
      </w:tr>
      <w:tr w:rsidR="000D292B" w:rsidRPr="008A568A" w14:paraId="5DC64F94" w14:textId="77777777" w:rsidTr="005B6DD5">
        <w:tc>
          <w:tcPr>
            <w:tcW w:w="1701" w:type="dxa"/>
          </w:tcPr>
          <w:p w14:paraId="7C44E156" w14:textId="08123ADA" w:rsidR="000D292B" w:rsidRPr="00061979" w:rsidRDefault="00A92A50" w:rsidP="00A92A50">
            <w:pPr>
              <w:pStyle w:val="ListParagraph"/>
              <w:autoSpaceDE w:val="0"/>
              <w:autoSpaceDN w:val="0"/>
              <w:adjustRightInd w:val="0"/>
              <w:ind w:left="0"/>
              <w:rPr>
                <w:rFonts w:ascii="Arial" w:hAnsi="Arial" w:cs="Arial"/>
              </w:rPr>
            </w:pPr>
            <w:r>
              <w:rPr>
                <w:rFonts w:ascii="Arial" w:hAnsi="Arial" w:cs="Arial"/>
                <w:b/>
              </w:rPr>
              <w:t>Skills and Knowledge</w:t>
            </w:r>
          </w:p>
        </w:tc>
        <w:tc>
          <w:tcPr>
            <w:tcW w:w="4510" w:type="dxa"/>
          </w:tcPr>
          <w:p w14:paraId="4C424920" w14:textId="374ED606" w:rsidR="000D292B" w:rsidRPr="00FA6F86" w:rsidRDefault="000D292B" w:rsidP="00365DD5">
            <w:pPr>
              <w:pStyle w:val="ListParagraph"/>
              <w:numPr>
                <w:ilvl w:val="0"/>
                <w:numId w:val="6"/>
              </w:numPr>
              <w:autoSpaceDE w:val="0"/>
              <w:autoSpaceDN w:val="0"/>
              <w:adjustRightInd w:val="0"/>
              <w:rPr>
                <w:rFonts w:ascii="Arial" w:hAnsi="Arial" w:cs="Arial"/>
              </w:rPr>
            </w:pPr>
            <w:r w:rsidRPr="00365DD5">
              <w:rPr>
                <w:rFonts w:ascii="Arial" w:hAnsi="Arial" w:cs="Arial"/>
                <w:bCs/>
              </w:rPr>
              <w:t xml:space="preserve">Please detail your understanding of the local Lambeth policies in relation to </w:t>
            </w:r>
            <w:r w:rsidR="00431A84">
              <w:rPr>
                <w:rFonts w:ascii="Arial" w:hAnsi="Arial" w:cs="Arial"/>
                <w:bCs/>
              </w:rPr>
              <w:t>b</w:t>
            </w:r>
            <w:r w:rsidRPr="00365DD5">
              <w:rPr>
                <w:rFonts w:ascii="Arial" w:hAnsi="Arial" w:cs="Arial"/>
                <w:bCs/>
              </w:rPr>
              <w:t>asement construction within the Borough</w:t>
            </w:r>
            <w:r w:rsidR="00431A84">
              <w:rPr>
                <w:rFonts w:ascii="Arial" w:hAnsi="Arial" w:cs="Arial"/>
                <w:bCs/>
              </w:rPr>
              <w:t>.</w:t>
            </w:r>
          </w:p>
          <w:p w14:paraId="79858817" w14:textId="4B1EF030" w:rsidR="00FA6F86" w:rsidRDefault="00FA6F86" w:rsidP="00FA6F86">
            <w:pPr>
              <w:pStyle w:val="ListParagraph"/>
              <w:autoSpaceDE w:val="0"/>
              <w:autoSpaceDN w:val="0"/>
              <w:adjustRightInd w:val="0"/>
              <w:ind w:left="394"/>
              <w:rPr>
                <w:rFonts w:ascii="Arial" w:hAnsi="Arial" w:cs="Arial"/>
              </w:rPr>
            </w:pPr>
          </w:p>
        </w:tc>
        <w:tc>
          <w:tcPr>
            <w:tcW w:w="1418" w:type="dxa"/>
          </w:tcPr>
          <w:p w14:paraId="12C2D145" w14:textId="43E226D1" w:rsidR="000D292B" w:rsidRPr="00061979" w:rsidRDefault="000D292B" w:rsidP="000D292B">
            <w:pPr>
              <w:autoSpaceDE w:val="0"/>
              <w:autoSpaceDN w:val="0"/>
              <w:adjustRightInd w:val="0"/>
              <w:jc w:val="center"/>
              <w:rPr>
                <w:rFonts w:ascii="Arial" w:hAnsi="Arial" w:cs="Arial"/>
              </w:rPr>
            </w:pPr>
            <w:r w:rsidRPr="00D02379">
              <w:rPr>
                <w:rFonts w:ascii="Arial" w:hAnsi="Arial" w:cs="Arial"/>
              </w:rPr>
              <w:t>0-5</w:t>
            </w:r>
          </w:p>
        </w:tc>
        <w:tc>
          <w:tcPr>
            <w:tcW w:w="1133" w:type="dxa"/>
          </w:tcPr>
          <w:p w14:paraId="56E301BB" w14:textId="2EC6FF2C" w:rsidR="000D292B" w:rsidRPr="00061979" w:rsidRDefault="00636224" w:rsidP="000D292B">
            <w:pPr>
              <w:autoSpaceDE w:val="0"/>
              <w:autoSpaceDN w:val="0"/>
              <w:adjustRightInd w:val="0"/>
              <w:jc w:val="center"/>
              <w:rPr>
                <w:rFonts w:ascii="Arial" w:hAnsi="Arial" w:cs="Arial"/>
              </w:rPr>
            </w:pPr>
            <w:r>
              <w:rPr>
                <w:rFonts w:ascii="Arial" w:hAnsi="Arial" w:cs="Arial"/>
              </w:rPr>
              <w:t>10%</w:t>
            </w:r>
          </w:p>
        </w:tc>
      </w:tr>
      <w:tr w:rsidR="000D292B" w:rsidRPr="008A568A" w14:paraId="0182BA82" w14:textId="77777777" w:rsidTr="005B6DD5">
        <w:tc>
          <w:tcPr>
            <w:tcW w:w="1701" w:type="dxa"/>
          </w:tcPr>
          <w:p w14:paraId="7BA5E2CC" w14:textId="77777777" w:rsidR="00E51B84" w:rsidRPr="00061979" w:rsidRDefault="00E51B84" w:rsidP="00E51B84">
            <w:pPr>
              <w:autoSpaceDE w:val="0"/>
              <w:autoSpaceDN w:val="0"/>
              <w:adjustRightInd w:val="0"/>
              <w:rPr>
                <w:rFonts w:ascii="Arial" w:hAnsi="Arial" w:cs="Arial"/>
                <w:b/>
              </w:rPr>
            </w:pPr>
            <w:r>
              <w:rPr>
                <w:rFonts w:ascii="Arial" w:hAnsi="Arial" w:cs="Arial"/>
                <w:b/>
              </w:rPr>
              <w:t>Technical Requirements</w:t>
            </w:r>
          </w:p>
          <w:p w14:paraId="0FBDE713" w14:textId="77777777" w:rsidR="000D292B" w:rsidRPr="00F602D7" w:rsidRDefault="000D292B" w:rsidP="00F602D7">
            <w:pPr>
              <w:autoSpaceDE w:val="0"/>
              <w:autoSpaceDN w:val="0"/>
              <w:adjustRightInd w:val="0"/>
              <w:rPr>
                <w:rFonts w:ascii="Arial" w:hAnsi="Arial" w:cs="Arial"/>
              </w:rPr>
            </w:pPr>
          </w:p>
        </w:tc>
        <w:tc>
          <w:tcPr>
            <w:tcW w:w="4510" w:type="dxa"/>
          </w:tcPr>
          <w:p w14:paraId="0F39BF6F" w14:textId="19583D19" w:rsidR="000D292B" w:rsidRPr="00365DD5" w:rsidRDefault="000D292B" w:rsidP="00365DD5">
            <w:pPr>
              <w:pStyle w:val="ListParagraph"/>
              <w:numPr>
                <w:ilvl w:val="0"/>
                <w:numId w:val="6"/>
              </w:numPr>
              <w:autoSpaceDE w:val="0"/>
              <w:autoSpaceDN w:val="0"/>
              <w:adjustRightInd w:val="0"/>
              <w:rPr>
                <w:rFonts w:ascii="Arial" w:hAnsi="Arial" w:cs="Arial"/>
                <w:bCs/>
              </w:rPr>
            </w:pPr>
            <w:r w:rsidRPr="00365DD5">
              <w:rPr>
                <w:rFonts w:ascii="Arial" w:hAnsi="Arial" w:cs="Arial"/>
                <w:bCs/>
              </w:rPr>
              <w:t>Please provide detail around your expertise and knowledge for determining applications in the following scenarios, giving case studies</w:t>
            </w:r>
            <w:r w:rsidRPr="00FF6EF9">
              <w:rPr>
                <w:bCs/>
                <w:vertAlign w:val="superscript"/>
              </w:rPr>
              <w:footnoteReference w:id="3"/>
            </w:r>
            <w:r w:rsidRPr="00365DD5">
              <w:rPr>
                <w:rFonts w:ascii="Arial" w:hAnsi="Arial" w:cs="Arial"/>
                <w:bCs/>
              </w:rPr>
              <w:t xml:space="preserve"> as examples for how you would deal with:</w:t>
            </w:r>
          </w:p>
          <w:p w14:paraId="3571AD43" w14:textId="77777777" w:rsidR="000D292B" w:rsidRPr="006413B6" w:rsidRDefault="000D292B" w:rsidP="000D292B">
            <w:pPr>
              <w:pStyle w:val="ListParagraph"/>
              <w:rPr>
                <w:rFonts w:ascii="Arial" w:hAnsi="Arial" w:cs="Arial"/>
                <w:sz w:val="20"/>
                <w:szCs w:val="20"/>
              </w:rPr>
            </w:pPr>
          </w:p>
          <w:p w14:paraId="6510C18F" w14:textId="77777777" w:rsidR="000D292B" w:rsidRPr="006413B6" w:rsidRDefault="000D292B" w:rsidP="00365DD5">
            <w:pPr>
              <w:pStyle w:val="Default"/>
              <w:numPr>
                <w:ilvl w:val="0"/>
                <w:numId w:val="8"/>
              </w:numPr>
              <w:ind w:left="294" w:hanging="294"/>
              <w:rPr>
                <w:rFonts w:ascii="Arial" w:hAnsi="Arial" w:cs="Arial"/>
                <w:sz w:val="22"/>
                <w:szCs w:val="22"/>
              </w:rPr>
            </w:pPr>
            <w:r w:rsidRPr="006413B6">
              <w:rPr>
                <w:rFonts w:ascii="Arial" w:hAnsi="Arial" w:cs="Arial"/>
                <w:sz w:val="22"/>
                <w:szCs w:val="22"/>
              </w:rPr>
              <w:t>Where a scheme requires applicants to proceed beyond the Screening Stage of the Basement Impact Assessment (i.e. where a matter of concern has been identified which requires the preparation of a full Basement Impact Assessment</w:t>
            </w:r>
            <w:proofErr w:type="gramStart"/>
            <w:r w:rsidRPr="006413B6">
              <w:rPr>
                <w:rFonts w:ascii="Arial" w:hAnsi="Arial" w:cs="Arial"/>
                <w:sz w:val="22"/>
                <w:szCs w:val="22"/>
              </w:rPr>
              <w:t>);</w:t>
            </w:r>
            <w:proofErr w:type="gramEnd"/>
            <w:r w:rsidRPr="006413B6">
              <w:rPr>
                <w:rFonts w:ascii="Arial" w:hAnsi="Arial" w:cs="Arial"/>
                <w:sz w:val="22"/>
                <w:szCs w:val="22"/>
              </w:rPr>
              <w:t xml:space="preserve"> </w:t>
            </w:r>
          </w:p>
          <w:p w14:paraId="4EDE87C7" w14:textId="77777777" w:rsidR="000D292B" w:rsidRPr="006413B6" w:rsidRDefault="000D292B" w:rsidP="000D292B">
            <w:pPr>
              <w:pStyle w:val="Default"/>
              <w:ind w:left="709"/>
              <w:rPr>
                <w:rFonts w:ascii="Arial" w:hAnsi="Arial" w:cs="Arial"/>
                <w:sz w:val="22"/>
                <w:szCs w:val="22"/>
              </w:rPr>
            </w:pPr>
          </w:p>
          <w:p w14:paraId="4A0BCEA9" w14:textId="77777777" w:rsidR="000D292B" w:rsidRPr="006413B6" w:rsidRDefault="000D292B" w:rsidP="00431A84">
            <w:pPr>
              <w:pStyle w:val="Default"/>
              <w:numPr>
                <w:ilvl w:val="0"/>
                <w:numId w:val="8"/>
              </w:numPr>
              <w:ind w:left="295" w:hanging="283"/>
              <w:rPr>
                <w:rFonts w:ascii="Arial" w:hAnsi="Arial" w:cs="Arial"/>
                <w:sz w:val="22"/>
                <w:szCs w:val="22"/>
              </w:rPr>
            </w:pPr>
            <w:r w:rsidRPr="006413B6">
              <w:rPr>
                <w:rFonts w:ascii="Arial" w:hAnsi="Arial" w:cs="Arial"/>
                <w:sz w:val="22"/>
                <w:szCs w:val="22"/>
              </w:rPr>
              <w:t xml:space="preserve">Where the proposed basement development is located within an area of concern regarding slope stability, surface water or groundwater flow; or </w:t>
            </w:r>
          </w:p>
          <w:p w14:paraId="4203FC6A" w14:textId="77777777" w:rsidR="000D292B" w:rsidRPr="006413B6" w:rsidRDefault="000D292B" w:rsidP="00431A84">
            <w:pPr>
              <w:pStyle w:val="Default"/>
              <w:ind w:left="295" w:hanging="283"/>
              <w:rPr>
                <w:rFonts w:ascii="Arial" w:hAnsi="Arial" w:cs="Arial"/>
                <w:sz w:val="22"/>
                <w:szCs w:val="22"/>
              </w:rPr>
            </w:pPr>
          </w:p>
          <w:p w14:paraId="2DF7523D" w14:textId="2C769219" w:rsidR="000D292B" w:rsidRDefault="000D292B" w:rsidP="00431A84">
            <w:pPr>
              <w:pStyle w:val="Default"/>
              <w:numPr>
                <w:ilvl w:val="0"/>
                <w:numId w:val="8"/>
              </w:numPr>
              <w:ind w:left="295" w:hanging="283"/>
              <w:rPr>
                <w:rFonts w:ascii="Arial" w:hAnsi="Arial" w:cs="Arial"/>
                <w:sz w:val="22"/>
                <w:szCs w:val="22"/>
              </w:rPr>
            </w:pPr>
            <w:r w:rsidRPr="006413B6">
              <w:rPr>
                <w:rFonts w:ascii="Arial" w:hAnsi="Arial" w:cs="Arial"/>
                <w:sz w:val="22"/>
                <w:szCs w:val="22"/>
              </w:rPr>
              <w:t>For any other basement applications where the Council feels that independent verification would be appropriate (e.g. where conflicting evidence is provided in response to a proposal</w:t>
            </w:r>
            <w:r w:rsidR="00FF6EF9">
              <w:rPr>
                <w:rFonts w:ascii="Arial" w:hAnsi="Arial" w:cs="Arial"/>
                <w:sz w:val="22"/>
                <w:szCs w:val="22"/>
              </w:rPr>
              <w:t xml:space="preserve"> or concern is raised regarding cumulative impacts of </w:t>
            </w:r>
            <w:r w:rsidR="00FF6EF9">
              <w:rPr>
                <w:rFonts w:ascii="Arial" w:hAnsi="Arial" w:cs="Arial"/>
                <w:sz w:val="22"/>
                <w:szCs w:val="22"/>
              </w:rPr>
              <w:lastRenderedPageBreak/>
              <w:t>basement development in an area</w:t>
            </w:r>
            <w:r w:rsidRPr="006413B6">
              <w:rPr>
                <w:rFonts w:ascii="Arial" w:hAnsi="Arial" w:cs="Arial"/>
                <w:sz w:val="22"/>
                <w:szCs w:val="22"/>
              </w:rPr>
              <w:t>).</w:t>
            </w:r>
          </w:p>
          <w:p w14:paraId="03567236" w14:textId="77777777" w:rsidR="000D292B" w:rsidRDefault="000D292B" w:rsidP="00660311">
            <w:pPr>
              <w:pStyle w:val="Default"/>
              <w:rPr>
                <w:rFonts w:ascii="Arial" w:hAnsi="Arial" w:cs="Arial"/>
                <w:sz w:val="22"/>
                <w:szCs w:val="22"/>
              </w:rPr>
            </w:pPr>
          </w:p>
        </w:tc>
        <w:tc>
          <w:tcPr>
            <w:tcW w:w="1418" w:type="dxa"/>
          </w:tcPr>
          <w:p w14:paraId="26683ED6" w14:textId="55F7F006" w:rsidR="000D292B" w:rsidRPr="00061979" w:rsidRDefault="000D292B" w:rsidP="000D292B">
            <w:pPr>
              <w:autoSpaceDE w:val="0"/>
              <w:autoSpaceDN w:val="0"/>
              <w:adjustRightInd w:val="0"/>
              <w:jc w:val="center"/>
              <w:rPr>
                <w:rFonts w:ascii="Arial" w:hAnsi="Arial" w:cs="Arial"/>
              </w:rPr>
            </w:pPr>
            <w:r w:rsidRPr="00D02379">
              <w:rPr>
                <w:rFonts w:ascii="Arial" w:hAnsi="Arial" w:cs="Arial"/>
              </w:rPr>
              <w:lastRenderedPageBreak/>
              <w:t>0-5</w:t>
            </w:r>
          </w:p>
        </w:tc>
        <w:tc>
          <w:tcPr>
            <w:tcW w:w="1133" w:type="dxa"/>
          </w:tcPr>
          <w:p w14:paraId="083F5A95" w14:textId="39F96E05" w:rsidR="000D292B" w:rsidRPr="00061979" w:rsidRDefault="00636224" w:rsidP="000D292B">
            <w:pPr>
              <w:autoSpaceDE w:val="0"/>
              <w:autoSpaceDN w:val="0"/>
              <w:adjustRightInd w:val="0"/>
              <w:jc w:val="center"/>
              <w:rPr>
                <w:rFonts w:ascii="Arial" w:hAnsi="Arial" w:cs="Arial"/>
              </w:rPr>
            </w:pPr>
            <w:r>
              <w:rPr>
                <w:rFonts w:ascii="Arial" w:hAnsi="Arial" w:cs="Arial"/>
              </w:rPr>
              <w:t>15%</w:t>
            </w:r>
          </w:p>
        </w:tc>
      </w:tr>
      <w:tr w:rsidR="000D292B" w:rsidRPr="008A568A" w14:paraId="7E7F6354" w14:textId="77777777" w:rsidTr="005B6DD5">
        <w:tc>
          <w:tcPr>
            <w:tcW w:w="1701" w:type="dxa"/>
          </w:tcPr>
          <w:p w14:paraId="7E7F634B" w14:textId="77777777" w:rsidR="000D292B" w:rsidRPr="00061979" w:rsidRDefault="000D292B" w:rsidP="000D292B">
            <w:pPr>
              <w:autoSpaceDE w:val="0"/>
              <w:autoSpaceDN w:val="0"/>
              <w:adjustRightInd w:val="0"/>
              <w:rPr>
                <w:rFonts w:ascii="Arial" w:hAnsi="Arial" w:cs="Arial"/>
                <w:b/>
              </w:rPr>
            </w:pPr>
            <w:r w:rsidRPr="003C4CF2">
              <w:rPr>
                <w:rFonts w:ascii="Arial" w:hAnsi="Arial" w:cs="Arial"/>
                <w:b/>
              </w:rPr>
              <w:t>Service Management and Delivery</w:t>
            </w:r>
            <w:r w:rsidRPr="00061979">
              <w:rPr>
                <w:rFonts w:ascii="Arial" w:hAnsi="Arial" w:cs="Arial"/>
                <w:b/>
              </w:rPr>
              <w:t xml:space="preserve"> </w:t>
            </w:r>
          </w:p>
          <w:p w14:paraId="7E7F634C" w14:textId="77777777" w:rsidR="000D292B" w:rsidRPr="00061979" w:rsidRDefault="000D292B" w:rsidP="000D292B">
            <w:pPr>
              <w:autoSpaceDE w:val="0"/>
              <w:autoSpaceDN w:val="0"/>
              <w:adjustRightInd w:val="0"/>
              <w:rPr>
                <w:rFonts w:ascii="Arial" w:hAnsi="Arial" w:cs="Arial"/>
                <w:b/>
              </w:rPr>
            </w:pPr>
          </w:p>
        </w:tc>
        <w:tc>
          <w:tcPr>
            <w:tcW w:w="4510" w:type="dxa"/>
          </w:tcPr>
          <w:p w14:paraId="63484E3A" w14:textId="77777777" w:rsidR="000D292B" w:rsidRDefault="00C018C3" w:rsidP="002070A1">
            <w:pPr>
              <w:pStyle w:val="ListParagraph"/>
              <w:numPr>
                <w:ilvl w:val="0"/>
                <w:numId w:val="6"/>
              </w:numPr>
              <w:autoSpaceDE w:val="0"/>
              <w:autoSpaceDN w:val="0"/>
              <w:adjustRightInd w:val="0"/>
              <w:rPr>
                <w:rFonts w:ascii="Arial" w:hAnsi="Arial" w:cs="Arial"/>
                <w:bCs/>
              </w:rPr>
            </w:pPr>
            <w:r>
              <w:rPr>
                <w:rFonts w:ascii="Arial" w:hAnsi="Arial" w:cs="Arial"/>
                <w:bCs/>
              </w:rPr>
              <w:t xml:space="preserve">i) </w:t>
            </w:r>
            <w:r w:rsidR="000D292B" w:rsidRPr="00365DD5">
              <w:rPr>
                <w:rFonts w:ascii="Arial" w:hAnsi="Arial" w:cs="Arial"/>
                <w:bCs/>
              </w:rPr>
              <w:t>Please describe your availability and capacity to start work and deliver to timescales</w:t>
            </w:r>
            <w:r w:rsidR="00FF6EF9">
              <w:rPr>
                <w:rFonts w:ascii="Arial" w:hAnsi="Arial" w:cs="Arial"/>
                <w:bCs/>
              </w:rPr>
              <w:t xml:space="preserve"> (including how the contract would be resourced to effectively manage workloads).</w:t>
            </w:r>
          </w:p>
          <w:p w14:paraId="7E7F634F" w14:textId="62E27C33" w:rsidR="003C4CF2" w:rsidRPr="002070A1" w:rsidRDefault="003C4CF2" w:rsidP="003C4CF2">
            <w:pPr>
              <w:pStyle w:val="ListParagraph"/>
              <w:autoSpaceDE w:val="0"/>
              <w:autoSpaceDN w:val="0"/>
              <w:adjustRightInd w:val="0"/>
              <w:ind w:left="394"/>
              <w:rPr>
                <w:rFonts w:ascii="Arial" w:hAnsi="Arial" w:cs="Arial"/>
                <w:bCs/>
              </w:rPr>
            </w:pPr>
          </w:p>
        </w:tc>
        <w:tc>
          <w:tcPr>
            <w:tcW w:w="1418" w:type="dxa"/>
          </w:tcPr>
          <w:p w14:paraId="7E7F6350" w14:textId="1124A2DE" w:rsidR="000D292B" w:rsidRPr="00061979" w:rsidRDefault="000D292B" w:rsidP="000D292B">
            <w:pPr>
              <w:autoSpaceDE w:val="0"/>
              <w:autoSpaceDN w:val="0"/>
              <w:adjustRightInd w:val="0"/>
              <w:jc w:val="center"/>
              <w:rPr>
                <w:rFonts w:ascii="Arial" w:hAnsi="Arial" w:cs="Arial"/>
              </w:rPr>
            </w:pPr>
            <w:r w:rsidRPr="00F13217">
              <w:rPr>
                <w:rFonts w:ascii="Arial" w:hAnsi="Arial" w:cs="Arial"/>
              </w:rPr>
              <w:t>0-5</w:t>
            </w:r>
          </w:p>
        </w:tc>
        <w:tc>
          <w:tcPr>
            <w:tcW w:w="1133" w:type="dxa"/>
          </w:tcPr>
          <w:p w14:paraId="7E7F6351" w14:textId="253ECB0B" w:rsidR="000D292B" w:rsidRPr="00061979" w:rsidRDefault="00636224" w:rsidP="000D292B">
            <w:pPr>
              <w:autoSpaceDE w:val="0"/>
              <w:autoSpaceDN w:val="0"/>
              <w:adjustRightInd w:val="0"/>
              <w:jc w:val="center"/>
              <w:rPr>
                <w:rFonts w:ascii="Arial" w:hAnsi="Arial" w:cs="Arial"/>
              </w:rPr>
            </w:pPr>
            <w:r>
              <w:rPr>
                <w:rFonts w:ascii="Arial" w:hAnsi="Arial" w:cs="Arial"/>
              </w:rPr>
              <w:t>2.5%</w:t>
            </w:r>
          </w:p>
        </w:tc>
      </w:tr>
      <w:tr w:rsidR="000D292B" w:rsidRPr="008A568A" w14:paraId="7E7F635C" w14:textId="77777777" w:rsidTr="005B6DD5">
        <w:tc>
          <w:tcPr>
            <w:tcW w:w="1701" w:type="dxa"/>
          </w:tcPr>
          <w:p w14:paraId="7E7F6355" w14:textId="4E8F70B6" w:rsidR="000D292B" w:rsidRPr="00061979" w:rsidRDefault="002742CD" w:rsidP="000D292B">
            <w:pPr>
              <w:autoSpaceDE w:val="0"/>
              <w:autoSpaceDN w:val="0"/>
              <w:adjustRightInd w:val="0"/>
              <w:rPr>
                <w:rFonts w:ascii="Arial" w:hAnsi="Arial" w:cs="Arial"/>
                <w:b/>
              </w:rPr>
            </w:pPr>
            <w:r>
              <w:rPr>
                <w:rFonts w:ascii="Arial" w:hAnsi="Arial" w:cs="Arial"/>
                <w:b/>
              </w:rPr>
              <w:t>Quality Processes</w:t>
            </w:r>
          </w:p>
        </w:tc>
        <w:tc>
          <w:tcPr>
            <w:tcW w:w="4510" w:type="dxa"/>
          </w:tcPr>
          <w:p w14:paraId="4A5FA360" w14:textId="34051018" w:rsidR="000D292B" w:rsidRDefault="00EF17ED" w:rsidP="00A6473F">
            <w:pPr>
              <w:pStyle w:val="ListParagraph"/>
              <w:numPr>
                <w:ilvl w:val="0"/>
                <w:numId w:val="6"/>
              </w:numPr>
              <w:autoSpaceDE w:val="0"/>
              <w:autoSpaceDN w:val="0"/>
              <w:adjustRightInd w:val="0"/>
              <w:rPr>
                <w:rFonts w:ascii="Arial" w:hAnsi="Arial" w:cs="Arial"/>
                <w:bCs/>
              </w:rPr>
            </w:pPr>
            <w:r>
              <w:rPr>
                <w:rFonts w:ascii="Arial" w:hAnsi="Arial" w:cs="Arial"/>
                <w:bCs/>
              </w:rPr>
              <w:t xml:space="preserve">i) </w:t>
            </w:r>
            <w:r w:rsidR="000D292B" w:rsidRPr="00A6473F">
              <w:rPr>
                <w:rFonts w:ascii="Arial" w:hAnsi="Arial" w:cs="Arial"/>
                <w:bCs/>
              </w:rPr>
              <w:t>Please outline the systems</w:t>
            </w:r>
            <w:r w:rsidR="00F602D7">
              <w:rPr>
                <w:rFonts w:ascii="Arial" w:hAnsi="Arial" w:cs="Arial"/>
                <w:bCs/>
              </w:rPr>
              <w:t xml:space="preserve"> / approaches</w:t>
            </w:r>
            <w:r w:rsidR="000D292B" w:rsidRPr="00A6473F">
              <w:rPr>
                <w:rFonts w:ascii="Arial" w:hAnsi="Arial" w:cs="Arial"/>
                <w:bCs/>
              </w:rPr>
              <w:t xml:space="preserve"> that you will use to manage and record application advice and technical detail</w:t>
            </w:r>
            <w:r>
              <w:rPr>
                <w:rFonts w:ascii="Arial" w:hAnsi="Arial" w:cs="Arial"/>
                <w:bCs/>
              </w:rPr>
              <w:t xml:space="preserve">. </w:t>
            </w:r>
          </w:p>
          <w:p w14:paraId="22793EA5" w14:textId="77777777" w:rsidR="00095364" w:rsidRDefault="00095364" w:rsidP="00095364">
            <w:pPr>
              <w:pStyle w:val="ListParagraph"/>
              <w:autoSpaceDE w:val="0"/>
              <w:autoSpaceDN w:val="0"/>
              <w:adjustRightInd w:val="0"/>
              <w:ind w:left="394"/>
              <w:rPr>
                <w:rFonts w:ascii="Arial" w:hAnsi="Arial" w:cs="Arial"/>
                <w:bCs/>
              </w:rPr>
            </w:pPr>
          </w:p>
          <w:p w14:paraId="76D1780C" w14:textId="0F1FDE6A" w:rsidR="00EF17ED" w:rsidRPr="00A6473F" w:rsidRDefault="00EF17ED" w:rsidP="00EF17ED">
            <w:pPr>
              <w:pStyle w:val="ListParagraph"/>
              <w:autoSpaceDE w:val="0"/>
              <w:autoSpaceDN w:val="0"/>
              <w:adjustRightInd w:val="0"/>
              <w:ind w:left="394"/>
              <w:rPr>
                <w:rFonts w:ascii="Arial" w:hAnsi="Arial" w:cs="Arial"/>
                <w:bCs/>
              </w:rPr>
            </w:pPr>
            <w:r>
              <w:rPr>
                <w:rFonts w:ascii="Arial" w:hAnsi="Arial" w:cs="Arial"/>
                <w:bCs/>
              </w:rPr>
              <w:t xml:space="preserve">ii) </w:t>
            </w:r>
            <w:r w:rsidR="004C1CCA">
              <w:rPr>
                <w:rFonts w:ascii="Arial" w:hAnsi="Arial" w:cs="Arial"/>
                <w:bCs/>
              </w:rPr>
              <w:t xml:space="preserve">Please detail your approach for presentation of reports / reviews </w:t>
            </w:r>
            <w:r w:rsidR="000A7530">
              <w:rPr>
                <w:rFonts w:ascii="Arial" w:hAnsi="Arial" w:cs="Arial"/>
                <w:bCs/>
              </w:rPr>
              <w:t xml:space="preserve">/ advice </w:t>
            </w:r>
            <w:r w:rsidR="00596AEA">
              <w:rPr>
                <w:rFonts w:ascii="Arial" w:hAnsi="Arial" w:cs="Arial"/>
                <w:bCs/>
              </w:rPr>
              <w:t>for this work – you may wish to include a sample piece for this response.</w:t>
            </w:r>
          </w:p>
          <w:p w14:paraId="7E7F6357" w14:textId="77777777" w:rsidR="000D292B" w:rsidRPr="00061979" w:rsidRDefault="000D292B" w:rsidP="000D292B">
            <w:pPr>
              <w:autoSpaceDE w:val="0"/>
              <w:autoSpaceDN w:val="0"/>
              <w:adjustRightInd w:val="0"/>
              <w:ind w:left="318" w:hanging="284"/>
              <w:rPr>
                <w:rFonts w:ascii="Arial" w:hAnsi="Arial" w:cs="Arial"/>
              </w:rPr>
            </w:pPr>
          </w:p>
        </w:tc>
        <w:tc>
          <w:tcPr>
            <w:tcW w:w="1418" w:type="dxa"/>
          </w:tcPr>
          <w:p w14:paraId="7E7F6358" w14:textId="4588EB73" w:rsidR="000D292B" w:rsidRPr="00061979" w:rsidRDefault="000D292B" w:rsidP="000D292B">
            <w:pPr>
              <w:autoSpaceDE w:val="0"/>
              <w:autoSpaceDN w:val="0"/>
              <w:adjustRightInd w:val="0"/>
              <w:jc w:val="center"/>
              <w:rPr>
                <w:rFonts w:ascii="Arial" w:hAnsi="Arial" w:cs="Arial"/>
              </w:rPr>
            </w:pPr>
            <w:r w:rsidRPr="00F13217">
              <w:rPr>
                <w:rFonts w:ascii="Arial" w:hAnsi="Arial" w:cs="Arial"/>
              </w:rPr>
              <w:t>0-5</w:t>
            </w:r>
          </w:p>
        </w:tc>
        <w:tc>
          <w:tcPr>
            <w:tcW w:w="1133" w:type="dxa"/>
          </w:tcPr>
          <w:p w14:paraId="7E7F6359" w14:textId="784BE0E8" w:rsidR="000D292B" w:rsidRPr="00061979" w:rsidRDefault="00636224" w:rsidP="000D292B">
            <w:pPr>
              <w:autoSpaceDE w:val="0"/>
              <w:autoSpaceDN w:val="0"/>
              <w:adjustRightInd w:val="0"/>
              <w:jc w:val="center"/>
              <w:rPr>
                <w:rFonts w:ascii="Arial" w:hAnsi="Arial" w:cs="Arial"/>
              </w:rPr>
            </w:pPr>
            <w:r>
              <w:rPr>
                <w:rFonts w:ascii="Arial" w:hAnsi="Arial" w:cs="Arial"/>
              </w:rPr>
              <w:t>2.5%</w:t>
            </w:r>
          </w:p>
        </w:tc>
      </w:tr>
      <w:tr w:rsidR="006413B6" w:rsidRPr="008A568A" w14:paraId="7E7F6365" w14:textId="77777777" w:rsidTr="005B6DD5">
        <w:tc>
          <w:tcPr>
            <w:tcW w:w="1701" w:type="dxa"/>
          </w:tcPr>
          <w:p w14:paraId="7E7F635D" w14:textId="76DAD6A1" w:rsidR="006413B6" w:rsidRPr="00061979" w:rsidRDefault="006413B6" w:rsidP="006413B6">
            <w:pPr>
              <w:autoSpaceDE w:val="0"/>
              <w:autoSpaceDN w:val="0"/>
              <w:adjustRightInd w:val="0"/>
              <w:rPr>
                <w:rFonts w:ascii="Arial" w:hAnsi="Arial" w:cs="Arial"/>
                <w:b/>
              </w:rPr>
            </w:pPr>
            <w:r w:rsidRPr="00061979">
              <w:rPr>
                <w:rFonts w:ascii="Arial" w:hAnsi="Arial" w:cs="Arial"/>
                <w:b/>
              </w:rPr>
              <w:t>Provision and Quality of Service</w:t>
            </w:r>
          </w:p>
          <w:p w14:paraId="7E7F635E" w14:textId="77777777" w:rsidR="006413B6" w:rsidRPr="00061979" w:rsidRDefault="006413B6" w:rsidP="006413B6">
            <w:pPr>
              <w:autoSpaceDE w:val="0"/>
              <w:autoSpaceDN w:val="0"/>
              <w:adjustRightInd w:val="0"/>
              <w:rPr>
                <w:rFonts w:ascii="Arial" w:hAnsi="Arial" w:cs="Arial"/>
                <w:b/>
              </w:rPr>
            </w:pPr>
          </w:p>
        </w:tc>
        <w:tc>
          <w:tcPr>
            <w:tcW w:w="4510" w:type="dxa"/>
          </w:tcPr>
          <w:p w14:paraId="04202C7B" w14:textId="3ACA04D5" w:rsidR="000D292B" w:rsidRPr="00A6473F" w:rsidRDefault="000D292B" w:rsidP="00A6473F">
            <w:pPr>
              <w:pStyle w:val="ListParagraph"/>
              <w:numPr>
                <w:ilvl w:val="0"/>
                <w:numId w:val="6"/>
              </w:numPr>
              <w:autoSpaceDE w:val="0"/>
              <w:autoSpaceDN w:val="0"/>
              <w:adjustRightInd w:val="0"/>
              <w:rPr>
                <w:rFonts w:ascii="Arial" w:hAnsi="Arial" w:cs="Arial"/>
                <w:bCs/>
              </w:rPr>
            </w:pPr>
            <w:r w:rsidRPr="00A6473F">
              <w:rPr>
                <w:rFonts w:ascii="Arial" w:hAnsi="Arial" w:cs="Arial"/>
                <w:bCs/>
              </w:rPr>
              <w:t xml:space="preserve">Please provide the names, CVs, professional membership details, roles and the technical expertise &amp; experience of the consultants that will be assigned to this project and their experience in providing </w:t>
            </w:r>
            <w:r w:rsidR="00FF6EF9">
              <w:rPr>
                <w:rFonts w:ascii="Arial" w:hAnsi="Arial" w:cs="Arial"/>
                <w:bCs/>
              </w:rPr>
              <w:t xml:space="preserve">similar </w:t>
            </w:r>
            <w:r w:rsidRPr="00A6473F">
              <w:rPr>
                <w:rFonts w:ascii="Arial" w:hAnsi="Arial" w:cs="Arial"/>
                <w:bCs/>
              </w:rPr>
              <w:t>assessments</w:t>
            </w:r>
            <w:r w:rsidR="00FF6EF9">
              <w:rPr>
                <w:rFonts w:ascii="Arial" w:hAnsi="Arial" w:cs="Arial"/>
                <w:bCs/>
              </w:rPr>
              <w:t xml:space="preserve"> / advice</w:t>
            </w:r>
            <w:r w:rsidRPr="00A6473F">
              <w:rPr>
                <w:rFonts w:ascii="Arial" w:hAnsi="Arial" w:cs="Arial"/>
                <w:bCs/>
              </w:rPr>
              <w:t>. Please also state if any aspects of the brief scope are to be subcontracted to external and/or subsidiary companies/</w:t>
            </w:r>
            <w:r w:rsidR="00FF6EF9">
              <w:rPr>
                <w:rFonts w:ascii="Arial" w:hAnsi="Arial" w:cs="Arial"/>
                <w:bCs/>
              </w:rPr>
              <w:t xml:space="preserve"> </w:t>
            </w:r>
            <w:proofErr w:type="spellStart"/>
            <w:r w:rsidRPr="00A6473F">
              <w:rPr>
                <w:rFonts w:ascii="Arial" w:hAnsi="Arial" w:cs="Arial"/>
                <w:bCs/>
              </w:rPr>
              <w:t>organi</w:t>
            </w:r>
            <w:r w:rsidR="00FF6EF9">
              <w:rPr>
                <w:rFonts w:ascii="Arial" w:hAnsi="Arial" w:cs="Arial"/>
                <w:bCs/>
              </w:rPr>
              <w:t>s</w:t>
            </w:r>
            <w:r w:rsidRPr="00A6473F">
              <w:rPr>
                <w:rFonts w:ascii="Arial" w:hAnsi="Arial" w:cs="Arial"/>
                <w:bCs/>
              </w:rPr>
              <w:t>ation</w:t>
            </w:r>
            <w:r w:rsidR="00FF6EF9">
              <w:rPr>
                <w:rFonts w:ascii="Arial" w:hAnsi="Arial" w:cs="Arial"/>
                <w:bCs/>
              </w:rPr>
              <w:t>s</w:t>
            </w:r>
            <w:proofErr w:type="spellEnd"/>
            <w:r w:rsidRPr="00A6473F">
              <w:rPr>
                <w:rFonts w:ascii="Arial" w:hAnsi="Arial" w:cs="Arial"/>
                <w:bCs/>
              </w:rPr>
              <w:t xml:space="preserve">.  </w:t>
            </w:r>
          </w:p>
          <w:p w14:paraId="7E7F6360" w14:textId="77777777" w:rsidR="006413B6" w:rsidRPr="000D292B" w:rsidRDefault="006413B6" w:rsidP="00A6473F">
            <w:pPr>
              <w:autoSpaceDE w:val="0"/>
              <w:autoSpaceDN w:val="0"/>
              <w:adjustRightInd w:val="0"/>
              <w:rPr>
                <w:rFonts w:ascii="Arial" w:hAnsi="Arial" w:cs="Arial"/>
                <w:bCs/>
              </w:rPr>
            </w:pPr>
          </w:p>
        </w:tc>
        <w:tc>
          <w:tcPr>
            <w:tcW w:w="1418" w:type="dxa"/>
          </w:tcPr>
          <w:p w14:paraId="7E7F6361" w14:textId="30BD7B96" w:rsidR="006413B6" w:rsidRPr="00061979" w:rsidRDefault="000D292B" w:rsidP="006413B6">
            <w:pPr>
              <w:autoSpaceDE w:val="0"/>
              <w:autoSpaceDN w:val="0"/>
              <w:adjustRightInd w:val="0"/>
              <w:jc w:val="center"/>
              <w:rPr>
                <w:rFonts w:ascii="Arial" w:hAnsi="Arial" w:cs="Arial"/>
              </w:rPr>
            </w:pPr>
            <w:r w:rsidRPr="00061979">
              <w:rPr>
                <w:rFonts w:ascii="Arial" w:hAnsi="Arial" w:cs="Arial"/>
              </w:rPr>
              <w:t>0-5</w:t>
            </w:r>
          </w:p>
        </w:tc>
        <w:tc>
          <w:tcPr>
            <w:tcW w:w="1133" w:type="dxa"/>
          </w:tcPr>
          <w:p w14:paraId="7E7F6362" w14:textId="3E3345D7" w:rsidR="006413B6" w:rsidRPr="00061979" w:rsidRDefault="00636224" w:rsidP="006413B6">
            <w:pPr>
              <w:autoSpaceDE w:val="0"/>
              <w:autoSpaceDN w:val="0"/>
              <w:adjustRightInd w:val="0"/>
              <w:jc w:val="center"/>
              <w:rPr>
                <w:rFonts w:ascii="Arial" w:hAnsi="Arial" w:cs="Arial"/>
              </w:rPr>
            </w:pPr>
            <w:r>
              <w:rPr>
                <w:rFonts w:ascii="Arial" w:hAnsi="Arial" w:cs="Arial"/>
              </w:rPr>
              <w:t>5%</w:t>
            </w:r>
          </w:p>
        </w:tc>
      </w:tr>
      <w:tr w:rsidR="006413B6" w:rsidRPr="008A568A" w14:paraId="7E7F6374" w14:textId="77777777" w:rsidTr="005B6DD5">
        <w:tc>
          <w:tcPr>
            <w:tcW w:w="1701" w:type="dxa"/>
          </w:tcPr>
          <w:p w14:paraId="7E7F636E" w14:textId="16D7D945" w:rsidR="006413B6" w:rsidRPr="00F47515" w:rsidRDefault="006413B6" w:rsidP="006413B6">
            <w:pPr>
              <w:autoSpaceDE w:val="0"/>
              <w:autoSpaceDN w:val="0"/>
              <w:adjustRightInd w:val="0"/>
              <w:rPr>
                <w:rFonts w:ascii="Arial" w:hAnsi="Arial" w:cs="Arial"/>
                <w:b/>
                <w:bCs/>
              </w:rPr>
            </w:pPr>
            <w:r w:rsidRPr="00F47515">
              <w:rPr>
                <w:rFonts w:ascii="Arial" w:hAnsi="Arial" w:cs="Arial"/>
                <w:b/>
                <w:bCs/>
              </w:rPr>
              <w:t>Total</w:t>
            </w:r>
          </w:p>
        </w:tc>
        <w:tc>
          <w:tcPr>
            <w:tcW w:w="4510" w:type="dxa"/>
          </w:tcPr>
          <w:p w14:paraId="7E7F636F" w14:textId="06D21703" w:rsidR="006413B6" w:rsidRPr="00061979" w:rsidRDefault="006413B6" w:rsidP="006413B6">
            <w:pPr>
              <w:autoSpaceDE w:val="0"/>
              <w:autoSpaceDN w:val="0"/>
              <w:adjustRightInd w:val="0"/>
              <w:rPr>
                <w:rFonts w:ascii="Arial" w:hAnsi="Arial" w:cs="Arial"/>
              </w:rPr>
            </w:pPr>
          </w:p>
        </w:tc>
        <w:tc>
          <w:tcPr>
            <w:tcW w:w="1418" w:type="dxa"/>
          </w:tcPr>
          <w:p w14:paraId="7E7F6370" w14:textId="77777777" w:rsidR="006413B6" w:rsidRPr="00061979" w:rsidRDefault="006413B6" w:rsidP="006413B6">
            <w:pPr>
              <w:autoSpaceDE w:val="0"/>
              <w:autoSpaceDN w:val="0"/>
              <w:adjustRightInd w:val="0"/>
              <w:jc w:val="right"/>
              <w:rPr>
                <w:rFonts w:ascii="Arial" w:hAnsi="Arial" w:cs="Arial"/>
              </w:rPr>
            </w:pPr>
          </w:p>
        </w:tc>
        <w:tc>
          <w:tcPr>
            <w:tcW w:w="1133" w:type="dxa"/>
          </w:tcPr>
          <w:p w14:paraId="7E7F6371" w14:textId="44EE1AD6" w:rsidR="006413B6" w:rsidRPr="00061979" w:rsidRDefault="006413B6" w:rsidP="006413B6">
            <w:pPr>
              <w:autoSpaceDE w:val="0"/>
              <w:autoSpaceDN w:val="0"/>
              <w:adjustRightInd w:val="0"/>
              <w:jc w:val="center"/>
              <w:rPr>
                <w:rFonts w:ascii="Arial" w:hAnsi="Arial" w:cs="Arial"/>
                <w:b/>
                <w:bCs/>
              </w:rPr>
            </w:pPr>
            <w:r w:rsidRPr="00061979">
              <w:rPr>
                <w:rFonts w:ascii="Arial" w:hAnsi="Arial" w:cs="Arial"/>
                <w:b/>
                <w:bCs/>
              </w:rPr>
              <w:t>6</w:t>
            </w:r>
            <w:r w:rsidR="00636224">
              <w:rPr>
                <w:rFonts w:ascii="Arial" w:hAnsi="Arial" w:cs="Arial"/>
                <w:b/>
                <w:bCs/>
              </w:rPr>
              <w:t>5</w:t>
            </w:r>
            <w:r w:rsidRPr="00061979">
              <w:rPr>
                <w:rFonts w:ascii="Arial" w:hAnsi="Arial" w:cs="Arial"/>
                <w:b/>
                <w:bCs/>
              </w:rPr>
              <w:t>%</w:t>
            </w:r>
          </w:p>
        </w:tc>
      </w:tr>
      <w:bookmarkEnd w:id="1"/>
    </w:tbl>
    <w:p w14:paraId="7E7F6376" w14:textId="77777777" w:rsidR="0002564A" w:rsidRPr="00061979" w:rsidRDefault="0002564A" w:rsidP="0002564A">
      <w:pPr>
        <w:autoSpaceDE w:val="0"/>
        <w:autoSpaceDN w:val="0"/>
        <w:adjustRightInd w:val="0"/>
        <w:spacing w:after="0" w:line="240" w:lineRule="auto"/>
        <w:rPr>
          <w:rFonts w:ascii="Arial" w:hAnsi="Arial" w:cs="Arial"/>
        </w:rPr>
      </w:pPr>
    </w:p>
    <w:p w14:paraId="7E7F6377" w14:textId="77777777" w:rsidR="0002564A" w:rsidRPr="00061979" w:rsidRDefault="0002564A" w:rsidP="0002564A">
      <w:pPr>
        <w:autoSpaceDE w:val="0"/>
        <w:autoSpaceDN w:val="0"/>
        <w:adjustRightInd w:val="0"/>
        <w:spacing w:after="0" w:line="240" w:lineRule="auto"/>
        <w:rPr>
          <w:rFonts w:ascii="Arial" w:hAnsi="Arial" w:cs="Arial"/>
        </w:rPr>
      </w:pPr>
    </w:p>
    <w:p w14:paraId="7E7F6378" w14:textId="7D884D8B" w:rsidR="00EC308F" w:rsidRPr="00061979" w:rsidRDefault="00EC308F"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The components which are indicated with appropriate weightings will be evaluated by the panel and the appropriate score will be agreed and added to form the total Quality Evaluati</w:t>
      </w:r>
      <w:r w:rsidR="00207378" w:rsidRPr="00061979">
        <w:rPr>
          <w:rFonts w:ascii="Arial" w:hAnsi="Arial" w:cs="Arial"/>
        </w:rPr>
        <w:t>on Mark.  The score achieved for</w:t>
      </w:r>
      <w:r w:rsidRPr="00061979">
        <w:rPr>
          <w:rFonts w:ascii="Arial" w:hAnsi="Arial" w:cs="Arial"/>
        </w:rPr>
        <w:t xml:space="preserve"> this section, Quality Evaluation Mark, will be weighted at </w:t>
      </w:r>
      <w:r w:rsidR="003D7B4A" w:rsidRPr="00061979">
        <w:rPr>
          <w:rFonts w:ascii="Arial" w:hAnsi="Arial" w:cs="Arial"/>
        </w:rPr>
        <w:t>6</w:t>
      </w:r>
      <w:r w:rsidR="00636224">
        <w:rPr>
          <w:rFonts w:ascii="Arial" w:hAnsi="Arial" w:cs="Arial"/>
        </w:rPr>
        <w:t>5</w:t>
      </w:r>
      <w:r w:rsidRPr="00061979">
        <w:rPr>
          <w:rFonts w:ascii="Arial" w:hAnsi="Arial" w:cs="Arial"/>
        </w:rPr>
        <w:t>% to give the final score for quality (Quality Score)</w:t>
      </w:r>
      <w:r w:rsidR="00443411" w:rsidRPr="00061979">
        <w:rPr>
          <w:rFonts w:ascii="Arial" w:hAnsi="Arial" w:cs="Arial"/>
        </w:rPr>
        <w:t>.</w:t>
      </w:r>
    </w:p>
    <w:p w14:paraId="7E7F6379" w14:textId="77777777" w:rsidR="00EC308F" w:rsidRPr="00061979" w:rsidRDefault="00EC308F" w:rsidP="00EC308F">
      <w:pPr>
        <w:pStyle w:val="ListParagraph"/>
        <w:autoSpaceDE w:val="0"/>
        <w:autoSpaceDN w:val="0"/>
        <w:adjustRightInd w:val="0"/>
        <w:spacing w:after="0" w:line="240" w:lineRule="auto"/>
        <w:ind w:left="567"/>
        <w:rPr>
          <w:rFonts w:ascii="Arial" w:hAnsi="Arial" w:cs="Arial"/>
        </w:rPr>
      </w:pPr>
    </w:p>
    <w:p w14:paraId="7E7F637A" w14:textId="77777777" w:rsidR="00EC308F" w:rsidRPr="00061979" w:rsidRDefault="00EC308F"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The council reserves the right to ch</w:t>
      </w:r>
      <w:r w:rsidR="00207378" w:rsidRPr="00061979">
        <w:rPr>
          <w:rFonts w:ascii="Arial" w:hAnsi="Arial" w:cs="Arial"/>
        </w:rPr>
        <w:t>allenge any information provide</w:t>
      </w:r>
      <w:r w:rsidRPr="00061979">
        <w:rPr>
          <w:rFonts w:ascii="Arial" w:hAnsi="Arial" w:cs="Arial"/>
        </w:rPr>
        <w:t>d</w:t>
      </w:r>
      <w:r w:rsidR="00207378" w:rsidRPr="00061979">
        <w:rPr>
          <w:rFonts w:ascii="Arial" w:hAnsi="Arial" w:cs="Arial"/>
        </w:rPr>
        <w:t xml:space="preserve"> </w:t>
      </w:r>
      <w:r w:rsidRPr="00061979">
        <w:rPr>
          <w:rFonts w:ascii="Arial" w:hAnsi="Arial" w:cs="Arial"/>
        </w:rPr>
        <w:t>in response to the RFQ and request further information in support of any statements made therein.</w:t>
      </w:r>
    </w:p>
    <w:p w14:paraId="7E7F637B" w14:textId="77777777" w:rsidR="00EC308F" w:rsidRPr="00061979" w:rsidRDefault="00EC308F" w:rsidP="00EC308F">
      <w:pPr>
        <w:pStyle w:val="ListParagraph"/>
        <w:rPr>
          <w:rFonts w:ascii="Arial" w:hAnsi="Arial" w:cs="Arial"/>
        </w:rPr>
      </w:pPr>
    </w:p>
    <w:p w14:paraId="7E7F637C" w14:textId="3C520065" w:rsidR="00EC308F" w:rsidRPr="00061979" w:rsidRDefault="00EC308F"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Potential providers must achieve the minimum acceptable </w:t>
      </w:r>
      <w:r w:rsidR="009B3F31" w:rsidRPr="00061979">
        <w:rPr>
          <w:rFonts w:ascii="Arial" w:hAnsi="Arial" w:cs="Arial"/>
        </w:rPr>
        <w:t xml:space="preserve">Quality </w:t>
      </w:r>
      <w:r w:rsidR="00871EBB" w:rsidRPr="00061979">
        <w:rPr>
          <w:rFonts w:ascii="Arial" w:hAnsi="Arial" w:cs="Arial"/>
        </w:rPr>
        <w:t>S</w:t>
      </w:r>
      <w:r w:rsidRPr="00061979">
        <w:rPr>
          <w:rFonts w:ascii="Arial" w:hAnsi="Arial" w:cs="Arial"/>
        </w:rPr>
        <w:t>core</w:t>
      </w:r>
      <w:r w:rsidR="009B3F31" w:rsidRPr="00061979">
        <w:rPr>
          <w:rFonts w:ascii="Arial" w:hAnsi="Arial" w:cs="Arial"/>
        </w:rPr>
        <w:t xml:space="preserve"> of 3</w:t>
      </w:r>
      <w:r w:rsidRPr="00061979">
        <w:rPr>
          <w:rFonts w:ascii="Arial" w:hAnsi="Arial" w:cs="Arial"/>
        </w:rPr>
        <w:t xml:space="preserve">, for each of the component areas in the table above.  Only those responses which achieve </w:t>
      </w:r>
      <w:r w:rsidR="00156242" w:rsidRPr="00061979">
        <w:rPr>
          <w:rFonts w:ascii="Arial" w:hAnsi="Arial" w:cs="Arial"/>
        </w:rPr>
        <w:t xml:space="preserve">or exceed </w:t>
      </w:r>
      <w:r w:rsidRPr="00061979">
        <w:rPr>
          <w:rFonts w:ascii="Arial" w:hAnsi="Arial" w:cs="Arial"/>
        </w:rPr>
        <w:t xml:space="preserve">the minimum </w:t>
      </w:r>
      <w:r w:rsidR="00871EBB" w:rsidRPr="00061979">
        <w:rPr>
          <w:rFonts w:ascii="Arial" w:hAnsi="Arial" w:cs="Arial"/>
        </w:rPr>
        <w:t>for all component areas</w:t>
      </w:r>
      <w:r w:rsidRPr="00061979">
        <w:rPr>
          <w:rFonts w:ascii="Arial" w:hAnsi="Arial" w:cs="Arial"/>
        </w:rPr>
        <w:t xml:space="preserve"> will be included in the Price Evaluation Process.</w:t>
      </w:r>
    </w:p>
    <w:p w14:paraId="7E7F637D" w14:textId="77777777" w:rsidR="00EC308F" w:rsidRPr="00061979" w:rsidRDefault="00EC308F" w:rsidP="00EC308F">
      <w:pPr>
        <w:pStyle w:val="ListParagraph"/>
        <w:rPr>
          <w:rFonts w:ascii="Arial" w:hAnsi="Arial" w:cs="Arial"/>
        </w:rPr>
      </w:pPr>
    </w:p>
    <w:p w14:paraId="7E7F637E" w14:textId="30E5FEC8" w:rsidR="00EC308F" w:rsidRPr="00061979" w:rsidRDefault="00EC308F"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Where only one (1) submission is received </w:t>
      </w:r>
      <w:r w:rsidR="00270AD5" w:rsidRPr="00061979">
        <w:rPr>
          <w:rFonts w:ascii="Arial" w:hAnsi="Arial" w:cs="Arial"/>
        </w:rPr>
        <w:t xml:space="preserve">and it </w:t>
      </w:r>
      <w:r w:rsidRPr="00061979">
        <w:rPr>
          <w:rFonts w:ascii="Arial" w:hAnsi="Arial" w:cs="Arial"/>
        </w:rPr>
        <w:t xml:space="preserve">does not meet the minimum acceptable score, the council </w:t>
      </w:r>
      <w:proofErr w:type="gramStart"/>
      <w:r w:rsidRPr="00061979">
        <w:rPr>
          <w:rFonts w:ascii="Arial" w:hAnsi="Arial" w:cs="Arial"/>
        </w:rPr>
        <w:t>reserve</w:t>
      </w:r>
      <w:proofErr w:type="gramEnd"/>
      <w:r w:rsidRPr="00061979">
        <w:rPr>
          <w:rFonts w:ascii="Arial" w:hAnsi="Arial" w:cs="Arial"/>
        </w:rPr>
        <w:t xml:space="preserve"> the right to </w:t>
      </w:r>
      <w:proofErr w:type="gramStart"/>
      <w:r w:rsidRPr="00061979">
        <w:rPr>
          <w:rFonts w:ascii="Arial" w:hAnsi="Arial" w:cs="Arial"/>
        </w:rPr>
        <w:t>enter into</w:t>
      </w:r>
      <w:proofErr w:type="gramEnd"/>
      <w:r w:rsidRPr="00061979">
        <w:rPr>
          <w:rFonts w:ascii="Arial" w:hAnsi="Arial" w:cs="Arial"/>
        </w:rPr>
        <w:t xml:space="preserve"> dialogue and seek </w:t>
      </w:r>
      <w:r w:rsidR="00207378" w:rsidRPr="00061979">
        <w:rPr>
          <w:rFonts w:ascii="Arial" w:hAnsi="Arial" w:cs="Arial"/>
        </w:rPr>
        <w:t>assurances regarding the delive</w:t>
      </w:r>
      <w:r w:rsidRPr="00061979">
        <w:rPr>
          <w:rFonts w:ascii="Arial" w:hAnsi="Arial" w:cs="Arial"/>
        </w:rPr>
        <w:t>ry of the requirement.</w:t>
      </w:r>
    </w:p>
    <w:p w14:paraId="7E7F637F" w14:textId="77777777" w:rsidR="00EC308F" w:rsidRPr="00061979" w:rsidRDefault="00EC308F" w:rsidP="00EC308F">
      <w:pPr>
        <w:pStyle w:val="ListParagraph"/>
        <w:rPr>
          <w:rFonts w:ascii="Arial" w:hAnsi="Arial" w:cs="Arial"/>
        </w:rPr>
      </w:pPr>
    </w:p>
    <w:p w14:paraId="7E7F6380" w14:textId="77777777" w:rsidR="00EC308F" w:rsidRPr="00061979" w:rsidRDefault="00137489"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lastRenderedPageBreak/>
        <w:t>The scoring matrix:</w:t>
      </w:r>
    </w:p>
    <w:p w14:paraId="7E7F6381" w14:textId="5D740416" w:rsidR="00137489" w:rsidRPr="002F09D9" w:rsidRDefault="00137489" w:rsidP="00137489">
      <w:pPr>
        <w:pStyle w:val="ListParagraph"/>
        <w:rPr>
          <w:rFonts w:ascii="Arial" w:hAnsi="Arial" w:cs="Arial"/>
          <w:b/>
          <w:bCs/>
        </w:rPr>
      </w:pPr>
    </w:p>
    <w:p w14:paraId="2A5AEBCD" w14:textId="77777777" w:rsidR="008F3CDE" w:rsidRDefault="008F3CDE" w:rsidP="00137489">
      <w:pPr>
        <w:pStyle w:val="ListParagraph"/>
        <w:rPr>
          <w:rFonts w:ascii="Arial" w:hAnsi="Arial" w:cs="Arial"/>
          <w:b/>
          <w:bCs/>
        </w:rPr>
      </w:pPr>
    </w:p>
    <w:p w14:paraId="23BD26CD" w14:textId="77777777" w:rsidR="008F3CDE" w:rsidRDefault="008F3CDE" w:rsidP="00137489">
      <w:pPr>
        <w:pStyle w:val="ListParagraph"/>
        <w:rPr>
          <w:rFonts w:ascii="Arial" w:hAnsi="Arial" w:cs="Arial"/>
          <w:b/>
          <w:bCs/>
        </w:rPr>
      </w:pPr>
    </w:p>
    <w:p w14:paraId="46CDB854" w14:textId="7D197EA8" w:rsidR="002F09D9" w:rsidRPr="002F09D9" w:rsidRDefault="002F09D9" w:rsidP="00137489">
      <w:pPr>
        <w:pStyle w:val="ListParagraph"/>
        <w:rPr>
          <w:rFonts w:ascii="Arial" w:hAnsi="Arial" w:cs="Arial"/>
          <w:b/>
          <w:bCs/>
        </w:rPr>
      </w:pPr>
      <w:r w:rsidRPr="002F09D9">
        <w:rPr>
          <w:rFonts w:ascii="Arial" w:hAnsi="Arial" w:cs="Arial"/>
          <w:b/>
          <w:bCs/>
        </w:rPr>
        <w:t xml:space="preserve">Table </w:t>
      </w:r>
      <w:r w:rsidR="004D7376">
        <w:rPr>
          <w:rFonts w:ascii="Arial" w:hAnsi="Arial" w:cs="Arial"/>
          <w:b/>
          <w:bCs/>
        </w:rPr>
        <w:t>5</w:t>
      </w:r>
    </w:p>
    <w:tbl>
      <w:tblPr>
        <w:tblW w:w="82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806"/>
      </w:tblGrid>
      <w:tr w:rsidR="00137489" w:rsidRPr="008A568A" w14:paraId="7E7F6384" w14:textId="77777777" w:rsidTr="00CE122A">
        <w:trPr>
          <w:trHeight w:val="120"/>
        </w:trPr>
        <w:tc>
          <w:tcPr>
            <w:tcW w:w="426" w:type="dxa"/>
          </w:tcPr>
          <w:p w14:paraId="7E7F6382"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0 </w:t>
            </w:r>
          </w:p>
        </w:tc>
        <w:tc>
          <w:tcPr>
            <w:tcW w:w="7806" w:type="dxa"/>
          </w:tcPr>
          <w:p w14:paraId="7E7F6383"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Failed to address the question/issue. </w:t>
            </w:r>
          </w:p>
        </w:tc>
      </w:tr>
      <w:tr w:rsidR="00137489" w:rsidRPr="008A568A" w14:paraId="7E7F6387" w14:textId="77777777" w:rsidTr="00CE122A">
        <w:trPr>
          <w:trHeight w:val="266"/>
        </w:trPr>
        <w:tc>
          <w:tcPr>
            <w:tcW w:w="426" w:type="dxa"/>
          </w:tcPr>
          <w:p w14:paraId="7E7F6385"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1 </w:t>
            </w:r>
          </w:p>
        </w:tc>
        <w:tc>
          <w:tcPr>
            <w:tcW w:w="7806" w:type="dxa"/>
          </w:tcPr>
          <w:p w14:paraId="7E7F6386"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An unfavourable response/answer/solution. There is limited or poor evidence of skill/experience sought; a high risk that relevant skills will not be available. </w:t>
            </w:r>
          </w:p>
        </w:tc>
      </w:tr>
      <w:tr w:rsidR="00137489" w:rsidRPr="008A568A" w14:paraId="7E7F638A" w14:textId="77777777" w:rsidTr="00CE122A">
        <w:trPr>
          <w:trHeight w:val="560"/>
        </w:trPr>
        <w:tc>
          <w:tcPr>
            <w:tcW w:w="426" w:type="dxa"/>
          </w:tcPr>
          <w:p w14:paraId="7E7F6388"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2 </w:t>
            </w:r>
          </w:p>
        </w:tc>
        <w:tc>
          <w:tcPr>
            <w:tcW w:w="7806" w:type="dxa"/>
          </w:tcPr>
          <w:p w14:paraId="7E7F6389"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8A568A" w14:paraId="7E7F638D" w14:textId="77777777" w:rsidTr="00CE122A">
        <w:trPr>
          <w:trHeight w:val="266"/>
        </w:trPr>
        <w:tc>
          <w:tcPr>
            <w:tcW w:w="426" w:type="dxa"/>
          </w:tcPr>
          <w:p w14:paraId="7E7F638B"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3 </w:t>
            </w:r>
          </w:p>
        </w:tc>
        <w:tc>
          <w:tcPr>
            <w:tcW w:w="7806" w:type="dxa"/>
          </w:tcPr>
          <w:p w14:paraId="7E7F638C"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Acceptable response/answer/solution/information to the </w:t>
            </w:r>
            <w:proofErr w:type="gramStart"/>
            <w:r w:rsidRPr="00061979">
              <w:rPr>
                <w:rFonts w:ascii="Arial" w:hAnsi="Arial" w:cs="Arial"/>
                <w:color w:val="000000"/>
                <w:lang w:val="en-GB"/>
              </w:rPr>
              <w:t>particular aspect</w:t>
            </w:r>
            <w:proofErr w:type="gramEnd"/>
            <w:r w:rsidRPr="00061979">
              <w:rPr>
                <w:rFonts w:ascii="Arial" w:hAnsi="Arial" w:cs="Arial"/>
                <w:color w:val="000000"/>
                <w:lang w:val="en-GB"/>
              </w:rPr>
              <w:t xml:space="preserve"> of the requirement; evidence has been given of skill/experience sought. </w:t>
            </w:r>
          </w:p>
        </w:tc>
      </w:tr>
      <w:tr w:rsidR="00137489" w:rsidRPr="008A568A" w14:paraId="7E7F6390" w14:textId="77777777" w:rsidTr="00CE122A">
        <w:trPr>
          <w:trHeight w:val="559"/>
        </w:trPr>
        <w:tc>
          <w:tcPr>
            <w:tcW w:w="426" w:type="dxa"/>
          </w:tcPr>
          <w:p w14:paraId="7E7F638E"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4 </w:t>
            </w:r>
          </w:p>
        </w:tc>
        <w:tc>
          <w:tcPr>
            <w:tcW w:w="7806" w:type="dxa"/>
          </w:tcPr>
          <w:p w14:paraId="7E7F638F"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8A568A" w14:paraId="7E7F6393" w14:textId="77777777" w:rsidTr="00CE122A">
        <w:trPr>
          <w:trHeight w:val="559"/>
        </w:trPr>
        <w:tc>
          <w:tcPr>
            <w:tcW w:w="426" w:type="dxa"/>
          </w:tcPr>
          <w:p w14:paraId="7E7F6391"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5 </w:t>
            </w:r>
          </w:p>
        </w:tc>
        <w:tc>
          <w:tcPr>
            <w:tcW w:w="7806" w:type="dxa"/>
          </w:tcPr>
          <w:p w14:paraId="7E7F6392" w14:textId="77777777" w:rsidR="00137489" w:rsidRPr="00061979" w:rsidRDefault="00137489" w:rsidP="00137489">
            <w:pPr>
              <w:autoSpaceDE w:val="0"/>
              <w:autoSpaceDN w:val="0"/>
              <w:adjustRightInd w:val="0"/>
              <w:spacing w:after="0" w:line="240" w:lineRule="auto"/>
              <w:rPr>
                <w:rFonts w:ascii="Arial" w:hAnsi="Arial" w:cs="Arial"/>
                <w:color w:val="000000"/>
                <w:lang w:val="en-GB"/>
              </w:rPr>
            </w:pPr>
            <w:r w:rsidRPr="00061979">
              <w:rPr>
                <w:rFonts w:ascii="Arial" w:hAnsi="Arial" w:cs="Arial"/>
                <w:color w:val="000000"/>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7E7F6394" w14:textId="55247C78" w:rsidR="00137489" w:rsidRPr="00061979" w:rsidRDefault="00137489" w:rsidP="00CE122A">
      <w:pPr>
        <w:autoSpaceDE w:val="0"/>
        <w:autoSpaceDN w:val="0"/>
        <w:adjustRightInd w:val="0"/>
        <w:spacing w:after="0" w:line="240" w:lineRule="auto"/>
        <w:ind w:firstLine="567"/>
        <w:rPr>
          <w:rFonts w:ascii="Arial" w:hAnsi="Arial" w:cs="Arial"/>
          <w:color w:val="000000"/>
          <w:lang w:val="en-GB"/>
        </w:rPr>
      </w:pPr>
    </w:p>
    <w:p w14:paraId="0E7F7BB7" w14:textId="77777777" w:rsidR="002775A3" w:rsidRPr="00061979" w:rsidRDefault="002775A3" w:rsidP="00137489">
      <w:pPr>
        <w:autoSpaceDE w:val="0"/>
        <w:autoSpaceDN w:val="0"/>
        <w:adjustRightInd w:val="0"/>
        <w:spacing w:after="0" w:line="240" w:lineRule="auto"/>
        <w:rPr>
          <w:rFonts w:ascii="Arial" w:hAnsi="Arial" w:cs="Arial"/>
          <w:color w:val="000000"/>
          <w:lang w:val="en-GB"/>
        </w:rPr>
      </w:pPr>
    </w:p>
    <w:p w14:paraId="372AC79E" w14:textId="76FF91B3" w:rsidR="00BE6422" w:rsidRPr="00061979" w:rsidRDefault="00BE6422" w:rsidP="00137489">
      <w:pPr>
        <w:autoSpaceDE w:val="0"/>
        <w:autoSpaceDN w:val="0"/>
        <w:adjustRightInd w:val="0"/>
        <w:spacing w:after="0" w:line="240" w:lineRule="auto"/>
        <w:rPr>
          <w:rFonts w:ascii="Arial" w:hAnsi="Arial" w:cs="Arial"/>
        </w:rPr>
      </w:pPr>
    </w:p>
    <w:p w14:paraId="7D5F96D2" w14:textId="0BE84F27" w:rsidR="008948CC" w:rsidRPr="00061979" w:rsidRDefault="00D96CD1" w:rsidP="00B72851">
      <w:pPr>
        <w:autoSpaceDE w:val="0"/>
        <w:autoSpaceDN w:val="0"/>
        <w:adjustRightInd w:val="0"/>
        <w:spacing w:after="0" w:line="240" w:lineRule="auto"/>
        <w:ind w:left="567"/>
        <w:rPr>
          <w:rFonts w:ascii="Arial" w:hAnsi="Arial" w:cs="Arial"/>
          <w:b/>
          <w:bCs/>
        </w:rPr>
      </w:pPr>
      <w:r w:rsidRPr="00061979">
        <w:rPr>
          <w:rFonts w:ascii="Arial" w:hAnsi="Arial" w:cs="Arial"/>
          <w:b/>
          <w:bCs/>
        </w:rPr>
        <w:t>b</w:t>
      </w:r>
      <w:r w:rsidR="008948CC" w:rsidRPr="00061979">
        <w:rPr>
          <w:rFonts w:ascii="Arial" w:hAnsi="Arial" w:cs="Arial"/>
          <w:b/>
          <w:bCs/>
        </w:rPr>
        <w:t xml:space="preserve">. </w:t>
      </w:r>
      <w:r w:rsidR="001671AE" w:rsidRPr="00061979">
        <w:rPr>
          <w:rFonts w:ascii="Arial" w:hAnsi="Arial" w:cs="Arial"/>
          <w:b/>
          <w:bCs/>
        </w:rPr>
        <w:t>Price Evaluation</w:t>
      </w:r>
    </w:p>
    <w:p w14:paraId="71267DD5" w14:textId="77777777" w:rsidR="001671AE" w:rsidRPr="00061979" w:rsidRDefault="001671AE" w:rsidP="00623D28">
      <w:pPr>
        <w:autoSpaceDE w:val="0"/>
        <w:autoSpaceDN w:val="0"/>
        <w:adjustRightInd w:val="0"/>
        <w:spacing w:after="0" w:line="240" w:lineRule="auto"/>
        <w:rPr>
          <w:rFonts w:ascii="Arial" w:hAnsi="Arial" w:cs="Arial"/>
        </w:rPr>
      </w:pPr>
    </w:p>
    <w:p w14:paraId="1152CDF5" w14:textId="640161A2" w:rsidR="009638E6" w:rsidRPr="00061979" w:rsidRDefault="009638E6"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For the price evaluation, each submission will be assessed on the total cost of delivering the programme over </w:t>
      </w:r>
      <w:r w:rsidR="00A6473F">
        <w:rPr>
          <w:rFonts w:ascii="Arial" w:hAnsi="Arial" w:cs="Arial"/>
        </w:rPr>
        <w:t xml:space="preserve">the </w:t>
      </w:r>
      <w:r w:rsidR="000D292B">
        <w:rPr>
          <w:rFonts w:ascii="Arial" w:hAnsi="Arial" w:cs="Arial"/>
        </w:rPr>
        <w:t>number of years</w:t>
      </w:r>
      <w:r w:rsidR="00A6473F">
        <w:rPr>
          <w:rFonts w:ascii="Arial" w:hAnsi="Arial" w:cs="Arial"/>
        </w:rPr>
        <w:t xml:space="preserve"> that</w:t>
      </w:r>
      <w:r w:rsidR="000D292B">
        <w:rPr>
          <w:rFonts w:ascii="Arial" w:hAnsi="Arial" w:cs="Arial"/>
        </w:rPr>
        <w:t xml:space="preserve"> the supplier has identified that they will offer the service (up to a maximum of three years)</w:t>
      </w:r>
    </w:p>
    <w:p w14:paraId="0CADA313" w14:textId="77777777" w:rsidR="009B27FF" w:rsidRPr="00061979" w:rsidRDefault="009B27FF" w:rsidP="00B72851">
      <w:pPr>
        <w:pStyle w:val="ListParagraph"/>
        <w:autoSpaceDE w:val="0"/>
        <w:autoSpaceDN w:val="0"/>
        <w:adjustRightInd w:val="0"/>
        <w:spacing w:after="0" w:line="240" w:lineRule="auto"/>
        <w:ind w:left="567" w:hanging="567"/>
        <w:rPr>
          <w:rFonts w:ascii="Arial" w:hAnsi="Arial" w:cs="Arial"/>
        </w:rPr>
      </w:pPr>
    </w:p>
    <w:p w14:paraId="6681A079" w14:textId="77777777" w:rsidR="00F47515" w:rsidRDefault="006B6EF3" w:rsidP="00F47515">
      <w:pPr>
        <w:pStyle w:val="ListParagraph"/>
        <w:numPr>
          <w:ilvl w:val="0"/>
          <w:numId w:val="1"/>
        </w:numPr>
        <w:autoSpaceDE w:val="0"/>
        <w:autoSpaceDN w:val="0"/>
        <w:adjustRightInd w:val="0"/>
        <w:spacing w:after="0" w:line="240" w:lineRule="auto"/>
        <w:ind w:left="567" w:hanging="567"/>
        <w:rPr>
          <w:rFonts w:ascii="Arial" w:hAnsi="Arial" w:cs="Arial"/>
        </w:rPr>
      </w:pPr>
      <w:r w:rsidRPr="00F47515">
        <w:rPr>
          <w:rFonts w:ascii="Arial" w:hAnsi="Arial" w:cs="Arial"/>
        </w:rPr>
        <w:t xml:space="preserve">To allow us to evaluate the price all proposals should include a detailed summary of the proposed costs for the </w:t>
      </w:r>
      <w:r w:rsidR="00636224" w:rsidRPr="00F47515">
        <w:rPr>
          <w:rFonts w:ascii="Arial" w:hAnsi="Arial" w:cs="Arial"/>
        </w:rPr>
        <w:t>identified</w:t>
      </w:r>
      <w:r w:rsidR="000D292B" w:rsidRPr="00F47515">
        <w:rPr>
          <w:rFonts w:ascii="Arial" w:hAnsi="Arial" w:cs="Arial"/>
        </w:rPr>
        <w:t xml:space="preserve"> </w:t>
      </w:r>
      <w:r w:rsidRPr="00F47515">
        <w:rPr>
          <w:rFonts w:ascii="Arial" w:hAnsi="Arial" w:cs="Arial"/>
        </w:rPr>
        <w:t>requested areas of work, as described in the sp</w:t>
      </w:r>
      <w:r w:rsidRPr="00E93C55">
        <w:rPr>
          <w:rFonts w:ascii="Arial" w:hAnsi="Arial" w:cs="Arial"/>
        </w:rPr>
        <w:t xml:space="preserve">ecification. </w:t>
      </w:r>
      <w:r w:rsidR="004D7376" w:rsidRPr="008F082E">
        <w:rPr>
          <w:rFonts w:ascii="Arial" w:hAnsi="Arial" w:cs="Arial"/>
        </w:rPr>
        <w:t xml:space="preserve"> Pricing should be clear and broken down in a way that identifies category type and type of position undertaking the assessment, hourly rate and the cost per application. </w:t>
      </w:r>
      <w:r w:rsidR="00636224" w:rsidRPr="00060BAC">
        <w:rPr>
          <w:rFonts w:ascii="Arial" w:hAnsi="Arial" w:cs="Arial"/>
        </w:rPr>
        <w:t xml:space="preserve"> Proposals should provide an indication of any extra costs such as attendance at Planning Application Committees.  </w:t>
      </w:r>
    </w:p>
    <w:p w14:paraId="15F630A1" w14:textId="77777777" w:rsidR="00F47515" w:rsidRPr="00F47515" w:rsidRDefault="00F47515" w:rsidP="00F47515">
      <w:pPr>
        <w:pStyle w:val="ListParagraph"/>
        <w:rPr>
          <w:rFonts w:ascii="Arial" w:hAnsi="Arial" w:cs="Arial"/>
        </w:rPr>
      </w:pPr>
    </w:p>
    <w:p w14:paraId="729041AD" w14:textId="3E66D0FF" w:rsidR="00A6473F" w:rsidRPr="00F47515" w:rsidRDefault="00A6473F" w:rsidP="00F47515">
      <w:pPr>
        <w:pStyle w:val="ListParagraph"/>
        <w:autoSpaceDE w:val="0"/>
        <w:autoSpaceDN w:val="0"/>
        <w:adjustRightInd w:val="0"/>
        <w:spacing w:after="0" w:line="240" w:lineRule="auto"/>
        <w:ind w:left="567"/>
        <w:rPr>
          <w:rFonts w:ascii="Arial" w:hAnsi="Arial" w:cs="Arial"/>
        </w:rPr>
      </w:pPr>
    </w:p>
    <w:p w14:paraId="642174F2" w14:textId="7DDE3A45" w:rsidR="00A6473F" w:rsidRPr="00F47515" w:rsidRDefault="00A6473F" w:rsidP="00F47515">
      <w:pPr>
        <w:autoSpaceDE w:val="0"/>
        <w:autoSpaceDN w:val="0"/>
        <w:adjustRightInd w:val="0"/>
        <w:spacing w:after="0" w:line="240" w:lineRule="auto"/>
        <w:ind w:left="567"/>
        <w:rPr>
          <w:rFonts w:ascii="Arial" w:hAnsi="Arial" w:cs="Arial"/>
        </w:rPr>
      </w:pPr>
      <w:r w:rsidRPr="00F47515">
        <w:rPr>
          <w:rFonts w:ascii="Arial" w:hAnsi="Arial" w:cs="Arial"/>
          <w:b/>
          <w:bCs/>
        </w:rPr>
        <w:t>Table 6</w:t>
      </w:r>
      <w:r w:rsidR="00F47515">
        <w:rPr>
          <w:rFonts w:ascii="Arial" w:hAnsi="Arial" w:cs="Arial"/>
        </w:rPr>
        <w:t xml:space="preserve"> this table provides an illustration of how proposals could be set out by suppliers</w:t>
      </w:r>
    </w:p>
    <w:p w14:paraId="101DC65A" w14:textId="77777777" w:rsidR="004D7376" w:rsidRPr="004D7376" w:rsidRDefault="004D7376" w:rsidP="004D7376">
      <w:pPr>
        <w:pStyle w:val="ListParagraph"/>
        <w:rPr>
          <w:rFonts w:ascii="Arial" w:hAnsi="Arial" w:cs="Arial"/>
        </w:rPr>
      </w:pPr>
    </w:p>
    <w:tbl>
      <w:tblPr>
        <w:tblStyle w:val="GridTable1Light"/>
        <w:tblW w:w="0" w:type="auto"/>
        <w:tblInd w:w="595" w:type="dxa"/>
        <w:tblLook w:val="04A0" w:firstRow="1" w:lastRow="0" w:firstColumn="1" w:lastColumn="0" w:noHBand="0" w:noVBand="1"/>
      </w:tblPr>
      <w:tblGrid>
        <w:gridCol w:w="1606"/>
        <w:gridCol w:w="1708"/>
        <w:gridCol w:w="1382"/>
        <w:gridCol w:w="671"/>
        <w:gridCol w:w="965"/>
        <w:gridCol w:w="2423"/>
      </w:tblGrid>
      <w:tr w:rsidR="00D2684C" w:rsidRPr="004D7376" w14:paraId="5BEF0C1F" w14:textId="77777777" w:rsidTr="00D2684C">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noWrap/>
          </w:tcPr>
          <w:p w14:paraId="1BDFBC6B" w14:textId="77777777" w:rsidR="00D2684C" w:rsidRPr="00152562" w:rsidRDefault="00D2684C" w:rsidP="004D7376">
            <w:pPr>
              <w:rPr>
                <w:rFonts w:ascii="Arial" w:eastAsia="Times New Roman" w:hAnsi="Arial" w:cs="Arial"/>
                <w:color w:val="000000"/>
                <w:sz w:val="20"/>
                <w:szCs w:val="20"/>
                <w:lang w:val="en-GB" w:eastAsia="en-GB"/>
              </w:rPr>
            </w:pPr>
          </w:p>
        </w:tc>
        <w:tc>
          <w:tcPr>
            <w:tcW w:w="0" w:type="auto"/>
          </w:tcPr>
          <w:p w14:paraId="714C1B27" w14:textId="5B392B09" w:rsidR="00D2684C" w:rsidRPr="00152562" w:rsidRDefault="00D2684C" w:rsidP="004D737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A</w:t>
            </w:r>
          </w:p>
        </w:tc>
        <w:tc>
          <w:tcPr>
            <w:tcW w:w="0" w:type="auto"/>
          </w:tcPr>
          <w:p w14:paraId="0FBA8F8C" w14:textId="3B34E2D1" w:rsidR="00D2684C" w:rsidRPr="00152562" w:rsidRDefault="00D2684C" w:rsidP="004D737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B</w:t>
            </w:r>
          </w:p>
        </w:tc>
        <w:tc>
          <w:tcPr>
            <w:tcW w:w="0" w:type="auto"/>
          </w:tcPr>
          <w:p w14:paraId="0321A263" w14:textId="76EE5100" w:rsidR="00D2684C" w:rsidRPr="00152562" w:rsidRDefault="00D2684C" w:rsidP="004D737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C</w:t>
            </w:r>
          </w:p>
        </w:tc>
        <w:tc>
          <w:tcPr>
            <w:tcW w:w="0" w:type="auto"/>
          </w:tcPr>
          <w:p w14:paraId="3C5F701B" w14:textId="2FA66E7A" w:rsidR="00D2684C" w:rsidRPr="00152562" w:rsidRDefault="00D2684C" w:rsidP="004D737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D</w:t>
            </w:r>
          </w:p>
        </w:tc>
        <w:tc>
          <w:tcPr>
            <w:tcW w:w="0" w:type="auto"/>
          </w:tcPr>
          <w:p w14:paraId="345C81DF" w14:textId="77777777" w:rsidR="00D2684C" w:rsidRPr="00152562" w:rsidRDefault="00D2684C" w:rsidP="004D737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p>
        </w:tc>
      </w:tr>
      <w:tr w:rsidR="004D7376" w:rsidRPr="004D7376" w14:paraId="1A0F43B3" w14:textId="77777777" w:rsidTr="004D7376">
        <w:trPr>
          <w:trHeight w:val="792"/>
        </w:trPr>
        <w:tc>
          <w:tcPr>
            <w:cnfStyle w:val="001000000000" w:firstRow="0" w:lastRow="0" w:firstColumn="1" w:lastColumn="0" w:oddVBand="0" w:evenVBand="0" w:oddHBand="0" w:evenHBand="0" w:firstRowFirstColumn="0" w:firstRowLastColumn="0" w:lastRowFirstColumn="0" w:lastRowLastColumn="0"/>
            <w:tcW w:w="0" w:type="auto"/>
            <w:noWrap/>
            <w:hideMark/>
          </w:tcPr>
          <w:p w14:paraId="5EF01BAA" w14:textId="77777777" w:rsidR="004D7376" w:rsidRPr="00152562" w:rsidRDefault="004D7376" w:rsidP="004D7376">
            <w:pPr>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Category type</w:t>
            </w:r>
          </w:p>
        </w:tc>
        <w:tc>
          <w:tcPr>
            <w:tcW w:w="0" w:type="auto"/>
            <w:hideMark/>
          </w:tcPr>
          <w:p w14:paraId="3C623781"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Expected time / duration to review (hrs)</w:t>
            </w:r>
          </w:p>
        </w:tc>
        <w:tc>
          <w:tcPr>
            <w:tcW w:w="0" w:type="auto"/>
            <w:hideMark/>
          </w:tcPr>
          <w:p w14:paraId="1EF8152D"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Type of position allocated</w:t>
            </w:r>
          </w:p>
        </w:tc>
        <w:tc>
          <w:tcPr>
            <w:tcW w:w="0" w:type="auto"/>
            <w:hideMark/>
          </w:tcPr>
          <w:p w14:paraId="2E511380"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proofErr w:type="spellStart"/>
            <w:r w:rsidRPr="00152562">
              <w:rPr>
                <w:rFonts w:ascii="Arial" w:eastAsia="Times New Roman" w:hAnsi="Arial" w:cs="Arial"/>
                <w:color w:val="000000"/>
                <w:sz w:val="20"/>
                <w:szCs w:val="20"/>
                <w:lang w:val="en-GB" w:eastAsia="en-GB"/>
              </w:rPr>
              <w:t>Hrly</w:t>
            </w:r>
            <w:proofErr w:type="spellEnd"/>
            <w:r w:rsidRPr="00152562">
              <w:rPr>
                <w:rFonts w:ascii="Arial" w:eastAsia="Times New Roman" w:hAnsi="Arial" w:cs="Arial"/>
                <w:color w:val="000000"/>
                <w:sz w:val="20"/>
                <w:szCs w:val="20"/>
                <w:lang w:val="en-GB" w:eastAsia="en-GB"/>
              </w:rPr>
              <w:t xml:space="preserve"> rate</w:t>
            </w:r>
          </w:p>
        </w:tc>
        <w:tc>
          <w:tcPr>
            <w:tcW w:w="0" w:type="auto"/>
            <w:hideMark/>
          </w:tcPr>
          <w:p w14:paraId="7765D928"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total cost per app</w:t>
            </w:r>
          </w:p>
        </w:tc>
        <w:tc>
          <w:tcPr>
            <w:tcW w:w="0" w:type="auto"/>
            <w:hideMark/>
          </w:tcPr>
          <w:p w14:paraId="1948D48F"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Total cost for 1 year's provision</w:t>
            </w:r>
          </w:p>
        </w:tc>
      </w:tr>
      <w:tr w:rsidR="004D7376" w:rsidRPr="004D7376" w14:paraId="49F7C75B" w14:textId="77777777" w:rsidTr="004D737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6A4E405" w14:textId="77777777" w:rsidR="004D7376" w:rsidRPr="00152562" w:rsidRDefault="004D7376" w:rsidP="004D7376">
            <w:pPr>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Major</w:t>
            </w:r>
          </w:p>
        </w:tc>
        <w:tc>
          <w:tcPr>
            <w:tcW w:w="0" w:type="auto"/>
            <w:noWrap/>
            <w:hideMark/>
          </w:tcPr>
          <w:p w14:paraId="0ECC8449"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 hours</w:t>
            </w:r>
          </w:p>
        </w:tc>
        <w:tc>
          <w:tcPr>
            <w:tcW w:w="0" w:type="auto"/>
            <w:noWrap/>
            <w:hideMark/>
          </w:tcPr>
          <w:p w14:paraId="56FBB0A5"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Director</w:t>
            </w:r>
          </w:p>
        </w:tc>
        <w:tc>
          <w:tcPr>
            <w:tcW w:w="0" w:type="auto"/>
            <w:noWrap/>
            <w:hideMark/>
          </w:tcPr>
          <w:p w14:paraId="10B498C3"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£xx</w:t>
            </w:r>
          </w:p>
        </w:tc>
        <w:tc>
          <w:tcPr>
            <w:tcW w:w="0" w:type="auto"/>
            <w:noWrap/>
            <w:hideMark/>
          </w:tcPr>
          <w:p w14:paraId="7B553D1D"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A x C</w:t>
            </w:r>
          </w:p>
        </w:tc>
        <w:tc>
          <w:tcPr>
            <w:tcW w:w="0" w:type="auto"/>
            <w:noWrap/>
            <w:hideMark/>
          </w:tcPr>
          <w:p w14:paraId="10167E4B"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D x average of Table 2</w:t>
            </w:r>
          </w:p>
        </w:tc>
      </w:tr>
      <w:tr w:rsidR="004D7376" w:rsidRPr="004D7376" w14:paraId="60068045" w14:textId="77777777" w:rsidTr="004D737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1A7CC2B" w14:textId="77777777" w:rsidR="004D7376" w:rsidRPr="00152562" w:rsidRDefault="004D7376" w:rsidP="004D7376">
            <w:pPr>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Minor</w:t>
            </w:r>
          </w:p>
        </w:tc>
        <w:tc>
          <w:tcPr>
            <w:tcW w:w="0" w:type="auto"/>
            <w:noWrap/>
            <w:hideMark/>
          </w:tcPr>
          <w:p w14:paraId="5D506CDA"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 hours</w:t>
            </w:r>
          </w:p>
        </w:tc>
        <w:tc>
          <w:tcPr>
            <w:tcW w:w="0" w:type="auto"/>
            <w:noWrap/>
            <w:hideMark/>
          </w:tcPr>
          <w:p w14:paraId="716CE23A"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Senior</w:t>
            </w:r>
          </w:p>
        </w:tc>
        <w:tc>
          <w:tcPr>
            <w:tcW w:w="0" w:type="auto"/>
            <w:noWrap/>
            <w:hideMark/>
          </w:tcPr>
          <w:p w14:paraId="792FAEA6"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£xx</w:t>
            </w:r>
          </w:p>
        </w:tc>
        <w:tc>
          <w:tcPr>
            <w:tcW w:w="0" w:type="auto"/>
            <w:noWrap/>
            <w:hideMark/>
          </w:tcPr>
          <w:p w14:paraId="354BFF94"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A x C</w:t>
            </w:r>
          </w:p>
        </w:tc>
        <w:tc>
          <w:tcPr>
            <w:tcW w:w="0" w:type="auto"/>
            <w:noWrap/>
            <w:hideMark/>
          </w:tcPr>
          <w:p w14:paraId="3F98B28C"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D x average no</w:t>
            </w:r>
          </w:p>
        </w:tc>
      </w:tr>
      <w:tr w:rsidR="004D7376" w:rsidRPr="004D7376" w14:paraId="759CAD36" w14:textId="77777777" w:rsidTr="004D737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473C7FB" w14:textId="77777777" w:rsidR="004D7376" w:rsidRPr="00152562" w:rsidRDefault="004D7376" w:rsidP="004D7376">
            <w:pPr>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Other</w:t>
            </w:r>
          </w:p>
        </w:tc>
        <w:tc>
          <w:tcPr>
            <w:tcW w:w="0" w:type="auto"/>
            <w:noWrap/>
            <w:hideMark/>
          </w:tcPr>
          <w:p w14:paraId="18CBDE20"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 hours</w:t>
            </w:r>
          </w:p>
        </w:tc>
        <w:tc>
          <w:tcPr>
            <w:tcW w:w="0" w:type="auto"/>
            <w:noWrap/>
            <w:hideMark/>
          </w:tcPr>
          <w:p w14:paraId="60152181"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 xml:space="preserve">Junior </w:t>
            </w:r>
          </w:p>
        </w:tc>
        <w:tc>
          <w:tcPr>
            <w:tcW w:w="0" w:type="auto"/>
            <w:noWrap/>
            <w:hideMark/>
          </w:tcPr>
          <w:p w14:paraId="25B32E54"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£xx</w:t>
            </w:r>
          </w:p>
        </w:tc>
        <w:tc>
          <w:tcPr>
            <w:tcW w:w="0" w:type="auto"/>
            <w:noWrap/>
            <w:hideMark/>
          </w:tcPr>
          <w:p w14:paraId="66050589"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A x C</w:t>
            </w:r>
          </w:p>
        </w:tc>
        <w:tc>
          <w:tcPr>
            <w:tcW w:w="0" w:type="auto"/>
            <w:noWrap/>
            <w:hideMark/>
          </w:tcPr>
          <w:p w14:paraId="69B23B5F"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D x average no</w:t>
            </w:r>
          </w:p>
        </w:tc>
      </w:tr>
      <w:tr w:rsidR="004D7376" w:rsidRPr="004D7376" w14:paraId="4C42989A" w14:textId="77777777" w:rsidTr="004D737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F7F9EC7" w14:textId="77777777" w:rsidR="004D7376" w:rsidRPr="00152562" w:rsidRDefault="004D7376" w:rsidP="004D7376">
            <w:pPr>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lastRenderedPageBreak/>
              <w:t xml:space="preserve">Prior Approval </w:t>
            </w:r>
          </w:p>
        </w:tc>
        <w:tc>
          <w:tcPr>
            <w:tcW w:w="0" w:type="auto"/>
            <w:noWrap/>
            <w:hideMark/>
          </w:tcPr>
          <w:p w14:paraId="6DFB2875"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 hours</w:t>
            </w:r>
          </w:p>
        </w:tc>
        <w:tc>
          <w:tcPr>
            <w:tcW w:w="0" w:type="auto"/>
            <w:noWrap/>
            <w:hideMark/>
          </w:tcPr>
          <w:p w14:paraId="574C0D7C" w14:textId="43371280"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Etc</w:t>
            </w:r>
          </w:p>
        </w:tc>
        <w:tc>
          <w:tcPr>
            <w:tcW w:w="0" w:type="auto"/>
            <w:noWrap/>
            <w:hideMark/>
          </w:tcPr>
          <w:p w14:paraId="1BAE26FD"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£xx</w:t>
            </w:r>
          </w:p>
        </w:tc>
        <w:tc>
          <w:tcPr>
            <w:tcW w:w="0" w:type="auto"/>
            <w:noWrap/>
            <w:hideMark/>
          </w:tcPr>
          <w:p w14:paraId="031A82B1"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A x C</w:t>
            </w:r>
          </w:p>
        </w:tc>
        <w:tc>
          <w:tcPr>
            <w:tcW w:w="0" w:type="auto"/>
            <w:noWrap/>
            <w:hideMark/>
          </w:tcPr>
          <w:p w14:paraId="2B147E6B"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D x average no</w:t>
            </w:r>
          </w:p>
        </w:tc>
      </w:tr>
      <w:tr w:rsidR="004D7376" w:rsidRPr="004D7376" w14:paraId="2C76CD54" w14:textId="77777777" w:rsidTr="004D7376">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1E53299" w14:textId="77777777" w:rsidR="004D7376" w:rsidRPr="00152562" w:rsidRDefault="004D7376" w:rsidP="004D7376">
            <w:pPr>
              <w:rPr>
                <w:rFonts w:ascii="Arial" w:eastAsia="Times New Roman" w:hAnsi="Arial" w:cs="Arial"/>
                <w:color w:val="000000"/>
                <w:sz w:val="20"/>
                <w:szCs w:val="20"/>
                <w:lang w:val="en-GB" w:eastAsia="en-GB"/>
              </w:rPr>
            </w:pPr>
            <w:proofErr w:type="gramStart"/>
            <w:r w:rsidRPr="00152562">
              <w:rPr>
                <w:rFonts w:ascii="Arial" w:eastAsia="Times New Roman" w:hAnsi="Arial" w:cs="Arial"/>
                <w:color w:val="000000"/>
                <w:sz w:val="20"/>
                <w:szCs w:val="20"/>
                <w:lang w:val="en-GB" w:eastAsia="en-GB"/>
              </w:rPr>
              <w:t>Pre App</w:t>
            </w:r>
            <w:proofErr w:type="gramEnd"/>
          </w:p>
        </w:tc>
        <w:tc>
          <w:tcPr>
            <w:tcW w:w="0" w:type="auto"/>
            <w:noWrap/>
            <w:hideMark/>
          </w:tcPr>
          <w:p w14:paraId="40D2EB94"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 hours</w:t>
            </w:r>
          </w:p>
        </w:tc>
        <w:tc>
          <w:tcPr>
            <w:tcW w:w="0" w:type="auto"/>
            <w:noWrap/>
            <w:hideMark/>
          </w:tcPr>
          <w:p w14:paraId="76A457FE" w14:textId="32CD9A49"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Etc</w:t>
            </w:r>
          </w:p>
        </w:tc>
        <w:tc>
          <w:tcPr>
            <w:tcW w:w="0" w:type="auto"/>
            <w:noWrap/>
            <w:hideMark/>
          </w:tcPr>
          <w:p w14:paraId="19D09334"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£xx</w:t>
            </w:r>
          </w:p>
        </w:tc>
        <w:tc>
          <w:tcPr>
            <w:tcW w:w="0" w:type="auto"/>
            <w:noWrap/>
            <w:hideMark/>
          </w:tcPr>
          <w:p w14:paraId="71ABE2F7"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A x C</w:t>
            </w:r>
          </w:p>
        </w:tc>
        <w:tc>
          <w:tcPr>
            <w:tcW w:w="0" w:type="auto"/>
            <w:noWrap/>
            <w:hideMark/>
          </w:tcPr>
          <w:p w14:paraId="6A2F1CF5" w14:textId="77777777" w:rsidR="004D7376" w:rsidRPr="00152562" w:rsidRDefault="004D7376" w:rsidP="004D73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eastAsia="en-GB"/>
              </w:rPr>
            </w:pPr>
            <w:r w:rsidRPr="00152562">
              <w:rPr>
                <w:rFonts w:ascii="Arial" w:eastAsia="Times New Roman" w:hAnsi="Arial" w:cs="Arial"/>
                <w:color w:val="000000"/>
                <w:sz w:val="20"/>
                <w:szCs w:val="20"/>
                <w:lang w:val="en-GB" w:eastAsia="en-GB"/>
              </w:rPr>
              <w:t>D x average no</w:t>
            </w:r>
          </w:p>
        </w:tc>
      </w:tr>
    </w:tbl>
    <w:p w14:paraId="1490BFE1" w14:textId="77777777" w:rsidR="004D7376" w:rsidRPr="004D7376" w:rsidRDefault="004D7376" w:rsidP="004D7376">
      <w:pPr>
        <w:autoSpaceDE w:val="0"/>
        <w:autoSpaceDN w:val="0"/>
        <w:adjustRightInd w:val="0"/>
        <w:spacing w:after="0" w:line="240" w:lineRule="auto"/>
        <w:rPr>
          <w:rFonts w:ascii="Arial" w:hAnsi="Arial" w:cs="Arial"/>
        </w:rPr>
      </w:pPr>
    </w:p>
    <w:p w14:paraId="34DB7F64" w14:textId="77777777" w:rsidR="00AD0681" w:rsidRPr="00061979" w:rsidRDefault="00AD0681" w:rsidP="00B72851">
      <w:pPr>
        <w:pStyle w:val="ListParagraph"/>
        <w:autoSpaceDE w:val="0"/>
        <w:autoSpaceDN w:val="0"/>
        <w:adjustRightInd w:val="0"/>
        <w:spacing w:after="0" w:line="240" w:lineRule="auto"/>
        <w:ind w:left="567" w:hanging="567"/>
        <w:rPr>
          <w:rFonts w:ascii="Arial" w:hAnsi="Arial" w:cs="Arial"/>
        </w:rPr>
      </w:pPr>
    </w:p>
    <w:p w14:paraId="34866A76" w14:textId="77777777" w:rsidR="00732804" w:rsidRDefault="005B7850" w:rsidP="00732804">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For each application type please provide an estimate of</w:t>
      </w:r>
      <w:r w:rsidR="00732804">
        <w:rPr>
          <w:rFonts w:ascii="Arial" w:hAnsi="Arial" w:cs="Arial"/>
        </w:rPr>
        <w:t>:</w:t>
      </w:r>
    </w:p>
    <w:p w14:paraId="48E5EFAB" w14:textId="40FC5B02" w:rsidR="00732804" w:rsidRDefault="00732804" w:rsidP="00732804">
      <w:pPr>
        <w:pStyle w:val="ListParagraph"/>
        <w:numPr>
          <w:ilvl w:val="1"/>
          <w:numId w:val="1"/>
        </w:numPr>
        <w:autoSpaceDE w:val="0"/>
        <w:autoSpaceDN w:val="0"/>
        <w:adjustRightInd w:val="0"/>
        <w:spacing w:after="0" w:line="240" w:lineRule="auto"/>
        <w:rPr>
          <w:rFonts w:ascii="Arial" w:hAnsi="Arial" w:cs="Arial"/>
        </w:rPr>
      </w:pPr>
      <w:r>
        <w:rPr>
          <w:rFonts w:ascii="Arial" w:hAnsi="Arial" w:cs="Arial"/>
        </w:rPr>
        <w:t>T</w:t>
      </w:r>
      <w:r w:rsidR="005B7850" w:rsidRPr="00061979">
        <w:rPr>
          <w:rFonts w:ascii="Arial" w:hAnsi="Arial" w:cs="Arial"/>
        </w:rPr>
        <w:t xml:space="preserve">he average time to provide assessment on the </w:t>
      </w:r>
      <w:r w:rsidR="00AF6167">
        <w:rPr>
          <w:rFonts w:ascii="Arial" w:hAnsi="Arial" w:cs="Arial"/>
        </w:rPr>
        <w:t>5</w:t>
      </w:r>
      <w:r w:rsidR="005B7850" w:rsidRPr="00061979">
        <w:rPr>
          <w:rFonts w:ascii="Arial" w:hAnsi="Arial" w:cs="Arial"/>
        </w:rPr>
        <w:t xml:space="preserve"> different types of application category along with an hourly rate</w:t>
      </w:r>
      <w:r w:rsidR="00E93C55">
        <w:rPr>
          <w:rFonts w:ascii="Arial" w:hAnsi="Arial" w:cs="Arial"/>
        </w:rPr>
        <w:t>.</w:t>
      </w:r>
    </w:p>
    <w:p w14:paraId="1C6FB265" w14:textId="0CD32BBB" w:rsidR="00732804" w:rsidRDefault="00CC24E3" w:rsidP="00732804">
      <w:pPr>
        <w:pStyle w:val="ListParagraph"/>
        <w:numPr>
          <w:ilvl w:val="1"/>
          <w:numId w:val="1"/>
        </w:numPr>
        <w:autoSpaceDE w:val="0"/>
        <w:autoSpaceDN w:val="0"/>
        <w:adjustRightInd w:val="0"/>
        <w:spacing w:after="0" w:line="240" w:lineRule="auto"/>
        <w:rPr>
          <w:rFonts w:ascii="Arial" w:hAnsi="Arial" w:cs="Arial"/>
        </w:rPr>
      </w:pPr>
      <w:r>
        <w:rPr>
          <w:rFonts w:ascii="Arial" w:hAnsi="Arial" w:cs="Arial"/>
        </w:rPr>
        <w:t xml:space="preserve">Average cost </w:t>
      </w:r>
      <w:r w:rsidR="007D67FF">
        <w:rPr>
          <w:rFonts w:ascii="Arial" w:hAnsi="Arial" w:cs="Arial"/>
        </w:rPr>
        <w:t>of site visit for each type of application</w:t>
      </w:r>
    </w:p>
    <w:p w14:paraId="109C14D2" w14:textId="786452EB" w:rsidR="007D67FF" w:rsidRDefault="007D67FF" w:rsidP="00732804">
      <w:pPr>
        <w:pStyle w:val="ListParagraph"/>
        <w:numPr>
          <w:ilvl w:val="1"/>
          <w:numId w:val="1"/>
        </w:numPr>
        <w:autoSpaceDE w:val="0"/>
        <w:autoSpaceDN w:val="0"/>
        <w:adjustRightInd w:val="0"/>
        <w:spacing w:after="0" w:line="240" w:lineRule="auto"/>
        <w:rPr>
          <w:rFonts w:ascii="Arial" w:hAnsi="Arial" w:cs="Arial"/>
        </w:rPr>
      </w:pPr>
      <w:r>
        <w:rPr>
          <w:rFonts w:ascii="Arial" w:hAnsi="Arial" w:cs="Arial"/>
        </w:rPr>
        <w:t>Average cost of attendance at planning committee for each type of application</w:t>
      </w:r>
      <w:r w:rsidR="008D1B69">
        <w:rPr>
          <w:rFonts w:ascii="Arial" w:hAnsi="Arial" w:cs="Arial"/>
        </w:rPr>
        <w:t xml:space="preserve"> (for evaluation purposes – assume two meetings per year)</w:t>
      </w:r>
    </w:p>
    <w:p w14:paraId="75FFC16E" w14:textId="77777777" w:rsidR="004E29EF" w:rsidRDefault="004E29EF" w:rsidP="004E29EF">
      <w:pPr>
        <w:autoSpaceDE w:val="0"/>
        <w:autoSpaceDN w:val="0"/>
        <w:adjustRightInd w:val="0"/>
        <w:spacing w:after="0" w:line="240" w:lineRule="auto"/>
        <w:rPr>
          <w:rFonts w:ascii="Arial" w:hAnsi="Arial" w:cs="Arial"/>
        </w:rPr>
      </w:pPr>
    </w:p>
    <w:p w14:paraId="2199F232" w14:textId="2D713EA7" w:rsidR="004E29EF" w:rsidRDefault="004E29EF" w:rsidP="00095364">
      <w:pPr>
        <w:autoSpaceDE w:val="0"/>
        <w:autoSpaceDN w:val="0"/>
        <w:adjustRightInd w:val="0"/>
        <w:spacing w:after="0" w:line="240" w:lineRule="auto"/>
        <w:ind w:firstLine="708"/>
        <w:rPr>
          <w:rFonts w:ascii="Arial" w:hAnsi="Arial" w:cs="Arial"/>
        </w:rPr>
      </w:pPr>
      <w:r>
        <w:rPr>
          <w:rFonts w:ascii="Arial" w:hAnsi="Arial" w:cs="Arial"/>
        </w:rPr>
        <w:t xml:space="preserve">Please also provide </w:t>
      </w:r>
      <w:r w:rsidR="0051224F">
        <w:rPr>
          <w:rFonts w:ascii="Arial" w:hAnsi="Arial" w:cs="Arial"/>
        </w:rPr>
        <w:t xml:space="preserve">any </w:t>
      </w:r>
      <w:r w:rsidR="003C4CF2">
        <w:rPr>
          <w:rFonts w:ascii="Arial" w:hAnsi="Arial" w:cs="Arial"/>
        </w:rPr>
        <w:t>details for</w:t>
      </w:r>
      <w:r w:rsidR="0051224F">
        <w:rPr>
          <w:rFonts w:ascii="Arial" w:hAnsi="Arial" w:cs="Arial"/>
        </w:rPr>
        <w:t xml:space="preserve"> provision</w:t>
      </w:r>
      <w:r>
        <w:rPr>
          <w:rFonts w:ascii="Arial" w:hAnsi="Arial" w:cs="Arial"/>
        </w:rPr>
        <w:t xml:space="preserve"> </w:t>
      </w:r>
      <w:r w:rsidR="00005898">
        <w:rPr>
          <w:rFonts w:ascii="Arial" w:hAnsi="Arial" w:cs="Arial"/>
        </w:rPr>
        <w:t>of</w:t>
      </w:r>
      <w:r w:rsidR="0051224F">
        <w:rPr>
          <w:rFonts w:ascii="Arial" w:hAnsi="Arial" w:cs="Arial"/>
        </w:rPr>
        <w:t xml:space="preserve"> this</w:t>
      </w:r>
      <w:r w:rsidR="00005898">
        <w:rPr>
          <w:rFonts w:ascii="Arial" w:hAnsi="Arial" w:cs="Arial"/>
        </w:rPr>
        <w:t xml:space="preserve"> as part of the contract</w:t>
      </w:r>
      <w:r w:rsidR="00095364">
        <w:rPr>
          <w:rFonts w:ascii="Arial" w:hAnsi="Arial" w:cs="Arial"/>
        </w:rPr>
        <w:t>:</w:t>
      </w:r>
    </w:p>
    <w:p w14:paraId="668CF3D6" w14:textId="7967210C" w:rsidR="008D1B69" w:rsidRPr="00095364" w:rsidRDefault="001C5390" w:rsidP="00095364">
      <w:pPr>
        <w:pStyle w:val="ListParagraph"/>
        <w:numPr>
          <w:ilvl w:val="1"/>
          <w:numId w:val="1"/>
        </w:numPr>
        <w:autoSpaceDE w:val="0"/>
        <w:autoSpaceDN w:val="0"/>
        <w:adjustRightInd w:val="0"/>
        <w:spacing w:after="0" w:line="240" w:lineRule="auto"/>
        <w:rPr>
          <w:rFonts w:ascii="Arial" w:hAnsi="Arial" w:cs="Arial"/>
        </w:rPr>
      </w:pPr>
      <w:r w:rsidRPr="00095364">
        <w:rPr>
          <w:rFonts w:ascii="Arial" w:hAnsi="Arial" w:cs="Arial"/>
        </w:rPr>
        <w:t xml:space="preserve">Training for Lambeth Officers </w:t>
      </w:r>
      <w:r w:rsidR="0026336B" w:rsidRPr="00095364">
        <w:rPr>
          <w:rFonts w:ascii="Arial" w:hAnsi="Arial" w:cs="Arial"/>
        </w:rPr>
        <w:t>(for evaluation purposes – assume 1 session per year).</w:t>
      </w:r>
    </w:p>
    <w:p w14:paraId="2EF6D7B3" w14:textId="5BD2525E" w:rsidR="00FA6680" w:rsidRPr="00732804" w:rsidRDefault="00FA6680" w:rsidP="00FA6680">
      <w:pPr>
        <w:pStyle w:val="ListParagraph"/>
        <w:numPr>
          <w:ilvl w:val="1"/>
          <w:numId w:val="1"/>
        </w:numPr>
        <w:autoSpaceDE w:val="0"/>
        <w:autoSpaceDN w:val="0"/>
        <w:adjustRightInd w:val="0"/>
        <w:spacing w:after="0" w:line="240" w:lineRule="auto"/>
        <w:rPr>
          <w:rFonts w:ascii="Arial" w:hAnsi="Arial" w:cs="Arial"/>
        </w:rPr>
      </w:pPr>
      <w:r>
        <w:rPr>
          <w:rFonts w:ascii="Arial" w:hAnsi="Arial" w:cs="Arial"/>
        </w:rPr>
        <w:t>Training for Lambeth Members (for evaluation purposes – assume 1 session per year).</w:t>
      </w:r>
    </w:p>
    <w:p w14:paraId="6652DD9D" w14:textId="77777777" w:rsidR="00DD3A30" w:rsidRPr="00061979" w:rsidRDefault="00DD3A30" w:rsidP="00B72851">
      <w:pPr>
        <w:pStyle w:val="ListParagraph"/>
        <w:autoSpaceDE w:val="0"/>
        <w:autoSpaceDN w:val="0"/>
        <w:adjustRightInd w:val="0"/>
        <w:spacing w:after="0" w:line="240" w:lineRule="auto"/>
        <w:ind w:left="567" w:hanging="567"/>
        <w:rPr>
          <w:rFonts w:ascii="Arial" w:hAnsi="Arial" w:cs="Arial"/>
        </w:rPr>
      </w:pPr>
    </w:p>
    <w:p w14:paraId="11C25D38" w14:textId="13B6A08B" w:rsidR="00A80305" w:rsidRPr="00061979" w:rsidRDefault="00164873"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 xml:space="preserve">To calculate the Price </w:t>
      </w:r>
      <w:r w:rsidR="00060BAC" w:rsidRPr="00061979">
        <w:rPr>
          <w:rFonts w:ascii="Arial" w:hAnsi="Arial" w:cs="Arial"/>
        </w:rPr>
        <w:t>Score,</w:t>
      </w:r>
      <w:r w:rsidRPr="00061979">
        <w:rPr>
          <w:rFonts w:ascii="Arial" w:hAnsi="Arial" w:cs="Arial"/>
        </w:rPr>
        <w:t xml:space="preserve"> we</w:t>
      </w:r>
      <w:r w:rsidR="00A80305" w:rsidRPr="00061979">
        <w:rPr>
          <w:rFonts w:ascii="Arial" w:hAnsi="Arial" w:cs="Arial"/>
        </w:rPr>
        <w:t xml:space="preserve"> will use the ‘difference from the lowest tendered price’ method and the following equation:</w:t>
      </w:r>
    </w:p>
    <w:p w14:paraId="687EFA25" w14:textId="77777777" w:rsidR="00A80305" w:rsidRPr="00061979" w:rsidRDefault="00A80305" w:rsidP="00B72851">
      <w:pPr>
        <w:pStyle w:val="ListParagraph"/>
        <w:autoSpaceDE w:val="0"/>
        <w:autoSpaceDN w:val="0"/>
        <w:adjustRightInd w:val="0"/>
        <w:spacing w:after="0" w:line="240" w:lineRule="auto"/>
        <w:ind w:left="567" w:hanging="567"/>
        <w:jc w:val="both"/>
        <w:rPr>
          <w:rFonts w:ascii="Arial" w:hAnsi="Arial" w:cs="Arial"/>
        </w:rPr>
      </w:pPr>
      <w:r w:rsidRPr="00061979">
        <w:rPr>
          <w:rFonts w:ascii="Arial" w:hAnsi="Arial" w:cs="Arial"/>
        </w:rPr>
        <w:t xml:space="preserve">   </w:t>
      </w:r>
      <w:r w:rsidRPr="00061979">
        <w:rPr>
          <w:rFonts w:ascii="Arial" w:hAnsi="Arial" w:cs="Arial"/>
        </w:rPr>
        <w:tab/>
      </w:r>
      <w:r w:rsidRPr="00061979">
        <w:rPr>
          <w:rFonts w:ascii="Arial" w:hAnsi="Arial" w:cs="Arial"/>
        </w:rPr>
        <w:tab/>
      </w:r>
      <w:r w:rsidRPr="00061979">
        <w:rPr>
          <w:rFonts w:ascii="Arial" w:hAnsi="Arial" w:cs="Arial"/>
        </w:rPr>
        <w:tab/>
      </w:r>
    </w:p>
    <w:p w14:paraId="6A4F3E3F" w14:textId="71C533B6" w:rsidR="00A80305" w:rsidRPr="00061979" w:rsidRDefault="00A80305" w:rsidP="00B72851">
      <w:pPr>
        <w:spacing w:after="0" w:line="240" w:lineRule="auto"/>
        <w:ind w:left="567"/>
        <w:rPr>
          <w:rFonts w:ascii="Arial" w:hAnsi="Arial" w:cs="Arial"/>
        </w:rPr>
      </w:pPr>
      <w:r w:rsidRPr="00061979">
        <w:rPr>
          <w:rFonts w:ascii="Arial" w:hAnsi="Arial" w:cs="Arial"/>
        </w:rPr>
        <w:t xml:space="preserve">Price Score % = (100% - ((Quote Price – Lowest Price)/ (Lowest Price))) multiplied by </w:t>
      </w:r>
      <w:r w:rsidR="004C4067">
        <w:rPr>
          <w:rFonts w:ascii="Arial" w:hAnsi="Arial" w:cs="Arial"/>
        </w:rPr>
        <w:t>35</w:t>
      </w:r>
      <w:r w:rsidR="004C4067" w:rsidRPr="00061979">
        <w:rPr>
          <w:rFonts w:ascii="Arial" w:hAnsi="Arial" w:cs="Arial"/>
        </w:rPr>
        <w:t xml:space="preserve"> </w:t>
      </w:r>
    </w:p>
    <w:p w14:paraId="7D13EACC" w14:textId="77777777" w:rsidR="00A80305" w:rsidRPr="00061979" w:rsidRDefault="00A80305" w:rsidP="00B72851">
      <w:pPr>
        <w:ind w:left="567" w:hanging="567"/>
        <w:rPr>
          <w:rFonts w:ascii="Arial" w:hAnsi="Arial" w:cs="Arial"/>
        </w:rPr>
      </w:pPr>
      <w:r w:rsidRPr="00061979">
        <w:rPr>
          <w:rFonts w:ascii="Arial" w:hAnsi="Arial" w:cs="Arial"/>
        </w:rPr>
        <w:tab/>
      </w:r>
      <w:r w:rsidRPr="00061979">
        <w:rPr>
          <w:rFonts w:ascii="Arial" w:hAnsi="Arial" w:cs="Arial"/>
        </w:rPr>
        <w:tab/>
      </w:r>
      <w:r w:rsidRPr="00061979">
        <w:rPr>
          <w:rFonts w:ascii="Arial" w:hAnsi="Arial" w:cs="Arial"/>
        </w:rPr>
        <w:tab/>
        <w:t xml:space="preserve">    </w:t>
      </w:r>
    </w:p>
    <w:p w14:paraId="0023943E" w14:textId="32E475ED" w:rsidR="00A80305" w:rsidRPr="00AF6167" w:rsidRDefault="00A80305" w:rsidP="00AF6167">
      <w:pPr>
        <w:pStyle w:val="ListParagraph"/>
        <w:numPr>
          <w:ilvl w:val="0"/>
          <w:numId w:val="1"/>
        </w:numPr>
        <w:autoSpaceDE w:val="0"/>
        <w:autoSpaceDN w:val="0"/>
        <w:adjustRightInd w:val="0"/>
        <w:spacing w:after="0" w:line="240" w:lineRule="auto"/>
        <w:ind w:left="567" w:hanging="567"/>
        <w:rPr>
          <w:rFonts w:ascii="Arial" w:hAnsi="Arial" w:cs="Arial"/>
        </w:rPr>
      </w:pPr>
      <w:r w:rsidRPr="00AF6167">
        <w:rPr>
          <w:rFonts w:ascii="Arial" w:hAnsi="Arial" w:cs="Arial"/>
        </w:rPr>
        <w:t>The Lowest Price in the equation above will be the quote with the submitted lowest price where the Council believes, from the information submitted in the quote, that the services can be delivered in accordance with the minimum acceptable quality score in each area and contract terms and conditions.</w:t>
      </w:r>
    </w:p>
    <w:p w14:paraId="7522BEF8" w14:textId="77777777" w:rsidR="00A80305" w:rsidRPr="00061979" w:rsidRDefault="00A80305" w:rsidP="00B72851">
      <w:pPr>
        <w:pStyle w:val="ListParagraph"/>
        <w:autoSpaceDE w:val="0"/>
        <w:autoSpaceDN w:val="0"/>
        <w:adjustRightInd w:val="0"/>
        <w:spacing w:after="0" w:line="240" w:lineRule="auto"/>
        <w:ind w:left="567" w:hanging="567"/>
        <w:rPr>
          <w:rFonts w:ascii="Arial" w:hAnsi="Arial" w:cs="Arial"/>
        </w:rPr>
      </w:pPr>
    </w:p>
    <w:p w14:paraId="0E460786" w14:textId="3DADE9D8" w:rsidR="00E9291E" w:rsidRPr="00061979" w:rsidRDefault="005B7850" w:rsidP="00EF2527">
      <w:pPr>
        <w:pStyle w:val="ListParagraph"/>
        <w:numPr>
          <w:ilvl w:val="0"/>
          <w:numId w:val="1"/>
        </w:numPr>
        <w:autoSpaceDE w:val="0"/>
        <w:autoSpaceDN w:val="0"/>
        <w:adjustRightInd w:val="0"/>
        <w:spacing w:after="0" w:line="240" w:lineRule="auto"/>
        <w:ind w:left="567" w:hanging="567"/>
        <w:rPr>
          <w:rFonts w:ascii="Arial" w:hAnsi="Arial" w:cs="Arial"/>
        </w:rPr>
      </w:pPr>
      <w:r w:rsidRPr="00061979">
        <w:rPr>
          <w:rFonts w:ascii="Arial" w:hAnsi="Arial" w:cs="Arial"/>
        </w:rPr>
        <w:t>The proposals presented should not exceed £99,</w:t>
      </w:r>
      <w:r w:rsidR="00E93C55">
        <w:rPr>
          <w:rFonts w:ascii="Arial" w:hAnsi="Arial" w:cs="Arial"/>
        </w:rPr>
        <w:t>999</w:t>
      </w:r>
      <w:r w:rsidRPr="00061979">
        <w:rPr>
          <w:rFonts w:ascii="Arial" w:hAnsi="Arial" w:cs="Arial"/>
        </w:rPr>
        <w:t xml:space="preserve"> (excluding VAT)</w:t>
      </w:r>
      <w:r w:rsidR="004332D1">
        <w:rPr>
          <w:rFonts w:ascii="Arial" w:hAnsi="Arial" w:cs="Arial"/>
        </w:rPr>
        <w:t xml:space="preserve"> over the course of the contract</w:t>
      </w:r>
      <w:r w:rsidRPr="00061979">
        <w:rPr>
          <w:rFonts w:ascii="Arial" w:hAnsi="Arial" w:cs="Arial"/>
        </w:rPr>
        <w:t>.</w:t>
      </w:r>
      <w:r w:rsidR="00757342" w:rsidRPr="00061979">
        <w:rPr>
          <w:rFonts w:ascii="Arial" w:hAnsi="Arial" w:cs="Arial"/>
        </w:rPr>
        <w:t xml:space="preserve"> Proposals that exceed that amount cannot be considered</w:t>
      </w:r>
      <w:r w:rsidR="0028052A" w:rsidRPr="00061979">
        <w:rPr>
          <w:rFonts w:ascii="Arial" w:hAnsi="Arial" w:cs="Arial"/>
        </w:rPr>
        <w:t xml:space="preserve"> for an award</w:t>
      </w:r>
      <w:r w:rsidR="00757342" w:rsidRPr="00061979">
        <w:rPr>
          <w:rFonts w:ascii="Arial" w:hAnsi="Arial" w:cs="Arial"/>
        </w:rPr>
        <w:t>.</w:t>
      </w:r>
    </w:p>
    <w:p w14:paraId="0813DD4E" w14:textId="77777777" w:rsidR="00757342" w:rsidRPr="00061979" w:rsidRDefault="00757342" w:rsidP="00B72851">
      <w:pPr>
        <w:pStyle w:val="ListParagraph"/>
        <w:autoSpaceDE w:val="0"/>
        <w:autoSpaceDN w:val="0"/>
        <w:adjustRightInd w:val="0"/>
        <w:spacing w:after="0" w:line="240" w:lineRule="auto"/>
        <w:ind w:left="567" w:hanging="567"/>
        <w:rPr>
          <w:rFonts w:ascii="Arial" w:hAnsi="Arial" w:cs="Arial"/>
        </w:rPr>
      </w:pPr>
    </w:p>
    <w:p w14:paraId="235AAD31" w14:textId="77777777" w:rsidR="00757342" w:rsidRPr="00061979" w:rsidRDefault="00757342" w:rsidP="00B72851">
      <w:pPr>
        <w:pStyle w:val="ListParagraph"/>
        <w:autoSpaceDE w:val="0"/>
        <w:autoSpaceDN w:val="0"/>
        <w:adjustRightInd w:val="0"/>
        <w:spacing w:after="0" w:line="240" w:lineRule="auto"/>
        <w:ind w:left="567" w:hanging="567"/>
        <w:rPr>
          <w:rFonts w:ascii="Arial" w:hAnsi="Arial" w:cs="Arial"/>
          <w:b/>
          <w:bCs/>
        </w:rPr>
      </w:pPr>
    </w:p>
    <w:p w14:paraId="1A4FED36" w14:textId="7776CB1A" w:rsidR="005B7850" w:rsidRPr="00061979" w:rsidRDefault="005B7850" w:rsidP="00EF2527">
      <w:pPr>
        <w:pStyle w:val="ListParagraph"/>
        <w:numPr>
          <w:ilvl w:val="0"/>
          <w:numId w:val="1"/>
        </w:numPr>
        <w:autoSpaceDE w:val="0"/>
        <w:autoSpaceDN w:val="0"/>
        <w:adjustRightInd w:val="0"/>
        <w:spacing w:after="0" w:line="240" w:lineRule="auto"/>
        <w:ind w:left="567" w:hanging="567"/>
        <w:rPr>
          <w:rFonts w:ascii="Arial" w:hAnsi="Arial" w:cs="Arial"/>
          <w:b/>
          <w:bCs/>
        </w:rPr>
      </w:pPr>
      <w:r w:rsidRPr="00061979">
        <w:rPr>
          <w:rFonts w:ascii="Arial" w:hAnsi="Arial" w:cs="Arial"/>
          <w:b/>
          <w:bCs/>
        </w:rPr>
        <w:t>Final Score</w:t>
      </w:r>
    </w:p>
    <w:p w14:paraId="7E7F63AF" w14:textId="77777777" w:rsidR="00137489" w:rsidRPr="00061979" w:rsidRDefault="00137489" w:rsidP="00B72851">
      <w:pPr>
        <w:autoSpaceDE w:val="0"/>
        <w:autoSpaceDN w:val="0"/>
        <w:adjustRightInd w:val="0"/>
        <w:spacing w:after="0" w:line="240" w:lineRule="auto"/>
        <w:ind w:left="567" w:hanging="567"/>
        <w:rPr>
          <w:rFonts w:ascii="Arial" w:hAnsi="Arial" w:cs="Arial"/>
        </w:rPr>
      </w:pPr>
    </w:p>
    <w:p w14:paraId="7E7F63B0" w14:textId="6EF51AEE" w:rsidR="00137489" w:rsidRPr="00061979" w:rsidRDefault="00912100" w:rsidP="00B72851">
      <w:pPr>
        <w:autoSpaceDE w:val="0"/>
        <w:autoSpaceDN w:val="0"/>
        <w:adjustRightInd w:val="0"/>
        <w:spacing w:after="0" w:line="240" w:lineRule="auto"/>
        <w:ind w:left="567"/>
        <w:rPr>
          <w:rFonts w:ascii="Arial" w:hAnsi="Arial" w:cs="Arial"/>
        </w:rPr>
      </w:pPr>
      <w:proofErr w:type="gramStart"/>
      <w:r w:rsidRPr="00061979">
        <w:rPr>
          <w:rFonts w:ascii="Arial" w:hAnsi="Arial" w:cs="Arial"/>
        </w:rPr>
        <w:t>The Price</w:t>
      </w:r>
      <w:r w:rsidR="00137489" w:rsidRPr="00061979">
        <w:rPr>
          <w:rFonts w:ascii="Arial" w:hAnsi="Arial" w:cs="Arial"/>
        </w:rPr>
        <w:t xml:space="preserve"> Score (</w:t>
      </w:r>
      <w:r w:rsidR="00636224">
        <w:rPr>
          <w:rFonts w:ascii="Arial" w:hAnsi="Arial" w:cs="Arial"/>
        </w:rPr>
        <w:t>35</w:t>
      </w:r>
      <w:r w:rsidR="00137489" w:rsidRPr="00061979">
        <w:rPr>
          <w:rFonts w:ascii="Arial" w:hAnsi="Arial" w:cs="Arial"/>
        </w:rPr>
        <w:t>% weighting applied),</w:t>
      </w:r>
      <w:proofErr w:type="gramEnd"/>
      <w:r w:rsidR="00137489" w:rsidRPr="00061979">
        <w:rPr>
          <w:rFonts w:ascii="Arial" w:hAnsi="Arial" w:cs="Arial"/>
        </w:rPr>
        <w:t xml:space="preserve"> is added to the overall Quality Score (</w:t>
      </w:r>
      <w:r w:rsidR="00707F26" w:rsidRPr="00061979">
        <w:rPr>
          <w:rFonts w:ascii="Arial" w:hAnsi="Arial" w:cs="Arial"/>
        </w:rPr>
        <w:t>6</w:t>
      </w:r>
      <w:r w:rsidR="00636224">
        <w:rPr>
          <w:rFonts w:ascii="Arial" w:hAnsi="Arial" w:cs="Arial"/>
        </w:rPr>
        <w:t>5</w:t>
      </w:r>
      <w:r w:rsidR="00137489" w:rsidRPr="00061979">
        <w:rPr>
          <w:rFonts w:ascii="Arial" w:hAnsi="Arial" w:cs="Arial"/>
        </w:rPr>
        <w:t xml:space="preserve">% </w:t>
      </w:r>
      <w:proofErr w:type="gramStart"/>
      <w:r w:rsidR="00137489" w:rsidRPr="00061979">
        <w:rPr>
          <w:rFonts w:ascii="Arial" w:hAnsi="Arial" w:cs="Arial"/>
        </w:rPr>
        <w:t>weighting</w:t>
      </w:r>
      <w:proofErr w:type="gramEnd"/>
      <w:r w:rsidR="00137489" w:rsidRPr="00061979">
        <w:rPr>
          <w:rFonts w:ascii="Arial" w:hAnsi="Arial" w:cs="Arial"/>
        </w:rPr>
        <w:t xml:space="preserve"> applied), to give a final score for each Potential Provider (Final Score)</w:t>
      </w:r>
      <w:r w:rsidR="00BC7F1F" w:rsidRPr="00061979">
        <w:rPr>
          <w:rFonts w:ascii="Arial" w:hAnsi="Arial" w:cs="Arial"/>
        </w:rPr>
        <w:t>.</w:t>
      </w:r>
    </w:p>
    <w:p w14:paraId="7E7F63B1" w14:textId="77777777" w:rsidR="00137489" w:rsidRPr="00061979" w:rsidRDefault="00137489" w:rsidP="00B72851">
      <w:pPr>
        <w:autoSpaceDE w:val="0"/>
        <w:autoSpaceDN w:val="0"/>
        <w:adjustRightInd w:val="0"/>
        <w:spacing w:after="0" w:line="240" w:lineRule="auto"/>
        <w:ind w:left="567" w:hanging="567"/>
        <w:rPr>
          <w:rFonts w:ascii="Arial" w:hAnsi="Arial" w:cs="Arial"/>
        </w:rPr>
      </w:pPr>
    </w:p>
    <w:p w14:paraId="7E7F63B2" w14:textId="31882CD2" w:rsidR="00137489" w:rsidRPr="00061979" w:rsidRDefault="00137489" w:rsidP="00B72851">
      <w:pPr>
        <w:autoSpaceDE w:val="0"/>
        <w:autoSpaceDN w:val="0"/>
        <w:adjustRightInd w:val="0"/>
        <w:spacing w:after="0" w:line="240" w:lineRule="auto"/>
        <w:ind w:left="567"/>
        <w:rPr>
          <w:rFonts w:ascii="Arial" w:hAnsi="Arial" w:cs="Arial"/>
        </w:rPr>
      </w:pPr>
      <w:r w:rsidRPr="00061979">
        <w:rPr>
          <w:rFonts w:ascii="Arial" w:hAnsi="Arial" w:cs="Arial"/>
        </w:rPr>
        <w:t>The contract will be awarded to the supplier with the highest Final Score. Feedback will be supplied to unsuccessful bidders</w:t>
      </w:r>
      <w:r w:rsidR="000A54C7" w:rsidRPr="00061979">
        <w:rPr>
          <w:rFonts w:ascii="Arial" w:hAnsi="Arial" w:cs="Arial"/>
        </w:rPr>
        <w:t xml:space="preserve"> on request</w:t>
      </w:r>
      <w:r w:rsidRPr="00061979">
        <w:rPr>
          <w:rFonts w:ascii="Arial" w:hAnsi="Arial" w:cs="Arial"/>
        </w:rPr>
        <w:t>.</w:t>
      </w:r>
    </w:p>
    <w:p w14:paraId="7E7F63B3" w14:textId="7268FB29" w:rsidR="00137489" w:rsidRPr="00061979" w:rsidRDefault="00137489" w:rsidP="000A54C7">
      <w:pPr>
        <w:autoSpaceDE w:val="0"/>
        <w:autoSpaceDN w:val="0"/>
        <w:adjustRightInd w:val="0"/>
        <w:spacing w:after="0" w:line="240" w:lineRule="auto"/>
        <w:ind w:left="426"/>
        <w:rPr>
          <w:rFonts w:ascii="Arial" w:hAnsi="Arial" w:cs="Arial"/>
        </w:rPr>
      </w:pPr>
    </w:p>
    <w:p w14:paraId="4078359A" w14:textId="2B973625" w:rsidR="00586810" w:rsidRPr="00061979" w:rsidRDefault="00586810" w:rsidP="00CE122A">
      <w:pPr>
        <w:autoSpaceDE w:val="0"/>
        <w:autoSpaceDN w:val="0"/>
        <w:adjustRightInd w:val="0"/>
        <w:spacing w:after="0" w:line="240" w:lineRule="auto"/>
        <w:ind w:left="426"/>
        <w:rPr>
          <w:rFonts w:ascii="Arial" w:hAnsi="Arial" w:cs="Arial"/>
        </w:rPr>
      </w:pPr>
    </w:p>
    <w:sectPr w:rsidR="00586810" w:rsidRPr="00061979" w:rsidSect="00954FFA">
      <w:footerReference w:type="default" r:id="rId11"/>
      <w:foot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2FD71" w14:textId="77777777" w:rsidR="00961B45" w:rsidRDefault="00961B45" w:rsidP="00855982">
      <w:pPr>
        <w:spacing w:after="0" w:line="240" w:lineRule="auto"/>
      </w:pPr>
      <w:r>
        <w:separator/>
      </w:r>
    </w:p>
  </w:endnote>
  <w:endnote w:type="continuationSeparator" w:id="0">
    <w:p w14:paraId="4E455B08" w14:textId="77777777" w:rsidR="00961B45" w:rsidRDefault="00961B45" w:rsidP="00855982">
      <w:pPr>
        <w:spacing w:after="0" w:line="240" w:lineRule="auto"/>
      </w:pPr>
      <w:r>
        <w:continuationSeparator/>
      </w:r>
    </w:p>
  </w:endnote>
  <w:endnote w:type="continuationNotice" w:id="1">
    <w:p w14:paraId="136FD766" w14:textId="77777777" w:rsidR="00961B45" w:rsidRDefault="00961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59961"/>
      <w:docPartObj>
        <w:docPartGallery w:val="Page Numbers (Bottom of Page)"/>
        <w:docPartUnique/>
      </w:docPartObj>
    </w:sdtPr>
    <w:sdtEndPr>
      <w:rPr>
        <w:noProof/>
      </w:rPr>
    </w:sdtEndPr>
    <w:sdtContent>
      <w:p w14:paraId="7E7F63BC" w14:textId="71C24CBC" w:rsidR="00855982" w:rsidRDefault="00855982" w:rsidP="004C4067">
        <w:pPr>
          <w:pStyle w:val="Footer"/>
        </w:pPr>
        <w:r>
          <w:fldChar w:fldCharType="begin"/>
        </w:r>
        <w:r>
          <w:instrText xml:space="preserve"> PAGE   \* MERGEFORMAT </w:instrText>
        </w:r>
        <w:r>
          <w:fldChar w:fldCharType="separate"/>
        </w:r>
        <w:r w:rsidR="00A1228C">
          <w:rPr>
            <w:noProof/>
          </w:rPr>
          <w:t>7</w:t>
        </w:r>
        <w:r>
          <w:rPr>
            <w:noProof/>
          </w:rPr>
          <w:fldChar w:fldCharType="end"/>
        </w:r>
        <w:r w:rsidR="004C4067">
          <w:rPr>
            <w:noProof/>
          </w:rPr>
          <w:tab/>
        </w:r>
        <w:r w:rsidR="004C4067">
          <w:rPr>
            <w:noProof/>
          </w:rPr>
          <w:tab/>
        </w:r>
        <w:r w:rsidR="004C4067">
          <w:rPr>
            <w:noProof/>
          </w:rPr>
          <w:tab/>
        </w:r>
        <w:r w:rsidR="004C4067">
          <w:rPr>
            <w:noProof/>
          </w:rPr>
          <w:tab/>
        </w:r>
        <w:r w:rsidR="004C4067">
          <w:rPr>
            <w:noProof/>
          </w:rPr>
          <w:tab/>
        </w:r>
        <w:r w:rsidR="004C4067">
          <w:rPr>
            <w:noProof/>
          </w:rPr>
          <w:tab/>
        </w:r>
        <w:r w:rsidR="004C4067">
          <w:rPr>
            <w:noProof/>
          </w:rPr>
          <w:tab/>
          <w:t>Basement Impact Assessment Tender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1588363"/>
      <w:docPartObj>
        <w:docPartGallery w:val="Page Numbers (Bottom of Page)"/>
        <w:docPartUnique/>
      </w:docPartObj>
    </w:sdtPr>
    <w:sdtEndPr>
      <w:rPr>
        <w:noProof/>
      </w:rPr>
    </w:sdtEndPr>
    <w:sdtContent>
      <w:p w14:paraId="13C782AC" w14:textId="22E7A877" w:rsidR="004C4067" w:rsidRDefault="004C4067" w:rsidP="004C4067">
        <w:pPr>
          <w:pStyle w:val="Footer"/>
        </w:pPr>
        <w:r>
          <w:fldChar w:fldCharType="begin"/>
        </w:r>
        <w:r>
          <w:instrText xml:space="preserve"> PAGE   \* MERGEFORMAT </w:instrText>
        </w:r>
        <w:r>
          <w:fldChar w:fldCharType="separate"/>
        </w:r>
        <w:r>
          <w:t>2</w:t>
        </w:r>
        <w:r>
          <w:rPr>
            <w:noProof/>
          </w:rPr>
          <w:fldChar w:fldCharType="end"/>
        </w:r>
        <w:r>
          <w:rPr>
            <w:noProof/>
          </w:rPr>
          <w:tab/>
        </w:r>
        <w:r>
          <w:rPr>
            <w:noProof/>
          </w:rPr>
          <w:tab/>
        </w:r>
        <w:r>
          <w:rPr>
            <w:noProof/>
          </w:rPr>
          <w:tab/>
        </w:r>
        <w:r>
          <w:rPr>
            <w:noProof/>
          </w:rPr>
          <w:tab/>
        </w:r>
        <w:r>
          <w:rPr>
            <w:noProof/>
          </w:rPr>
          <w:tab/>
        </w:r>
        <w:r>
          <w:rPr>
            <w:noProof/>
          </w:rPr>
          <w:tab/>
        </w:r>
        <w:r>
          <w:rPr>
            <w:noProof/>
          </w:rPr>
          <w:tab/>
          <w:t>Basement Impact Assessment Tender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C5799" w14:textId="77777777" w:rsidR="00961B45" w:rsidRDefault="00961B45" w:rsidP="00855982">
      <w:pPr>
        <w:spacing w:after="0" w:line="240" w:lineRule="auto"/>
      </w:pPr>
      <w:r>
        <w:separator/>
      </w:r>
    </w:p>
  </w:footnote>
  <w:footnote w:type="continuationSeparator" w:id="0">
    <w:p w14:paraId="224F47F8" w14:textId="77777777" w:rsidR="00961B45" w:rsidRDefault="00961B45" w:rsidP="00855982">
      <w:pPr>
        <w:spacing w:after="0" w:line="240" w:lineRule="auto"/>
      </w:pPr>
      <w:r>
        <w:continuationSeparator/>
      </w:r>
    </w:p>
  </w:footnote>
  <w:footnote w:type="continuationNotice" w:id="1">
    <w:p w14:paraId="5888E33B" w14:textId="77777777" w:rsidR="00961B45" w:rsidRDefault="00961B45">
      <w:pPr>
        <w:spacing w:after="0" w:line="240" w:lineRule="auto"/>
      </w:pPr>
    </w:p>
  </w:footnote>
  <w:footnote w:id="2">
    <w:p w14:paraId="56178247" w14:textId="0E2E8D27" w:rsidR="004D7376" w:rsidRPr="004D7376" w:rsidRDefault="004D7376">
      <w:pPr>
        <w:pStyle w:val="FootnoteText"/>
        <w:rPr>
          <w:lang w:val="en-GB"/>
        </w:rPr>
      </w:pPr>
      <w:r>
        <w:rPr>
          <w:rStyle w:val="FootnoteReference"/>
        </w:rPr>
        <w:footnoteRef/>
      </w:r>
      <w:r>
        <w:t xml:space="preserve"> </w:t>
      </w:r>
      <w:r>
        <w:rPr>
          <w:lang w:val="en-GB"/>
        </w:rPr>
        <w:t>Planning Performance Agreement (PPA)</w:t>
      </w:r>
    </w:p>
  </w:footnote>
  <w:footnote w:id="3">
    <w:p w14:paraId="52F1B021" w14:textId="7737F5C7" w:rsidR="000D292B" w:rsidRPr="006413B6" w:rsidRDefault="000D292B" w:rsidP="000D292B">
      <w:pPr>
        <w:pStyle w:val="FootnoteText"/>
        <w:rPr>
          <w:lang w:val="en-GB"/>
        </w:rPr>
      </w:pPr>
      <w:r>
        <w:rPr>
          <w:rStyle w:val="FootnoteReference"/>
        </w:rPr>
        <w:footnoteRef/>
      </w:r>
      <w:r>
        <w:t xml:space="preserve"> </w:t>
      </w:r>
      <w:r>
        <w:rPr>
          <w:lang w:val="en-GB"/>
        </w:rPr>
        <w:t>These can be dummy scenario examples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0F9"/>
    <w:multiLevelType w:val="multilevel"/>
    <w:tmpl w:val="0809001D"/>
    <w:lvl w:ilvl="0">
      <w:start w:val="1"/>
      <w:numFmt w:val="decimal"/>
      <w:lvlText w:val="%1)"/>
      <w:lvlJc w:val="left"/>
      <w:pPr>
        <w:ind w:left="0" w:hanging="36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 w15:restartNumberingAfterBreak="0">
    <w:nsid w:val="07DD6101"/>
    <w:multiLevelType w:val="hybridMultilevel"/>
    <w:tmpl w:val="66BE15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241C9"/>
    <w:multiLevelType w:val="hybridMultilevel"/>
    <w:tmpl w:val="1B12F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44D6E"/>
    <w:multiLevelType w:val="hybridMultilevel"/>
    <w:tmpl w:val="5A6691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01651FF"/>
    <w:multiLevelType w:val="hybridMultilevel"/>
    <w:tmpl w:val="EA9ACB52"/>
    <w:lvl w:ilvl="0" w:tplc="0809000F">
      <w:start w:val="1"/>
      <w:numFmt w:val="decimal"/>
      <w:lvlText w:val="%1."/>
      <w:lvlJc w:val="left"/>
      <w:pPr>
        <w:ind w:left="720" w:hanging="360"/>
      </w:pPr>
    </w:lvl>
    <w:lvl w:ilvl="1" w:tplc="A580A6C0">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B1C3134">
      <w:start w:val="1"/>
      <w:numFmt w:val="lowerLetter"/>
      <w:lvlText w:val="%4)"/>
      <w:lvlJc w:val="left"/>
      <w:pPr>
        <w:ind w:left="2880" w:hanging="360"/>
      </w:pPr>
      <w:rPr>
        <w:rFonts w:ascii="Verdana,Bold" w:hAnsi="Verdana,Bold" w:cs="Verdana,Bold" w:hint="default"/>
        <w:sz w:val="24"/>
      </w:rPr>
    </w:lvl>
    <w:lvl w:ilvl="4" w:tplc="9AE00E30">
      <w:start w:val="1"/>
      <w:numFmt w:val="lowerRoman"/>
      <w:lvlText w:val="%5)"/>
      <w:lvlJc w:val="left"/>
      <w:pPr>
        <w:ind w:left="3960" w:hanging="720"/>
      </w:pPr>
      <w:rPr>
        <w:rFonts w:asciiTheme="minorHAnsi" w:hAnsiTheme="minorHAnsi" w:cstheme="minorHAnsi" w:hint="default"/>
        <w:sz w:val="22"/>
        <w:szCs w:val="1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64A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A22F01"/>
    <w:multiLevelType w:val="hybridMultilevel"/>
    <w:tmpl w:val="D388C3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22A5780"/>
    <w:multiLevelType w:val="hybridMultilevel"/>
    <w:tmpl w:val="372CE5D4"/>
    <w:lvl w:ilvl="0" w:tplc="8366566E">
      <w:start w:val="8"/>
      <w:numFmt w:val="decimal"/>
      <w:lvlText w:val="%1."/>
      <w:lvlJc w:val="left"/>
      <w:pPr>
        <w:ind w:left="567" w:hanging="360"/>
      </w:pPr>
      <w:rPr>
        <w:rFonts w:hint="default"/>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8" w15:restartNumberingAfterBreak="0">
    <w:nsid w:val="2974021F"/>
    <w:multiLevelType w:val="hybridMultilevel"/>
    <w:tmpl w:val="6F826700"/>
    <w:lvl w:ilvl="0" w:tplc="2AF42164">
      <w:start w:val="1"/>
      <w:numFmt w:val="decimal"/>
      <w:lvlText w:val="%1."/>
      <w:lvlJc w:val="left"/>
      <w:pPr>
        <w:ind w:left="720" w:hanging="720"/>
      </w:pPr>
      <w:rPr>
        <w:rFonts w:ascii="Abadi" w:hAnsi="Abadi" w:hint="default"/>
        <w:b w:val="0"/>
        <w:i w:val="0"/>
        <w:sz w:val="22"/>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360" w:hanging="360"/>
      </w:pPr>
    </w:lvl>
    <w:lvl w:ilvl="5" w:tplc="0809001B" w:tentative="1">
      <w:start w:val="1"/>
      <w:numFmt w:val="lowerRoman"/>
      <w:lvlText w:val="%6."/>
      <w:lvlJc w:val="right"/>
      <w:pPr>
        <w:ind w:left="108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2520" w:hanging="360"/>
      </w:pPr>
    </w:lvl>
    <w:lvl w:ilvl="8" w:tplc="0809001B" w:tentative="1">
      <w:start w:val="1"/>
      <w:numFmt w:val="lowerRoman"/>
      <w:lvlText w:val="%9."/>
      <w:lvlJc w:val="right"/>
      <w:pPr>
        <w:ind w:left="3240" w:hanging="180"/>
      </w:pPr>
    </w:lvl>
  </w:abstractNum>
  <w:abstractNum w:abstractNumId="9" w15:restartNumberingAfterBreak="0">
    <w:nsid w:val="3A6F66E0"/>
    <w:multiLevelType w:val="hybridMultilevel"/>
    <w:tmpl w:val="518840C4"/>
    <w:lvl w:ilvl="0" w:tplc="18421D20">
      <w:start w:val="1"/>
      <w:numFmt w:val="decimal"/>
      <w:lvlText w:val="%1."/>
      <w:lvlJc w:val="left"/>
      <w:pPr>
        <w:ind w:left="394" w:hanging="360"/>
      </w:pPr>
      <w:rPr>
        <w:rFonts w:hint="default"/>
        <w:b/>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0" w15:restartNumberingAfterBreak="0">
    <w:nsid w:val="42BC646A"/>
    <w:multiLevelType w:val="hybridMultilevel"/>
    <w:tmpl w:val="082259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71F2C64"/>
    <w:multiLevelType w:val="hybridMultilevel"/>
    <w:tmpl w:val="C78E15E4"/>
    <w:lvl w:ilvl="0" w:tplc="A2C02A5E">
      <w:start w:val="1"/>
      <w:numFmt w:val="lowerRoman"/>
      <w:lvlText w:val="%1)"/>
      <w:lvlJc w:val="left"/>
      <w:pPr>
        <w:ind w:left="3960" w:hanging="720"/>
      </w:pPr>
      <w:rPr>
        <w:rFonts w:asciiTheme="minorHAnsi" w:hAnsiTheme="minorHAnsi" w:cstheme="minorHAnsi" w:hint="default"/>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D320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D82561"/>
    <w:multiLevelType w:val="hybridMultilevel"/>
    <w:tmpl w:val="ACF6C6D8"/>
    <w:lvl w:ilvl="0" w:tplc="16BED520">
      <w:start w:val="4"/>
      <w:numFmt w:val="decimal"/>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4" w15:restartNumberingAfterBreak="0">
    <w:nsid w:val="5FD12408"/>
    <w:multiLevelType w:val="hybridMultilevel"/>
    <w:tmpl w:val="D8803044"/>
    <w:lvl w:ilvl="0" w:tplc="08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D87C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C470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005A82"/>
    <w:multiLevelType w:val="hybridMultilevel"/>
    <w:tmpl w:val="287C8082"/>
    <w:lvl w:ilvl="0" w:tplc="71068B86">
      <w:start w:val="1"/>
      <w:numFmt w:val="decimal"/>
      <w:lvlText w:val="%1."/>
      <w:lvlJc w:val="left"/>
      <w:pPr>
        <w:ind w:left="720" w:hanging="360"/>
      </w:pPr>
      <w:rPr>
        <w:rFonts w:asciiTheme="minorHAnsi" w:hAnsiTheme="minorHAnsi" w:hint="default"/>
        <w:sz w:val="22"/>
        <w:szCs w:val="22"/>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67A48D30">
      <w:start w:val="1"/>
      <w:numFmt w:val="bullet"/>
      <w:lvlText w:val="-"/>
      <w:lvlJc w:val="left"/>
      <w:pPr>
        <w:ind w:left="2880" w:hanging="360"/>
      </w:pPr>
      <w:rPr>
        <w:rFonts w:ascii="Arial" w:eastAsia="Times New Roman" w:hAnsi="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C159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9817109">
    <w:abstractNumId w:val="17"/>
  </w:num>
  <w:num w:numId="2" w16cid:durableId="1938127411">
    <w:abstractNumId w:val="4"/>
  </w:num>
  <w:num w:numId="3" w16cid:durableId="932855550">
    <w:abstractNumId w:val="1"/>
  </w:num>
  <w:num w:numId="4" w16cid:durableId="438452738">
    <w:abstractNumId w:val="6"/>
  </w:num>
  <w:num w:numId="5" w16cid:durableId="331183415">
    <w:abstractNumId w:val="14"/>
  </w:num>
  <w:num w:numId="6" w16cid:durableId="1536890444">
    <w:abstractNumId w:val="9"/>
  </w:num>
  <w:num w:numId="7" w16cid:durableId="547840471">
    <w:abstractNumId w:val="2"/>
  </w:num>
  <w:num w:numId="8" w16cid:durableId="211113155">
    <w:abstractNumId w:val="11"/>
  </w:num>
  <w:num w:numId="9" w16cid:durableId="737944477">
    <w:abstractNumId w:val="8"/>
  </w:num>
  <w:num w:numId="10" w16cid:durableId="1847019870">
    <w:abstractNumId w:val="16"/>
  </w:num>
  <w:num w:numId="11" w16cid:durableId="1185631681">
    <w:abstractNumId w:val="12"/>
  </w:num>
  <w:num w:numId="12" w16cid:durableId="1013335692">
    <w:abstractNumId w:val="15"/>
  </w:num>
  <w:num w:numId="13" w16cid:durableId="1986465607">
    <w:abstractNumId w:val="7"/>
  </w:num>
  <w:num w:numId="14" w16cid:durableId="312105540">
    <w:abstractNumId w:val="18"/>
  </w:num>
  <w:num w:numId="15" w16cid:durableId="1496335571">
    <w:abstractNumId w:val="0"/>
  </w:num>
  <w:num w:numId="16" w16cid:durableId="772632399">
    <w:abstractNumId w:val="5"/>
  </w:num>
  <w:num w:numId="17" w16cid:durableId="2138255977">
    <w:abstractNumId w:val="13"/>
  </w:num>
  <w:num w:numId="18" w16cid:durableId="1379016804">
    <w:abstractNumId w:val="10"/>
  </w:num>
  <w:num w:numId="19" w16cid:durableId="82813153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02223"/>
    <w:rsid w:val="000048E1"/>
    <w:rsid w:val="00005898"/>
    <w:rsid w:val="000111C6"/>
    <w:rsid w:val="00014A23"/>
    <w:rsid w:val="00021A50"/>
    <w:rsid w:val="0002564A"/>
    <w:rsid w:val="000312EF"/>
    <w:rsid w:val="00033234"/>
    <w:rsid w:val="0004282C"/>
    <w:rsid w:val="00046064"/>
    <w:rsid w:val="000472DE"/>
    <w:rsid w:val="00054671"/>
    <w:rsid w:val="000607A0"/>
    <w:rsid w:val="00060BAC"/>
    <w:rsid w:val="00061259"/>
    <w:rsid w:val="00061979"/>
    <w:rsid w:val="00071327"/>
    <w:rsid w:val="000722F3"/>
    <w:rsid w:val="00074D4C"/>
    <w:rsid w:val="00075ADC"/>
    <w:rsid w:val="00076C88"/>
    <w:rsid w:val="000807CB"/>
    <w:rsid w:val="00095364"/>
    <w:rsid w:val="000A0030"/>
    <w:rsid w:val="000A0560"/>
    <w:rsid w:val="000A0CD0"/>
    <w:rsid w:val="000A54C7"/>
    <w:rsid w:val="000A5950"/>
    <w:rsid w:val="000A6B2E"/>
    <w:rsid w:val="000A7530"/>
    <w:rsid w:val="000B2296"/>
    <w:rsid w:val="000B69B4"/>
    <w:rsid w:val="000C3158"/>
    <w:rsid w:val="000C62BF"/>
    <w:rsid w:val="000D292B"/>
    <w:rsid w:val="000D493A"/>
    <w:rsid w:val="000D5626"/>
    <w:rsid w:val="000D6F8D"/>
    <w:rsid w:val="000D7213"/>
    <w:rsid w:val="000E32F9"/>
    <w:rsid w:val="000E6D2F"/>
    <w:rsid w:val="000E7C50"/>
    <w:rsid w:val="000F37ED"/>
    <w:rsid w:val="000F5759"/>
    <w:rsid w:val="000F68F8"/>
    <w:rsid w:val="00101F96"/>
    <w:rsid w:val="001023B2"/>
    <w:rsid w:val="00105115"/>
    <w:rsid w:val="0010537E"/>
    <w:rsid w:val="00112480"/>
    <w:rsid w:val="00112810"/>
    <w:rsid w:val="00112BAA"/>
    <w:rsid w:val="00115DF6"/>
    <w:rsid w:val="00123586"/>
    <w:rsid w:val="0013119E"/>
    <w:rsid w:val="001323CA"/>
    <w:rsid w:val="0013376F"/>
    <w:rsid w:val="0013739E"/>
    <w:rsid w:val="00137489"/>
    <w:rsid w:val="00137B9C"/>
    <w:rsid w:val="0014616B"/>
    <w:rsid w:val="00146562"/>
    <w:rsid w:val="00152427"/>
    <w:rsid w:val="00152562"/>
    <w:rsid w:val="00155937"/>
    <w:rsid w:val="00156242"/>
    <w:rsid w:val="00156DDE"/>
    <w:rsid w:val="00161BC1"/>
    <w:rsid w:val="00164873"/>
    <w:rsid w:val="001671AE"/>
    <w:rsid w:val="00167F32"/>
    <w:rsid w:val="00174899"/>
    <w:rsid w:val="00175318"/>
    <w:rsid w:val="00181B00"/>
    <w:rsid w:val="00181ED0"/>
    <w:rsid w:val="001838B7"/>
    <w:rsid w:val="00185938"/>
    <w:rsid w:val="001A09B0"/>
    <w:rsid w:val="001A263C"/>
    <w:rsid w:val="001A31E1"/>
    <w:rsid w:val="001B039F"/>
    <w:rsid w:val="001B1DE2"/>
    <w:rsid w:val="001C049A"/>
    <w:rsid w:val="001C05EF"/>
    <w:rsid w:val="001C1F8B"/>
    <w:rsid w:val="001C3060"/>
    <w:rsid w:val="001C4552"/>
    <w:rsid w:val="001C5390"/>
    <w:rsid w:val="001C6B6A"/>
    <w:rsid w:val="001D1078"/>
    <w:rsid w:val="001D4362"/>
    <w:rsid w:val="001E54C3"/>
    <w:rsid w:val="001E581A"/>
    <w:rsid w:val="001E5C4E"/>
    <w:rsid w:val="001E6E39"/>
    <w:rsid w:val="001E7473"/>
    <w:rsid w:val="001F3CE9"/>
    <w:rsid w:val="001F4380"/>
    <w:rsid w:val="00202F29"/>
    <w:rsid w:val="00202F4C"/>
    <w:rsid w:val="002049A4"/>
    <w:rsid w:val="002070A1"/>
    <w:rsid w:val="00207378"/>
    <w:rsid w:val="00207A32"/>
    <w:rsid w:val="002139EB"/>
    <w:rsid w:val="0021597B"/>
    <w:rsid w:val="002172F4"/>
    <w:rsid w:val="002221EB"/>
    <w:rsid w:val="00222E50"/>
    <w:rsid w:val="00223AFA"/>
    <w:rsid w:val="002325D5"/>
    <w:rsid w:val="00233DE7"/>
    <w:rsid w:val="002377AF"/>
    <w:rsid w:val="0024287A"/>
    <w:rsid w:val="00247915"/>
    <w:rsid w:val="00247D8A"/>
    <w:rsid w:val="002529F9"/>
    <w:rsid w:val="00261623"/>
    <w:rsid w:val="0026336B"/>
    <w:rsid w:val="00270AD5"/>
    <w:rsid w:val="002742CD"/>
    <w:rsid w:val="00275016"/>
    <w:rsid w:val="002775A3"/>
    <w:rsid w:val="002777FF"/>
    <w:rsid w:val="00280147"/>
    <w:rsid w:val="0028052A"/>
    <w:rsid w:val="002813B1"/>
    <w:rsid w:val="002838E7"/>
    <w:rsid w:val="00283C08"/>
    <w:rsid w:val="002861E6"/>
    <w:rsid w:val="00293E8B"/>
    <w:rsid w:val="0029574E"/>
    <w:rsid w:val="002A5F4A"/>
    <w:rsid w:val="002B0638"/>
    <w:rsid w:val="002B5A4E"/>
    <w:rsid w:val="002C3297"/>
    <w:rsid w:val="002D0C49"/>
    <w:rsid w:val="002D5253"/>
    <w:rsid w:val="002D5B56"/>
    <w:rsid w:val="002F09D9"/>
    <w:rsid w:val="002F6DEE"/>
    <w:rsid w:val="003063E2"/>
    <w:rsid w:val="00314762"/>
    <w:rsid w:val="003245B5"/>
    <w:rsid w:val="00341C4C"/>
    <w:rsid w:val="0034255B"/>
    <w:rsid w:val="00342E1E"/>
    <w:rsid w:val="00352623"/>
    <w:rsid w:val="00354215"/>
    <w:rsid w:val="00354B78"/>
    <w:rsid w:val="00355885"/>
    <w:rsid w:val="00365482"/>
    <w:rsid w:val="00365DD5"/>
    <w:rsid w:val="003765E9"/>
    <w:rsid w:val="00386B6C"/>
    <w:rsid w:val="00387056"/>
    <w:rsid w:val="003919C0"/>
    <w:rsid w:val="003957EF"/>
    <w:rsid w:val="003B36DE"/>
    <w:rsid w:val="003C0977"/>
    <w:rsid w:val="003C3496"/>
    <w:rsid w:val="003C4CF2"/>
    <w:rsid w:val="003C7142"/>
    <w:rsid w:val="003C7A25"/>
    <w:rsid w:val="003D2607"/>
    <w:rsid w:val="003D5095"/>
    <w:rsid w:val="003D5CC5"/>
    <w:rsid w:val="003D621F"/>
    <w:rsid w:val="003D690A"/>
    <w:rsid w:val="003D7B4A"/>
    <w:rsid w:val="003E01A8"/>
    <w:rsid w:val="003E56FB"/>
    <w:rsid w:val="003F6D54"/>
    <w:rsid w:val="00405011"/>
    <w:rsid w:val="004105B0"/>
    <w:rsid w:val="00412594"/>
    <w:rsid w:val="004142ED"/>
    <w:rsid w:val="00431121"/>
    <w:rsid w:val="00431A84"/>
    <w:rsid w:val="004332D1"/>
    <w:rsid w:val="00443411"/>
    <w:rsid w:val="00446A54"/>
    <w:rsid w:val="00452C7D"/>
    <w:rsid w:val="00453E38"/>
    <w:rsid w:val="004569A5"/>
    <w:rsid w:val="00460798"/>
    <w:rsid w:val="004610A8"/>
    <w:rsid w:val="00466E71"/>
    <w:rsid w:val="00473F49"/>
    <w:rsid w:val="00475412"/>
    <w:rsid w:val="00475D06"/>
    <w:rsid w:val="00481CB2"/>
    <w:rsid w:val="004825E5"/>
    <w:rsid w:val="00490D96"/>
    <w:rsid w:val="004B5555"/>
    <w:rsid w:val="004B7B2E"/>
    <w:rsid w:val="004C1CCA"/>
    <w:rsid w:val="004C1D77"/>
    <w:rsid w:val="004C2144"/>
    <w:rsid w:val="004C2627"/>
    <w:rsid w:val="004C34BE"/>
    <w:rsid w:val="004C4067"/>
    <w:rsid w:val="004C4B1C"/>
    <w:rsid w:val="004C672D"/>
    <w:rsid w:val="004C7BC9"/>
    <w:rsid w:val="004D222F"/>
    <w:rsid w:val="004D282E"/>
    <w:rsid w:val="004D7376"/>
    <w:rsid w:val="004E24F2"/>
    <w:rsid w:val="004E29EF"/>
    <w:rsid w:val="004E2FEC"/>
    <w:rsid w:val="004E5791"/>
    <w:rsid w:val="004F0E2A"/>
    <w:rsid w:val="004F3E22"/>
    <w:rsid w:val="004F5BAE"/>
    <w:rsid w:val="004F6D6C"/>
    <w:rsid w:val="0050118B"/>
    <w:rsid w:val="00507F8C"/>
    <w:rsid w:val="0051224F"/>
    <w:rsid w:val="00512DC2"/>
    <w:rsid w:val="00517F58"/>
    <w:rsid w:val="00520F6B"/>
    <w:rsid w:val="00520F8C"/>
    <w:rsid w:val="00521930"/>
    <w:rsid w:val="00531040"/>
    <w:rsid w:val="00541C16"/>
    <w:rsid w:val="005504C0"/>
    <w:rsid w:val="00551413"/>
    <w:rsid w:val="00551863"/>
    <w:rsid w:val="00554CC1"/>
    <w:rsid w:val="00555169"/>
    <w:rsid w:val="005649CE"/>
    <w:rsid w:val="0056740F"/>
    <w:rsid w:val="005700C0"/>
    <w:rsid w:val="00571E74"/>
    <w:rsid w:val="005836E3"/>
    <w:rsid w:val="00583ADA"/>
    <w:rsid w:val="00586810"/>
    <w:rsid w:val="005915A7"/>
    <w:rsid w:val="00594D72"/>
    <w:rsid w:val="005963FA"/>
    <w:rsid w:val="005965E2"/>
    <w:rsid w:val="00596AEA"/>
    <w:rsid w:val="00596D55"/>
    <w:rsid w:val="005A6E40"/>
    <w:rsid w:val="005A7218"/>
    <w:rsid w:val="005B4CA9"/>
    <w:rsid w:val="005B6882"/>
    <w:rsid w:val="005B6DD5"/>
    <w:rsid w:val="005B7850"/>
    <w:rsid w:val="005C01F4"/>
    <w:rsid w:val="005C3956"/>
    <w:rsid w:val="005C4896"/>
    <w:rsid w:val="005C4E1B"/>
    <w:rsid w:val="005C7CB6"/>
    <w:rsid w:val="005D1425"/>
    <w:rsid w:val="005D35F3"/>
    <w:rsid w:val="005D6A89"/>
    <w:rsid w:val="005D6BBE"/>
    <w:rsid w:val="005E129B"/>
    <w:rsid w:val="005E55C8"/>
    <w:rsid w:val="005E60C8"/>
    <w:rsid w:val="005E6CDB"/>
    <w:rsid w:val="005E6D8A"/>
    <w:rsid w:val="005F2617"/>
    <w:rsid w:val="005F5201"/>
    <w:rsid w:val="005F565E"/>
    <w:rsid w:val="006042FA"/>
    <w:rsid w:val="00611ADD"/>
    <w:rsid w:val="00614F44"/>
    <w:rsid w:val="00616941"/>
    <w:rsid w:val="00616A2F"/>
    <w:rsid w:val="0062190C"/>
    <w:rsid w:val="00623D28"/>
    <w:rsid w:val="00624B95"/>
    <w:rsid w:val="0063090E"/>
    <w:rsid w:val="00633485"/>
    <w:rsid w:val="00636224"/>
    <w:rsid w:val="00636AA5"/>
    <w:rsid w:val="006413B6"/>
    <w:rsid w:val="0064323A"/>
    <w:rsid w:val="00660311"/>
    <w:rsid w:val="00660752"/>
    <w:rsid w:val="00675156"/>
    <w:rsid w:val="0067617C"/>
    <w:rsid w:val="00677401"/>
    <w:rsid w:val="00683EB8"/>
    <w:rsid w:val="00686427"/>
    <w:rsid w:val="00687AEC"/>
    <w:rsid w:val="006A0846"/>
    <w:rsid w:val="006A2C27"/>
    <w:rsid w:val="006A2EC8"/>
    <w:rsid w:val="006B0119"/>
    <w:rsid w:val="006B4250"/>
    <w:rsid w:val="006B6EF3"/>
    <w:rsid w:val="006C4F65"/>
    <w:rsid w:val="006C5223"/>
    <w:rsid w:val="006C606B"/>
    <w:rsid w:val="006D4644"/>
    <w:rsid w:val="006D4CAB"/>
    <w:rsid w:val="006E1767"/>
    <w:rsid w:val="00707F26"/>
    <w:rsid w:val="00720280"/>
    <w:rsid w:val="00726FAC"/>
    <w:rsid w:val="00727A50"/>
    <w:rsid w:val="007312D6"/>
    <w:rsid w:val="00732804"/>
    <w:rsid w:val="007401B2"/>
    <w:rsid w:val="00740307"/>
    <w:rsid w:val="0074219E"/>
    <w:rsid w:val="007437B4"/>
    <w:rsid w:val="00743982"/>
    <w:rsid w:val="00747C61"/>
    <w:rsid w:val="007532C3"/>
    <w:rsid w:val="00755EF1"/>
    <w:rsid w:val="00757342"/>
    <w:rsid w:val="007610AF"/>
    <w:rsid w:val="007615B9"/>
    <w:rsid w:val="00764B4F"/>
    <w:rsid w:val="00770C86"/>
    <w:rsid w:val="00772D15"/>
    <w:rsid w:val="007833A7"/>
    <w:rsid w:val="007A5B6D"/>
    <w:rsid w:val="007A63E4"/>
    <w:rsid w:val="007A763D"/>
    <w:rsid w:val="007B18F8"/>
    <w:rsid w:val="007C03C3"/>
    <w:rsid w:val="007C0416"/>
    <w:rsid w:val="007C2A78"/>
    <w:rsid w:val="007C405A"/>
    <w:rsid w:val="007C445F"/>
    <w:rsid w:val="007C686C"/>
    <w:rsid w:val="007D150D"/>
    <w:rsid w:val="007D35EA"/>
    <w:rsid w:val="007D6373"/>
    <w:rsid w:val="007D6756"/>
    <w:rsid w:val="007D67FF"/>
    <w:rsid w:val="007E5ED4"/>
    <w:rsid w:val="007F19F3"/>
    <w:rsid w:val="007F7E44"/>
    <w:rsid w:val="008003A0"/>
    <w:rsid w:val="00800A43"/>
    <w:rsid w:val="008039A0"/>
    <w:rsid w:val="00805C77"/>
    <w:rsid w:val="008116BD"/>
    <w:rsid w:val="008119FD"/>
    <w:rsid w:val="00814E4F"/>
    <w:rsid w:val="0082287B"/>
    <w:rsid w:val="0082419C"/>
    <w:rsid w:val="0083017E"/>
    <w:rsid w:val="00832F11"/>
    <w:rsid w:val="00842CD6"/>
    <w:rsid w:val="00845E0F"/>
    <w:rsid w:val="00854339"/>
    <w:rsid w:val="00855982"/>
    <w:rsid w:val="008568A8"/>
    <w:rsid w:val="008605A6"/>
    <w:rsid w:val="00864C5F"/>
    <w:rsid w:val="00867559"/>
    <w:rsid w:val="008706AE"/>
    <w:rsid w:val="008706EB"/>
    <w:rsid w:val="00871EBB"/>
    <w:rsid w:val="008725E5"/>
    <w:rsid w:val="00873D00"/>
    <w:rsid w:val="00882E40"/>
    <w:rsid w:val="00891BDE"/>
    <w:rsid w:val="00893E57"/>
    <w:rsid w:val="008948CC"/>
    <w:rsid w:val="008A568A"/>
    <w:rsid w:val="008B10CF"/>
    <w:rsid w:val="008B22AF"/>
    <w:rsid w:val="008C0B1B"/>
    <w:rsid w:val="008D1B69"/>
    <w:rsid w:val="008E6826"/>
    <w:rsid w:val="008E7D1D"/>
    <w:rsid w:val="008F082E"/>
    <w:rsid w:val="008F3A27"/>
    <w:rsid w:val="008F3CDE"/>
    <w:rsid w:val="00901B07"/>
    <w:rsid w:val="009074FD"/>
    <w:rsid w:val="0091025F"/>
    <w:rsid w:val="00911D51"/>
    <w:rsid w:val="00912100"/>
    <w:rsid w:val="00913237"/>
    <w:rsid w:val="00917926"/>
    <w:rsid w:val="0092335D"/>
    <w:rsid w:val="00924B39"/>
    <w:rsid w:val="00926D26"/>
    <w:rsid w:val="00930CEE"/>
    <w:rsid w:val="00931D44"/>
    <w:rsid w:val="0093257C"/>
    <w:rsid w:val="009357E5"/>
    <w:rsid w:val="00945C35"/>
    <w:rsid w:val="0095140A"/>
    <w:rsid w:val="00954FFA"/>
    <w:rsid w:val="00956754"/>
    <w:rsid w:val="0096199F"/>
    <w:rsid w:val="00961B45"/>
    <w:rsid w:val="009637AC"/>
    <w:rsid w:val="009638E6"/>
    <w:rsid w:val="00967DCB"/>
    <w:rsid w:val="00970E0F"/>
    <w:rsid w:val="00974388"/>
    <w:rsid w:val="009803EE"/>
    <w:rsid w:val="009933EC"/>
    <w:rsid w:val="00996250"/>
    <w:rsid w:val="009B27FF"/>
    <w:rsid w:val="009B38A3"/>
    <w:rsid w:val="009B3F31"/>
    <w:rsid w:val="009B48AC"/>
    <w:rsid w:val="009C190A"/>
    <w:rsid w:val="009D1C6A"/>
    <w:rsid w:val="009D346B"/>
    <w:rsid w:val="009E1667"/>
    <w:rsid w:val="009F0C33"/>
    <w:rsid w:val="009F750C"/>
    <w:rsid w:val="009F7A5F"/>
    <w:rsid w:val="00A01CED"/>
    <w:rsid w:val="00A076E5"/>
    <w:rsid w:val="00A10484"/>
    <w:rsid w:val="00A11891"/>
    <w:rsid w:val="00A1228C"/>
    <w:rsid w:val="00A139E6"/>
    <w:rsid w:val="00A24F6C"/>
    <w:rsid w:val="00A25987"/>
    <w:rsid w:val="00A27A1C"/>
    <w:rsid w:val="00A542AE"/>
    <w:rsid w:val="00A555B3"/>
    <w:rsid w:val="00A56573"/>
    <w:rsid w:val="00A60E88"/>
    <w:rsid w:val="00A624EE"/>
    <w:rsid w:val="00A6270C"/>
    <w:rsid w:val="00A62948"/>
    <w:rsid w:val="00A6473F"/>
    <w:rsid w:val="00A64F72"/>
    <w:rsid w:val="00A6633F"/>
    <w:rsid w:val="00A71A37"/>
    <w:rsid w:val="00A7273C"/>
    <w:rsid w:val="00A73E61"/>
    <w:rsid w:val="00A7651F"/>
    <w:rsid w:val="00A76E2F"/>
    <w:rsid w:val="00A77BE9"/>
    <w:rsid w:val="00A80305"/>
    <w:rsid w:val="00A81729"/>
    <w:rsid w:val="00A82EB1"/>
    <w:rsid w:val="00A84077"/>
    <w:rsid w:val="00A85E41"/>
    <w:rsid w:val="00A872AD"/>
    <w:rsid w:val="00A92A50"/>
    <w:rsid w:val="00A9300C"/>
    <w:rsid w:val="00A9315A"/>
    <w:rsid w:val="00A93604"/>
    <w:rsid w:val="00A951E9"/>
    <w:rsid w:val="00A976B7"/>
    <w:rsid w:val="00AA16B0"/>
    <w:rsid w:val="00AA1E18"/>
    <w:rsid w:val="00AB5AF2"/>
    <w:rsid w:val="00AB6802"/>
    <w:rsid w:val="00AB6C64"/>
    <w:rsid w:val="00AC67E0"/>
    <w:rsid w:val="00AD0681"/>
    <w:rsid w:val="00AD12C2"/>
    <w:rsid w:val="00AD1D7D"/>
    <w:rsid w:val="00AD3207"/>
    <w:rsid w:val="00AE4414"/>
    <w:rsid w:val="00AE4E53"/>
    <w:rsid w:val="00AE54B3"/>
    <w:rsid w:val="00AF4A9E"/>
    <w:rsid w:val="00AF6167"/>
    <w:rsid w:val="00B042EE"/>
    <w:rsid w:val="00B045EC"/>
    <w:rsid w:val="00B04736"/>
    <w:rsid w:val="00B06F22"/>
    <w:rsid w:val="00B100F3"/>
    <w:rsid w:val="00B107AE"/>
    <w:rsid w:val="00B14AFD"/>
    <w:rsid w:val="00B14CB5"/>
    <w:rsid w:val="00B336A8"/>
    <w:rsid w:val="00B3459C"/>
    <w:rsid w:val="00B3751D"/>
    <w:rsid w:val="00B468D4"/>
    <w:rsid w:val="00B46B12"/>
    <w:rsid w:val="00B51514"/>
    <w:rsid w:val="00B55975"/>
    <w:rsid w:val="00B60EC2"/>
    <w:rsid w:val="00B6710C"/>
    <w:rsid w:val="00B711FA"/>
    <w:rsid w:val="00B72851"/>
    <w:rsid w:val="00B73459"/>
    <w:rsid w:val="00B74F87"/>
    <w:rsid w:val="00B765C4"/>
    <w:rsid w:val="00B77192"/>
    <w:rsid w:val="00B95608"/>
    <w:rsid w:val="00BA0F38"/>
    <w:rsid w:val="00BA196C"/>
    <w:rsid w:val="00BA6C69"/>
    <w:rsid w:val="00BB08F8"/>
    <w:rsid w:val="00BC375F"/>
    <w:rsid w:val="00BC3ECF"/>
    <w:rsid w:val="00BC7F1F"/>
    <w:rsid w:val="00BD1489"/>
    <w:rsid w:val="00BD4929"/>
    <w:rsid w:val="00BE08D9"/>
    <w:rsid w:val="00BE1985"/>
    <w:rsid w:val="00BE1FFD"/>
    <w:rsid w:val="00BE366B"/>
    <w:rsid w:val="00BE6422"/>
    <w:rsid w:val="00BF39AB"/>
    <w:rsid w:val="00BF3C3D"/>
    <w:rsid w:val="00BF48D9"/>
    <w:rsid w:val="00C018C3"/>
    <w:rsid w:val="00C0279F"/>
    <w:rsid w:val="00C029E4"/>
    <w:rsid w:val="00C048D6"/>
    <w:rsid w:val="00C12A00"/>
    <w:rsid w:val="00C16895"/>
    <w:rsid w:val="00C21C51"/>
    <w:rsid w:val="00C23911"/>
    <w:rsid w:val="00C2648A"/>
    <w:rsid w:val="00C3307F"/>
    <w:rsid w:val="00C35790"/>
    <w:rsid w:val="00C37CA5"/>
    <w:rsid w:val="00C400EF"/>
    <w:rsid w:val="00C43549"/>
    <w:rsid w:val="00C45B01"/>
    <w:rsid w:val="00C465D6"/>
    <w:rsid w:val="00C5113B"/>
    <w:rsid w:val="00C52275"/>
    <w:rsid w:val="00C52CA1"/>
    <w:rsid w:val="00C54565"/>
    <w:rsid w:val="00C74613"/>
    <w:rsid w:val="00C74695"/>
    <w:rsid w:val="00C83D56"/>
    <w:rsid w:val="00C84920"/>
    <w:rsid w:val="00C903CA"/>
    <w:rsid w:val="00CA235F"/>
    <w:rsid w:val="00CA25FE"/>
    <w:rsid w:val="00CB3D79"/>
    <w:rsid w:val="00CC2035"/>
    <w:rsid w:val="00CC24E3"/>
    <w:rsid w:val="00CC4A92"/>
    <w:rsid w:val="00CC768F"/>
    <w:rsid w:val="00CD46DC"/>
    <w:rsid w:val="00CD4F95"/>
    <w:rsid w:val="00CE024F"/>
    <w:rsid w:val="00CE122A"/>
    <w:rsid w:val="00CE274D"/>
    <w:rsid w:val="00CE552E"/>
    <w:rsid w:val="00CF0BEE"/>
    <w:rsid w:val="00CF5012"/>
    <w:rsid w:val="00CF5BCA"/>
    <w:rsid w:val="00D00D8B"/>
    <w:rsid w:val="00D02506"/>
    <w:rsid w:val="00D05700"/>
    <w:rsid w:val="00D05C9B"/>
    <w:rsid w:val="00D07D14"/>
    <w:rsid w:val="00D12C7D"/>
    <w:rsid w:val="00D12F51"/>
    <w:rsid w:val="00D23269"/>
    <w:rsid w:val="00D2684C"/>
    <w:rsid w:val="00D3297F"/>
    <w:rsid w:val="00D42F14"/>
    <w:rsid w:val="00D46DE2"/>
    <w:rsid w:val="00D47ED0"/>
    <w:rsid w:val="00D50465"/>
    <w:rsid w:val="00D5515B"/>
    <w:rsid w:val="00D5539D"/>
    <w:rsid w:val="00D554B0"/>
    <w:rsid w:val="00D6071A"/>
    <w:rsid w:val="00D6766C"/>
    <w:rsid w:val="00D70BB2"/>
    <w:rsid w:val="00D71067"/>
    <w:rsid w:val="00D73F9C"/>
    <w:rsid w:val="00D76B4F"/>
    <w:rsid w:val="00D8222D"/>
    <w:rsid w:val="00D83BC0"/>
    <w:rsid w:val="00D85A65"/>
    <w:rsid w:val="00D872AC"/>
    <w:rsid w:val="00D8736B"/>
    <w:rsid w:val="00D959B7"/>
    <w:rsid w:val="00D96CD1"/>
    <w:rsid w:val="00DA255B"/>
    <w:rsid w:val="00DA5DBF"/>
    <w:rsid w:val="00DA7B07"/>
    <w:rsid w:val="00DB31F4"/>
    <w:rsid w:val="00DC77D1"/>
    <w:rsid w:val="00DD02B1"/>
    <w:rsid w:val="00DD3A30"/>
    <w:rsid w:val="00DD4662"/>
    <w:rsid w:val="00DD6C3F"/>
    <w:rsid w:val="00DE494C"/>
    <w:rsid w:val="00DE6FF0"/>
    <w:rsid w:val="00DF262B"/>
    <w:rsid w:val="00DF7844"/>
    <w:rsid w:val="00E063DE"/>
    <w:rsid w:val="00E06E56"/>
    <w:rsid w:val="00E24239"/>
    <w:rsid w:val="00E2506B"/>
    <w:rsid w:val="00E26380"/>
    <w:rsid w:val="00E2764E"/>
    <w:rsid w:val="00E32838"/>
    <w:rsid w:val="00E45949"/>
    <w:rsid w:val="00E4722B"/>
    <w:rsid w:val="00E51B84"/>
    <w:rsid w:val="00E5532D"/>
    <w:rsid w:val="00E60CE4"/>
    <w:rsid w:val="00E624C5"/>
    <w:rsid w:val="00E65904"/>
    <w:rsid w:val="00E716D3"/>
    <w:rsid w:val="00E74288"/>
    <w:rsid w:val="00E7446C"/>
    <w:rsid w:val="00E77ED8"/>
    <w:rsid w:val="00E80C9A"/>
    <w:rsid w:val="00E84577"/>
    <w:rsid w:val="00E84F2A"/>
    <w:rsid w:val="00E8651C"/>
    <w:rsid w:val="00E9291E"/>
    <w:rsid w:val="00E93C55"/>
    <w:rsid w:val="00E97F1E"/>
    <w:rsid w:val="00EA4779"/>
    <w:rsid w:val="00EB2DB9"/>
    <w:rsid w:val="00EB5086"/>
    <w:rsid w:val="00EC1377"/>
    <w:rsid w:val="00EC308F"/>
    <w:rsid w:val="00EC6934"/>
    <w:rsid w:val="00ED1399"/>
    <w:rsid w:val="00ED4516"/>
    <w:rsid w:val="00ED53D1"/>
    <w:rsid w:val="00ED695E"/>
    <w:rsid w:val="00ED7C52"/>
    <w:rsid w:val="00EF17ED"/>
    <w:rsid w:val="00EF2527"/>
    <w:rsid w:val="00EF2E93"/>
    <w:rsid w:val="00EF5943"/>
    <w:rsid w:val="00EF5A54"/>
    <w:rsid w:val="00EF778D"/>
    <w:rsid w:val="00F01271"/>
    <w:rsid w:val="00F1172B"/>
    <w:rsid w:val="00F12EDB"/>
    <w:rsid w:val="00F21061"/>
    <w:rsid w:val="00F2254F"/>
    <w:rsid w:val="00F33C33"/>
    <w:rsid w:val="00F3705C"/>
    <w:rsid w:val="00F37069"/>
    <w:rsid w:val="00F442C2"/>
    <w:rsid w:val="00F47515"/>
    <w:rsid w:val="00F602D7"/>
    <w:rsid w:val="00F661A7"/>
    <w:rsid w:val="00F70916"/>
    <w:rsid w:val="00F719EE"/>
    <w:rsid w:val="00F76812"/>
    <w:rsid w:val="00F82DAC"/>
    <w:rsid w:val="00F84FE6"/>
    <w:rsid w:val="00F8728E"/>
    <w:rsid w:val="00F900EA"/>
    <w:rsid w:val="00F91C43"/>
    <w:rsid w:val="00F962AC"/>
    <w:rsid w:val="00FA28A6"/>
    <w:rsid w:val="00FA6680"/>
    <w:rsid w:val="00FA6F86"/>
    <w:rsid w:val="00FA7415"/>
    <w:rsid w:val="00FB14AB"/>
    <w:rsid w:val="00FB4845"/>
    <w:rsid w:val="00FB5D46"/>
    <w:rsid w:val="00FD262C"/>
    <w:rsid w:val="00FD7E5F"/>
    <w:rsid w:val="00FE0D25"/>
    <w:rsid w:val="00FE2CC7"/>
    <w:rsid w:val="00FE3CC0"/>
    <w:rsid w:val="00FF0F27"/>
    <w:rsid w:val="00FF2BFF"/>
    <w:rsid w:val="00FF6EF9"/>
    <w:rsid w:val="00FF76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F6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621F"/>
    <w:pPr>
      <w:spacing w:after="0" w:line="240" w:lineRule="auto"/>
    </w:pPr>
  </w:style>
  <w:style w:type="character" w:styleId="UnresolvedMention">
    <w:name w:val="Unresolved Mention"/>
    <w:basedOn w:val="DefaultParagraphFont"/>
    <w:uiPriority w:val="99"/>
    <w:semiHidden/>
    <w:unhideWhenUsed/>
    <w:rsid w:val="005C3956"/>
    <w:rPr>
      <w:color w:val="605E5C"/>
      <w:shd w:val="clear" w:color="auto" w:fill="E1DFDD"/>
    </w:rPr>
  </w:style>
  <w:style w:type="paragraph" w:customStyle="1" w:styleId="xmsonormal">
    <w:name w:val="x_msonormal"/>
    <w:basedOn w:val="Normal"/>
    <w:rsid w:val="00446A54"/>
    <w:pPr>
      <w:spacing w:after="0" w:line="240" w:lineRule="auto"/>
    </w:pPr>
    <w:rPr>
      <w:rFonts w:ascii="Calibri" w:eastAsiaTheme="minorHAnsi" w:hAnsi="Calibri" w:cs="Calibri"/>
      <w:lang w:val="en-GB" w:eastAsia="en-GB"/>
    </w:rPr>
  </w:style>
  <w:style w:type="character" w:styleId="FootnoteReference">
    <w:name w:val="footnote reference"/>
    <w:basedOn w:val="DefaultParagraphFont"/>
    <w:uiPriority w:val="99"/>
    <w:semiHidden/>
    <w:unhideWhenUsed/>
    <w:rsid w:val="006413B6"/>
    <w:rPr>
      <w:vertAlign w:val="superscript"/>
    </w:rPr>
  </w:style>
  <w:style w:type="table" w:styleId="GridTable1Light">
    <w:name w:val="Grid Table 1 Light"/>
    <w:basedOn w:val="TableNormal"/>
    <w:uiPriority w:val="46"/>
    <w:rsid w:val="004D73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0701">
      <w:bodyDiv w:val="1"/>
      <w:marLeft w:val="0"/>
      <w:marRight w:val="0"/>
      <w:marTop w:val="0"/>
      <w:marBottom w:val="0"/>
      <w:divBdr>
        <w:top w:val="none" w:sz="0" w:space="0" w:color="auto"/>
        <w:left w:val="none" w:sz="0" w:space="0" w:color="auto"/>
        <w:bottom w:val="none" w:sz="0" w:space="0" w:color="auto"/>
        <w:right w:val="none" w:sz="0" w:space="0" w:color="auto"/>
      </w:divBdr>
    </w:div>
    <w:div w:id="248274078">
      <w:bodyDiv w:val="1"/>
      <w:marLeft w:val="0"/>
      <w:marRight w:val="0"/>
      <w:marTop w:val="0"/>
      <w:marBottom w:val="0"/>
      <w:divBdr>
        <w:top w:val="none" w:sz="0" w:space="0" w:color="auto"/>
        <w:left w:val="none" w:sz="0" w:space="0" w:color="auto"/>
        <w:bottom w:val="none" w:sz="0" w:space="0" w:color="auto"/>
        <w:right w:val="none" w:sz="0" w:space="0" w:color="auto"/>
      </w:divBdr>
    </w:div>
    <w:div w:id="375275751">
      <w:bodyDiv w:val="1"/>
      <w:marLeft w:val="0"/>
      <w:marRight w:val="0"/>
      <w:marTop w:val="0"/>
      <w:marBottom w:val="0"/>
      <w:divBdr>
        <w:top w:val="none" w:sz="0" w:space="0" w:color="auto"/>
        <w:left w:val="none" w:sz="0" w:space="0" w:color="auto"/>
        <w:bottom w:val="none" w:sz="0" w:space="0" w:color="auto"/>
        <w:right w:val="none" w:sz="0" w:space="0" w:color="auto"/>
      </w:divBdr>
    </w:div>
    <w:div w:id="878400006">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401833572">
      <w:bodyDiv w:val="1"/>
      <w:marLeft w:val="0"/>
      <w:marRight w:val="0"/>
      <w:marTop w:val="0"/>
      <w:marBottom w:val="0"/>
      <w:divBdr>
        <w:top w:val="none" w:sz="0" w:space="0" w:color="auto"/>
        <w:left w:val="none" w:sz="0" w:space="0" w:color="auto"/>
        <w:bottom w:val="none" w:sz="0" w:space="0" w:color="auto"/>
        <w:right w:val="none" w:sz="0" w:space="0" w:color="auto"/>
      </w:divBdr>
    </w:div>
    <w:div w:id="21305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uk/government/publications/district-planning-matters-return-ps1-and-ps2/ps1-and-ps2-district-planning-matters-return-guidance-no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FC14E1122294D87D9F3678EAA869C" ma:contentTypeVersion="6" ma:contentTypeDescription="Create a new document." ma:contentTypeScope="" ma:versionID="37ca257de0a17224bfb12f8991830f8c">
  <xsd:schema xmlns:xsd="http://www.w3.org/2001/XMLSchema" xmlns:xs="http://www.w3.org/2001/XMLSchema" xmlns:p="http://schemas.microsoft.com/office/2006/metadata/properties" xmlns:ns2="c68ffc25-69d9-475c-96c8-41ee8c7452b4" xmlns:ns3="d8ce0592-1ae4-48fc-896e-bf86ccaddf77" targetNamespace="http://schemas.microsoft.com/office/2006/metadata/properties" ma:root="true" ma:fieldsID="bad538a538113e76b15026a397cb6e15" ns2:_="" ns3:_="">
    <xsd:import namespace="c68ffc25-69d9-475c-96c8-41ee8c7452b4"/>
    <xsd:import namespace="d8ce0592-1ae4-48fc-896e-bf86ccadd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ffc25-69d9-475c-96c8-41ee8c7452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C1EF5-4D0A-452B-BDA4-30EAEACF0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79FE8B-4A0A-4F46-A629-C092D8C725FB}">
  <ds:schemaRefs>
    <ds:schemaRef ds:uri="http://schemas.microsoft.com/sharepoint/v3/contenttype/forms"/>
  </ds:schemaRefs>
</ds:datastoreItem>
</file>

<file path=customXml/itemProps3.xml><?xml version="1.0" encoding="utf-8"?>
<ds:datastoreItem xmlns:ds="http://schemas.openxmlformats.org/officeDocument/2006/customXml" ds:itemID="{0AD073E9-F125-49C3-93C9-B01718B69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ffc25-69d9-475c-96c8-41ee8c7452b4"/>
    <ds:schemaRef ds:uri="d8ce0592-1ae4-48fc-896e-bf86ccadd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3060</Words>
  <Characters>17448</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20468</CharactersWithSpaces>
  <SharedDoc>false</SharedDoc>
  <HLinks>
    <vt:vector size="6" baseType="variant">
      <vt:variant>
        <vt:i4>3473453</vt:i4>
      </vt:variant>
      <vt:variant>
        <vt:i4>0</vt:i4>
      </vt:variant>
      <vt:variant>
        <vt:i4>0</vt:i4>
      </vt:variant>
      <vt:variant>
        <vt:i4>5</vt:i4>
      </vt:variant>
      <vt:variant>
        <vt:lpwstr>https://eur03.safelinks.protection.outlook.com/?url=https%3A%2F%2Fwww.gov.uk%2Fgovernment%2Fpublications%2Fdistrict-planning-matters-return-ps1-and-ps2%2Fps1-and-ps2-district-planning-matters-return-guidance-notes%23appendix&amp;data=05%7C01%7CCNeal%40lambeth.gov.uk%7Cde6ba504a4bd43ebbb9108db47ff5966%7Cc4f22780485f4507af4a60a971d6f7fe%7C0%7C0%7C638182934260393594%7CUnknown%7CTWFpbGZsb3d8eyJWIjoiMC4wLjAwMDAiLCJQIjoiV2luMzIiLCJBTiI6Ik1haWwiLCJXVCI6Mn0%3D%7C3000%7C%7C%7C&amp;sdata=kOCcJ5kQC%2BtEmk%2Byl5IFFvuBvuu58i1gSCIZf63wPR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2024-07-31T08:02:00Z</dcterms:created>
  <dcterms:modified xsi:type="dcterms:W3CDTF">2024-07-31T08:02:00Z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0x010100E98FC14E1122294D87D9F3678EAA869C</vt:lpwstr>
  </property>
</Properties>
</file>