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2D3" w:rsidP="00C052D3" w:rsidRDefault="00C052D3" w14:paraId="43928EF6" w14:textId="77777777">
      <w:pPr>
        <w:spacing w:after="240"/>
        <w:ind w:left="-539"/>
        <w:jc w:val="center"/>
        <w:rPr>
          <w:rFonts w:ascii="Arial Bold" w:hAnsi="Arial Bold" w:cs="Arial"/>
          <w:sz w:val="28"/>
          <w:szCs w:val="28"/>
          <w:u w:val="single"/>
        </w:rPr>
      </w:pPr>
      <w:r w:rsidRPr="002A4929">
        <w:rPr>
          <w:rFonts w:ascii="Arial Bold" w:hAnsi="Arial Bold" w:cs="Arial"/>
          <w:sz w:val="28"/>
          <w:szCs w:val="28"/>
          <w:u w:val="single"/>
        </w:rPr>
        <w:t>Table of Standards</w:t>
      </w:r>
    </w:p>
    <w:p w:rsidR="0044388D" w:rsidP="00C052D3" w:rsidRDefault="00C052D3" w14:paraId="78785C74" w14:textId="553047CD">
      <w:pPr>
        <w:ind w:left="-539"/>
        <w:jc w:val="center"/>
        <w:rPr>
          <w:rFonts w:ascii="Arial" w:hAnsi="Arial" w:cs="Arial"/>
          <w:b w:val="0"/>
          <w:bCs w:val="0"/>
          <w:iCs/>
          <w:caps/>
          <w:sz w:val="20"/>
          <w:szCs w:val="20"/>
        </w:rPr>
      </w:pPr>
      <w:r>
        <w:rPr>
          <w:rFonts w:ascii="Arial" w:hAnsi="Arial" w:cs="Arial"/>
          <w:b w:val="0"/>
          <w:bCs w:val="0"/>
          <w:iCs/>
          <w:caps/>
          <w:sz w:val="20"/>
          <w:szCs w:val="20"/>
        </w:rPr>
        <w:t>(t</w:t>
      </w:r>
      <w:r w:rsidRPr="002A4929">
        <w:rPr>
          <w:rFonts w:ascii="Arial" w:hAnsi="Arial" w:cs="Arial"/>
          <w:b w:val="0"/>
          <w:bCs w:val="0"/>
          <w:iCs/>
          <w:sz w:val="20"/>
          <w:szCs w:val="20"/>
        </w:rPr>
        <w:t>o be adhered to in pursuance of the Contract</w:t>
      </w:r>
      <w:r w:rsidRPr="002A4929">
        <w:rPr>
          <w:rFonts w:ascii="Arial" w:hAnsi="Arial" w:cs="Arial"/>
          <w:b w:val="0"/>
          <w:bCs w:val="0"/>
          <w:iCs/>
          <w:caps/>
          <w:sz w:val="20"/>
          <w:szCs w:val="20"/>
        </w:rPr>
        <w:t>)</w:t>
      </w:r>
    </w:p>
    <w:p w:rsidR="00C052D3" w:rsidP="00C052D3" w:rsidRDefault="00C052D3" w14:paraId="04E6FC1E" w14:textId="2C62AB58">
      <w:pPr>
        <w:shd w:val="clear" w:color="auto" w:fill="FFFFFF"/>
        <w:textAlignment w:val="baseline"/>
        <w:rPr>
          <w:rFonts w:ascii="Calibri" w:hAnsi="Calibri" w:cs="Calibri"/>
          <w:caps/>
          <w:color w:val="201F1E"/>
          <w:sz w:val="24"/>
          <w:szCs w:val="24"/>
        </w:rPr>
      </w:pPr>
    </w:p>
    <w:p w:rsidRPr="00C052D3" w:rsidR="00C052D3" w:rsidP="00C052D3" w:rsidRDefault="00C052D3" w14:paraId="60541B65" w14:textId="77777777">
      <w:pPr>
        <w:shd w:val="clear" w:color="auto" w:fill="FFFFFF"/>
        <w:jc w:val="center"/>
        <w:textAlignment w:val="baseline"/>
        <w:rPr>
          <w:rFonts w:ascii="Calibri" w:hAnsi="Calibri" w:cs="Calibri"/>
          <w:b w:val="0"/>
          <w:bCs w:val="0"/>
          <w:color w:val="201F1E"/>
          <w:sz w:val="22"/>
          <w:szCs w:val="22"/>
        </w:rPr>
      </w:pPr>
    </w:p>
    <w:tbl>
      <w:tblPr>
        <w:tblpPr w:leftFromText="180" w:rightFromText="180" w:vertAnchor="text" w:horzAnchor="margin" w:tblpXSpec="center" w:tblpY="255"/>
        <w:tblW w:w="998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126"/>
        <w:gridCol w:w="6022"/>
      </w:tblGrid>
      <w:tr w:rsidRPr="00C052D3" w:rsidR="00C052D3" w:rsidTr="17DAE73B" w14:paraId="6914CF83" w14:textId="77777777">
        <w:trPr>
          <w:trHeight w:val="1256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41E9D579" w14:textId="77777777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052D3">
              <w:rPr>
                <w:rFonts w:ascii="Arial" w:hAnsi="Arial" w:cs="Arial"/>
                <w:sz w:val="20"/>
                <w:szCs w:val="20"/>
                <w:bdr w:val="none" w:color="auto" w:sz="0" w:space="0" w:frame="1"/>
              </w:rPr>
              <w:t>Reference No. of Standard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42AF5DD8" w14:textId="77777777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052D3">
              <w:rPr>
                <w:rFonts w:ascii="Arial" w:hAnsi="Arial" w:cs="Arial"/>
                <w:sz w:val="20"/>
                <w:szCs w:val="20"/>
                <w:bdr w:val="none" w:color="auto" w:sz="0" w:space="0" w:frame="1"/>
              </w:rPr>
              <w:t>Part(s) / Issue No. / Date</w:t>
            </w:r>
          </w:p>
        </w:tc>
        <w:tc>
          <w:tcPr>
            <w:tcW w:w="6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5CB00DF8" w14:textId="77777777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052D3">
              <w:rPr>
                <w:rFonts w:ascii="Arial" w:hAnsi="Arial" w:cs="Arial"/>
                <w:sz w:val="20"/>
                <w:szCs w:val="20"/>
                <w:bdr w:val="none" w:color="auto" w:sz="0" w:space="0" w:frame="1"/>
              </w:rPr>
              <w:t>Name of Standard</w:t>
            </w:r>
          </w:p>
        </w:tc>
      </w:tr>
      <w:tr w:rsidRPr="00C052D3" w:rsidR="00C052D3" w:rsidTr="17DAE73B" w14:paraId="2B775A55" w14:textId="77777777">
        <w:trPr>
          <w:trHeight w:val="616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5E69CE6C" w14:textId="1A5E7370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  <w:lang w:val="en-US"/>
              </w:rPr>
              <w:t>AQAP 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1C20EC6A" w14:textId="347F597E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Latest Edition</w:t>
            </w:r>
          </w:p>
        </w:tc>
        <w:tc>
          <w:tcPr>
            <w:tcW w:w="6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361A568E" w14:textId="7E7CAC3D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NATO QA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R</w:t>
            </w: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equirements for Final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I</w:t>
            </w: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nspections and Test</w:t>
            </w:r>
          </w:p>
        </w:tc>
      </w:tr>
      <w:tr w:rsidRPr="00C052D3" w:rsidR="00C052D3" w:rsidTr="17DAE73B" w14:paraId="3D94DC98" w14:textId="77777777">
        <w:trPr>
          <w:trHeight w:val="554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1CD13311" w14:textId="4EA38E44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  <w:lang w:val="en-US"/>
              </w:rPr>
              <w:t>AQAP 2105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20A0D1E5" w14:textId="7395B7D8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Latest Edition</w:t>
            </w:r>
          </w:p>
        </w:tc>
        <w:tc>
          <w:tcPr>
            <w:tcW w:w="6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54A0F2F1" w14:textId="25E4AB9D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NATO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R</w:t>
            </w: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equirements for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D</w:t>
            </w: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eliverable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Q</w:t>
            </w: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uality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P</w:t>
            </w: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lans</w:t>
            </w:r>
          </w:p>
        </w:tc>
      </w:tr>
      <w:tr w:rsidRPr="00C052D3" w:rsidR="00C052D3" w:rsidTr="17DAE73B" w14:paraId="63D9B5B9" w14:textId="77777777">
        <w:trPr>
          <w:trHeight w:val="909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12DF9348" w14:textId="0415DD16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DEF STAN 05-061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2621DF64" w14:textId="55CF453F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Part 1, Latest Edition</w:t>
            </w:r>
          </w:p>
        </w:tc>
        <w:tc>
          <w:tcPr>
            <w:tcW w:w="6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7C83B593" w14:textId="498C8F41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Quality Assurance Procedural Requirements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–</w:t>
            </w: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 xml:space="preserve"> Concessions</w:t>
            </w:r>
          </w:p>
        </w:tc>
      </w:tr>
      <w:tr w:rsidRPr="00C052D3" w:rsidR="00C052D3" w:rsidTr="17DAE73B" w14:paraId="2AAFC175" w14:textId="77777777">
        <w:trPr>
          <w:trHeight w:val="792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321D54A6" w14:textId="21C941CC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DEF STAN 05-061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2A452100" w14:textId="40EDED3A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Part 4 / Latest Edition</w:t>
            </w:r>
          </w:p>
        </w:tc>
        <w:tc>
          <w:tcPr>
            <w:tcW w:w="6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390FB56C" w14:textId="02B293CE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Quality Assurance Procedural Requirements – Contractor Working Parties</w:t>
            </w:r>
          </w:p>
        </w:tc>
      </w:tr>
      <w:tr w:rsidRPr="00C052D3" w:rsidR="00C052D3" w:rsidTr="17DAE73B" w14:paraId="4DC52DC6" w14:textId="77777777">
        <w:trPr>
          <w:trHeight w:val="792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339D7B73" w14:textId="17DCEF20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DEF STAN 05-135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3B95AB5E" w14:textId="11CE5554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Latest Edition</w:t>
            </w:r>
          </w:p>
        </w:tc>
        <w:tc>
          <w:tcPr>
            <w:tcW w:w="6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77DBFEA6" w14:textId="33AC328F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Avoidance of Counterfeit Materiel</w:t>
            </w:r>
          </w:p>
        </w:tc>
      </w:tr>
      <w:tr w:rsidRPr="00C052D3" w:rsidR="00C052D3" w:rsidTr="17DAE73B" w14:paraId="424378D2" w14:textId="77777777">
        <w:trPr>
          <w:trHeight w:val="351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0C052D3" w:rsidP="00C052D3" w:rsidRDefault="00C052D3" w14:paraId="0D0E7F86" w14:textId="77777777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</w:pPr>
          </w:p>
          <w:p w:rsidRPr="00C052D3" w:rsidR="00C052D3" w:rsidP="00C052D3" w:rsidRDefault="00C052D3" w14:paraId="2079EE5B" w14:textId="1D4577B8">
            <w:pPr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IEC 62402:2019</w:t>
            </w:r>
          </w:p>
          <w:p w:rsidRPr="00C052D3" w:rsidR="00C052D3" w:rsidP="00C052D3" w:rsidRDefault="00C052D3" w14:paraId="00B9E258" w14:textId="77777777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762CEFCE" w14:textId="0F099B44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Latest Edition</w:t>
            </w:r>
          </w:p>
        </w:tc>
        <w:tc>
          <w:tcPr>
            <w:tcW w:w="6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C052D3" w:rsidR="00C052D3" w:rsidP="00C052D3" w:rsidRDefault="00C052D3" w14:paraId="34F8A7A0" w14:textId="7E962730">
            <w:pPr>
              <w:jc w:val="center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052D3">
              <w:rPr>
                <w:rFonts w:ascii="Arial" w:hAnsi="Arial" w:cs="Arial"/>
                <w:b w:val="0"/>
                <w:bCs w:val="0"/>
                <w:sz w:val="18"/>
                <w:szCs w:val="18"/>
                <w:bdr w:val="none" w:color="auto" w:sz="0" w:space="0" w:frame="1"/>
              </w:rPr>
              <w:t>Obsolescence Management Plan – Application Guide</w:t>
            </w:r>
          </w:p>
        </w:tc>
      </w:tr>
      <w:tr w:rsidR="17DAE73B" w:rsidTr="17DAE73B" w14:paraId="1483D782">
        <w:trPr>
          <w:trHeight w:val="351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5773AE1D" w:rsidP="17DAE73B" w:rsidRDefault="5773AE1D" w14:paraId="75E413DB" w14:textId="2F90480D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17DAE73B" w:rsidR="5773AE1D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DEF STAN 00-56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5773AE1D" w:rsidP="17DAE73B" w:rsidRDefault="5773AE1D" w14:paraId="36C22734" w14:textId="3883EBAA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</w:pPr>
            <w:r w:rsidRPr="17DAE73B" w:rsidR="5773AE1D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Latest Edition</w:t>
            </w:r>
          </w:p>
        </w:tc>
        <w:tc>
          <w:tcPr>
            <w:tcW w:w="6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="05E8C60E" w:rsidP="17DAE73B" w:rsidRDefault="05E8C60E" w14:paraId="4AFA8CE1" w14:textId="1162DD41">
            <w:pPr>
              <w:pStyle w:val="Normal"/>
              <w:jc w:val="center"/>
              <w:rPr>
                <w:rFonts w:ascii="Courier" w:hAnsi="Courier" w:eastAsia="Times New Roman" w:cs="Times New Roman"/>
                <w:b w:val="1"/>
                <w:bCs w:val="1"/>
                <w:sz w:val="72"/>
                <w:szCs w:val="72"/>
              </w:rPr>
            </w:pPr>
            <w:r w:rsidRPr="17DAE73B" w:rsidR="05E8C60E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Safety Management Requirements for Defence Systems</w:t>
            </w:r>
          </w:p>
        </w:tc>
      </w:tr>
    </w:tbl>
    <w:p w:rsidRPr="00C052D3" w:rsidR="00C052D3" w:rsidP="00C052D3" w:rsidRDefault="00C052D3" w14:paraId="70AB0649" w14:textId="77777777">
      <w:pPr>
        <w:shd w:val="clear" w:color="auto" w:fill="FFFFFF"/>
        <w:jc w:val="center"/>
        <w:textAlignment w:val="baseline"/>
        <w:rPr>
          <w:rFonts w:ascii="Calibri" w:hAnsi="Calibri" w:cs="Calibri"/>
          <w:b w:val="0"/>
          <w:bCs w:val="0"/>
          <w:color w:val="201F1E"/>
          <w:sz w:val="22"/>
          <w:szCs w:val="22"/>
        </w:rPr>
      </w:pPr>
      <w:r w:rsidRPr="00C052D3">
        <w:rPr>
          <w:rFonts w:ascii="Arial" w:hAnsi="Arial" w:cs="Arial"/>
          <w:color w:val="201F1E"/>
          <w:sz w:val="24"/>
          <w:szCs w:val="24"/>
          <w:bdr w:val="none" w:color="auto" w:sz="0" w:space="0" w:frame="1"/>
        </w:rPr>
        <w:t> </w:t>
      </w:r>
    </w:p>
    <w:p w:rsidRPr="00C052D3" w:rsidR="00C052D3" w:rsidP="17DAE73B" w:rsidRDefault="00C052D3" w14:paraId="4930AA0C" w14:textId="77777777">
      <w:pPr>
        <w:shd w:val="clear" w:color="auto" w:fill="FFFFFF" w:themeFill="background1"/>
        <w:jc w:val="both"/>
        <w:textAlignment w:val="baseline"/>
        <w:rPr>
          <w:rFonts w:ascii="Calibri" w:hAnsi="Calibri" w:cs="Calibri"/>
          <w:b w:val="0"/>
          <w:bCs w:val="0"/>
          <w:color w:val="201F1E"/>
          <w:sz w:val="22"/>
          <w:szCs w:val="22"/>
        </w:rPr>
      </w:pPr>
      <w:r w:rsidRPr="00C052D3" w:rsidR="00C052D3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 </w:t>
      </w:r>
    </w:p>
    <w:p w:rsidR="00C052D3" w:rsidP="00C052D3" w:rsidRDefault="00C052D3" w14:paraId="2AD92E97" w14:textId="77777777">
      <w:pPr>
        <w:ind w:left="-539"/>
        <w:jc w:val="center"/>
      </w:pPr>
    </w:p>
    <w:sectPr w:rsidR="00C052D3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76A" w:rsidP="00C052D3" w:rsidRDefault="00E4376A" w14:paraId="02F034BE" w14:textId="77777777">
      <w:r>
        <w:separator/>
      </w:r>
    </w:p>
  </w:endnote>
  <w:endnote w:type="continuationSeparator" w:id="0">
    <w:p w:rsidR="00E4376A" w:rsidP="00C052D3" w:rsidRDefault="00E4376A" w14:paraId="08547C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76A" w:rsidP="00C052D3" w:rsidRDefault="00E4376A" w14:paraId="1DE9E42C" w14:textId="77777777">
      <w:r>
        <w:separator/>
      </w:r>
    </w:p>
  </w:footnote>
  <w:footnote w:type="continuationSeparator" w:id="0">
    <w:p w:rsidR="00E4376A" w:rsidP="00C052D3" w:rsidRDefault="00E4376A" w14:paraId="186DD3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052D3" w:rsidR="00C052D3" w:rsidP="00C052D3" w:rsidRDefault="00C052D3" w14:paraId="0D8A7CF1" w14:textId="4DB71EC8">
    <w:pPr>
      <w:pStyle w:val="Header"/>
      <w:jc w:val="right"/>
      <w:rPr>
        <w:rFonts w:ascii="Arial" w:hAnsi="Arial" w:cs="Arial"/>
      </w:rPr>
    </w:pPr>
    <w:r w:rsidRPr="00C052D3">
      <w:rPr>
        <w:rFonts w:ascii="Arial" w:hAnsi="Arial" w:cs="Arial"/>
      </w:rPr>
      <w:t>Annex B</w:t>
    </w:r>
  </w:p>
  <w:p w:rsidRPr="00C052D3" w:rsidR="00C052D3" w:rsidP="00C052D3" w:rsidRDefault="00C052D3" w14:paraId="14E7E306" w14:textId="2DB5B719">
    <w:pPr>
      <w:pStyle w:val="Header"/>
      <w:jc w:val="right"/>
      <w:rPr>
        <w:rFonts w:ascii="Arial" w:hAnsi="Arial" w:cs="Arial"/>
        <w:bCs/>
      </w:rPr>
    </w:pPr>
    <w:r w:rsidRPr="00C052D3">
      <w:rPr>
        <w:rFonts w:ascii="Arial" w:hAnsi="Arial" w:cs="Arial"/>
        <w:bCs/>
      </w:rPr>
      <w:t>CBRN/00</w:t>
    </w:r>
    <w:r>
      <w:rPr>
        <w:rFonts w:ascii="Arial" w:hAnsi="Arial" w:cs="Arial"/>
        <w:bCs/>
      </w:rPr>
      <w:t>287</w:t>
    </w:r>
  </w:p>
  <w:p w:rsidR="00C052D3" w:rsidRDefault="00C052D3" w14:paraId="44D35CD3" w14:textId="7B9CE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D3"/>
    <w:rsid w:val="0044388D"/>
    <w:rsid w:val="00910C7A"/>
    <w:rsid w:val="00C052D3"/>
    <w:rsid w:val="00E4376A"/>
    <w:rsid w:val="05E8C60E"/>
    <w:rsid w:val="06A36A04"/>
    <w:rsid w:val="07D4FB0F"/>
    <w:rsid w:val="17DAE73B"/>
    <w:rsid w:val="2654376B"/>
    <w:rsid w:val="5773AE1D"/>
    <w:rsid w:val="7074F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1214F"/>
  <w15:chartTrackingRefBased/>
  <w15:docId w15:val="{04537B77-5CC3-4994-AD20-66EAA82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52D3"/>
    <w:pPr>
      <w:spacing w:after="0" w:line="240" w:lineRule="auto"/>
    </w:pPr>
    <w:rPr>
      <w:rFonts w:ascii="Courier" w:hAnsi="Courier" w:eastAsia="Times New Roman" w:cs="Times New Roman"/>
      <w:b/>
      <w:bCs/>
      <w:sz w:val="72"/>
      <w:szCs w:val="7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52D3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b w:val="0"/>
      <w:bCs w:val="0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C052D3"/>
  </w:style>
  <w:style w:type="paragraph" w:styleId="Footer">
    <w:name w:val="footer"/>
    <w:basedOn w:val="Normal"/>
    <w:link w:val="FooterChar"/>
    <w:uiPriority w:val="99"/>
    <w:unhideWhenUsed/>
    <w:rsid w:val="00C052D3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b w:val="0"/>
      <w:bCs w:val="0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C052D3"/>
  </w:style>
  <w:style w:type="paragraph" w:styleId="Char" w:customStyle="1">
    <w:name w:val=" Char"/>
    <w:basedOn w:val="Normal"/>
    <w:rsid w:val="00C052D3"/>
    <w:pPr>
      <w:spacing w:after="160" w:line="240" w:lineRule="exact"/>
    </w:pPr>
    <w:rPr>
      <w:rFonts w:ascii="Verdana" w:hAnsi="Verdana"/>
      <w:b w:val="0"/>
      <w:bCs w:val="0"/>
      <w:sz w:val="24"/>
      <w:szCs w:val="20"/>
    </w:rPr>
  </w:style>
  <w:style w:type="paragraph" w:styleId="xparagraph" w:customStyle="1">
    <w:name w:val="x_paragraph"/>
    <w:basedOn w:val="Normal"/>
    <w:rsid w:val="00C052D3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xmsonormal" w:customStyle="1">
    <w:name w:val="x_msonormal"/>
    <w:basedOn w:val="Normal"/>
    <w:rsid w:val="00C052D3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E28B4-8E84-4BEE-8198-45C3F1A2C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74928-34E3-498A-8E69-B981D2E40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5B117-20B7-4D45-9886-178E8319F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McLaughlin, Caroline Senior Admin Specialist 42 (DES CBRN-Comrcl</dc:creator>
  <keywords/>
  <dc:description/>
  <lastModifiedBy>Williams, Carly Mrs (DES CBRN-Comrcl2)</lastModifiedBy>
  <revision>3</revision>
  <dcterms:created xsi:type="dcterms:W3CDTF">2021-12-06T11:26:00.0000000Z</dcterms:created>
  <dcterms:modified xsi:type="dcterms:W3CDTF">2021-12-08T12:00:57.4827160Z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0x01010015769CBE70F0384BAA76BCD56C343DB9</vt:lpwstr>
  </property>
</Properties>
</file>