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005E" w14:textId="77777777" w:rsidR="00073D09" w:rsidRDefault="00073D09">
      <w:pPr>
        <w:pStyle w:val="Standard"/>
        <w:spacing w:before="240"/>
        <w:ind w:hanging="357"/>
        <w:rPr>
          <w:caps/>
        </w:rPr>
      </w:pPr>
    </w:p>
    <w:p w14:paraId="7805F681" w14:textId="77777777" w:rsidR="00073D09" w:rsidRDefault="00500894">
      <w:pPr>
        <w:pStyle w:val="Standard"/>
        <w:ind w:hanging="357"/>
      </w:pPr>
      <w:r>
        <w:rPr>
          <w:noProof/>
        </w:rPr>
        <w:drawing>
          <wp:inline distT="0" distB="0" distL="0" distR="0" wp14:anchorId="53FA6F05" wp14:editId="4981E4CA">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21" cy="1371600"/>
                    </a:xfrm>
                    <a:prstGeom prst="rect">
                      <a:avLst/>
                    </a:prstGeom>
                    <a:noFill/>
                    <a:ln>
                      <a:noFill/>
                      <a:prstDash/>
                    </a:ln>
                  </pic:spPr>
                </pic:pic>
              </a:graphicData>
            </a:graphic>
          </wp:inline>
        </w:drawing>
      </w:r>
    </w:p>
    <w:p w14:paraId="17CEA355" w14:textId="77777777" w:rsidR="00073D09" w:rsidRDefault="00073D09">
      <w:pPr>
        <w:pStyle w:val="Heading1"/>
      </w:pPr>
    </w:p>
    <w:p w14:paraId="6D5CC014" w14:textId="77777777" w:rsidR="00073D09" w:rsidRDefault="00073D09">
      <w:pPr>
        <w:pStyle w:val="Heading1"/>
      </w:pPr>
    </w:p>
    <w:p w14:paraId="1A41B50E" w14:textId="77777777" w:rsidR="00073D09" w:rsidRDefault="00500894">
      <w:pPr>
        <w:pStyle w:val="Heading1"/>
      </w:pPr>
      <w:r>
        <w:t>Digital Outcomes and Specialists 5 (RM1043.7)</w:t>
      </w:r>
    </w:p>
    <w:p w14:paraId="65CBA23D" w14:textId="77777777" w:rsidR="00073D09" w:rsidRDefault="00073D09">
      <w:pPr>
        <w:pStyle w:val="Heading1"/>
      </w:pPr>
    </w:p>
    <w:p w14:paraId="501BFB4A" w14:textId="77777777" w:rsidR="00073D09" w:rsidRDefault="00500894">
      <w:pPr>
        <w:pStyle w:val="Heading1"/>
      </w:pPr>
      <w:r>
        <w:t xml:space="preserve">Framework Schedule 6 (Order Form) </w:t>
      </w:r>
    </w:p>
    <w:p w14:paraId="5C842CC2" w14:textId="77777777" w:rsidR="00073D09" w:rsidRDefault="00073D09">
      <w:pPr>
        <w:pStyle w:val="Standard"/>
        <w:tabs>
          <w:tab w:val="center" w:pos="4513"/>
          <w:tab w:val="right" w:pos="9026"/>
        </w:tabs>
        <w:spacing w:before="0" w:after="0"/>
        <w:ind w:left="0"/>
        <w:rPr>
          <w:rFonts w:eastAsia="Arial"/>
          <w:color w:val="000000"/>
          <w:sz w:val="20"/>
          <w:szCs w:val="20"/>
        </w:rPr>
      </w:pPr>
    </w:p>
    <w:p w14:paraId="55B5F760" w14:textId="77777777" w:rsidR="00073D09" w:rsidRDefault="00073D09">
      <w:pPr>
        <w:pStyle w:val="Standard"/>
        <w:tabs>
          <w:tab w:val="center" w:pos="4513"/>
          <w:tab w:val="right" w:pos="9026"/>
        </w:tabs>
        <w:spacing w:before="0" w:after="0"/>
        <w:ind w:left="0"/>
        <w:rPr>
          <w:rFonts w:eastAsia="Arial"/>
          <w:color w:val="000000"/>
          <w:sz w:val="20"/>
          <w:szCs w:val="20"/>
        </w:rPr>
      </w:pPr>
    </w:p>
    <w:p w14:paraId="40E0031A" w14:textId="77777777" w:rsidR="00073D09" w:rsidRDefault="00073D09">
      <w:pPr>
        <w:pStyle w:val="Standard"/>
        <w:tabs>
          <w:tab w:val="center" w:pos="4513"/>
          <w:tab w:val="right" w:pos="9026"/>
        </w:tabs>
        <w:spacing w:before="0" w:after="0"/>
        <w:ind w:left="0"/>
        <w:rPr>
          <w:rFonts w:eastAsia="Arial"/>
          <w:color w:val="000000"/>
          <w:sz w:val="20"/>
          <w:szCs w:val="20"/>
        </w:rPr>
      </w:pPr>
    </w:p>
    <w:p w14:paraId="6CE3E57E" w14:textId="77777777" w:rsidR="00073D09" w:rsidRDefault="00500894">
      <w:pPr>
        <w:pStyle w:val="Standard"/>
        <w:tabs>
          <w:tab w:val="center" w:pos="4513"/>
          <w:tab w:val="right" w:pos="9026"/>
        </w:tabs>
        <w:spacing w:before="0" w:after="0"/>
        <w:ind w:left="0"/>
      </w:pPr>
      <w:r>
        <w:rPr>
          <w:rFonts w:eastAsia="Arial"/>
          <w:color w:val="000000"/>
          <w:sz w:val="20"/>
          <w:szCs w:val="20"/>
        </w:rPr>
        <w:t>Version 2</w:t>
      </w:r>
    </w:p>
    <w:p w14:paraId="7DE805EF" w14:textId="77777777" w:rsidR="00073D09" w:rsidRDefault="00073D09">
      <w:pPr>
        <w:pStyle w:val="Standard"/>
        <w:tabs>
          <w:tab w:val="center" w:pos="4513"/>
          <w:tab w:val="right" w:pos="9026"/>
        </w:tabs>
        <w:spacing w:before="0" w:after="0"/>
        <w:ind w:left="0"/>
        <w:rPr>
          <w:rFonts w:eastAsia="Arial"/>
          <w:color w:val="000000"/>
          <w:sz w:val="20"/>
          <w:szCs w:val="20"/>
        </w:rPr>
      </w:pPr>
    </w:p>
    <w:p w14:paraId="4938A912" w14:textId="77777777" w:rsidR="00073D09" w:rsidRDefault="00073D09">
      <w:pPr>
        <w:pStyle w:val="Standard"/>
        <w:tabs>
          <w:tab w:val="center" w:pos="4513"/>
          <w:tab w:val="right" w:pos="9026"/>
        </w:tabs>
        <w:spacing w:before="0" w:after="0"/>
        <w:ind w:left="0"/>
        <w:rPr>
          <w:rFonts w:eastAsia="Arial"/>
          <w:color w:val="000000"/>
          <w:sz w:val="20"/>
          <w:szCs w:val="20"/>
        </w:rPr>
      </w:pPr>
    </w:p>
    <w:p w14:paraId="1DBAEC23" w14:textId="77777777" w:rsidR="00073D09" w:rsidRDefault="00500894">
      <w:pPr>
        <w:pStyle w:val="Standard"/>
        <w:tabs>
          <w:tab w:val="center" w:pos="4513"/>
          <w:tab w:val="right" w:pos="9026"/>
        </w:tabs>
        <w:spacing w:before="0" w:after="0"/>
        <w:ind w:left="0"/>
      </w:pPr>
      <w:r>
        <w:rPr>
          <w:rFonts w:eastAsia="Arial"/>
          <w:color w:val="000000"/>
          <w:sz w:val="20"/>
          <w:szCs w:val="20"/>
        </w:rPr>
        <w:t>Crown Copyright 2020</w:t>
      </w:r>
    </w:p>
    <w:p w14:paraId="2701B0F7" w14:textId="77777777" w:rsidR="00073D09" w:rsidRDefault="00073D09">
      <w:pPr>
        <w:pStyle w:val="Standard"/>
        <w:pageBreakBefore/>
        <w:ind w:left="0"/>
      </w:pPr>
    </w:p>
    <w:p w14:paraId="06EEBAB1" w14:textId="77777777" w:rsidR="00073D09" w:rsidRDefault="00500894">
      <w:pPr>
        <w:pStyle w:val="Heading2"/>
      </w:pPr>
      <w:bookmarkStart w:id="0" w:name="_Toc58441438"/>
      <w:r>
        <w:t>Framework Schedule 6 (Order Form Template, Statement of Work Template and Call-Off Schedules)</w:t>
      </w:r>
      <w:bookmarkEnd w:id="0"/>
    </w:p>
    <w:p w14:paraId="0F7CCC4E" w14:textId="77777777" w:rsidR="00073D09" w:rsidRDefault="00073D09">
      <w:pPr>
        <w:pStyle w:val="Standard"/>
      </w:pPr>
    </w:p>
    <w:p w14:paraId="41B6820F" w14:textId="77777777" w:rsidR="00073D09" w:rsidRDefault="00500894">
      <w:pPr>
        <w:pStyle w:val="Heading3"/>
      </w:pPr>
      <w:r>
        <w:t>Order Form</w:t>
      </w:r>
    </w:p>
    <w:p w14:paraId="5C989495" w14:textId="77777777" w:rsidR="00073D09" w:rsidRDefault="00073D09">
      <w:pPr>
        <w:pStyle w:val="Standard"/>
        <w:ind w:left="0"/>
        <w:rPr>
          <w:rFonts w:eastAsia="Arial"/>
          <w:color w:val="000000"/>
        </w:rPr>
      </w:pPr>
    </w:p>
    <w:p w14:paraId="6488F6C3" w14:textId="77777777" w:rsidR="00073D09" w:rsidRDefault="00500894">
      <w:pPr>
        <w:pStyle w:val="Standard"/>
        <w:ind w:left="0"/>
      </w:pPr>
      <w:r>
        <w:rPr>
          <w:rFonts w:eastAsia="Arial"/>
          <w:color w:val="000000"/>
        </w:rPr>
        <w:t>Call-Off Reference: CCZX22A08</w:t>
      </w:r>
    </w:p>
    <w:p w14:paraId="756F807C" w14:textId="77777777" w:rsidR="00073D09" w:rsidRDefault="00500894">
      <w:pPr>
        <w:pStyle w:val="Standard"/>
        <w:ind w:left="0"/>
        <w:rPr>
          <w:rFonts w:eastAsia="Arial"/>
          <w:color w:val="000000"/>
        </w:rPr>
      </w:pPr>
      <w:r>
        <w:rPr>
          <w:rFonts w:eastAsia="Arial"/>
          <w:color w:val="000000"/>
        </w:rPr>
        <w:t>Call-Off Title: Provision of Online Tests Temporary User Researcher</w:t>
      </w:r>
    </w:p>
    <w:p w14:paraId="51A11998" w14:textId="77777777" w:rsidR="00073D09" w:rsidRDefault="00500894">
      <w:pPr>
        <w:pStyle w:val="Standard"/>
        <w:ind w:left="0"/>
      </w:pPr>
      <w:r>
        <w:rPr>
          <w:rFonts w:eastAsia="Arial"/>
          <w:color w:val="000000"/>
        </w:rPr>
        <w:t xml:space="preserve">Call-Off Contract Description: </w:t>
      </w:r>
      <w:r>
        <w:rPr>
          <w:color w:val="000000"/>
        </w:rPr>
        <w:t xml:space="preserve">Proposed research to help to inform the approach to providing reasonable adjustments that eliminate obstacles faced by some candidates during recruitment processes. </w:t>
      </w:r>
    </w:p>
    <w:p w14:paraId="2C5FC27F" w14:textId="77777777" w:rsidR="00073D09" w:rsidRDefault="00500894">
      <w:pPr>
        <w:pStyle w:val="Standard"/>
        <w:ind w:left="0"/>
      </w:pPr>
      <w:r>
        <w:rPr>
          <w:rFonts w:eastAsia="Arial"/>
          <w:color w:val="000000"/>
        </w:rPr>
        <w:t>The Buyer: Cabinet Office</w:t>
      </w:r>
    </w:p>
    <w:p w14:paraId="70B559A6" w14:textId="1BF48096" w:rsidR="00073D09" w:rsidRDefault="00500894">
      <w:pPr>
        <w:pStyle w:val="Standard"/>
        <w:ind w:left="0"/>
      </w:pPr>
      <w:r>
        <w:rPr>
          <w:rFonts w:eastAsia="Arial"/>
          <w:color w:val="000000"/>
        </w:rPr>
        <w:t xml:space="preserve">Buyer Address: </w:t>
      </w:r>
      <w:r w:rsidR="001241B7">
        <w:rPr>
          <w:b/>
          <w:bCs/>
          <w:color w:val="FF0000"/>
        </w:rPr>
        <w:t>REDACTED TEXT under FOIA Section 40, Personal Information</w:t>
      </w:r>
    </w:p>
    <w:p w14:paraId="783D3B80" w14:textId="77777777" w:rsidR="00073D09" w:rsidRDefault="00073D09">
      <w:pPr>
        <w:pStyle w:val="Standard"/>
        <w:ind w:left="0"/>
        <w:rPr>
          <w:rFonts w:eastAsia="Arial"/>
          <w:color w:val="000000"/>
        </w:rPr>
      </w:pPr>
    </w:p>
    <w:p w14:paraId="602083A0" w14:textId="30973C5A" w:rsidR="00073D09" w:rsidRDefault="00500894">
      <w:pPr>
        <w:pStyle w:val="Standard"/>
        <w:ind w:left="0"/>
      </w:pPr>
      <w:r>
        <w:rPr>
          <w:rFonts w:eastAsia="Arial"/>
          <w:color w:val="000000"/>
        </w:rPr>
        <w:t xml:space="preserve">The Supplier: </w:t>
      </w:r>
      <w:r w:rsidR="004C49DF" w:rsidRPr="004C49DF">
        <w:rPr>
          <w:rFonts w:eastAsia="Arial"/>
          <w:color w:val="000000"/>
        </w:rPr>
        <w:t>Invotra Consulting</w:t>
      </w:r>
      <w:r w:rsidR="007D408D">
        <w:rPr>
          <w:rFonts w:eastAsia="Arial"/>
          <w:color w:val="000000"/>
        </w:rPr>
        <w:t xml:space="preserve"> Limited</w:t>
      </w:r>
    </w:p>
    <w:p w14:paraId="5A668124" w14:textId="7E875E24" w:rsidR="00073D09" w:rsidRPr="004C49DF" w:rsidRDefault="00500894" w:rsidP="004C49DF">
      <w:pPr>
        <w:pStyle w:val="Standard"/>
        <w:ind w:left="0"/>
        <w:rPr>
          <w:rFonts w:eastAsia="Arial"/>
          <w:color w:val="000000"/>
        </w:rPr>
      </w:pPr>
      <w:r>
        <w:rPr>
          <w:rFonts w:eastAsia="Arial"/>
          <w:color w:val="000000"/>
        </w:rPr>
        <w:t xml:space="preserve">Supplier Address: </w:t>
      </w:r>
      <w:r w:rsidR="001241B7">
        <w:rPr>
          <w:b/>
          <w:bCs/>
          <w:color w:val="FF0000"/>
        </w:rPr>
        <w:t>REDACTED TEXT under FOIA Section 40, Personal Information</w:t>
      </w:r>
    </w:p>
    <w:p w14:paraId="11EB612E" w14:textId="77777777" w:rsidR="0046461F" w:rsidRDefault="00500894">
      <w:pPr>
        <w:pStyle w:val="Standard"/>
        <w:ind w:left="0"/>
        <w:rPr>
          <w:rFonts w:eastAsia="Arial"/>
          <w:color w:val="000000"/>
        </w:rPr>
      </w:pPr>
      <w:r>
        <w:rPr>
          <w:rFonts w:eastAsia="Arial"/>
          <w:color w:val="000000"/>
        </w:rPr>
        <w:t xml:space="preserve">Registration Number: </w:t>
      </w:r>
      <w:r w:rsidR="0046461F" w:rsidRPr="00437EAE">
        <w:rPr>
          <w:rFonts w:eastAsia="Arial"/>
          <w:color w:val="000000"/>
        </w:rPr>
        <w:t>12292466</w:t>
      </w:r>
    </w:p>
    <w:p w14:paraId="0FEA5372" w14:textId="0EF3E811" w:rsidR="00073D09" w:rsidRDefault="00500894">
      <w:pPr>
        <w:pStyle w:val="Standard"/>
        <w:ind w:left="0"/>
      </w:pPr>
      <w:r>
        <w:rPr>
          <w:rFonts w:eastAsia="Arial"/>
          <w:color w:val="000000"/>
        </w:rPr>
        <w:t xml:space="preserve">DUNS Number: </w:t>
      </w:r>
      <w:r w:rsidR="0046461F" w:rsidRPr="0046461F">
        <w:rPr>
          <w:rFonts w:eastAsia="Arial"/>
          <w:color w:val="000000"/>
        </w:rPr>
        <w:t>225470438</w:t>
      </w:r>
    </w:p>
    <w:p w14:paraId="2B900672" w14:textId="1ED1442A" w:rsidR="00073D09" w:rsidRDefault="00500894">
      <w:pPr>
        <w:pStyle w:val="Standard"/>
        <w:ind w:left="0"/>
      </w:pPr>
      <w:r>
        <w:rPr>
          <w:rFonts w:eastAsia="Arial"/>
          <w:color w:val="000000"/>
        </w:rPr>
        <w:t xml:space="preserve">SID4GOV ID: </w:t>
      </w:r>
    </w:p>
    <w:p w14:paraId="4F540893" w14:textId="77777777" w:rsidR="00073D09" w:rsidRDefault="00073D09">
      <w:pPr>
        <w:pStyle w:val="Standard"/>
        <w:ind w:left="0"/>
      </w:pPr>
    </w:p>
    <w:p w14:paraId="65D9BBFA" w14:textId="77777777" w:rsidR="00073D09" w:rsidRDefault="00500894">
      <w:pPr>
        <w:pStyle w:val="Heading4"/>
        <w:pageBreakBefore/>
      </w:pPr>
      <w:r>
        <w:lastRenderedPageBreak/>
        <w:t>Applicable Framework Contract</w:t>
      </w:r>
    </w:p>
    <w:p w14:paraId="6D0D5815" w14:textId="2771A419" w:rsidR="00073D09" w:rsidRDefault="00500894">
      <w:pPr>
        <w:pStyle w:val="Standard"/>
        <w:ind w:left="0"/>
      </w:pPr>
      <w:r>
        <w:t xml:space="preserve">This Order Form is for the provision of the Call-Off Deliverables and dated </w:t>
      </w:r>
      <w:r w:rsidR="00DE7B92">
        <w:t>23rd</w:t>
      </w:r>
      <w:bookmarkStart w:id="1" w:name="_GoBack"/>
      <w:bookmarkEnd w:id="1"/>
      <w:r w:rsidR="00CD5B06">
        <w:t xml:space="preserve"> June 2022.</w:t>
      </w:r>
      <w:r>
        <w:t xml:space="preserve"> </w:t>
      </w:r>
    </w:p>
    <w:p w14:paraId="33F91DE8" w14:textId="77777777" w:rsidR="00073D09" w:rsidRDefault="00500894">
      <w:pPr>
        <w:pStyle w:val="Standard"/>
        <w:ind w:left="0"/>
      </w:pPr>
      <w:r>
        <w:t>It’s issued under the Framework Contract with the reference number RM1043.7 for the provision of Digital Outcomes and Specialists Deliverables.</w:t>
      </w:r>
    </w:p>
    <w:p w14:paraId="76FD25EB" w14:textId="77777777" w:rsidR="00073D09" w:rsidRDefault="00500894">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14:paraId="68A4A400" w14:textId="77777777" w:rsidR="00073D09" w:rsidRDefault="00500894">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0F34891E" w14:textId="77777777" w:rsidR="00073D09" w:rsidRDefault="00500894">
      <w:pPr>
        <w:pStyle w:val="Standard"/>
        <w:ind w:left="0"/>
      </w:pPr>
      <w:r>
        <w:t>Upon the execution of each Statement of Work it shall become incorporated into the Buyer and Supplier’s Call-Off Contract.</w:t>
      </w:r>
    </w:p>
    <w:p w14:paraId="6D7CF3B3" w14:textId="77777777" w:rsidR="00073D09" w:rsidRDefault="00500894">
      <w:pPr>
        <w:pStyle w:val="Heading4"/>
      </w:pPr>
      <w:r>
        <w:t>Call-Off Lot</w:t>
      </w:r>
    </w:p>
    <w:p w14:paraId="6D9E15E2" w14:textId="77777777" w:rsidR="00073D09" w:rsidRDefault="00500894">
      <w:pPr>
        <w:pStyle w:val="Standard"/>
        <w:ind w:left="0"/>
      </w:pPr>
      <w:r>
        <w:t>Lot 2 Digital Specialists</w:t>
      </w:r>
    </w:p>
    <w:p w14:paraId="64BA62AE" w14:textId="77777777" w:rsidR="00073D09" w:rsidRDefault="00500894">
      <w:pPr>
        <w:pStyle w:val="Heading4"/>
      </w:pPr>
      <w:r>
        <w:t>Call-Off Incorporated Terms</w:t>
      </w:r>
    </w:p>
    <w:p w14:paraId="5D68967C" w14:textId="77777777" w:rsidR="00073D09" w:rsidRDefault="00500894">
      <w:pPr>
        <w:pStyle w:val="Standard"/>
        <w:ind w:left="0"/>
      </w:pPr>
      <w:r>
        <w:t>The following documents are incorporated into this Call-Off Contract. Where numbers are missing we are not using those schedules. If the documents conflict, the following order of precedence applies:</w:t>
      </w:r>
    </w:p>
    <w:p w14:paraId="1061F4C2" w14:textId="77777777" w:rsidR="00073D09" w:rsidRDefault="00500894">
      <w:pPr>
        <w:pStyle w:val="Standard"/>
        <w:numPr>
          <w:ilvl w:val="0"/>
          <w:numId w:val="46"/>
        </w:numPr>
      </w:pPr>
      <w:r>
        <w:rPr>
          <w:rFonts w:eastAsia="Arial"/>
          <w:color w:val="000000"/>
        </w:rPr>
        <w:t>This Order Form including the Call-Off Special Terms and Call-Off Special Schedules.</w:t>
      </w:r>
    </w:p>
    <w:p w14:paraId="18F7648F" w14:textId="77777777" w:rsidR="00073D09" w:rsidRDefault="00500894">
      <w:pPr>
        <w:pStyle w:val="Standard"/>
        <w:numPr>
          <w:ilvl w:val="0"/>
          <w:numId w:val="46"/>
        </w:numPr>
      </w:pPr>
      <w:r>
        <w:rPr>
          <w:rFonts w:eastAsia="Arial"/>
          <w:color w:val="000000"/>
        </w:rPr>
        <w:t>Joint Schedule 1 (Definitions) RM1043.7</w:t>
      </w:r>
    </w:p>
    <w:p w14:paraId="65D9909F" w14:textId="77777777" w:rsidR="00073D09" w:rsidRDefault="00500894">
      <w:pPr>
        <w:pStyle w:val="Standard"/>
        <w:numPr>
          <w:ilvl w:val="0"/>
          <w:numId w:val="46"/>
        </w:numPr>
      </w:pPr>
      <w:r>
        <w:rPr>
          <w:rFonts w:eastAsia="Arial"/>
          <w:color w:val="000000"/>
        </w:rPr>
        <w:t>Framework Special Terms</w:t>
      </w:r>
    </w:p>
    <w:p w14:paraId="668E1952" w14:textId="77777777" w:rsidR="00073D09" w:rsidRDefault="00500894">
      <w:pPr>
        <w:pStyle w:val="Standard"/>
        <w:numPr>
          <w:ilvl w:val="0"/>
          <w:numId w:val="46"/>
        </w:numPr>
      </w:pPr>
      <w:r>
        <w:rPr>
          <w:rFonts w:eastAsia="Arial"/>
          <w:color w:val="000000"/>
        </w:rPr>
        <w:t>The following Schedules in equal order of precedence:</w:t>
      </w:r>
      <w:r>
        <w:t xml:space="preserve"> </w:t>
      </w:r>
    </w:p>
    <w:p w14:paraId="746E5EC4" w14:textId="77777777" w:rsidR="00073D09" w:rsidRDefault="00500894">
      <w:pPr>
        <w:pStyle w:val="Standard"/>
        <w:numPr>
          <w:ilvl w:val="0"/>
          <w:numId w:val="50"/>
        </w:numPr>
      </w:pPr>
      <w:r>
        <w:rPr>
          <w:rFonts w:eastAsia="Arial"/>
          <w:color w:val="000000"/>
        </w:rPr>
        <w:t>Joint Schedules for RM1043.7</w:t>
      </w:r>
    </w:p>
    <w:p w14:paraId="49366855" w14:textId="77777777" w:rsidR="00073D09" w:rsidRDefault="00500894">
      <w:pPr>
        <w:pStyle w:val="Standard"/>
        <w:numPr>
          <w:ilvl w:val="1"/>
          <w:numId w:val="50"/>
        </w:numPr>
      </w:pPr>
      <w:r>
        <w:rPr>
          <w:rFonts w:eastAsia="Arial"/>
          <w:color w:val="000000"/>
        </w:rPr>
        <w:t>Joint Schedule 2 (Variation Form)</w:t>
      </w:r>
    </w:p>
    <w:p w14:paraId="474D6AB5" w14:textId="77777777" w:rsidR="00073D09" w:rsidRDefault="00500894">
      <w:pPr>
        <w:pStyle w:val="Standard"/>
        <w:numPr>
          <w:ilvl w:val="1"/>
          <w:numId w:val="50"/>
        </w:numPr>
      </w:pPr>
      <w:r>
        <w:rPr>
          <w:rFonts w:eastAsia="Arial"/>
          <w:color w:val="000000"/>
        </w:rPr>
        <w:t>Joint Schedule 3 (Insurance Requirements)</w:t>
      </w:r>
    </w:p>
    <w:p w14:paraId="000375D4" w14:textId="77777777" w:rsidR="00073D09" w:rsidRDefault="00500894">
      <w:pPr>
        <w:pStyle w:val="Standard"/>
        <w:numPr>
          <w:ilvl w:val="1"/>
          <w:numId w:val="50"/>
        </w:numPr>
      </w:pPr>
      <w:r>
        <w:rPr>
          <w:rFonts w:eastAsia="Arial"/>
          <w:color w:val="000000"/>
        </w:rPr>
        <w:t>Joint Schedule 4 (Commercially Sensitive Information)</w:t>
      </w:r>
    </w:p>
    <w:p w14:paraId="1FCBF1DA" w14:textId="77777777" w:rsidR="00073D09" w:rsidRDefault="00500894">
      <w:pPr>
        <w:pStyle w:val="Standard"/>
        <w:numPr>
          <w:ilvl w:val="1"/>
          <w:numId w:val="50"/>
        </w:numPr>
      </w:pPr>
      <w:r>
        <w:rPr>
          <w:rFonts w:eastAsia="Arial"/>
          <w:color w:val="000000"/>
        </w:rPr>
        <w:t>Joint Schedule 6 (Key Subcontractors)</w:t>
      </w:r>
    </w:p>
    <w:p w14:paraId="6E09F5A3" w14:textId="77777777" w:rsidR="00073D09" w:rsidRDefault="00500894">
      <w:pPr>
        <w:pStyle w:val="Standard"/>
        <w:numPr>
          <w:ilvl w:val="1"/>
          <w:numId w:val="50"/>
        </w:numPr>
      </w:pPr>
      <w:r>
        <w:rPr>
          <w:rFonts w:eastAsia="Arial"/>
          <w:color w:val="000000"/>
        </w:rPr>
        <w:t>Joint Schedule 10 (Rectification Plan)</w:t>
      </w:r>
    </w:p>
    <w:p w14:paraId="0F2153C9" w14:textId="77777777" w:rsidR="00073D09" w:rsidRDefault="00500894">
      <w:pPr>
        <w:pStyle w:val="Standard"/>
        <w:numPr>
          <w:ilvl w:val="1"/>
          <w:numId w:val="50"/>
        </w:numPr>
        <w:rPr>
          <w:rFonts w:eastAsia="Arial"/>
          <w:color w:val="000000"/>
        </w:rPr>
      </w:pPr>
      <w:r>
        <w:rPr>
          <w:rFonts w:eastAsia="Arial"/>
          <w:color w:val="000000"/>
        </w:rPr>
        <w:t>Joint Schedule 11 (Processing Data) RM1043.7</w:t>
      </w:r>
    </w:p>
    <w:p w14:paraId="0C97EE8F" w14:textId="77777777" w:rsidR="00073D09" w:rsidRDefault="00500894">
      <w:pPr>
        <w:pStyle w:val="Standard"/>
        <w:pageBreakBefore/>
        <w:numPr>
          <w:ilvl w:val="0"/>
          <w:numId w:val="50"/>
        </w:numPr>
      </w:pPr>
      <w:r>
        <w:rPr>
          <w:rFonts w:eastAsia="Arial"/>
          <w:color w:val="000000"/>
        </w:rPr>
        <w:lastRenderedPageBreak/>
        <w:t>Call-Off Schedules for RM1043.7</w:t>
      </w:r>
    </w:p>
    <w:p w14:paraId="3BA7A1B1" w14:textId="77777777" w:rsidR="00073D09" w:rsidRDefault="00500894">
      <w:pPr>
        <w:pStyle w:val="Standard"/>
        <w:numPr>
          <w:ilvl w:val="1"/>
          <w:numId w:val="50"/>
        </w:numPr>
      </w:pPr>
      <w:r>
        <w:rPr>
          <w:rFonts w:eastAsia="Arial"/>
          <w:color w:val="000000"/>
        </w:rPr>
        <w:t>Call-Off Schedule 1 (Transparency Reports)</w:t>
      </w:r>
    </w:p>
    <w:p w14:paraId="28F2D08E" w14:textId="77777777" w:rsidR="00073D09" w:rsidRDefault="00500894">
      <w:pPr>
        <w:pStyle w:val="Standard"/>
        <w:numPr>
          <w:ilvl w:val="1"/>
          <w:numId w:val="50"/>
        </w:numPr>
      </w:pPr>
      <w:r>
        <w:rPr>
          <w:rFonts w:eastAsia="Arial"/>
          <w:color w:val="000000"/>
        </w:rPr>
        <w:t>Call-Off Schedule 2 (Staff Transfer)</w:t>
      </w:r>
    </w:p>
    <w:p w14:paraId="0637957B" w14:textId="77777777" w:rsidR="00073D09" w:rsidRDefault="00500894">
      <w:pPr>
        <w:pStyle w:val="Standard"/>
        <w:numPr>
          <w:ilvl w:val="1"/>
          <w:numId w:val="50"/>
        </w:numPr>
      </w:pPr>
      <w:r>
        <w:rPr>
          <w:rFonts w:eastAsia="Arial"/>
          <w:color w:val="000000"/>
        </w:rPr>
        <w:t>Call-Off Schedule 3 (Continuous Improvement)</w:t>
      </w:r>
    </w:p>
    <w:p w14:paraId="1D6E4483" w14:textId="77777777" w:rsidR="00073D09" w:rsidRDefault="00500894">
      <w:pPr>
        <w:pStyle w:val="Standard"/>
        <w:numPr>
          <w:ilvl w:val="1"/>
          <w:numId w:val="50"/>
        </w:numPr>
      </w:pPr>
      <w:r>
        <w:rPr>
          <w:rFonts w:eastAsia="Arial"/>
          <w:color w:val="000000"/>
        </w:rPr>
        <w:t>Call-Off Schedule 5 (Pricing Details and Expenses Policy)</w:t>
      </w:r>
    </w:p>
    <w:p w14:paraId="2A470B3D" w14:textId="77777777" w:rsidR="00073D09" w:rsidRDefault="00500894">
      <w:pPr>
        <w:pStyle w:val="Standard"/>
        <w:numPr>
          <w:ilvl w:val="1"/>
          <w:numId w:val="50"/>
        </w:numPr>
      </w:pPr>
      <w:r>
        <w:rPr>
          <w:rFonts w:eastAsia="Arial"/>
          <w:color w:val="000000"/>
        </w:rPr>
        <w:t>Call-Off Schedule 6 (Intellectual Property Rights and Additional Terms on Digital Deliverables)</w:t>
      </w:r>
    </w:p>
    <w:p w14:paraId="0286FF1A" w14:textId="77777777" w:rsidR="00073D09" w:rsidRDefault="00500894">
      <w:pPr>
        <w:pStyle w:val="Standard"/>
        <w:numPr>
          <w:ilvl w:val="1"/>
          <w:numId w:val="50"/>
        </w:numPr>
      </w:pPr>
      <w:r>
        <w:rPr>
          <w:rFonts w:eastAsia="Arial"/>
          <w:color w:val="000000"/>
        </w:rPr>
        <w:t>Call-Off Schedule 7 (Key Supplier Staff)</w:t>
      </w:r>
    </w:p>
    <w:p w14:paraId="0FF5370E" w14:textId="77777777" w:rsidR="00073D09" w:rsidRDefault="00500894">
      <w:pPr>
        <w:pStyle w:val="Standard"/>
        <w:numPr>
          <w:ilvl w:val="1"/>
          <w:numId w:val="50"/>
        </w:numPr>
      </w:pPr>
      <w:r>
        <w:rPr>
          <w:rFonts w:eastAsia="Arial"/>
          <w:color w:val="000000"/>
        </w:rPr>
        <w:t>Call-Off Schedule 9 (Security)</w:t>
      </w:r>
    </w:p>
    <w:p w14:paraId="4D4DC6D0" w14:textId="77777777" w:rsidR="00073D09" w:rsidRDefault="00500894">
      <w:pPr>
        <w:pStyle w:val="Standard"/>
        <w:numPr>
          <w:ilvl w:val="1"/>
          <w:numId w:val="50"/>
        </w:numPr>
      </w:pPr>
      <w:r>
        <w:rPr>
          <w:rFonts w:eastAsia="Arial"/>
          <w:color w:val="000000"/>
        </w:rPr>
        <w:t>Call-Off Schedule 10 (Exit Management)</w:t>
      </w:r>
    </w:p>
    <w:p w14:paraId="3BD10948" w14:textId="77777777" w:rsidR="00073D09" w:rsidRDefault="00500894">
      <w:pPr>
        <w:pStyle w:val="Standard"/>
        <w:numPr>
          <w:ilvl w:val="1"/>
          <w:numId w:val="50"/>
        </w:numPr>
      </w:pPr>
      <w:r>
        <w:rPr>
          <w:rFonts w:eastAsia="Arial"/>
          <w:color w:val="000000"/>
        </w:rPr>
        <w:t>Call-Off Schedule 13 (Implementation Plan and Testing)</w:t>
      </w:r>
    </w:p>
    <w:p w14:paraId="5D5DE253" w14:textId="77777777" w:rsidR="00073D09" w:rsidRDefault="00500894">
      <w:pPr>
        <w:pStyle w:val="Standard"/>
        <w:numPr>
          <w:ilvl w:val="1"/>
          <w:numId w:val="50"/>
        </w:numPr>
      </w:pPr>
      <w:r>
        <w:rPr>
          <w:rFonts w:eastAsia="Arial"/>
          <w:color w:val="000000"/>
        </w:rPr>
        <w:t>Call-Off Schedule 15 (Call-Off Contract Management)</w:t>
      </w:r>
    </w:p>
    <w:p w14:paraId="75C07BD1" w14:textId="77777777" w:rsidR="00073D09" w:rsidRDefault="00500894">
      <w:pPr>
        <w:pStyle w:val="Standard"/>
        <w:numPr>
          <w:ilvl w:val="1"/>
          <w:numId w:val="50"/>
        </w:numPr>
      </w:pPr>
      <w:r>
        <w:rPr>
          <w:rFonts w:eastAsia="Arial"/>
          <w:color w:val="000000"/>
        </w:rPr>
        <w:t>Call-Off Schedule 18 (Background Checks)</w:t>
      </w:r>
    </w:p>
    <w:p w14:paraId="745AEFD1" w14:textId="77777777" w:rsidR="00073D09" w:rsidRDefault="00500894">
      <w:pPr>
        <w:pStyle w:val="Standard"/>
        <w:numPr>
          <w:ilvl w:val="1"/>
          <w:numId w:val="50"/>
        </w:numPr>
      </w:pPr>
      <w:r>
        <w:rPr>
          <w:rFonts w:eastAsia="Arial"/>
          <w:color w:val="000000"/>
        </w:rPr>
        <w:t>Call-Off Schedule 20 (Call-Off Specification)</w:t>
      </w:r>
    </w:p>
    <w:p w14:paraId="5FAF1E88" w14:textId="77777777" w:rsidR="00073D09" w:rsidRDefault="00500894">
      <w:pPr>
        <w:pStyle w:val="Standard"/>
        <w:numPr>
          <w:ilvl w:val="0"/>
          <w:numId w:val="46"/>
        </w:numPr>
      </w:pPr>
      <w:r>
        <w:rPr>
          <w:rFonts w:eastAsia="Arial"/>
          <w:color w:val="000000"/>
        </w:rPr>
        <w:t>CCS Core Terms (version 3.0.9)</w:t>
      </w:r>
      <w:r>
        <w:t xml:space="preserve"> </w:t>
      </w:r>
    </w:p>
    <w:p w14:paraId="5C33401D" w14:textId="77777777" w:rsidR="00073D09" w:rsidRDefault="00500894">
      <w:pPr>
        <w:pStyle w:val="Standard"/>
        <w:numPr>
          <w:ilvl w:val="0"/>
          <w:numId w:val="46"/>
        </w:numPr>
      </w:pPr>
      <w:r>
        <w:rPr>
          <w:rFonts w:eastAsia="Arial"/>
          <w:color w:val="000000"/>
        </w:rPr>
        <w:t>Joint Schedule 5 (Corporate Social Responsibility) RM1043.7</w:t>
      </w:r>
    </w:p>
    <w:p w14:paraId="352F8A47" w14:textId="77777777" w:rsidR="00073D09" w:rsidRDefault="00500894">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7BD8954A" w14:textId="77777777" w:rsidR="00073D09" w:rsidRDefault="00500894">
      <w:pPr>
        <w:pStyle w:val="Standard"/>
        <w:ind w:left="0"/>
      </w:pPr>
      <w:r>
        <w:t>No other Supplier terms are part of the Call-Off Contract. That includes any terms written on the back of, added to this Order Form, or presented at the time of delivery.</w:t>
      </w:r>
    </w:p>
    <w:p w14:paraId="3EE42D5F" w14:textId="77777777" w:rsidR="00073D09" w:rsidRDefault="00500894">
      <w:pPr>
        <w:pStyle w:val="Heading4"/>
      </w:pPr>
      <w:r>
        <w:t>Call-Off Special Terms</w:t>
      </w:r>
    </w:p>
    <w:p w14:paraId="52AD6828" w14:textId="77777777" w:rsidR="00073D09" w:rsidRDefault="00500894">
      <w:pPr>
        <w:pStyle w:val="Standard"/>
        <w:ind w:left="0"/>
      </w:pPr>
      <w:r>
        <w:t>The following Special Terms are incorporated into this Call-Off Contract:</w:t>
      </w:r>
    </w:p>
    <w:p w14:paraId="6181ADC8" w14:textId="77777777" w:rsidR="00073D09" w:rsidRDefault="00500894">
      <w:pPr>
        <w:pStyle w:val="Standard"/>
        <w:ind w:left="0"/>
      </w:pPr>
      <w:r>
        <w:t>Not applicable</w:t>
      </w:r>
    </w:p>
    <w:p w14:paraId="46F4B709" w14:textId="77777777" w:rsidR="00073D09" w:rsidRDefault="00073D09">
      <w:pPr>
        <w:pStyle w:val="Standard"/>
      </w:pPr>
    </w:p>
    <w:p w14:paraId="351EA4E5" w14:textId="77777777" w:rsidR="00073D09" w:rsidRDefault="00500894">
      <w:pPr>
        <w:pStyle w:val="Standard"/>
        <w:pageBreakBefore/>
        <w:ind w:left="0"/>
      </w:pPr>
      <w:r>
        <w:lastRenderedPageBreak/>
        <w:t xml:space="preserve">Call-Off Start Date: </w:t>
      </w:r>
      <w:r w:rsidR="00940582">
        <w:t>27</w:t>
      </w:r>
      <w:r w:rsidR="00940582" w:rsidRPr="00940582">
        <w:rPr>
          <w:vertAlign w:val="superscript"/>
        </w:rPr>
        <w:t>th</w:t>
      </w:r>
      <w:r w:rsidR="00940582">
        <w:t xml:space="preserve"> June 2022</w:t>
      </w:r>
    </w:p>
    <w:p w14:paraId="73A8A9BF" w14:textId="37E789FE" w:rsidR="00073D09" w:rsidRDefault="00500894">
      <w:pPr>
        <w:pStyle w:val="Standard"/>
        <w:ind w:left="0"/>
      </w:pPr>
      <w:r>
        <w:t xml:space="preserve">Call-Off Expiry Date: </w:t>
      </w:r>
      <w:r w:rsidR="00AE6F02">
        <w:t>26</w:t>
      </w:r>
      <w:r w:rsidR="00AE6F02" w:rsidRPr="003536A9">
        <w:rPr>
          <w:vertAlign w:val="superscript"/>
        </w:rPr>
        <w:t>th</w:t>
      </w:r>
      <w:r w:rsidR="00AE6F02">
        <w:t xml:space="preserve"> </w:t>
      </w:r>
      <w:r w:rsidR="00940582">
        <w:t>December 2023</w:t>
      </w:r>
    </w:p>
    <w:p w14:paraId="28850C4F" w14:textId="77777777" w:rsidR="00073D09" w:rsidRDefault="00500894">
      <w:pPr>
        <w:pStyle w:val="Standard"/>
        <w:ind w:left="0"/>
      </w:pPr>
      <w:r>
        <w:t>Call-Off Initial Period: 18 Months</w:t>
      </w:r>
    </w:p>
    <w:p w14:paraId="1335F95C" w14:textId="77777777" w:rsidR="00073D09" w:rsidRDefault="00500894">
      <w:pPr>
        <w:pStyle w:val="Standard"/>
        <w:ind w:left="0"/>
      </w:pPr>
      <w:r>
        <w:t>Call-Off Optional Extension Period: Not Applicable</w:t>
      </w:r>
    </w:p>
    <w:p w14:paraId="18ABFCEA" w14:textId="77777777" w:rsidR="00073D09" w:rsidRDefault="00500894">
      <w:pPr>
        <w:pStyle w:val="Standard"/>
        <w:ind w:left="0"/>
      </w:pPr>
      <w:r>
        <w:t>Minimum Notice Period for Extensions: Not Applicable</w:t>
      </w:r>
    </w:p>
    <w:p w14:paraId="19126338" w14:textId="2673DD24" w:rsidR="00073D09" w:rsidRDefault="00500894" w:rsidP="00940582">
      <w:pPr>
        <w:suppressAutoHyphens w:val="0"/>
      </w:pPr>
      <w:r>
        <w:t xml:space="preserve">Call-Off Contract Value: </w:t>
      </w:r>
      <w:r w:rsidR="00AE6F02">
        <w:rPr>
          <w:rFonts w:eastAsia="Times New Roman"/>
          <w:bCs/>
          <w:color w:val="000000"/>
          <w:lang w:eastAsia="en-GB"/>
        </w:rPr>
        <w:t>The maximum value will not exceed</w:t>
      </w:r>
      <w:r w:rsidR="00437EAE">
        <w:rPr>
          <w:rFonts w:eastAsia="Times New Roman"/>
          <w:bCs/>
          <w:color w:val="000000"/>
          <w:lang w:eastAsia="en-GB"/>
        </w:rPr>
        <w:t xml:space="preserve"> </w:t>
      </w:r>
      <w:r w:rsidR="00AE6F02">
        <w:rPr>
          <w:rFonts w:eastAsia="Times New Roman"/>
          <w:bCs/>
          <w:color w:val="000000"/>
          <w:lang w:eastAsia="en-GB"/>
        </w:rPr>
        <w:t xml:space="preserve">£75,000.00 </w:t>
      </w:r>
      <w:r w:rsidRPr="00940582">
        <w:t>ex</w:t>
      </w:r>
      <w:r>
        <w:t xml:space="preserve"> VAT</w:t>
      </w:r>
    </w:p>
    <w:p w14:paraId="71751662" w14:textId="77777777" w:rsidR="00940582" w:rsidRPr="00940582" w:rsidRDefault="00940582" w:rsidP="00940582">
      <w:pPr>
        <w:suppressAutoHyphens w:val="0"/>
        <w:rPr>
          <w:rFonts w:eastAsia="Times New Roman"/>
          <w:b/>
          <w:bCs/>
          <w:color w:val="000000"/>
          <w:lang w:eastAsia="en-GB"/>
        </w:rPr>
      </w:pPr>
    </w:p>
    <w:p w14:paraId="33E8B2E6" w14:textId="77777777" w:rsidR="00073D09" w:rsidRDefault="00500894">
      <w:pPr>
        <w:pStyle w:val="Heading4"/>
      </w:pPr>
      <w:r>
        <w:t>Call-Off Deliverables</w:t>
      </w:r>
    </w:p>
    <w:p w14:paraId="012400CB" w14:textId="77777777" w:rsidR="00073D09" w:rsidRDefault="00500894">
      <w:pPr>
        <w:pStyle w:val="Standard"/>
        <w:ind w:left="0"/>
      </w:pPr>
      <w:r>
        <w:t>See details in Call-Off Schedule 20 (Call-Off Specification)</w:t>
      </w:r>
    </w:p>
    <w:p w14:paraId="5D3F1A0D" w14:textId="77777777" w:rsidR="00073D09" w:rsidRDefault="00500894">
      <w:pPr>
        <w:pStyle w:val="Heading4"/>
      </w:pPr>
      <w:r>
        <w:t>Buyer’s Standards</w:t>
      </w:r>
    </w:p>
    <w:p w14:paraId="58D7484D" w14:textId="77777777" w:rsidR="00073D09" w:rsidRDefault="00500894">
      <w:pPr>
        <w:pStyle w:val="Standard"/>
        <w:ind w:left="0"/>
      </w:pPr>
      <w:r>
        <w:t xml:space="preserve">From the Start Date of this Call-Off Contract, the Supplier shall comply with the relevant (and current as of the Call-Off Start Date) Standards referred to in Framework Schedule 1 (Specification). </w:t>
      </w:r>
    </w:p>
    <w:p w14:paraId="55FDA6A3" w14:textId="77777777" w:rsidR="00073D09" w:rsidRDefault="00500894">
      <w:pPr>
        <w:pStyle w:val="Standard"/>
        <w:ind w:left="0"/>
      </w:pPr>
      <w:r>
        <w:t>The Buyer requires the Supplier to comply with the following additional Standards for this Call-Off Contract: Not applicable</w:t>
      </w:r>
    </w:p>
    <w:p w14:paraId="7EEE8DEF" w14:textId="77777777" w:rsidR="00073D09" w:rsidRDefault="00500894">
      <w:pPr>
        <w:pStyle w:val="Heading4"/>
      </w:pPr>
      <w:r>
        <w:t>Maximum Liability</w:t>
      </w:r>
    </w:p>
    <w:p w14:paraId="20C7F80C" w14:textId="77777777" w:rsidR="00073D09" w:rsidRDefault="00500894">
      <w:pPr>
        <w:pStyle w:val="Standard"/>
        <w:ind w:left="0"/>
      </w:pPr>
      <w:r>
        <w:t>The limitation of liability for this Call-Off Contract is stated in Clause 11.2 of the Core Terms as amended by the Framework Award Form Special Terms.</w:t>
      </w:r>
    </w:p>
    <w:p w14:paraId="32839F54" w14:textId="16E5CAFB" w:rsidR="00073D09" w:rsidRDefault="00500894">
      <w:pPr>
        <w:pStyle w:val="Standard"/>
        <w:ind w:left="0"/>
      </w:pPr>
      <w:r>
        <w:t>The Estimated Year 1 Charges used to calculate liability in the first Contract Year is £</w:t>
      </w:r>
      <w:r w:rsidR="007C5807">
        <w:t>57,035.00</w:t>
      </w:r>
      <w:r>
        <w:t xml:space="preserve"> ex VAT.</w:t>
      </w:r>
    </w:p>
    <w:p w14:paraId="7E84317A" w14:textId="77777777" w:rsidR="00073D09" w:rsidRDefault="00500894">
      <w:pPr>
        <w:pStyle w:val="Heading4"/>
      </w:pPr>
      <w:r>
        <w:t>Call-Off Charges</w:t>
      </w:r>
    </w:p>
    <w:p w14:paraId="306B1EF7" w14:textId="77777777" w:rsidR="00073D09" w:rsidRDefault="00073D09">
      <w:pPr>
        <w:pStyle w:val="Heading4"/>
      </w:pPr>
    </w:p>
    <w:p w14:paraId="188FB722" w14:textId="77777777" w:rsidR="00073D09" w:rsidRDefault="00500894">
      <w:pPr>
        <w:pStyle w:val="Heading4"/>
      </w:pPr>
      <w:r>
        <w:rPr>
          <w:rFonts w:eastAsia="Arial"/>
          <w:b w:val="0"/>
        </w:rPr>
        <w:t>Capped Time and Materials (CTM)</w:t>
      </w:r>
    </w:p>
    <w:p w14:paraId="5C715F2D" w14:textId="77777777" w:rsidR="00073D09" w:rsidRDefault="00500894">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045D3AA9" w14:textId="77777777" w:rsidR="00073D09" w:rsidRDefault="00500894">
      <w:pPr>
        <w:pStyle w:val="Heading4"/>
      </w:pPr>
      <w:r>
        <w:t>Reimbursable Expenses</w:t>
      </w:r>
    </w:p>
    <w:p w14:paraId="07A01BCC" w14:textId="77777777" w:rsidR="00073D09" w:rsidRDefault="00500894">
      <w:pPr>
        <w:pStyle w:val="Standard"/>
        <w:ind w:left="0"/>
      </w:pPr>
      <w:r>
        <w:t>Not Applicable</w:t>
      </w:r>
    </w:p>
    <w:p w14:paraId="24570FA4" w14:textId="77777777" w:rsidR="00073D09" w:rsidRDefault="00500894">
      <w:pPr>
        <w:pStyle w:val="Heading4"/>
      </w:pPr>
      <w:r>
        <w:t>Payment Method</w:t>
      </w:r>
    </w:p>
    <w:p w14:paraId="3AFFD8B3" w14:textId="77777777" w:rsidR="00073D09" w:rsidRDefault="00500894">
      <w:pPr>
        <w:pStyle w:val="Standard"/>
        <w:ind w:left="0"/>
      </w:pPr>
      <w:r>
        <w:rPr>
          <w:rFonts w:eastAsia="Arial"/>
          <w:color w:val="000000"/>
        </w:rPr>
        <w:t>Electronic</w:t>
      </w:r>
    </w:p>
    <w:p w14:paraId="042927DE" w14:textId="77777777" w:rsidR="00073D09" w:rsidRDefault="00500894">
      <w:pPr>
        <w:pStyle w:val="Heading4"/>
      </w:pPr>
      <w:r>
        <w:t>Buyer’s Invoice Address</w:t>
      </w:r>
    </w:p>
    <w:p w14:paraId="444B09C0" w14:textId="77777777" w:rsidR="007D408D" w:rsidRDefault="007D408D" w:rsidP="007D408D">
      <w:pPr>
        <w:pStyle w:val="NormalWeb"/>
        <w:shd w:val="clear" w:color="auto" w:fill="FFFFFF"/>
        <w:spacing w:before="0" w:beforeAutospacing="0" w:after="0" w:afterAutospacing="0"/>
        <w:rPr>
          <w:rFonts w:ascii="Verdana" w:hAnsi="Verdana"/>
          <w:color w:val="444444"/>
        </w:rPr>
      </w:pPr>
      <w:r>
        <w:rPr>
          <w:rFonts w:ascii="Arial" w:hAnsi="Arial" w:cs="Arial"/>
          <w:color w:val="000000"/>
        </w:rPr>
        <w:t>The Cabinet Office</w:t>
      </w:r>
    </w:p>
    <w:p w14:paraId="171043B3" w14:textId="0ED41725" w:rsidR="007D408D" w:rsidRDefault="00142B28" w:rsidP="007D408D">
      <w:pPr>
        <w:pStyle w:val="NormalWeb"/>
        <w:shd w:val="clear" w:color="auto" w:fill="FFFFFF"/>
        <w:spacing w:before="0" w:beforeAutospacing="0" w:after="0" w:afterAutospacing="0"/>
        <w:rPr>
          <w:rFonts w:ascii="Arial" w:hAnsi="Arial" w:cs="Arial"/>
          <w:b/>
          <w:bCs/>
          <w:color w:val="FF0000"/>
          <w:sz w:val="22"/>
          <w:szCs w:val="22"/>
        </w:rPr>
      </w:pPr>
      <w:r>
        <w:rPr>
          <w:rFonts w:ascii="Arial" w:hAnsi="Arial" w:cs="Arial"/>
          <w:b/>
          <w:bCs/>
          <w:color w:val="FF0000"/>
          <w:sz w:val="22"/>
          <w:szCs w:val="22"/>
        </w:rPr>
        <w:t>REDACTED TEXT under FOIA Section 40, Personal Information</w:t>
      </w:r>
    </w:p>
    <w:p w14:paraId="79888E00" w14:textId="77777777" w:rsidR="00142B28" w:rsidRDefault="00142B28" w:rsidP="007D408D">
      <w:pPr>
        <w:pStyle w:val="NormalWeb"/>
        <w:shd w:val="clear" w:color="auto" w:fill="FFFFFF"/>
        <w:spacing w:before="0" w:beforeAutospacing="0" w:after="0" w:afterAutospacing="0"/>
        <w:rPr>
          <w:rFonts w:ascii="Arial" w:hAnsi="Arial" w:cs="Arial"/>
          <w:color w:val="000000"/>
        </w:rPr>
      </w:pPr>
    </w:p>
    <w:p w14:paraId="58B9A9B8" w14:textId="6FE6DF84" w:rsidR="007D408D" w:rsidRDefault="007D408D" w:rsidP="007D408D">
      <w:pPr>
        <w:pStyle w:val="NormalWeb"/>
        <w:shd w:val="clear" w:color="auto" w:fill="FFFFFF"/>
        <w:spacing w:before="0" w:beforeAutospacing="0" w:after="0" w:afterAutospacing="0"/>
        <w:rPr>
          <w:rFonts w:ascii="Arial" w:hAnsi="Arial" w:cs="Arial"/>
          <w:color w:val="000000"/>
        </w:rPr>
      </w:pPr>
      <w:r w:rsidRPr="003536A9">
        <w:rPr>
          <w:rFonts w:ascii="Arial" w:hAnsi="Arial" w:cs="Arial"/>
          <w:color w:val="000000"/>
          <w:sz w:val="22"/>
          <w:szCs w:val="22"/>
        </w:rPr>
        <w:t>Email:</w:t>
      </w:r>
      <w:r w:rsidRPr="007D408D">
        <w:rPr>
          <w:rFonts w:ascii="Arial" w:hAnsi="Arial" w:cs="Arial"/>
          <w:color w:val="000000"/>
        </w:rPr>
        <w:t xml:space="preserve"> </w:t>
      </w:r>
      <w:r w:rsidR="00142B28">
        <w:rPr>
          <w:rFonts w:ascii="Arial" w:hAnsi="Arial" w:cs="Arial"/>
          <w:b/>
          <w:bCs/>
          <w:color w:val="FF0000"/>
          <w:sz w:val="22"/>
          <w:szCs w:val="22"/>
        </w:rPr>
        <w:t>REDACTED TEXT under FOIA Section 40, Personal Information</w:t>
      </w:r>
    </w:p>
    <w:p w14:paraId="3EAC236F" w14:textId="0719B1C2" w:rsidR="007D408D" w:rsidRDefault="007D408D" w:rsidP="007D408D">
      <w:pPr>
        <w:pStyle w:val="NormalWeb"/>
        <w:shd w:val="clear" w:color="auto" w:fill="FFFFFF"/>
        <w:spacing w:before="0" w:beforeAutospacing="0" w:after="0" w:afterAutospacing="0"/>
        <w:rPr>
          <w:rFonts w:ascii="Arial" w:hAnsi="Arial" w:cs="Arial"/>
          <w:color w:val="000000"/>
        </w:rPr>
      </w:pPr>
    </w:p>
    <w:p w14:paraId="7FC51B0A" w14:textId="47AB5E58" w:rsidR="00142B28" w:rsidRDefault="00142B28" w:rsidP="007D408D">
      <w:pPr>
        <w:pStyle w:val="NormalWeb"/>
        <w:shd w:val="clear" w:color="auto" w:fill="FFFFFF"/>
        <w:spacing w:before="0" w:beforeAutospacing="0" w:after="0" w:afterAutospacing="0"/>
        <w:rPr>
          <w:rFonts w:ascii="Arial" w:hAnsi="Arial" w:cs="Arial"/>
          <w:color w:val="000000"/>
        </w:rPr>
      </w:pPr>
    </w:p>
    <w:p w14:paraId="144F3ECC" w14:textId="3F28D002" w:rsidR="00142B28" w:rsidRDefault="00142B28" w:rsidP="007D408D">
      <w:pPr>
        <w:pStyle w:val="NormalWeb"/>
        <w:shd w:val="clear" w:color="auto" w:fill="FFFFFF"/>
        <w:spacing w:before="0" w:beforeAutospacing="0" w:after="0" w:afterAutospacing="0"/>
        <w:rPr>
          <w:rFonts w:ascii="Arial" w:hAnsi="Arial" w:cs="Arial"/>
          <w:color w:val="000000"/>
        </w:rPr>
      </w:pPr>
    </w:p>
    <w:p w14:paraId="1BC0A389" w14:textId="484E8B32" w:rsidR="00142B28" w:rsidRDefault="00142B28" w:rsidP="007D408D">
      <w:pPr>
        <w:pStyle w:val="NormalWeb"/>
        <w:shd w:val="clear" w:color="auto" w:fill="FFFFFF"/>
        <w:spacing w:before="0" w:beforeAutospacing="0" w:after="0" w:afterAutospacing="0"/>
        <w:rPr>
          <w:rFonts w:ascii="Arial" w:hAnsi="Arial" w:cs="Arial"/>
          <w:color w:val="000000"/>
        </w:rPr>
      </w:pPr>
    </w:p>
    <w:p w14:paraId="083EE17F" w14:textId="77777777" w:rsidR="00142B28" w:rsidRPr="007D408D" w:rsidRDefault="00142B28" w:rsidP="007D408D">
      <w:pPr>
        <w:pStyle w:val="NormalWeb"/>
        <w:shd w:val="clear" w:color="auto" w:fill="FFFFFF"/>
        <w:spacing w:before="0" w:beforeAutospacing="0" w:after="0" w:afterAutospacing="0"/>
        <w:rPr>
          <w:rFonts w:ascii="Arial" w:hAnsi="Arial" w:cs="Arial"/>
          <w:color w:val="000000"/>
        </w:rPr>
      </w:pPr>
    </w:p>
    <w:p w14:paraId="0CFCF0CF" w14:textId="77777777" w:rsidR="00073D09" w:rsidRDefault="00500894">
      <w:pPr>
        <w:pStyle w:val="Heading4"/>
      </w:pPr>
      <w:r>
        <w:lastRenderedPageBreak/>
        <w:t>Buyer’s Authorised Representative</w:t>
      </w:r>
    </w:p>
    <w:p w14:paraId="7E5EF4A1" w14:textId="77115D47" w:rsidR="00142B28" w:rsidRPr="00142B28" w:rsidRDefault="00142B28">
      <w:pPr>
        <w:pStyle w:val="Heading4"/>
        <w:rPr>
          <w:rFonts w:cs="Arial"/>
          <w:bCs/>
          <w:color w:val="FF0000"/>
        </w:rPr>
      </w:pPr>
      <w:r w:rsidRPr="00142B28">
        <w:rPr>
          <w:rFonts w:cs="Arial"/>
          <w:bCs/>
          <w:color w:val="FF0000"/>
        </w:rPr>
        <w:t>REDACTED TEXT under FOIA Section 40, Personal Information</w:t>
      </w:r>
    </w:p>
    <w:p w14:paraId="70345EAE" w14:textId="77777777" w:rsidR="00142B28" w:rsidRPr="00142B28" w:rsidRDefault="00142B28" w:rsidP="00142B28">
      <w:pPr>
        <w:pStyle w:val="Standard"/>
      </w:pPr>
    </w:p>
    <w:p w14:paraId="77A260B2" w14:textId="7A50872E" w:rsidR="00073D09" w:rsidRDefault="00500894">
      <w:pPr>
        <w:pStyle w:val="Heading4"/>
      </w:pPr>
      <w:r>
        <w:t>Buyer’s Environmental Policy</w:t>
      </w:r>
    </w:p>
    <w:p w14:paraId="2B6492CA" w14:textId="435E0308" w:rsidR="00073D09" w:rsidRDefault="0010689A">
      <w:pPr>
        <w:pStyle w:val="Standard"/>
        <w:ind w:left="0"/>
      </w:pPr>
      <w:r>
        <w:t>A</w:t>
      </w:r>
      <w:r w:rsidR="00500894">
        <w:t>vailable online at:</w:t>
      </w:r>
      <w:r w:rsidR="002556C3" w:rsidRPr="002556C3">
        <w:t xml:space="preserve"> </w:t>
      </w:r>
      <w:hyperlink r:id="rId8" w:history="1">
        <w:r w:rsidR="002556C3" w:rsidRPr="0010689A">
          <w:rPr>
            <w:rStyle w:val="Hyperlink"/>
          </w:rPr>
          <w:t>https://intranet.cabinetoffice.gov.uk/task/sustainable-development/</w:t>
        </w:r>
      </w:hyperlink>
    </w:p>
    <w:p w14:paraId="1B297A49" w14:textId="77777777" w:rsidR="00073D09" w:rsidRDefault="00500894">
      <w:pPr>
        <w:pStyle w:val="Standard"/>
        <w:ind w:left="0"/>
      </w:pPr>
      <w:r>
        <w:t>Buyer’s Security Policy</w:t>
      </w:r>
    </w:p>
    <w:p w14:paraId="2144FFBD" w14:textId="4CCA9BD7" w:rsidR="00073D09" w:rsidRDefault="0010689A">
      <w:pPr>
        <w:pStyle w:val="Standard"/>
        <w:ind w:left="0"/>
      </w:pPr>
      <w:r>
        <w:t>A</w:t>
      </w:r>
      <w:r w:rsidR="00500894">
        <w:t>vailable online at:</w:t>
      </w:r>
      <w:r>
        <w:t xml:space="preserve"> </w:t>
      </w:r>
      <w:hyperlink r:id="rId9" w:history="1">
        <w:r w:rsidRPr="0010689A">
          <w:rPr>
            <w:rStyle w:val="Hyperlink"/>
          </w:rPr>
          <w:t>https://intranet.cabinetoffice.gov.uk/how-do-i/security-hub/</w:t>
        </w:r>
      </w:hyperlink>
    </w:p>
    <w:p w14:paraId="6299BAE0" w14:textId="77777777" w:rsidR="00073D09" w:rsidRDefault="00500894">
      <w:pPr>
        <w:pStyle w:val="Heading4"/>
      </w:pPr>
      <w:r>
        <w:t>Supplier’s Authorised Representative</w:t>
      </w:r>
    </w:p>
    <w:p w14:paraId="509A9DB9" w14:textId="77777777" w:rsidR="00142B28" w:rsidRPr="00142B28" w:rsidRDefault="00142B28" w:rsidP="00142B28">
      <w:pPr>
        <w:pStyle w:val="Heading4"/>
        <w:rPr>
          <w:rFonts w:cs="Arial"/>
          <w:bCs/>
          <w:color w:val="FF0000"/>
        </w:rPr>
      </w:pPr>
      <w:r w:rsidRPr="00142B28">
        <w:rPr>
          <w:rFonts w:cs="Arial"/>
          <w:bCs/>
          <w:color w:val="FF0000"/>
        </w:rPr>
        <w:t>REDACTED TEXT under FOIA Section 40, Personal Information</w:t>
      </w:r>
    </w:p>
    <w:p w14:paraId="11428628" w14:textId="77777777" w:rsidR="00142B28" w:rsidRDefault="00142B28">
      <w:pPr>
        <w:pStyle w:val="Heading4"/>
      </w:pPr>
    </w:p>
    <w:p w14:paraId="0DAAFABA" w14:textId="56A19E4B" w:rsidR="00073D09" w:rsidRDefault="00500894">
      <w:pPr>
        <w:pStyle w:val="Heading4"/>
      </w:pPr>
      <w:r>
        <w:t>Supplier’s Contract Manager</w:t>
      </w:r>
    </w:p>
    <w:p w14:paraId="5A140DEB" w14:textId="4E66C590" w:rsidR="00142B28" w:rsidRDefault="00142B28" w:rsidP="00142B28">
      <w:pPr>
        <w:pStyle w:val="Heading4"/>
        <w:rPr>
          <w:rFonts w:cs="Arial"/>
          <w:bCs/>
          <w:color w:val="FF0000"/>
        </w:rPr>
      </w:pPr>
      <w:r w:rsidRPr="00142B28">
        <w:rPr>
          <w:rFonts w:cs="Arial"/>
          <w:bCs/>
          <w:color w:val="FF0000"/>
        </w:rPr>
        <w:t>REDACTED TEXT under FOIA Section 40, Personal Information</w:t>
      </w:r>
    </w:p>
    <w:p w14:paraId="57B6134E" w14:textId="77777777" w:rsidR="00142B28" w:rsidRPr="00142B28" w:rsidRDefault="00142B28" w:rsidP="00142B28">
      <w:pPr>
        <w:pStyle w:val="Standard"/>
      </w:pPr>
    </w:p>
    <w:p w14:paraId="78BF226D" w14:textId="77777777" w:rsidR="00073D09" w:rsidRDefault="00500894">
      <w:pPr>
        <w:pStyle w:val="Heading4"/>
      </w:pPr>
      <w:r>
        <w:t>Progress Report Frequency</w:t>
      </w:r>
    </w:p>
    <w:p w14:paraId="5798B3B2" w14:textId="7F0F8A0C" w:rsidR="00073D09" w:rsidRDefault="00500894">
      <w:pPr>
        <w:pStyle w:val="Standard"/>
        <w:ind w:left="0"/>
      </w:pPr>
      <w:r>
        <w:rPr>
          <w:b/>
        </w:rPr>
        <w:t>Insert</w:t>
      </w:r>
      <w:r>
        <w:t xml:space="preserve"> </w:t>
      </w:r>
      <w:r>
        <w:rPr>
          <w:b/>
        </w:rPr>
        <w:t>report</w:t>
      </w:r>
      <w:r>
        <w:t xml:space="preserve"> </w:t>
      </w:r>
      <w:r>
        <w:rPr>
          <w:b/>
        </w:rPr>
        <w:t>frequency</w:t>
      </w:r>
      <w:r>
        <w:t xml:space="preserve">: TBC </w:t>
      </w:r>
    </w:p>
    <w:p w14:paraId="122FF216" w14:textId="77777777" w:rsidR="00142B28" w:rsidRDefault="00142B28">
      <w:pPr>
        <w:pStyle w:val="Standard"/>
        <w:ind w:left="0"/>
      </w:pPr>
    </w:p>
    <w:p w14:paraId="1832967F" w14:textId="77777777" w:rsidR="00073D09" w:rsidRDefault="00500894">
      <w:pPr>
        <w:pStyle w:val="Heading4"/>
      </w:pPr>
      <w:r>
        <w:t>Progress Meeting Frequency</w:t>
      </w:r>
    </w:p>
    <w:p w14:paraId="67C45004" w14:textId="282049C1" w:rsidR="00073D09" w:rsidRDefault="00500894">
      <w:pPr>
        <w:pStyle w:val="Standard"/>
        <w:ind w:left="0"/>
      </w:pPr>
      <w:r>
        <w:rPr>
          <w:b/>
        </w:rPr>
        <w:t>Insert</w:t>
      </w:r>
      <w:r>
        <w:t xml:space="preserve"> </w:t>
      </w:r>
      <w:r>
        <w:rPr>
          <w:b/>
        </w:rPr>
        <w:t>meeting</w:t>
      </w:r>
      <w:r>
        <w:t xml:space="preserve"> </w:t>
      </w:r>
      <w:r>
        <w:rPr>
          <w:b/>
        </w:rPr>
        <w:t>frequency</w:t>
      </w:r>
      <w:r>
        <w:t xml:space="preserve">: </w:t>
      </w:r>
      <w:r w:rsidR="007C5807">
        <w:t>Monthly</w:t>
      </w:r>
    </w:p>
    <w:p w14:paraId="79BA3E10" w14:textId="77777777" w:rsidR="00142B28" w:rsidRDefault="00142B28">
      <w:pPr>
        <w:pStyle w:val="Standard"/>
        <w:ind w:left="0"/>
      </w:pPr>
    </w:p>
    <w:p w14:paraId="713E8709" w14:textId="2612110E" w:rsidR="00073D09" w:rsidRDefault="00500894">
      <w:pPr>
        <w:pStyle w:val="Heading4"/>
      </w:pPr>
      <w:r>
        <w:t>Key Staff</w:t>
      </w:r>
    </w:p>
    <w:p w14:paraId="06CF5F75" w14:textId="2F294D7F" w:rsidR="00073D09" w:rsidRDefault="00142B28" w:rsidP="00142B28">
      <w:pPr>
        <w:pStyle w:val="Heading4"/>
        <w:rPr>
          <w:rFonts w:cs="Arial"/>
          <w:bCs/>
          <w:color w:val="FF0000"/>
        </w:rPr>
      </w:pPr>
      <w:r w:rsidRPr="00142B28">
        <w:rPr>
          <w:rFonts w:cs="Arial"/>
          <w:bCs/>
          <w:color w:val="FF0000"/>
        </w:rPr>
        <w:t>REDACTED TEXT under FOIA Section 40, Personal Information</w:t>
      </w:r>
    </w:p>
    <w:p w14:paraId="5E8ED222" w14:textId="77777777" w:rsidR="00142B28" w:rsidRPr="00142B28" w:rsidRDefault="00142B28" w:rsidP="00142B28">
      <w:pPr>
        <w:pStyle w:val="Standard"/>
      </w:pPr>
    </w:p>
    <w:p w14:paraId="5C8DB04B" w14:textId="77777777" w:rsidR="00073D09" w:rsidRDefault="00500894">
      <w:pPr>
        <w:pStyle w:val="Heading4"/>
        <w:rPr>
          <w:rFonts w:eastAsia="Calibri" w:cs="Arial"/>
          <w:b w:val="0"/>
          <w:iCs w:val="0"/>
          <w:color w:val="auto"/>
        </w:rPr>
      </w:pPr>
      <w:r>
        <w:rPr>
          <w:rFonts w:eastAsia="Calibri" w:cs="Arial"/>
          <w:b w:val="0"/>
          <w:iCs w:val="0"/>
          <w:color w:val="auto"/>
        </w:rPr>
        <w:t>The Contracting Authority has assessed its requirement for resource as being</w:t>
      </w:r>
    </w:p>
    <w:p w14:paraId="42B10E34" w14:textId="77777777" w:rsidR="00073D09" w:rsidRDefault="00500894">
      <w:pPr>
        <w:pStyle w:val="Heading4"/>
        <w:rPr>
          <w:rFonts w:eastAsia="Calibri" w:cs="Arial"/>
          <w:b w:val="0"/>
          <w:iCs w:val="0"/>
          <w:color w:val="auto"/>
        </w:rPr>
      </w:pPr>
      <w:r>
        <w:rPr>
          <w:rFonts w:eastAsia="Calibri" w:cs="Arial"/>
          <w:b w:val="0"/>
          <w:iCs w:val="0"/>
          <w:color w:val="auto"/>
        </w:rPr>
        <w:t>outside of the provisions of IR35.</w:t>
      </w:r>
    </w:p>
    <w:p w14:paraId="1D7ABC61" w14:textId="77777777" w:rsidR="00073D09" w:rsidRDefault="00500894">
      <w:pPr>
        <w:pStyle w:val="Heading4"/>
      </w:pPr>
      <w:r>
        <w:t>Key Subcontractor(s)</w:t>
      </w:r>
    </w:p>
    <w:p w14:paraId="0899A6C4" w14:textId="071AC9E1" w:rsidR="00073D09" w:rsidRDefault="00755F4F">
      <w:pPr>
        <w:pStyle w:val="Standard"/>
        <w:ind w:left="0"/>
      </w:pPr>
      <w:r>
        <w:t>Not Applicable</w:t>
      </w:r>
    </w:p>
    <w:p w14:paraId="099F524C" w14:textId="77777777" w:rsidR="00073D09" w:rsidRDefault="00500894">
      <w:pPr>
        <w:pStyle w:val="Heading4"/>
      </w:pPr>
      <w:r>
        <w:t>Commercially Sensitive Information</w:t>
      </w:r>
    </w:p>
    <w:p w14:paraId="4024DDB7" w14:textId="602F423D" w:rsidR="00073D09" w:rsidRDefault="00A8113B">
      <w:pPr>
        <w:pStyle w:val="Standard"/>
        <w:ind w:left="0"/>
      </w:pPr>
      <w:r>
        <w:t xml:space="preserve">Bid Submission and </w:t>
      </w:r>
      <w:r w:rsidR="00755F4F">
        <w:t>Pricing</w:t>
      </w:r>
    </w:p>
    <w:p w14:paraId="615A807B" w14:textId="77777777" w:rsidR="00073D09" w:rsidRDefault="00500894">
      <w:pPr>
        <w:pStyle w:val="Heading4"/>
      </w:pPr>
      <w:r>
        <w:t>Balanced Scorecard</w:t>
      </w:r>
    </w:p>
    <w:p w14:paraId="67FFE811" w14:textId="77777777" w:rsidR="00073D09" w:rsidRDefault="00500894">
      <w:pPr>
        <w:pStyle w:val="Standard"/>
        <w:ind w:left="0"/>
      </w:pPr>
      <w:r>
        <w:t>Not Applicable</w:t>
      </w:r>
    </w:p>
    <w:p w14:paraId="5F76B7E7" w14:textId="77777777" w:rsidR="00073D09" w:rsidRDefault="00500894">
      <w:pPr>
        <w:pStyle w:val="Heading4"/>
      </w:pPr>
      <w:r>
        <w:t>Material KPIs</w:t>
      </w:r>
    </w:p>
    <w:p w14:paraId="687A100D" w14:textId="77777777" w:rsidR="00073D09" w:rsidRDefault="00500894">
      <w:pPr>
        <w:pStyle w:val="Standard"/>
        <w:ind w:left="0"/>
      </w:pPr>
      <w:r>
        <w:t>Not applicable</w:t>
      </w:r>
    </w:p>
    <w:p w14:paraId="2DC6BB95" w14:textId="77777777" w:rsidR="00073D09" w:rsidRDefault="00500894">
      <w:pPr>
        <w:pStyle w:val="Standard"/>
        <w:ind w:left="0"/>
      </w:pPr>
      <w:r>
        <w:t>The following Material KPIs shall apply to this Call-Off Contract in accordance with Call-Off Schedule 14 (Service Levels and Balanced Scorecard):</w:t>
      </w:r>
    </w:p>
    <w:tbl>
      <w:tblPr>
        <w:tblW w:w="9019" w:type="dxa"/>
        <w:tblLayout w:type="fixed"/>
        <w:tblCellMar>
          <w:left w:w="10" w:type="dxa"/>
          <w:right w:w="10" w:type="dxa"/>
        </w:tblCellMar>
        <w:tblLook w:val="0000" w:firstRow="0" w:lastRow="0" w:firstColumn="0" w:lastColumn="0" w:noHBand="0" w:noVBand="0"/>
      </w:tblPr>
      <w:tblGrid>
        <w:gridCol w:w="3006"/>
        <w:gridCol w:w="3006"/>
        <w:gridCol w:w="3007"/>
      </w:tblGrid>
      <w:tr w:rsidR="00073D09" w14:paraId="7A945B05"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71C72" w14:textId="77777777" w:rsidR="00073D09" w:rsidRDefault="00500894">
            <w:pPr>
              <w:pStyle w:val="Standard"/>
              <w:ind w:left="0"/>
            </w:pPr>
            <w:r>
              <w:rPr>
                <w:b/>
              </w:rPr>
              <w:t>Material KPIs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08AB" w14:textId="77777777" w:rsidR="00073D09" w:rsidRDefault="00500894">
            <w:pPr>
              <w:pStyle w:val="Standard"/>
              <w:ind w:left="0"/>
            </w:pPr>
            <w:r>
              <w:rPr>
                <w:b/>
              </w:rPr>
              <w:t>Target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7E5D" w14:textId="77777777" w:rsidR="00073D09" w:rsidRDefault="00500894">
            <w:pPr>
              <w:pStyle w:val="Standard"/>
              <w:ind w:left="0"/>
            </w:pPr>
            <w:r>
              <w:rPr>
                <w:b/>
              </w:rPr>
              <w:t>Measured by</w:t>
            </w:r>
          </w:p>
        </w:tc>
      </w:tr>
      <w:tr w:rsidR="00073D09" w14:paraId="10585B4B"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4D996" w14:textId="77777777" w:rsidR="00073D09" w:rsidRDefault="00073D09">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1241" w14:textId="77777777" w:rsidR="00073D09" w:rsidRDefault="00073D09">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51B63" w14:textId="77777777" w:rsidR="00073D09" w:rsidRDefault="00073D09">
            <w:pPr>
              <w:pStyle w:val="Standard"/>
              <w:ind w:left="0"/>
            </w:pPr>
          </w:p>
        </w:tc>
      </w:tr>
      <w:tr w:rsidR="00073D09" w14:paraId="5E89F21F"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F3CF" w14:textId="77777777" w:rsidR="00073D09" w:rsidRDefault="00073D09">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2270" w14:textId="77777777" w:rsidR="00073D09" w:rsidRDefault="00073D09">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2583" w14:textId="77777777" w:rsidR="00073D09" w:rsidRDefault="00073D09">
            <w:pPr>
              <w:pStyle w:val="Standard"/>
              <w:ind w:left="0"/>
            </w:pPr>
          </w:p>
        </w:tc>
      </w:tr>
    </w:tbl>
    <w:p w14:paraId="6D1A7FCD" w14:textId="77777777" w:rsidR="00073D09" w:rsidRDefault="00073D09">
      <w:pPr>
        <w:pStyle w:val="Standard"/>
        <w:ind w:left="0"/>
      </w:pPr>
    </w:p>
    <w:p w14:paraId="2CA5D4EF" w14:textId="77777777" w:rsidR="00073D09" w:rsidRDefault="00500894">
      <w:pPr>
        <w:pStyle w:val="Heading4"/>
      </w:pPr>
      <w:r>
        <w:lastRenderedPageBreak/>
        <w:t>Additional Insurances</w:t>
      </w:r>
    </w:p>
    <w:p w14:paraId="70E6993B" w14:textId="77777777" w:rsidR="00073D09" w:rsidRDefault="00500894">
      <w:pPr>
        <w:pStyle w:val="Standard"/>
        <w:ind w:left="0"/>
      </w:pPr>
      <w:r>
        <w:t>Not applicable</w:t>
      </w:r>
    </w:p>
    <w:p w14:paraId="5991666A" w14:textId="77777777" w:rsidR="00073D09" w:rsidRDefault="00500894">
      <w:pPr>
        <w:pStyle w:val="Heading4"/>
      </w:pPr>
      <w:r>
        <w:t>Guarantee</w:t>
      </w:r>
    </w:p>
    <w:p w14:paraId="3A12E59F" w14:textId="77777777" w:rsidR="00073D09" w:rsidRDefault="00500894">
      <w:pPr>
        <w:pStyle w:val="Standard"/>
        <w:ind w:left="0"/>
      </w:pPr>
      <w:r>
        <w:t>Not applicable</w:t>
      </w:r>
    </w:p>
    <w:p w14:paraId="01FFDAEF" w14:textId="77777777" w:rsidR="00073D09" w:rsidRDefault="00500894">
      <w:pPr>
        <w:pStyle w:val="Heading4"/>
      </w:pPr>
      <w:r>
        <w:t>Social Value Commitment</w:t>
      </w:r>
    </w:p>
    <w:p w14:paraId="4F7EB1F4" w14:textId="77777777" w:rsidR="00073D09" w:rsidRDefault="00500894">
      <w:pPr>
        <w:pStyle w:val="Standard"/>
        <w:ind w:left="0"/>
      </w:pPr>
      <w:r>
        <w:t>The Supplier agrees, in providing the Deliverables and performing its obligations under the Call-Off Contract, that it will comply with the social value commitments in Call-Off Schedule 4 (Call-Off Tender)]</w:t>
      </w:r>
    </w:p>
    <w:p w14:paraId="4A7DC126" w14:textId="77777777" w:rsidR="00073D09" w:rsidRDefault="00500894">
      <w:pPr>
        <w:pStyle w:val="Heading4"/>
      </w:pPr>
      <w:r>
        <w:t>Statement of Works</w:t>
      </w:r>
    </w:p>
    <w:p w14:paraId="5567A1AD" w14:textId="77777777" w:rsidR="00073D09" w:rsidRDefault="00500894">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03B23FA5" w14:textId="77777777" w:rsidR="00073D09" w:rsidRDefault="00073D09">
      <w:pPr>
        <w:pStyle w:val="Standard"/>
        <w:ind w:left="0"/>
      </w:pPr>
    </w:p>
    <w:p w14:paraId="68404F97" w14:textId="77777777" w:rsidR="00073D09" w:rsidRDefault="00500894">
      <w:pPr>
        <w:pStyle w:val="Standard"/>
        <w:ind w:left="0"/>
      </w:pPr>
      <w:r>
        <w:rPr>
          <w:b/>
        </w:rPr>
        <w:t>For and on behalf of the Supplier:</w:t>
      </w:r>
    </w:p>
    <w:p w14:paraId="0B2C6569" w14:textId="77777777" w:rsidR="00142B28" w:rsidRPr="00142B28" w:rsidRDefault="00500894" w:rsidP="00142B28">
      <w:pPr>
        <w:pStyle w:val="Heading4"/>
        <w:rPr>
          <w:rFonts w:cs="Arial"/>
          <w:bCs/>
          <w:color w:val="FF0000"/>
        </w:rPr>
      </w:pPr>
      <w:r>
        <w:t>Signature:</w:t>
      </w:r>
      <w:r w:rsidR="00142B28">
        <w:t xml:space="preserve"> </w:t>
      </w:r>
      <w:r w:rsidR="00142B28" w:rsidRPr="00142B28">
        <w:rPr>
          <w:rFonts w:cs="Arial"/>
          <w:bCs/>
          <w:color w:val="FF0000"/>
        </w:rPr>
        <w:t>REDACTED TEXT under FOIA Section 40, Personal Information</w:t>
      </w:r>
    </w:p>
    <w:p w14:paraId="534A1C17" w14:textId="77777777" w:rsidR="00073D09" w:rsidRDefault="00500894">
      <w:pPr>
        <w:pStyle w:val="Standard"/>
        <w:ind w:left="0"/>
      </w:pPr>
      <w:r>
        <w:rPr>
          <w:b/>
        </w:rPr>
        <w:t>For and on behalf of the Buyer:</w:t>
      </w:r>
    </w:p>
    <w:p w14:paraId="1692AC17" w14:textId="77777777" w:rsidR="00142B28" w:rsidRPr="00142B28" w:rsidRDefault="00500894" w:rsidP="00142B28">
      <w:pPr>
        <w:pStyle w:val="Heading4"/>
        <w:rPr>
          <w:rFonts w:cs="Arial"/>
          <w:bCs/>
          <w:color w:val="FF0000"/>
        </w:rPr>
      </w:pPr>
      <w:r>
        <w:t>Signature:</w:t>
      </w:r>
      <w:r w:rsidR="00142B28">
        <w:t xml:space="preserve"> </w:t>
      </w:r>
      <w:r w:rsidR="00142B28" w:rsidRPr="00142B28">
        <w:rPr>
          <w:rFonts w:cs="Arial"/>
          <w:bCs/>
          <w:color w:val="FF0000"/>
        </w:rPr>
        <w:t>REDACTED TEXT under FOIA Section 40, Personal Information</w:t>
      </w:r>
    </w:p>
    <w:p w14:paraId="38AD04A8" w14:textId="77777777" w:rsidR="00073D09" w:rsidRDefault="00073D09">
      <w:pPr>
        <w:pStyle w:val="Standard"/>
        <w:ind w:left="0"/>
      </w:pPr>
    </w:p>
    <w:p w14:paraId="60987553" w14:textId="77777777" w:rsidR="00073D09" w:rsidRDefault="00500894">
      <w:pPr>
        <w:pStyle w:val="Heading3"/>
        <w:pageBreakBefore/>
      </w:pPr>
      <w:r>
        <w:lastRenderedPageBreak/>
        <w:t>Appendix 1</w:t>
      </w:r>
    </w:p>
    <w:p w14:paraId="53D9D841" w14:textId="77777777" w:rsidR="00073D09" w:rsidRDefault="00073D09">
      <w:pPr>
        <w:pStyle w:val="Standard"/>
        <w:ind w:left="0"/>
      </w:pPr>
    </w:p>
    <w:p w14:paraId="674A0D0D" w14:textId="77777777" w:rsidR="00073D09" w:rsidRDefault="00500894">
      <w:pPr>
        <w:pStyle w:val="Standard"/>
        <w:ind w:left="0"/>
      </w:pPr>
      <w:r>
        <w:t>[</w:t>
      </w:r>
      <w:r>
        <w:rPr>
          <w:b/>
        </w:rPr>
        <w:t>Insert</w:t>
      </w:r>
      <w:r>
        <w:t xml:space="preserve"> 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1EE3AAF4" w14:textId="77777777" w:rsidR="00073D09" w:rsidRDefault="00500894">
      <w:pPr>
        <w:pStyle w:val="Standard"/>
        <w:ind w:left="0"/>
      </w:pPr>
      <w:r>
        <w:t>[</w:t>
      </w:r>
      <w:r>
        <w:rPr>
          <w:b/>
        </w:rPr>
        <w:t>Insert</w:t>
      </w:r>
      <w:r>
        <w:t xml:space="preserve"> Each executed Statement of Work shall be inserted into this Appendix 1 in chronology.]</w:t>
      </w:r>
    </w:p>
    <w:p w14:paraId="1F221674" w14:textId="77777777" w:rsidR="00073D09" w:rsidRDefault="00073D09">
      <w:pPr>
        <w:pStyle w:val="Standard"/>
        <w:ind w:left="0"/>
      </w:pPr>
    </w:p>
    <w:p w14:paraId="79C42260" w14:textId="2490241A" w:rsidR="00073D09" w:rsidRDefault="00500894">
      <w:pPr>
        <w:pStyle w:val="Heading3"/>
        <w:pageBreakBefore/>
      </w:pPr>
      <w:r>
        <w:lastRenderedPageBreak/>
        <w:t>Annex 1 (Template Statement of Work) to be completed</w:t>
      </w:r>
      <w:r w:rsidR="00755F4F">
        <w:t xml:space="preserve"> after inception meeting</w:t>
      </w:r>
      <w:r>
        <w:t>.</w:t>
      </w:r>
    </w:p>
    <w:p w14:paraId="7467AC97" w14:textId="77777777" w:rsidR="00073D09" w:rsidRDefault="00500894">
      <w:pPr>
        <w:pStyle w:val="ListParagraph"/>
        <w:numPr>
          <w:ilvl w:val="0"/>
          <w:numId w:val="97"/>
        </w:numPr>
      </w:pPr>
      <w:r>
        <w:rPr>
          <w:b/>
        </w:rPr>
        <w:t>Statement of Works (SOW) Details</w:t>
      </w:r>
    </w:p>
    <w:p w14:paraId="48551677" w14:textId="77777777" w:rsidR="00073D09" w:rsidRDefault="00500894">
      <w:pPr>
        <w:pStyle w:val="Standard"/>
        <w:ind w:left="0"/>
      </w:pPr>
      <w:r>
        <w:t>Upon execution, this SOW forms part of the Call-Off Contract (reference below).</w:t>
      </w:r>
    </w:p>
    <w:p w14:paraId="034BA595" w14:textId="77777777" w:rsidR="00073D09" w:rsidRDefault="00500894">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081BEA26" w14:textId="77777777" w:rsidR="00073D09" w:rsidRDefault="00500894">
      <w:pPr>
        <w:pStyle w:val="Standard"/>
        <w:ind w:left="0"/>
      </w:pPr>
      <w:r>
        <w:t>All SOWs must fall within the Specification and provisions of the Call-Off Contact.</w:t>
      </w:r>
    </w:p>
    <w:p w14:paraId="31F25CF2" w14:textId="77777777" w:rsidR="00073D09" w:rsidRDefault="00500894">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39E46FAB" w14:textId="77777777" w:rsidR="00073D09" w:rsidRDefault="00500894">
      <w:pPr>
        <w:pStyle w:val="Standard"/>
        <w:ind w:left="0"/>
      </w:pPr>
      <w:r>
        <w:rPr>
          <w:b/>
        </w:rPr>
        <w:t>Date of SOW:</w:t>
      </w:r>
    </w:p>
    <w:p w14:paraId="0B9CD3D2" w14:textId="77777777" w:rsidR="00073D09" w:rsidRDefault="00073D09">
      <w:pPr>
        <w:pStyle w:val="Standard"/>
        <w:ind w:left="0"/>
        <w:rPr>
          <w:b/>
        </w:rPr>
      </w:pPr>
    </w:p>
    <w:p w14:paraId="1A76CF3F" w14:textId="77777777" w:rsidR="00073D09" w:rsidRDefault="00500894">
      <w:pPr>
        <w:pStyle w:val="Standard"/>
        <w:ind w:left="0"/>
      </w:pPr>
      <w:r>
        <w:rPr>
          <w:b/>
        </w:rPr>
        <w:t>SOW Title:</w:t>
      </w:r>
    </w:p>
    <w:p w14:paraId="5AF960F4" w14:textId="77777777" w:rsidR="00073D09" w:rsidRDefault="00073D09">
      <w:pPr>
        <w:pStyle w:val="Standard"/>
        <w:ind w:left="0"/>
        <w:rPr>
          <w:b/>
        </w:rPr>
      </w:pPr>
    </w:p>
    <w:p w14:paraId="2C094BE8" w14:textId="77777777" w:rsidR="00073D09" w:rsidRDefault="00500894">
      <w:pPr>
        <w:pStyle w:val="Standard"/>
        <w:ind w:left="0"/>
      </w:pPr>
      <w:r>
        <w:rPr>
          <w:b/>
        </w:rPr>
        <w:t>SOW Reference:</w:t>
      </w:r>
    </w:p>
    <w:p w14:paraId="7BB1BFE5" w14:textId="77777777" w:rsidR="00073D09" w:rsidRDefault="00073D09">
      <w:pPr>
        <w:pStyle w:val="Standard"/>
        <w:ind w:left="0"/>
        <w:rPr>
          <w:b/>
        </w:rPr>
      </w:pPr>
    </w:p>
    <w:p w14:paraId="6D1BB25E" w14:textId="77777777" w:rsidR="00073D09" w:rsidRDefault="00500894">
      <w:pPr>
        <w:pStyle w:val="Standard"/>
        <w:ind w:left="0"/>
      </w:pPr>
      <w:r>
        <w:rPr>
          <w:b/>
        </w:rPr>
        <w:t>Call-Off Contract Reference:</w:t>
      </w:r>
    </w:p>
    <w:p w14:paraId="5A96BBDB" w14:textId="77777777" w:rsidR="00073D09" w:rsidRDefault="00073D09">
      <w:pPr>
        <w:pStyle w:val="Standard"/>
        <w:ind w:left="0"/>
        <w:rPr>
          <w:b/>
        </w:rPr>
      </w:pPr>
    </w:p>
    <w:p w14:paraId="63B19633" w14:textId="77777777" w:rsidR="00073D09" w:rsidRDefault="00500894">
      <w:pPr>
        <w:pStyle w:val="Standard"/>
        <w:ind w:left="0"/>
      </w:pPr>
      <w:r>
        <w:rPr>
          <w:b/>
        </w:rPr>
        <w:t>Buyer:</w:t>
      </w:r>
    </w:p>
    <w:p w14:paraId="2EDC13F8" w14:textId="77777777" w:rsidR="00073D09" w:rsidRDefault="00073D09">
      <w:pPr>
        <w:pStyle w:val="Standard"/>
        <w:ind w:left="0"/>
        <w:rPr>
          <w:b/>
        </w:rPr>
      </w:pPr>
    </w:p>
    <w:p w14:paraId="4BF6EB15" w14:textId="77777777" w:rsidR="00073D09" w:rsidRDefault="00500894">
      <w:pPr>
        <w:pStyle w:val="Standard"/>
        <w:ind w:left="0"/>
      </w:pPr>
      <w:r>
        <w:rPr>
          <w:b/>
        </w:rPr>
        <w:t>Supplier:</w:t>
      </w:r>
    </w:p>
    <w:p w14:paraId="5AA5643C" w14:textId="77777777" w:rsidR="00073D09" w:rsidRDefault="00073D09">
      <w:pPr>
        <w:pStyle w:val="Standard"/>
        <w:ind w:left="0"/>
        <w:rPr>
          <w:b/>
        </w:rPr>
      </w:pPr>
    </w:p>
    <w:p w14:paraId="1603494F" w14:textId="77777777" w:rsidR="00073D09" w:rsidRDefault="00500894">
      <w:pPr>
        <w:pStyle w:val="Standard"/>
        <w:ind w:left="0"/>
      </w:pPr>
      <w:r>
        <w:rPr>
          <w:b/>
        </w:rPr>
        <w:t>SOW Start Date:</w:t>
      </w:r>
    </w:p>
    <w:p w14:paraId="17202AAD" w14:textId="77777777" w:rsidR="00073D09" w:rsidRDefault="00073D09">
      <w:pPr>
        <w:pStyle w:val="Standard"/>
        <w:ind w:left="0"/>
        <w:rPr>
          <w:b/>
        </w:rPr>
      </w:pPr>
    </w:p>
    <w:p w14:paraId="4811F38F" w14:textId="77777777" w:rsidR="00073D09" w:rsidRDefault="00500894">
      <w:pPr>
        <w:pStyle w:val="Standard"/>
        <w:ind w:left="0"/>
      </w:pPr>
      <w:r>
        <w:rPr>
          <w:b/>
        </w:rPr>
        <w:t>SOW End Date:</w:t>
      </w:r>
    </w:p>
    <w:p w14:paraId="73B97E14" w14:textId="77777777" w:rsidR="00073D09" w:rsidRDefault="00073D09">
      <w:pPr>
        <w:pStyle w:val="Standard"/>
        <w:ind w:left="0"/>
        <w:rPr>
          <w:b/>
        </w:rPr>
      </w:pPr>
    </w:p>
    <w:p w14:paraId="2E26A9E5" w14:textId="77777777" w:rsidR="00073D09" w:rsidRDefault="00500894">
      <w:pPr>
        <w:pStyle w:val="Standard"/>
        <w:ind w:left="0"/>
      </w:pPr>
      <w:r>
        <w:rPr>
          <w:b/>
        </w:rPr>
        <w:t>Duration of SOW:</w:t>
      </w:r>
    </w:p>
    <w:p w14:paraId="1C508DEF" w14:textId="77777777" w:rsidR="00073D09" w:rsidRDefault="00073D09">
      <w:pPr>
        <w:pStyle w:val="Standard"/>
        <w:ind w:left="0"/>
        <w:rPr>
          <w:b/>
        </w:rPr>
      </w:pPr>
    </w:p>
    <w:p w14:paraId="5961D833" w14:textId="77777777" w:rsidR="00073D09" w:rsidRDefault="00500894">
      <w:pPr>
        <w:pStyle w:val="Standard"/>
        <w:ind w:left="0"/>
      </w:pPr>
      <w:r>
        <w:rPr>
          <w:b/>
        </w:rPr>
        <w:t>Key Personnel (Buyer):</w:t>
      </w:r>
    </w:p>
    <w:p w14:paraId="19AFF638" w14:textId="77777777" w:rsidR="00073D09" w:rsidRDefault="00073D09">
      <w:pPr>
        <w:pStyle w:val="Standard"/>
        <w:ind w:left="0"/>
        <w:rPr>
          <w:b/>
        </w:rPr>
      </w:pPr>
    </w:p>
    <w:p w14:paraId="0E858615" w14:textId="77777777" w:rsidR="00073D09" w:rsidRDefault="00500894">
      <w:pPr>
        <w:pStyle w:val="Standard"/>
        <w:ind w:left="0"/>
      </w:pPr>
      <w:r>
        <w:rPr>
          <w:b/>
        </w:rPr>
        <w:t>Key Personnel (Supplier):</w:t>
      </w:r>
    </w:p>
    <w:p w14:paraId="33758EE6" w14:textId="77777777" w:rsidR="00073D09" w:rsidRDefault="00073D09">
      <w:pPr>
        <w:pStyle w:val="Standard"/>
        <w:ind w:left="0"/>
        <w:rPr>
          <w:b/>
        </w:rPr>
      </w:pPr>
    </w:p>
    <w:p w14:paraId="3FF7DB08" w14:textId="77777777" w:rsidR="00073D09" w:rsidRDefault="00500894">
      <w:pPr>
        <w:pStyle w:val="Standard"/>
        <w:ind w:left="0"/>
        <w:sectPr w:rsidR="00073D09">
          <w:headerReference w:type="default" r:id="rId10"/>
          <w:footerReference w:type="default" r:id="rId11"/>
          <w:pgSz w:w="11906" w:h="16838"/>
          <w:pgMar w:top="1440" w:right="1440" w:bottom="1440" w:left="1440" w:header="709" w:footer="709" w:gutter="0"/>
          <w:cols w:space="720"/>
        </w:sectPr>
      </w:pPr>
      <w:r>
        <w:rPr>
          <w:b/>
        </w:rPr>
        <w:t>Subcontractors:</w:t>
      </w:r>
    </w:p>
    <w:p w14:paraId="229A94B4" w14:textId="77777777" w:rsidR="00073D09" w:rsidRDefault="00500894">
      <w:pPr>
        <w:pStyle w:val="ListParagraph"/>
        <w:numPr>
          <w:ilvl w:val="0"/>
          <w:numId w:val="97"/>
        </w:numPr>
      </w:pPr>
      <w:r>
        <w:rPr>
          <w:b/>
        </w:rPr>
        <w:lastRenderedPageBreak/>
        <w:t>Call-Off Contract Specification – Deliverables Context</w:t>
      </w:r>
    </w:p>
    <w:p w14:paraId="1F478C38" w14:textId="77777777" w:rsidR="00073D09" w:rsidRDefault="00500894">
      <w:pPr>
        <w:pStyle w:val="Standard"/>
        <w:ind w:left="0"/>
      </w:pPr>
      <w:r>
        <w:rPr>
          <w:b/>
        </w:rPr>
        <w:t>SOW Deliverables Background</w:t>
      </w:r>
      <w:r>
        <w:t>: [</w:t>
      </w:r>
      <w:r>
        <w:rPr>
          <w:b/>
        </w:rPr>
        <w:t>Insert</w:t>
      </w:r>
      <w:r>
        <w:t xml:space="preserve"> details of which elements of the Deliverables this SOW will address]</w:t>
      </w:r>
    </w:p>
    <w:p w14:paraId="16DAF71F" w14:textId="77777777" w:rsidR="00073D09" w:rsidRDefault="00500894">
      <w:pPr>
        <w:pStyle w:val="Standard"/>
        <w:ind w:left="0"/>
      </w:pPr>
      <w:r>
        <w:rPr>
          <w:b/>
        </w:rPr>
        <w:t>Delivery phase(s)</w:t>
      </w:r>
      <w:r>
        <w:t>: [</w:t>
      </w:r>
      <w:r>
        <w:rPr>
          <w:b/>
        </w:rPr>
        <w:t>Insert</w:t>
      </w:r>
      <w:r>
        <w:t xml:space="preserve"> item and nature of Delivery phase(s), for example, Discovery, Alpha, Beta or Live]</w:t>
      </w:r>
    </w:p>
    <w:p w14:paraId="69470B45" w14:textId="77777777" w:rsidR="00073D09" w:rsidRDefault="00500894">
      <w:pPr>
        <w:pStyle w:val="Standard"/>
        <w:ind w:left="0"/>
      </w:pPr>
      <w:r>
        <w:rPr>
          <w:b/>
        </w:rPr>
        <w:t>Overview of Requirement</w:t>
      </w:r>
      <w:r>
        <w:t>: [</w:t>
      </w:r>
      <w:r>
        <w:rPr>
          <w:b/>
        </w:rPr>
        <w:t>Insert</w:t>
      </w:r>
      <w:r>
        <w:t xml:space="preserve"> details including Release Type(s), for example Ad hoc, Inception, Calibration or Delivery]</w:t>
      </w:r>
    </w:p>
    <w:p w14:paraId="658839F2" w14:textId="77777777" w:rsidR="00073D09" w:rsidRDefault="00500894">
      <w:pPr>
        <w:pStyle w:val="ListParagraph"/>
        <w:numPr>
          <w:ilvl w:val="0"/>
          <w:numId w:val="97"/>
        </w:numPr>
      </w:pPr>
      <w:r>
        <w:rPr>
          <w:b/>
        </w:rPr>
        <w:t>Buyer Requirements – SOW Deliverables</w:t>
      </w:r>
    </w:p>
    <w:p w14:paraId="3623D7A0" w14:textId="77777777" w:rsidR="00073D09" w:rsidRDefault="00500894">
      <w:pPr>
        <w:pStyle w:val="Standard"/>
      </w:pPr>
      <w:r>
        <w:rPr>
          <w:b/>
        </w:rPr>
        <w:t>Outcome Description:</w:t>
      </w:r>
    </w:p>
    <w:p w14:paraId="1813DF62" w14:textId="77777777" w:rsidR="00073D09" w:rsidRDefault="00073D09">
      <w:pPr>
        <w:pStyle w:val="Standard"/>
        <w:ind w:left="0"/>
      </w:pPr>
    </w:p>
    <w:tbl>
      <w:tblPr>
        <w:tblW w:w="9640" w:type="dxa"/>
        <w:tblInd w:w="-152" w:type="dxa"/>
        <w:tblLayout w:type="fixed"/>
        <w:tblCellMar>
          <w:left w:w="10" w:type="dxa"/>
          <w:right w:w="10" w:type="dxa"/>
        </w:tblCellMar>
        <w:tblLook w:val="0000" w:firstRow="0" w:lastRow="0" w:firstColumn="0" w:lastColumn="0" w:noHBand="0" w:noVBand="0"/>
      </w:tblPr>
      <w:tblGrid>
        <w:gridCol w:w="1844"/>
        <w:gridCol w:w="3119"/>
        <w:gridCol w:w="3405"/>
        <w:gridCol w:w="1272"/>
      </w:tblGrid>
      <w:tr w:rsidR="00073D09" w14:paraId="1B193723" w14:textId="77777777">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4D6D664D" w14:textId="77777777" w:rsidR="00073D09" w:rsidRDefault="00500894">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78FA7E8C" w14:textId="77777777" w:rsidR="00073D09" w:rsidRDefault="00500894">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3CD5B440" w14:textId="77777777" w:rsidR="00073D09" w:rsidRDefault="00500894">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6D70CA99" w14:textId="77777777" w:rsidR="00073D09" w:rsidRDefault="00500894">
            <w:pPr>
              <w:pStyle w:val="Standard"/>
              <w:ind w:left="0"/>
            </w:pPr>
            <w:r>
              <w:rPr>
                <w:b/>
              </w:rPr>
              <w:t>Due Date</w:t>
            </w:r>
          </w:p>
        </w:tc>
      </w:tr>
      <w:tr w:rsidR="00073D09" w14:paraId="4FD6209B"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3164EE64" w14:textId="77777777" w:rsidR="00073D09" w:rsidRDefault="00500894">
            <w:pPr>
              <w:pStyle w:val="Standard"/>
              <w:ind w:left="0"/>
            </w:pPr>
            <w: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81A4068" w14:textId="77777777" w:rsidR="00073D09" w:rsidRDefault="00073D09">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2259398" w14:textId="77777777" w:rsidR="00073D09" w:rsidRDefault="00073D09">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69C28CE" w14:textId="77777777" w:rsidR="00073D09" w:rsidRDefault="00073D09">
            <w:pPr>
              <w:pStyle w:val="Standard"/>
              <w:ind w:left="0"/>
            </w:pPr>
          </w:p>
        </w:tc>
      </w:tr>
      <w:tr w:rsidR="00073D09" w14:paraId="75D30535"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64ADB5DE" w14:textId="77777777" w:rsidR="00073D09" w:rsidRDefault="00500894">
            <w:pPr>
              <w:pStyle w:val="Standard"/>
              <w:ind w:left="0"/>
            </w:pPr>
            <w: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7270480" w14:textId="77777777" w:rsidR="00073D09" w:rsidRDefault="00073D09">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EE49032" w14:textId="77777777" w:rsidR="00073D09" w:rsidRDefault="00073D09">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17CA502" w14:textId="77777777" w:rsidR="00073D09" w:rsidRDefault="00073D09">
            <w:pPr>
              <w:pStyle w:val="Standard"/>
              <w:ind w:left="0"/>
            </w:pPr>
          </w:p>
        </w:tc>
      </w:tr>
    </w:tbl>
    <w:p w14:paraId="3B7BA708" w14:textId="77777777" w:rsidR="00073D09" w:rsidRDefault="00500894">
      <w:pPr>
        <w:pStyle w:val="Standard"/>
        <w:ind w:left="0"/>
      </w:pPr>
      <w:r>
        <w:rPr>
          <w:b/>
        </w:rPr>
        <w:t>Delivery Plan:</w:t>
      </w:r>
    </w:p>
    <w:p w14:paraId="11C3C396" w14:textId="77777777" w:rsidR="00073D09" w:rsidRDefault="00500894">
      <w:pPr>
        <w:pStyle w:val="Standard"/>
        <w:ind w:left="0"/>
      </w:pPr>
      <w:r>
        <w:rPr>
          <w:b/>
        </w:rPr>
        <w:t>Dependencies:</w:t>
      </w:r>
    </w:p>
    <w:p w14:paraId="1E3317A1" w14:textId="77777777" w:rsidR="00073D09" w:rsidRDefault="00500894">
      <w:pPr>
        <w:pStyle w:val="Standard"/>
        <w:ind w:left="0"/>
      </w:pPr>
      <w:r>
        <w:rPr>
          <w:b/>
        </w:rPr>
        <w:t>Supplier Resource Plan:</w:t>
      </w:r>
    </w:p>
    <w:p w14:paraId="291E2F91" w14:textId="77777777" w:rsidR="00073D09" w:rsidRDefault="00500894">
      <w:pPr>
        <w:pStyle w:val="Standard"/>
        <w:ind w:left="0"/>
      </w:pPr>
      <w:r>
        <w:rPr>
          <w:b/>
        </w:rPr>
        <w:t>Security Applicable to SOW:</w:t>
      </w:r>
    </w:p>
    <w:p w14:paraId="06138A5F" w14:textId="77777777" w:rsidR="00073D09" w:rsidRDefault="00500894">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36B016EF" w14:textId="77777777" w:rsidR="00073D09" w:rsidRDefault="00500894">
      <w:pPr>
        <w:pStyle w:val="Standard"/>
        <w:ind w:left="0"/>
      </w:pPr>
      <w:r>
        <w:t>[If different security requirements than those set out in Call-Off Schedule 9 (Security) apply under this SOW, these shall be detailed below and apply only to this SOW:</w:t>
      </w:r>
    </w:p>
    <w:p w14:paraId="1C6CA00D" w14:textId="77777777" w:rsidR="00073D09" w:rsidRDefault="00500894">
      <w:pPr>
        <w:pStyle w:val="Standard"/>
        <w:ind w:left="0"/>
      </w:pPr>
      <w:r>
        <w:t>[</w:t>
      </w:r>
      <w:r>
        <w:rPr>
          <w:b/>
        </w:rPr>
        <w:t>Insert if necessary</w:t>
      </w:r>
      <w:proofErr w:type="gramStart"/>
      <w:r>
        <w:rPr>
          <w:b/>
        </w:rPr>
        <w:t>]</w:t>
      </w:r>
      <w:r>
        <w:t xml:space="preserve"> ]</w:t>
      </w:r>
      <w:proofErr w:type="gramEnd"/>
    </w:p>
    <w:p w14:paraId="0E44C24E" w14:textId="77777777" w:rsidR="00073D09" w:rsidRDefault="00500894">
      <w:pPr>
        <w:pStyle w:val="Standard"/>
        <w:ind w:left="0"/>
      </w:pPr>
      <w:r>
        <w:rPr>
          <w:b/>
        </w:rPr>
        <w:t>Cyber Essentials Scheme:</w:t>
      </w:r>
    </w:p>
    <w:p w14:paraId="7EDEEAEC" w14:textId="77777777" w:rsidR="00073D09" w:rsidRDefault="00500894">
      <w:pPr>
        <w:pStyle w:val="Standard"/>
        <w:ind w:left="0"/>
      </w:pPr>
      <w:r>
        <w:t xml:space="preserve">The Buyer requires the Supplier to have and maintain a </w:t>
      </w:r>
      <w:r>
        <w:rPr>
          <w:b/>
        </w:rPr>
        <w:t>Cyber Essentials Certificate</w:t>
      </w:r>
      <w:r>
        <w:t xml:space="preserve"> for the work undertaken under this SOW, in accordance with Call-Off Schedule 26 (Cyber Essentials Scheme). Not applicable</w:t>
      </w:r>
    </w:p>
    <w:p w14:paraId="48E74F9A" w14:textId="77777777" w:rsidR="00073D09" w:rsidRDefault="00500894">
      <w:pPr>
        <w:pStyle w:val="Standard"/>
        <w:ind w:left="0"/>
      </w:pPr>
      <w:r>
        <w:rPr>
          <w:b/>
        </w:rPr>
        <w:t>SOW Standards:</w:t>
      </w:r>
    </w:p>
    <w:p w14:paraId="6CE5A820" w14:textId="77777777" w:rsidR="00073D09" w:rsidRDefault="00500894">
      <w:pPr>
        <w:pStyle w:val="Standard"/>
        <w:ind w:left="0"/>
      </w:pPr>
      <w:r>
        <w:t>[</w:t>
      </w:r>
      <w:r>
        <w:rPr>
          <w:b/>
        </w:rPr>
        <w:t>Insert</w:t>
      </w:r>
      <w:r>
        <w:t xml:space="preserve"> any specific Standards applicable to this SOW (check Annex 3 of Framework Schedule 6 (Order Form Template, SOW Template and Call-Off Schedules)]</w:t>
      </w:r>
    </w:p>
    <w:p w14:paraId="416FC405" w14:textId="77777777" w:rsidR="00073D09" w:rsidRDefault="00500894">
      <w:pPr>
        <w:pStyle w:val="Standard"/>
        <w:ind w:left="0"/>
      </w:pPr>
      <w:r>
        <w:rPr>
          <w:b/>
        </w:rPr>
        <w:t>Performance Management:</w:t>
      </w:r>
    </w:p>
    <w:p w14:paraId="77BFB8F9" w14:textId="77777777" w:rsidR="00073D09" w:rsidRDefault="00500894">
      <w:pPr>
        <w:pStyle w:val="Standard"/>
        <w:ind w:left="0"/>
      </w:pPr>
      <w:r>
        <w:t>[</w:t>
      </w:r>
      <w:r>
        <w:rPr>
          <w:b/>
        </w:rPr>
        <w:t>Insert</w:t>
      </w:r>
      <w:r>
        <w:t xml:space="preserve"> details of Material KPIs that have a material impact on Contract performance]</w:t>
      </w:r>
    </w:p>
    <w:tbl>
      <w:tblPr>
        <w:tblW w:w="9634" w:type="dxa"/>
        <w:tblLayout w:type="fixed"/>
        <w:tblCellMar>
          <w:left w:w="10" w:type="dxa"/>
          <w:right w:w="10" w:type="dxa"/>
        </w:tblCellMar>
        <w:tblLook w:val="0000" w:firstRow="0" w:lastRow="0" w:firstColumn="0" w:lastColumn="0" w:noHBand="0" w:noVBand="0"/>
      </w:tblPr>
      <w:tblGrid>
        <w:gridCol w:w="3538"/>
        <w:gridCol w:w="2835"/>
        <w:gridCol w:w="3261"/>
      </w:tblGrid>
      <w:tr w:rsidR="00073D09" w14:paraId="0FCE6ECC"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B66" w14:textId="77777777" w:rsidR="00073D09" w:rsidRDefault="00500894">
            <w:pPr>
              <w:pStyle w:val="Standard"/>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FE41B" w14:textId="77777777" w:rsidR="00073D09" w:rsidRDefault="00500894">
            <w:pPr>
              <w:pStyle w:val="Standard"/>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EC7A8" w14:textId="77777777" w:rsidR="00073D09" w:rsidRDefault="00500894">
            <w:pPr>
              <w:pStyle w:val="Standard"/>
              <w:ind w:left="0"/>
            </w:pPr>
            <w:r>
              <w:rPr>
                <w:b/>
              </w:rPr>
              <w:t>Measured by</w:t>
            </w:r>
          </w:p>
        </w:tc>
      </w:tr>
      <w:tr w:rsidR="00073D09" w14:paraId="1C9D7B10"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D37C3" w14:textId="77777777" w:rsidR="00073D09" w:rsidRDefault="00073D09">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121C2" w14:textId="77777777" w:rsidR="00073D09" w:rsidRDefault="00073D09">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8FB4D" w14:textId="77777777" w:rsidR="00073D09" w:rsidRDefault="00073D09">
            <w:pPr>
              <w:pStyle w:val="Standard"/>
              <w:ind w:left="0"/>
            </w:pPr>
          </w:p>
        </w:tc>
      </w:tr>
      <w:tr w:rsidR="00073D09" w14:paraId="6FE02A89"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6D03B" w14:textId="77777777" w:rsidR="00073D09" w:rsidRDefault="00073D09">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F42D9" w14:textId="77777777" w:rsidR="00073D09" w:rsidRDefault="00073D09">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963" w14:textId="77777777" w:rsidR="00073D09" w:rsidRDefault="00073D09">
            <w:pPr>
              <w:pStyle w:val="Standard"/>
              <w:ind w:left="0"/>
            </w:pPr>
          </w:p>
        </w:tc>
      </w:tr>
    </w:tbl>
    <w:p w14:paraId="05CCC63B" w14:textId="77777777" w:rsidR="00073D09" w:rsidRDefault="00500894">
      <w:pPr>
        <w:pStyle w:val="Standard"/>
        <w:ind w:left="0"/>
      </w:pPr>
      <w:r>
        <w:lastRenderedPageBreak/>
        <w:t>[</w:t>
      </w:r>
      <w:r>
        <w:rPr>
          <w:b/>
        </w:rPr>
        <w:t>Insert</w:t>
      </w:r>
      <w:r>
        <w:t xml:space="preserve"> Service Levels and/or KPIs – See Call-Off Schedule 14 (Service Levels and Balanced Scorecard]</w:t>
      </w:r>
    </w:p>
    <w:p w14:paraId="1BDD6DAC" w14:textId="77777777" w:rsidR="00073D09" w:rsidRDefault="00500894">
      <w:pPr>
        <w:pStyle w:val="Standard"/>
        <w:ind w:left="0"/>
      </w:pPr>
      <w:r>
        <w:rPr>
          <w:b/>
        </w:rPr>
        <w:t>Additional Requirements:</w:t>
      </w:r>
    </w:p>
    <w:p w14:paraId="18C527B8" w14:textId="77777777" w:rsidR="00073D09" w:rsidRDefault="00500894">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5E917537" w14:textId="77777777" w:rsidR="00073D09" w:rsidRDefault="00500894">
      <w:pPr>
        <w:pStyle w:val="Standard"/>
        <w:ind w:left="0"/>
      </w:pPr>
      <w:r>
        <w:rPr>
          <w:b/>
        </w:rPr>
        <w:t>Key Supplier Staff:</w:t>
      </w:r>
    </w:p>
    <w:tbl>
      <w:tblPr>
        <w:tblW w:w="9744" w:type="dxa"/>
        <w:tblInd w:w="32" w:type="dxa"/>
        <w:tblLayout w:type="fixed"/>
        <w:tblCellMar>
          <w:left w:w="10" w:type="dxa"/>
          <w:right w:w="10" w:type="dxa"/>
        </w:tblCellMar>
        <w:tblLook w:val="0000" w:firstRow="0" w:lastRow="0" w:firstColumn="0" w:lastColumn="0" w:noHBand="0" w:noVBand="0"/>
      </w:tblPr>
      <w:tblGrid>
        <w:gridCol w:w="1948"/>
        <w:gridCol w:w="1844"/>
        <w:gridCol w:w="2126"/>
        <w:gridCol w:w="3826"/>
      </w:tblGrid>
      <w:tr w:rsidR="00073D09" w14:paraId="45BBC40E"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A1BD" w14:textId="77777777" w:rsidR="00073D09" w:rsidRDefault="00500894">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9293" w14:textId="77777777" w:rsidR="00073D09" w:rsidRDefault="00500894">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CCBF" w14:textId="77777777" w:rsidR="00073D09" w:rsidRDefault="00500894">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8FD6" w14:textId="77777777" w:rsidR="00073D09" w:rsidRDefault="00500894">
            <w:pPr>
              <w:pStyle w:val="Standard"/>
              <w:ind w:left="0"/>
            </w:pPr>
            <w:r>
              <w:rPr>
                <w:b/>
              </w:rPr>
              <w:t>Employment / Engagement Route (incl. inside/outside IR35)</w:t>
            </w:r>
          </w:p>
        </w:tc>
      </w:tr>
      <w:tr w:rsidR="00073D09" w14:paraId="649BEC10"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3995" w14:textId="77777777" w:rsidR="00073D09" w:rsidRDefault="00073D09">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6E391" w14:textId="77777777" w:rsidR="00073D09" w:rsidRDefault="00073D09">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14BB" w14:textId="77777777" w:rsidR="00073D09" w:rsidRDefault="00073D09">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928B9" w14:textId="77777777" w:rsidR="00073D09" w:rsidRDefault="00073D09">
            <w:pPr>
              <w:pStyle w:val="Standard"/>
              <w:ind w:left="0"/>
            </w:pPr>
          </w:p>
        </w:tc>
      </w:tr>
      <w:tr w:rsidR="00073D09" w14:paraId="416FF0C7"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C1E1E" w14:textId="77777777" w:rsidR="00073D09" w:rsidRDefault="00073D09">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4BD9" w14:textId="77777777" w:rsidR="00073D09" w:rsidRDefault="00073D09">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B3B4" w14:textId="77777777" w:rsidR="00073D09" w:rsidRDefault="00073D09">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8BB22" w14:textId="77777777" w:rsidR="00073D09" w:rsidRDefault="00073D09">
            <w:pPr>
              <w:pStyle w:val="Standard"/>
              <w:ind w:left="0"/>
            </w:pPr>
          </w:p>
        </w:tc>
      </w:tr>
      <w:tr w:rsidR="00073D09" w14:paraId="5CFA31CC"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CB92" w14:textId="77777777" w:rsidR="00073D09" w:rsidRDefault="00073D09">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929A" w14:textId="77777777" w:rsidR="00073D09" w:rsidRDefault="00073D09">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13CF" w14:textId="77777777" w:rsidR="00073D09" w:rsidRDefault="00073D09">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7BB53" w14:textId="77777777" w:rsidR="00073D09" w:rsidRDefault="00073D09">
            <w:pPr>
              <w:pStyle w:val="Standard"/>
              <w:ind w:left="0"/>
            </w:pPr>
          </w:p>
        </w:tc>
      </w:tr>
      <w:tr w:rsidR="00073D09" w14:paraId="47282922"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465D" w14:textId="77777777" w:rsidR="00073D09" w:rsidRDefault="00073D09">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1CCD" w14:textId="77777777" w:rsidR="00073D09" w:rsidRDefault="00073D09">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B518" w14:textId="77777777" w:rsidR="00073D09" w:rsidRDefault="00073D09">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44A5" w14:textId="77777777" w:rsidR="00073D09" w:rsidRDefault="00073D09">
            <w:pPr>
              <w:pStyle w:val="Standard"/>
              <w:ind w:left="0"/>
            </w:pPr>
          </w:p>
        </w:tc>
      </w:tr>
    </w:tbl>
    <w:p w14:paraId="6ABEEA38" w14:textId="77777777" w:rsidR="00073D09" w:rsidRDefault="00500894">
      <w:pPr>
        <w:pStyle w:val="Standard"/>
        <w:ind w:left="0"/>
      </w:pPr>
      <w:r>
        <w:t>[</w:t>
      </w:r>
      <w:r>
        <w:rPr>
          <w:b/>
        </w:rPr>
        <w:t>Indicate</w:t>
      </w:r>
      <w:r>
        <w:t>: whether there is any requirement to issue a Status Determination Statement]</w:t>
      </w:r>
    </w:p>
    <w:p w14:paraId="392C63A0" w14:textId="77777777" w:rsidR="00073D09" w:rsidRDefault="00500894">
      <w:pPr>
        <w:pStyle w:val="Standard"/>
        <w:ind w:left="0"/>
      </w:pPr>
      <w:r>
        <w:rPr>
          <w:b/>
        </w:rPr>
        <w:t>SOW Reporting Requirements:</w:t>
      </w:r>
    </w:p>
    <w:p w14:paraId="76F6BF92" w14:textId="77777777" w:rsidR="00073D09" w:rsidRDefault="00500894">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4" w:type="dxa"/>
        <w:tblLayout w:type="fixed"/>
        <w:tblCellMar>
          <w:left w:w="10" w:type="dxa"/>
          <w:right w:w="10" w:type="dxa"/>
        </w:tblCellMar>
        <w:tblLook w:val="0000" w:firstRow="0" w:lastRow="0" w:firstColumn="0" w:lastColumn="0" w:noHBand="0" w:noVBand="0"/>
      </w:tblPr>
      <w:tblGrid>
        <w:gridCol w:w="652"/>
        <w:gridCol w:w="2646"/>
        <w:gridCol w:w="3076"/>
        <w:gridCol w:w="3260"/>
      </w:tblGrid>
      <w:tr w:rsidR="00073D09" w14:paraId="5FEC9030"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04B0F" w14:textId="77777777" w:rsidR="00073D09" w:rsidRDefault="00500894">
            <w:pPr>
              <w:pStyle w:val="Standard"/>
              <w:ind w:left="0"/>
            </w:pPr>
            <w:r>
              <w:rPr>
                <w:b/>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6494" w14:textId="77777777" w:rsidR="00073D09" w:rsidRDefault="00500894">
            <w:pPr>
              <w:pStyle w:val="Standard"/>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B4B6B" w14:textId="77777777" w:rsidR="00073D09" w:rsidRDefault="00500894">
            <w:pPr>
              <w:pStyle w:val="Standard"/>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936E9" w14:textId="77777777" w:rsidR="00073D09" w:rsidRDefault="00500894">
            <w:pPr>
              <w:pStyle w:val="Standard"/>
              <w:ind w:left="0"/>
            </w:pPr>
            <w:r>
              <w:rPr>
                <w:b/>
              </w:rPr>
              <w:t>Required regularity of Submission</w:t>
            </w:r>
          </w:p>
        </w:tc>
      </w:tr>
      <w:tr w:rsidR="00073D09" w14:paraId="290D8D9A"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71E8" w14:textId="77777777" w:rsidR="00073D09" w:rsidRDefault="00500894">
            <w:pPr>
              <w:pStyle w:val="Standard"/>
              <w:ind w:left="0"/>
            </w:pPr>
            <w: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29D68" w14:textId="77777777" w:rsidR="00073D09" w:rsidRDefault="00500894">
            <w:pPr>
              <w:pStyle w:val="Standard"/>
              <w:ind w:left="0"/>
            </w:pPr>
            <w:r>
              <w:t>[</w:t>
            </w:r>
            <w:r>
              <w:rPr>
                <w:b/>
              </w:rPr>
              <w:t>insert</w:t>
            </w:r>
            <w:r>
              <w:t>]</w:t>
            </w:r>
          </w:p>
        </w:tc>
      </w:tr>
      <w:tr w:rsidR="00073D09" w14:paraId="4E549202"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193A" w14:textId="77777777" w:rsidR="00073D09" w:rsidRDefault="00500894">
            <w:pPr>
              <w:pStyle w:val="Standard"/>
              <w:ind w:left="0"/>
            </w:pPr>
            <w: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A761A" w14:textId="77777777" w:rsidR="00073D09" w:rsidRDefault="00500894">
            <w:pPr>
              <w:pStyle w:val="Standard"/>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1877B" w14:textId="77777777" w:rsidR="00073D09" w:rsidRDefault="00500894">
            <w:pPr>
              <w:pStyle w:val="Standard"/>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50D4" w14:textId="77777777" w:rsidR="00073D09" w:rsidRDefault="00500894">
            <w:pPr>
              <w:pStyle w:val="Standard"/>
              <w:ind w:left="0"/>
            </w:pPr>
            <w:r>
              <w:t>[insert]</w:t>
            </w:r>
          </w:p>
        </w:tc>
      </w:tr>
    </w:tbl>
    <w:p w14:paraId="1D722B06" w14:textId="77777777" w:rsidR="00073D09" w:rsidRDefault="00073D09">
      <w:pPr>
        <w:pStyle w:val="ListParagraph"/>
        <w:ind w:left="432"/>
        <w:rPr>
          <w:b/>
        </w:rPr>
      </w:pPr>
    </w:p>
    <w:p w14:paraId="3FE945EB" w14:textId="77777777" w:rsidR="00073D09" w:rsidRDefault="00500894">
      <w:pPr>
        <w:pStyle w:val="ListParagraph"/>
        <w:numPr>
          <w:ilvl w:val="0"/>
          <w:numId w:val="97"/>
        </w:numPr>
      </w:pPr>
      <w:r>
        <w:rPr>
          <w:b/>
        </w:rPr>
        <w:t>Charges</w:t>
      </w:r>
    </w:p>
    <w:p w14:paraId="732C1FCF" w14:textId="77777777" w:rsidR="00073D09" w:rsidRDefault="00500894">
      <w:pPr>
        <w:pStyle w:val="Standard"/>
      </w:pPr>
      <w:r>
        <w:rPr>
          <w:b/>
        </w:rPr>
        <w:t>Call Off Contract Charges:</w:t>
      </w:r>
    </w:p>
    <w:p w14:paraId="7ECD476D" w14:textId="77777777" w:rsidR="00073D09" w:rsidRDefault="00500894">
      <w:pPr>
        <w:pStyle w:val="Standard"/>
        <w:ind w:left="0"/>
      </w:pPr>
      <w:r>
        <w:t>The applicable charging method(s) for this SOW is:</w:t>
      </w:r>
    </w:p>
    <w:p w14:paraId="243A0AEC" w14:textId="77777777" w:rsidR="00073D09" w:rsidRDefault="00500894">
      <w:pPr>
        <w:pStyle w:val="Standard"/>
        <w:numPr>
          <w:ilvl w:val="0"/>
          <w:numId w:val="66"/>
        </w:numPr>
        <w:ind w:left="723"/>
      </w:pPr>
      <w:r>
        <w:rPr>
          <w:rFonts w:eastAsia="Arial"/>
          <w:color w:val="000000"/>
        </w:rPr>
        <w:t>[Capped Time and Materials]</w:t>
      </w:r>
    </w:p>
    <w:p w14:paraId="61C1CFFB" w14:textId="77777777" w:rsidR="00073D09" w:rsidRDefault="00073D09">
      <w:pPr>
        <w:pStyle w:val="Standard"/>
        <w:numPr>
          <w:ilvl w:val="0"/>
          <w:numId w:val="66"/>
        </w:numPr>
        <w:ind w:left="723"/>
      </w:pPr>
    </w:p>
    <w:p w14:paraId="6354BEA0" w14:textId="21DF84C3" w:rsidR="00073D09" w:rsidRDefault="00500894">
      <w:pPr>
        <w:pStyle w:val="Standard"/>
        <w:ind w:left="0"/>
      </w:pPr>
      <w:r>
        <w:t>The estimated maximum value of this SOW (irrespective of the selected charging method) is £</w:t>
      </w:r>
      <w:r w:rsidR="00755F4F">
        <w:t xml:space="preserve"> </w:t>
      </w:r>
    </w:p>
    <w:p w14:paraId="4521F649" w14:textId="77777777" w:rsidR="00073D09" w:rsidRDefault="00500894">
      <w:pPr>
        <w:pStyle w:val="Standard"/>
        <w:ind w:left="0"/>
      </w:pPr>
      <w:r>
        <w:rPr>
          <w:b/>
        </w:rPr>
        <w:t>Rate Cards Applicable:</w:t>
      </w:r>
    </w:p>
    <w:p w14:paraId="42F23984" w14:textId="77777777" w:rsidR="00073D09" w:rsidRDefault="00500894">
      <w:pPr>
        <w:pStyle w:val="Standard"/>
        <w:pageBreakBefore/>
        <w:ind w:left="0"/>
      </w:pPr>
      <w:r>
        <w:lastRenderedPageBreak/>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6195657A" w14:textId="77777777" w:rsidR="00073D09" w:rsidRDefault="00500894">
      <w:pPr>
        <w:pStyle w:val="Standard"/>
        <w:ind w:left="0"/>
      </w:pPr>
      <w:r>
        <w:rPr>
          <w:b/>
        </w:rPr>
        <w:t>Reimbursable Expenses:</w:t>
      </w:r>
    </w:p>
    <w:p w14:paraId="3B62E212" w14:textId="77777777" w:rsidR="00073D09" w:rsidRDefault="00500894">
      <w:pPr>
        <w:pStyle w:val="Standard"/>
        <w:ind w:left="0"/>
      </w:pPr>
      <w:r>
        <w:t>[See Expenses Policy in Annex 1 to Call-Off Schedule 5 (Pricing Details and Expenses Policy</w:t>
      </w:r>
      <w:proofErr w:type="gramStart"/>
      <w:r>
        <w:t>) ]</w:t>
      </w:r>
      <w:proofErr w:type="gramEnd"/>
    </w:p>
    <w:p w14:paraId="5B87A3D4" w14:textId="77777777" w:rsidR="00073D09" w:rsidRDefault="00500894">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7DA4ED4E" w14:textId="77777777" w:rsidR="00073D09" w:rsidRDefault="00500894">
      <w:pPr>
        <w:pStyle w:val="Standard"/>
        <w:ind w:left="0"/>
      </w:pPr>
      <w:r>
        <w:t>[None]</w:t>
      </w:r>
    </w:p>
    <w:p w14:paraId="3B30BBC1" w14:textId="77777777" w:rsidR="00073D09" w:rsidRDefault="00500894">
      <w:pPr>
        <w:pStyle w:val="Standard"/>
        <w:ind w:left="0"/>
      </w:pPr>
      <w:r>
        <w:t>[</w:t>
      </w:r>
      <w:r>
        <w:rPr>
          <w:b/>
        </w:rPr>
        <w:t>Buyer</w:t>
      </w:r>
      <w:r>
        <w:t xml:space="preserve"> to delete as appropriate for this SOW]</w:t>
      </w:r>
    </w:p>
    <w:p w14:paraId="579F9CAD" w14:textId="77777777" w:rsidR="00073D09" w:rsidRDefault="00500894">
      <w:pPr>
        <w:pStyle w:val="ListParagraph"/>
        <w:numPr>
          <w:ilvl w:val="0"/>
          <w:numId w:val="97"/>
        </w:numPr>
      </w:pPr>
      <w:r>
        <w:rPr>
          <w:b/>
        </w:rPr>
        <w:t>Signatures and Approvals</w:t>
      </w:r>
    </w:p>
    <w:p w14:paraId="214A7037" w14:textId="77777777" w:rsidR="00073D09" w:rsidRDefault="00500894">
      <w:pPr>
        <w:pStyle w:val="Standard"/>
        <w:ind w:left="0"/>
      </w:pPr>
      <w:r>
        <w:rPr>
          <w:b/>
        </w:rPr>
        <w:t>Agreement of this SOW</w:t>
      </w:r>
    </w:p>
    <w:p w14:paraId="3FBFBFE1" w14:textId="77777777" w:rsidR="00073D09" w:rsidRDefault="00500894">
      <w:pPr>
        <w:pStyle w:val="Standard"/>
        <w:ind w:left="0"/>
      </w:pPr>
      <w:r>
        <w:t>BY SIGNING this Statement of Work, the Parties agree that it shall be incorporated into Appendix 1 of the Order Form and incorporated into the Call-Off Contract and be legally binding on the Parties:</w:t>
      </w:r>
    </w:p>
    <w:p w14:paraId="3A30E2AC" w14:textId="77777777" w:rsidR="00073D09" w:rsidRDefault="00500894">
      <w:pPr>
        <w:pStyle w:val="Standard"/>
        <w:ind w:left="0"/>
      </w:pPr>
      <w:r>
        <w:rPr>
          <w:b/>
        </w:rPr>
        <w:t>For and on behalf of the Supplier</w:t>
      </w:r>
    </w:p>
    <w:p w14:paraId="0074A25A" w14:textId="77777777" w:rsidR="00073D09" w:rsidRDefault="00500894">
      <w:pPr>
        <w:pStyle w:val="Standard"/>
        <w:ind w:left="0"/>
      </w:pPr>
      <w:r>
        <w:t>Name:</w:t>
      </w:r>
    </w:p>
    <w:p w14:paraId="1584FD36" w14:textId="77777777" w:rsidR="00073D09" w:rsidRDefault="00500894">
      <w:pPr>
        <w:pStyle w:val="Standard"/>
        <w:ind w:left="0"/>
      </w:pPr>
      <w:r>
        <w:t>Title:</w:t>
      </w:r>
    </w:p>
    <w:p w14:paraId="29F2C208" w14:textId="77777777" w:rsidR="00073D09" w:rsidRDefault="00500894">
      <w:pPr>
        <w:pStyle w:val="Standard"/>
        <w:ind w:left="0"/>
      </w:pPr>
      <w:r>
        <w:t>Date:</w:t>
      </w:r>
    </w:p>
    <w:p w14:paraId="610A81D6" w14:textId="77777777" w:rsidR="00073D09" w:rsidRDefault="00500894">
      <w:pPr>
        <w:pStyle w:val="Standard"/>
        <w:ind w:left="0"/>
      </w:pPr>
      <w:r>
        <w:t>Signature:</w:t>
      </w:r>
    </w:p>
    <w:p w14:paraId="6B23D787" w14:textId="77777777" w:rsidR="00073D09" w:rsidRDefault="00500894">
      <w:pPr>
        <w:pStyle w:val="Standard"/>
        <w:ind w:left="0"/>
      </w:pPr>
      <w:r>
        <w:rPr>
          <w:b/>
        </w:rPr>
        <w:t>For and on behalf of the Buyer</w:t>
      </w:r>
    </w:p>
    <w:p w14:paraId="59104409" w14:textId="77777777" w:rsidR="00073D09" w:rsidRDefault="00500894">
      <w:pPr>
        <w:pStyle w:val="Standard"/>
        <w:ind w:left="0"/>
      </w:pPr>
      <w:r>
        <w:t>Name:</w:t>
      </w:r>
    </w:p>
    <w:p w14:paraId="600EFFFC" w14:textId="77777777" w:rsidR="00073D09" w:rsidRDefault="00500894">
      <w:pPr>
        <w:pStyle w:val="Standard"/>
        <w:ind w:left="0"/>
      </w:pPr>
      <w:r>
        <w:t>Title:</w:t>
      </w:r>
    </w:p>
    <w:p w14:paraId="3A7F43E8" w14:textId="77777777" w:rsidR="00073D09" w:rsidRDefault="00500894">
      <w:pPr>
        <w:pStyle w:val="Standard"/>
        <w:ind w:left="0"/>
      </w:pPr>
      <w:r>
        <w:t>Date:</w:t>
      </w:r>
    </w:p>
    <w:p w14:paraId="3F5D018F" w14:textId="77777777" w:rsidR="00073D09" w:rsidRDefault="00500894">
      <w:pPr>
        <w:pStyle w:val="Standard"/>
        <w:ind w:left="0"/>
      </w:pPr>
      <w:r>
        <w:t>Signature:</w:t>
      </w:r>
    </w:p>
    <w:p w14:paraId="6E11A277" w14:textId="77777777" w:rsidR="00073D09" w:rsidRDefault="00073D09">
      <w:pPr>
        <w:pStyle w:val="Standard"/>
        <w:widowControl/>
        <w:spacing w:before="0" w:after="160"/>
        <w:ind w:left="0"/>
        <w:rPr>
          <w:b/>
          <w:color w:val="000000"/>
          <w:sz w:val="36"/>
          <w:szCs w:val="36"/>
        </w:rPr>
      </w:pPr>
    </w:p>
    <w:p w14:paraId="35928F11" w14:textId="77777777" w:rsidR="00073D09" w:rsidRDefault="00500894">
      <w:pPr>
        <w:pStyle w:val="Heading3"/>
        <w:pageBreakBefore/>
      </w:pPr>
      <w:r>
        <w:lastRenderedPageBreak/>
        <w:t>Annex 1</w:t>
      </w:r>
    </w:p>
    <w:p w14:paraId="52873EF0" w14:textId="77777777" w:rsidR="00073D09" w:rsidRDefault="00500894">
      <w:pPr>
        <w:pStyle w:val="Heading3"/>
      </w:pPr>
      <w:r>
        <w:t>Data Processing</w:t>
      </w:r>
    </w:p>
    <w:p w14:paraId="29866D22" w14:textId="77777777" w:rsidR="00073D09" w:rsidRDefault="00500894">
      <w:pPr>
        <w:pStyle w:val="Standard"/>
        <w:ind w:left="0"/>
      </w:pPr>
      <w:r>
        <w:t xml:space="preserve">Prior to the execution of this Statement of Work, the Parties shall review Annex 1 of Joint Schedule 11 (Processing Data) and if the contents of Annex 1 </w:t>
      </w:r>
      <w:proofErr w:type="gramStart"/>
      <w:r>
        <w:t>does</w:t>
      </w:r>
      <w:proofErr w:type="gramEnd"/>
      <w: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25157311" w14:textId="77777777" w:rsidR="00073D09" w:rsidRDefault="00500894">
      <w:pPr>
        <w:pStyle w:val="Standard"/>
        <w:ind w:left="0"/>
      </w:pPr>
      <w:r>
        <w:t>Template Annex 1 of Joint Schedule 11 (Processing Data) Below</w:t>
      </w:r>
    </w:p>
    <w:p w14:paraId="42EC121E" w14:textId="77777777" w:rsidR="00073D09" w:rsidRDefault="00073D09">
      <w:pPr>
        <w:pStyle w:val="Standard"/>
        <w:ind w:left="0"/>
      </w:pP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073D09" w14:paraId="523CC409"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FD28D" w14:textId="77777777" w:rsidR="00073D09" w:rsidRDefault="00500894">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D5A44" w14:textId="77777777" w:rsidR="00073D09" w:rsidRDefault="00500894">
            <w:pPr>
              <w:pStyle w:val="Standard"/>
              <w:ind w:left="0"/>
            </w:pPr>
            <w:r>
              <w:rPr>
                <w:b/>
              </w:rPr>
              <w:t>Details</w:t>
            </w:r>
          </w:p>
        </w:tc>
      </w:tr>
      <w:tr w:rsidR="00073D09" w14:paraId="55A09F80"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653D" w14:textId="77777777" w:rsidR="00073D09" w:rsidRDefault="00500894">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9214" w14:textId="77777777" w:rsidR="00073D09" w:rsidRDefault="00500894">
            <w:pPr>
              <w:pStyle w:val="Standard"/>
              <w:ind w:left="0"/>
            </w:pPr>
            <w:r>
              <w:rPr>
                <w:b/>
              </w:rPr>
              <w:t>The Relevant Authority is Controller and the Supplier is Processor</w:t>
            </w:r>
          </w:p>
          <w:p w14:paraId="1909D699" w14:textId="77777777" w:rsidR="00073D09" w:rsidRDefault="00500894">
            <w:pPr>
              <w:pStyle w:val="Standard"/>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297A5877" w14:textId="77777777" w:rsidR="00073D09" w:rsidRDefault="00500894">
            <w:pPr>
              <w:pStyle w:val="Standard"/>
              <w:ind w:left="0"/>
            </w:pPr>
            <w:r>
              <w:rPr>
                <w:color w:val="000000"/>
              </w:rPr>
              <w:t xml:space="preserve">The Supplier will work with the Buyer’s data collecting feedback and comments from users and subject matter experts related to the areas of focus outlined in the Statement of Requirements. </w:t>
            </w:r>
          </w:p>
        </w:tc>
      </w:tr>
      <w:tr w:rsidR="00073D09" w14:paraId="4390EA79"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DC47" w14:textId="77777777" w:rsidR="00073D09" w:rsidRDefault="00500894">
            <w:pPr>
              <w:pStyle w:val="Standard"/>
              <w:ind w:left="0"/>
            </w:pPr>
            <w: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3D0D" w14:textId="77777777" w:rsidR="00073D09" w:rsidRDefault="00500894">
            <w:pPr>
              <w:pStyle w:val="Standard"/>
              <w:ind w:left="0"/>
            </w:pPr>
            <w:r>
              <w:rPr>
                <w:color w:val="000000"/>
              </w:rPr>
              <w:t>The Supplier will only process data for the duration of their contract (no more than 18 months).  They will transfer that data to the Buyer after every packet of research has been completed.</w:t>
            </w:r>
          </w:p>
        </w:tc>
      </w:tr>
      <w:tr w:rsidR="00073D09" w14:paraId="256C2968"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FA20" w14:textId="77777777" w:rsidR="00073D09" w:rsidRDefault="00500894">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731F" w14:textId="77777777" w:rsidR="00073D09" w:rsidRDefault="00500894">
            <w:pPr>
              <w:pStyle w:val="Standard"/>
              <w:ind w:left="0"/>
            </w:pPr>
            <w:r>
              <w:rPr>
                <w:color w:val="000000"/>
              </w:rPr>
              <w:t>The Supplier will be collecting feedback and comments from users and subject matter experts related to the areas of focus outlined in the Statement of Requirements.  They will analyse this data to form insights and recommendations for The Buyer.</w:t>
            </w:r>
          </w:p>
        </w:tc>
      </w:tr>
      <w:tr w:rsidR="00073D09" w14:paraId="3850EC73"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D36A6" w14:textId="77777777" w:rsidR="00073D09" w:rsidRDefault="00500894">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5D29" w14:textId="77777777" w:rsidR="00073D09" w:rsidRDefault="00500894">
            <w:pPr>
              <w:pStyle w:val="Standard"/>
              <w:ind w:left="0"/>
            </w:pPr>
            <w:r>
              <w:rPr>
                <w:color w:val="000000"/>
              </w:rPr>
              <w:t>Names of research participants and subject matter experts, their contact details (including phone numbers and e-mail addresses), notes and insights related to research exercises, including but not limited to written notes, workshop content, audio and video recordings.</w:t>
            </w:r>
          </w:p>
        </w:tc>
      </w:tr>
      <w:tr w:rsidR="00073D09" w14:paraId="3A17EF85"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C9AD" w14:textId="77777777" w:rsidR="00073D09" w:rsidRDefault="00500894">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B9C7" w14:textId="77777777" w:rsidR="00073D09" w:rsidRDefault="00500894">
            <w:pPr>
              <w:pStyle w:val="Standard"/>
              <w:ind w:left="0"/>
            </w:pPr>
            <w:r>
              <w:rPr>
                <w:color w:val="000000"/>
              </w:rPr>
              <w:t>The data will be collected from those willing to be subjects of user research, which could include both civil servants and members of the public.</w:t>
            </w:r>
          </w:p>
        </w:tc>
      </w:tr>
      <w:tr w:rsidR="00073D09" w14:paraId="0A95A096"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8E45" w14:textId="77777777" w:rsidR="00073D09" w:rsidRDefault="00500894">
            <w:pPr>
              <w:pStyle w:val="Standard"/>
              <w:ind w:left="0"/>
            </w:pPr>
            <w:r>
              <w:t>Plan for return and destruction of the data once the Processing is complete</w:t>
            </w:r>
          </w:p>
          <w:p w14:paraId="6AFAB572" w14:textId="77777777" w:rsidR="00073D09" w:rsidRDefault="00500894">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FC216" w14:textId="77777777" w:rsidR="00073D09" w:rsidRDefault="00500894">
            <w:pPr>
              <w:pStyle w:val="Standard"/>
              <w:ind w:left="0"/>
            </w:pPr>
            <w:r>
              <w:rPr>
                <w:color w:val="000000"/>
              </w:rPr>
              <w:t>The Supplier will hold personal data only so long as they need to carry out their user research. After that is done they will delete the personal data they hold, and will only send the research outputs to the Buyer.</w:t>
            </w:r>
          </w:p>
        </w:tc>
      </w:tr>
    </w:tbl>
    <w:p w14:paraId="293E3EC2" w14:textId="77777777" w:rsidR="00073D09" w:rsidRDefault="00073D09">
      <w:pPr>
        <w:pStyle w:val="Standard"/>
        <w:tabs>
          <w:tab w:val="right" w:pos="9026"/>
        </w:tabs>
        <w:ind w:left="0"/>
      </w:pPr>
    </w:p>
    <w:sectPr w:rsidR="00073D09">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6A6E6" w14:textId="77777777" w:rsidR="00A55C2F" w:rsidRDefault="00A55C2F">
      <w:r>
        <w:separator/>
      </w:r>
    </w:p>
  </w:endnote>
  <w:endnote w:type="continuationSeparator" w:id="0">
    <w:p w14:paraId="047683B6" w14:textId="77777777" w:rsidR="00A55C2F" w:rsidRDefault="00A5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A121" w14:textId="77777777" w:rsidR="00553C4E" w:rsidRDefault="00500894">
    <w:pPr>
      <w:pStyle w:val="Standard"/>
      <w:tabs>
        <w:tab w:val="center" w:pos="4870"/>
        <w:tab w:val="right" w:pos="9383"/>
      </w:tabs>
      <w:ind w:firstLine="357"/>
      <w:jc w:val="right"/>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6523C" w14:textId="77777777" w:rsidR="00553C4E" w:rsidRDefault="00500894">
    <w:pPr>
      <w:pStyle w:val="Standard"/>
      <w:tabs>
        <w:tab w:val="center" w:pos="4870"/>
        <w:tab w:val="right" w:pos="9383"/>
      </w:tabs>
      <w:spacing w:before="0" w:after="0"/>
      <w:jc w:val="right"/>
    </w:pPr>
    <w:r>
      <w:fldChar w:fldCharType="begin"/>
    </w:r>
    <w:r>
      <w:instrText xml:space="preserve"> PAGE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C4F08" w14:textId="77777777" w:rsidR="00A55C2F" w:rsidRDefault="00A55C2F">
      <w:r>
        <w:rPr>
          <w:color w:val="000000"/>
        </w:rPr>
        <w:separator/>
      </w:r>
    </w:p>
  </w:footnote>
  <w:footnote w:type="continuationSeparator" w:id="0">
    <w:p w14:paraId="30FB842B" w14:textId="77777777" w:rsidR="00A55C2F" w:rsidRDefault="00A5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08FF" w14:textId="77777777" w:rsidR="00553C4E" w:rsidRDefault="00500894">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F69E" w14:textId="77777777" w:rsidR="00553C4E" w:rsidRDefault="00500894">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A37"/>
    <w:multiLevelType w:val="multilevel"/>
    <w:tmpl w:val="AA3EBEA0"/>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BB6B1B"/>
    <w:multiLevelType w:val="multilevel"/>
    <w:tmpl w:val="6AD6366E"/>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F63AA4"/>
    <w:multiLevelType w:val="multilevel"/>
    <w:tmpl w:val="ABC2C29A"/>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1C67E9"/>
    <w:multiLevelType w:val="multilevel"/>
    <w:tmpl w:val="4F3E5AAC"/>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 w15:restartNumberingAfterBreak="0">
    <w:nsid w:val="046F4406"/>
    <w:multiLevelType w:val="multilevel"/>
    <w:tmpl w:val="B8C02FEA"/>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5" w15:restartNumberingAfterBreak="0">
    <w:nsid w:val="057A538F"/>
    <w:multiLevelType w:val="multilevel"/>
    <w:tmpl w:val="D9FC4D02"/>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 w15:restartNumberingAfterBreak="0">
    <w:nsid w:val="06965350"/>
    <w:multiLevelType w:val="multilevel"/>
    <w:tmpl w:val="B3207852"/>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CA7639"/>
    <w:multiLevelType w:val="multilevel"/>
    <w:tmpl w:val="7292D7DC"/>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9035D5E"/>
    <w:multiLevelType w:val="multilevel"/>
    <w:tmpl w:val="353A4E6E"/>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 w15:restartNumberingAfterBreak="0">
    <w:nsid w:val="094A069B"/>
    <w:multiLevelType w:val="multilevel"/>
    <w:tmpl w:val="2CCE28F0"/>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0A602C6C"/>
    <w:multiLevelType w:val="multilevel"/>
    <w:tmpl w:val="EF0ADA54"/>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1" w15:restartNumberingAfterBreak="0">
    <w:nsid w:val="0B904746"/>
    <w:multiLevelType w:val="multilevel"/>
    <w:tmpl w:val="3214AE76"/>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2" w15:restartNumberingAfterBreak="0">
    <w:nsid w:val="0C293DDF"/>
    <w:multiLevelType w:val="multilevel"/>
    <w:tmpl w:val="872E92BE"/>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3" w15:restartNumberingAfterBreak="0">
    <w:nsid w:val="0C6E120D"/>
    <w:multiLevelType w:val="multilevel"/>
    <w:tmpl w:val="50B22170"/>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 w15:restartNumberingAfterBreak="0">
    <w:nsid w:val="0E755A06"/>
    <w:multiLevelType w:val="multilevel"/>
    <w:tmpl w:val="CB96E1E2"/>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 w15:restartNumberingAfterBreak="0">
    <w:nsid w:val="0ECB2F75"/>
    <w:multiLevelType w:val="multilevel"/>
    <w:tmpl w:val="AC50046E"/>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0F665D7F"/>
    <w:multiLevelType w:val="multilevel"/>
    <w:tmpl w:val="188ADAD6"/>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 w15:restartNumberingAfterBreak="0">
    <w:nsid w:val="10A53787"/>
    <w:multiLevelType w:val="multilevel"/>
    <w:tmpl w:val="F5E028F0"/>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12AA3A04"/>
    <w:multiLevelType w:val="multilevel"/>
    <w:tmpl w:val="CF0CADE4"/>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3B5413D"/>
    <w:multiLevelType w:val="multilevel"/>
    <w:tmpl w:val="035404DC"/>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0" w15:restartNumberingAfterBreak="0">
    <w:nsid w:val="140A707C"/>
    <w:multiLevelType w:val="multilevel"/>
    <w:tmpl w:val="311A159A"/>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1" w15:restartNumberingAfterBreak="0">
    <w:nsid w:val="18A82460"/>
    <w:multiLevelType w:val="multilevel"/>
    <w:tmpl w:val="587ADC90"/>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2" w15:restartNumberingAfterBreak="0">
    <w:nsid w:val="19F61EDA"/>
    <w:multiLevelType w:val="multilevel"/>
    <w:tmpl w:val="7C881198"/>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23" w15:restartNumberingAfterBreak="0">
    <w:nsid w:val="1C1D2AC9"/>
    <w:multiLevelType w:val="multilevel"/>
    <w:tmpl w:val="4FEEC9FA"/>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1E7075C0"/>
    <w:multiLevelType w:val="multilevel"/>
    <w:tmpl w:val="4044EB66"/>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EE61702"/>
    <w:multiLevelType w:val="multilevel"/>
    <w:tmpl w:val="B0D21898"/>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1FFE7CD6"/>
    <w:multiLevelType w:val="multilevel"/>
    <w:tmpl w:val="BFD87682"/>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1667FE"/>
    <w:multiLevelType w:val="multilevel"/>
    <w:tmpl w:val="7068CD86"/>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22764292"/>
    <w:multiLevelType w:val="multilevel"/>
    <w:tmpl w:val="4F40A6A0"/>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9" w15:restartNumberingAfterBreak="0">
    <w:nsid w:val="22E84443"/>
    <w:multiLevelType w:val="multilevel"/>
    <w:tmpl w:val="F4DC3518"/>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0" w15:restartNumberingAfterBreak="0">
    <w:nsid w:val="235A62C5"/>
    <w:multiLevelType w:val="multilevel"/>
    <w:tmpl w:val="ED88201A"/>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51269B7"/>
    <w:multiLevelType w:val="multilevel"/>
    <w:tmpl w:val="C85E5D66"/>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2" w15:restartNumberingAfterBreak="0">
    <w:nsid w:val="28255EC5"/>
    <w:multiLevelType w:val="multilevel"/>
    <w:tmpl w:val="EB7A36EC"/>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89819E7"/>
    <w:multiLevelType w:val="multilevel"/>
    <w:tmpl w:val="F22AC284"/>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4" w15:restartNumberingAfterBreak="0">
    <w:nsid w:val="291661C2"/>
    <w:multiLevelType w:val="multilevel"/>
    <w:tmpl w:val="54746446"/>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5F4DF3"/>
    <w:multiLevelType w:val="multilevel"/>
    <w:tmpl w:val="5DE0E85C"/>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6" w15:restartNumberingAfterBreak="0">
    <w:nsid w:val="298C282B"/>
    <w:multiLevelType w:val="multilevel"/>
    <w:tmpl w:val="4866D000"/>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B4E0999"/>
    <w:multiLevelType w:val="multilevel"/>
    <w:tmpl w:val="D10AF53E"/>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8" w15:restartNumberingAfterBreak="0">
    <w:nsid w:val="2CFF0059"/>
    <w:multiLevelType w:val="multilevel"/>
    <w:tmpl w:val="F1C6D5F8"/>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9" w15:restartNumberingAfterBreak="0">
    <w:nsid w:val="2D955923"/>
    <w:multiLevelType w:val="multilevel"/>
    <w:tmpl w:val="BB3A1FC6"/>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2E25705B"/>
    <w:multiLevelType w:val="multilevel"/>
    <w:tmpl w:val="32DA2FF4"/>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2E536F3D"/>
    <w:multiLevelType w:val="multilevel"/>
    <w:tmpl w:val="B1580688"/>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2FD53303"/>
    <w:multiLevelType w:val="multilevel"/>
    <w:tmpl w:val="74E61602"/>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3" w15:restartNumberingAfterBreak="0">
    <w:nsid w:val="2FD53510"/>
    <w:multiLevelType w:val="multilevel"/>
    <w:tmpl w:val="A60CC570"/>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F51456"/>
    <w:multiLevelType w:val="multilevel"/>
    <w:tmpl w:val="B7D4B0A2"/>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5" w15:restartNumberingAfterBreak="0">
    <w:nsid w:val="32397305"/>
    <w:multiLevelType w:val="multilevel"/>
    <w:tmpl w:val="B7C47EFE"/>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2603ED0"/>
    <w:multiLevelType w:val="multilevel"/>
    <w:tmpl w:val="EE50FCF2"/>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36BF7FCF"/>
    <w:multiLevelType w:val="multilevel"/>
    <w:tmpl w:val="DC509BDE"/>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8" w15:restartNumberingAfterBreak="0">
    <w:nsid w:val="37550296"/>
    <w:multiLevelType w:val="multilevel"/>
    <w:tmpl w:val="BB68045E"/>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9" w15:restartNumberingAfterBreak="0">
    <w:nsid w:val="377129B0"/>
    <w:multiLevelType w:val="multilevel"/>
    <w:tmpl w:val="E9D2C668"/>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3A952A63"/>
    <w:multiLevelType w:val="multilevel"/>
    <w:tmpl w:val="BD8879A6"/>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1" w15:restartNumberingAfterBreak="0">
    <w:nsid w:val="3B5E3248"/>
    <w:multiLevelType w:val="multilevel"/>
    <w:tmpl w:val="573C34B8"/>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3B892BD0"/>
    <w:multiLevelType w:val="multilevel"/>
    <w:tmpl w:val="2CB479E8"/>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3" w15:restartNumberingAfterBreak="0">
    <w:nsid w:val="3BDD3FCC"/>
    <w:multiLevelType w:val="multilevel"/>
    <w:tmpl w:val="5E00B420"/>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4" w15:restartNumberingAfterBreak="0">
    <w:nsid w:val="3C001F23"/>
    <w:multiLevelType w:val="multilevel"/>
    <w:tmpl w:val="5096FA64"/>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3E0172F3"/>
    <w:multiLevelType w:val="multilevel"/>
    <w:tmpl w:val="3A7E7CA8"/>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3FCD4EF9"/>
    <w:multiLevelType w:val="multilevel"/>
    <w:tmpl w:val="B57273FA"/>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7" w15:restartNumberingAfterBreak="0">
    <w:nsid w:val="41312BAA"/>
    <w:multiLevelType w:val="multilevel"/>
    <w:tmpl w:val="B9A69C66"/>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8" w15:restartNumberingAfterBreak="0">
    <w:nsid w:val="45074D6F"/>
    <w:multiLevelType w:val="multilevel"/>
    <w:tmpl w:val="D4BCC380"/>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9" w15:restartNumberingAfterBreak="0">
    <w:nsid w:val="455759EB"/>
    <w:multiLevelType w:val="multilevel"/>
    <w:tmpl w:val="88DCC75C"/>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0" w15:restartNumberingAfterBreak="0">
    <w:nsid w:val="48D00B75"/>
    <w:multiLevelType w:val="multilevel"/>
    <w:tmpl w:val="5C2221AC"/>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48FA6173"/>
    <w:multiLevelType w:val="multilevel"/>
    <w:tmpl w:val="95CC473C"/>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4A8D3803"/>
    <w:multiLevelType w:val="multilevel"/>
    <w:tmpl w:val="0E423D28"/>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4FF06C65"/>
    <w:multiLevelType w:val="multilevel"/>
    <w:tmpl w:val="3A704B72"/>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4" w15:restartNumberingAfterBreak="0">
    <w:nsid w:val="505B71C0"/>
    <w:multiLevelType w:val="multilevel"/>
    <w:tmpl w:val="5226E8BC"/>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50936B7B"/>
    <w:multiLevelType w:val="multilevel"/>
    <w:tmpl w:val="57DAA546"/>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6" w15:restartNumberingAfterBreak="0">
    <w:nsid w:val="5125405C"/>
    <w:multiLevelType w:val="multilevel"/>
    <w:tmpl w:val="97564636"/>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516C6407"/>
    <w:multiLevelType w:val="multilevel"/>
    <w:tmpl w:val="3E7EB774"/>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1B7322D"/>
    <w:multiLevelType w:val="multilevel"/>
    <w:tmpl w:val="511E3F72"/>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56A36805"/>
    <w:multiLevelType w:val="multilevel"/>
    <w:tmpl w:val="CFA8FA98"/>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0" w15:restartNumberingAfterBreak="0">
    <w:nsid w:val="57C72B3C"/>
    <w:multiLevelType w:val="multilevel"/>
    <w:tmpl w:val="C0DA104E"/>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1" w15:restartNumberingAfterBreak="0">
    <w:nsid w:val="58D70BA3"/>
    <w:multiLevelType w:val="multilevel"/>
    <w:tmpl w:val="4C58392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5FB5794C"/>
    <w:multiLevelType w:val="multilevel"/>
    <w:tmpl w:val="6CD4800E"/>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73" w15:restartNumberingAfterBreak="0">
    <w:nsid w:val="5FC42A8D"/>
    <w:multiLevelType w:val="multilevel"/>
    <w:tmpl w:val="542C6EDA"/>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4" w15:restartNumberingAfterBreak="0">
    <w:nsid w:val="5FDD7BC1"/>
    <w:multiLevelType w:val="multilevel"/>
    <w:tmpl w:val="E0B07952"/>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5" w15:restartNumberingAfterBreak="0">
    <w:nsid w:val="61233D52"/>
    <w:multiLevelType w:val="multilevel"/>
    <w:tmpl w:val="6B7849C8"/>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6" w15:restartNumberingAfterBreak="0">
    <w:nsid w:val="61D31F38"/>
    <w:multiLevelType w:val="multilevel"/>
    <w:tmpl w:val="CD166B54"/>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7" w15:restartNumberingAfterBreak="0">
    <w:nsid w:val="640A2D21"/>
    <w:multiLevelType w:val="multilevel"/>
    <w:tmpl w:val="EF2E5278"/>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78" w15:restartNumberingAfterBreak="0">
    <w:nsid w:val="64E27E63"/>
    <w:multiLevelType w:val="multilevel"/>
    <w:tmpl w:val="DB504EE6"/>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9" w15:restartNumberingAfterBreak="0">
    <w:nsid w:val="66A16D5C"/>
    <w:multiLevelType w:val="multilevel"/>
    <w:tmpl w:val="57967D98"/>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0" w15:restartNumberingAfterBreak="0">
    <w:nsid w:val="674E6D41"/>
    <w:multiLevelType w:val="multilevel"/>
    <w:tmpl w:val="4A8AFCC2"/>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1" w15:restartNumberingAfterBreak="0">
    <w:nsid w:val="68B11CB8"/>
    <w:multiLevelType w:val="multilevel"/>
    <w:tmpl w:val="FE1C3C64"/>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2" w15:restartNumberingAfterBreak="0">
    <w:nsid w:val="69815106"/>
    <w:multiLevelType w:val="multilevel"/>
    <w:tmpl w:val="3F1A13DE"/>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3" w15:restartNumberingAfterBreak="0">
    <w:nsid w:val="6AB8759E"/>
    <w:multiLevelType w:val="multilevel"/>
    <w:tmpl w:val="EAA69C9E"/>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4" w15:restartNumberingAfterBreak="0">
    <w:nsid w:val="6AE10B9F"/>
    <w:multiLevelType w:val="multilevel"/>
    <w:tmpl w:val="12AED952"/>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85" w15:restartNumberingAfterBreak="0">
    <w:nsid w:val="6BA43594"/>
    <w:multiLevelType w:val="multilevel"/>
    <w:tmpl w:val="3788E32A"/>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6DB057EB"/>
    <w:multiLevelType w:val="multilevel"/>
    <w:tmpl w:val="1E5C0EA0"/>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6E9E79BD"/>
    <w:multiLevelType w:val="multilevel"/>
    <w:tmpl w:val="22C2E9AC"/>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8" w15:restartNumberingAfterBreak="0">
    <w:nsid w:val="70070C6A"/>
    <w:multiLevelType w:val="multilevel"/>
    <w:tmpl w:val="D05C195A"/>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9" w15:restartNumberingAfterBreak="0">
    <w:nsid w:val="7076277E"/>
    <w:multiLevelType w:val="multilevel"/>
    <w:tmpl w:val="8308551E"/>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0" w15:restartNumberingAfterBreak="0">
    <w:nsid w:val="71C61B1A"/>
    <w:multiLevelType w:val="multilevel"/>
    <w:tmpl w:val="D2FA39D6"/>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1" w15:restartNumberingAfterBreak="0">
    <w:nsid w:val="72696934"/>
    <w:multiLevelType w:val="multilevel"/>
    <w:tmpl w:val="66B822E8"/>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2" w15:restartNumberingAfterBreak="0">
    <w:nsid w:val="754E00D1"/>
    <w:multiLevelType w:val="multilevel"/>
    <w:tmpl w:val="17F8F74E"/>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764A3A90"/>
    <w:multiLevelType w:val="multilevel"/>
    <w:tmpl w:val="F20AF1FC"/>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4" w15:restartNumberingAfterBreak="0">
    <w:nsid w:val="76806A6A"/>
    <w:multiLevelType w:val="multilevel"/>
    <w:tmpl w:val="7BC24042"/>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6B84A8B"/>
    <w:multiLevelType w:val="multilevel"/>
    <w:tmpl w:val="E87C62E0"/>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6" w15:restartNumberingAfterBreak="0">
    <w:nsid w:val="7950478B"/>
    <w:multiLevelType w:val="multilevel"/>
    <w:tmpl w:val="DB42F5F6"/>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7" w15:restartNumberingAfterBreak="0">
    <w:nsid w:val="79697F6C"/>
    <w:multiLevelType w:val="multilevel"/>
    <w:tmpl w:val="4F668AEC"/>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7A5C7538"/>
    <w:multiLevelType w:val="multilevel"/>
    <w:tmpl w:val="77EC1D1E"/>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9" w15:restartNumberingAfterBreak="0">
    <w:nsid w:val="7AFA1792"/>
    <w:multiLevelType w:val="multilevel"/>
    <w:tmpl w:val="020270F2"/>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0" w15:restartNumberingAfterBreak="0">
    <w:nsid w:val="7AFF5E2F"/>
    <w:multiLevelType w:val="multilevel"/>
    <w:tmpl w:val="DAD0FA24"/>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1" w15:restartNumberingAfterBreak="0">
    <w:nsid w:val="7DE17346"/>
    <w:multiLevelType w:val="multilevel"/>
    <w:tmpl w:val="4816D95E"/>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2" w15:restartNumberingAfterBreak="0">
    <w:nsid w:val="7E6F4785"/>
    <w:multiLevelType w:val="multilevel"/>
    <w:tmpl w:val="E24629FC"/>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3" w15:restartNumberingAfterBreak="0">
    <w:nsid w:val="7FC20E8F"/>
    <w:multiLevelType w:val="multilevel"/>
    <w:tmpl w:val="70305EC4"/>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1"/>
  </w:num>
  <w:num w:numId="2">
    <w:abstractNumId w:val="85"/>
  </w:num>
  <w:num w:numId="3">
    <w:abstractNumId w:val="44"/>
  </w:num>
  <w:num w:numId="4">
    <w:abstractNumId w:val="70"/>
  </w:num>
  <w:num w:numId="5">
    <w:abstractNumId w:val="81"/>
  </w:num>
  <w:num w:numId="6">
    <w:abstractNumId w:val="14"/>
  </w:num>
  <w:num w:numId="7">
    <w:abstractNumId w:val="28"/>
  </w:num>
  <w:num w:numId="8">
    <w:abstractNumId w:val="79"/>
  </w:num>
  <w:num w:numId="9">
    <w:abstractNumId w:val="64"/>
  </w:num>
  <w:num w:numId="10">
    <w:abstractNumId w:val="15"/>
  </w:num>
  <w:num w:numId="11">
    <w:abstractNumId w:val="19"/>
  </w:num>
  <w:num w:numId="12">
    <w:abstractNumId w:val="87"/>
  </w:num>
  <w:num w:numId="13">
    <w:abstractNumId w:val="12"/>
  </w:num>
  <w:num w:numId="14">
    <w:abstractNumId w:val="95"/>
  </w:num>
  <w:num w:numId="15">
    <w:abstractNumId w:val="58"/>
  </w:num>
  <w:num w:numId="16">
    <w:abstractNumId w:val="51"/>
  </w:num>
  <w:num w:numId="17">
    <w:abstractNumId w:val="96"/>
  </w:num>
  <w:num w:numId="18">
    <w:abstractNumId w:val="45"/>
  </w:num>
  <w:num w:numId="19">
    <w:abstractNumId w:val="47"/>
  </w:num>
  <w:num w:numId="20">
    <w:abstractNumId w:val="21"/>
  </w:num>
  <w:num w:numId="21">
    <w:abstractNumId w:val="11"/>
  </w:num>
  <w:num w:numId="22">
    <w:abstractNumId w:val="39"/>
  </w:num>
  <w:num w:numId="23">
    <w:abstractNumId w:val="40"/>
  </w:num>
  <w:num w:numId="24">
    <w:abstractNumId w:val="98"/>
  </w:num>
  <w:num w:numId="25">
    <w:abstractNumId w:val="41"/>
  </w:num>
  <w:num w:numId="26">
    <w:abstractNumId w:val="89"/>
  </w:num>
  <w:num w:numId="27">
    <w:abstractNumId w:val="83"/>
  </w:num>
  <w:num w:numId="28">
    <w:abstractNumId w:val="78"/>
  </w:num>
  <w:num w:numId="29">
    <w:abstractNumId w:val="20"/>
  </w:num>
  <w:num w:numId="30">
    <w:abstractNumId w:val="9"/>
  </w:num>
  <w:num w:numId="31">
    <w:abstractNumId w:val="93"/>
  </w:num>
  <w:num w:numId="32">
    <w:abstractNumId w:val="84"/>
  </w:num>
  <w:num w:numId="33">
    <w:abstractNumId w:val="72"/>
  </w:num>
  <w:num w:numId="34">
    <w:abstractNumId w:val="22"/>
  </w:num>
  <w:num w:numId="35">
    <w:abstractNumId w:val="32"/>
  </w:num>
  <w:num w:numId="36">
    <w:abstractNumId w:val="48"/>
  </w:num>
  <w:num w:numId="37">
    <w:abstractNumId w:val="91"/>
  </w:num>
  <w:num w:numId="38">
    <w:abstractNumId w:val="68"/>
  </w:num>
  <w:num w:numId="39">
    <w:abstractNumId w:val="56"/>
  </w:num>
  <w:num w:numId="40">
    <w:abstractNumId w:val="73"/>
  </w:num>
  <w:num w:numId="41">
    <w:abstractNumId w:val="6"/>
  </w:num>
  <w:num w:numId="42">
    <w:abstractNumId w:val="57"/>
  </w:num>
  <w:num w:numId="43">
    <w:abstractNumId w:val="61"/>
  </w:num>
  <w:num w:numId="44">
    <w:abstractNumId w:val="16"/>
  </w:num>
  <w:num w:numId="45">
    <w:abstractNumId w:val="80"/>
  </w:num>
  <w:num w:numId="46">
    <w:abstractNumId w:val="34"/>
  </w:num>
  <w:num w:numId="47">
    <w:abstractNumId w:val="29"/>
  </w:num>
  <w:num w:numId="48">
    <w:abstractNumId w:val="43"/>
  </w:num>
  <w:num w:numId="49">
    <w:abstractNumId w:val="92"/>
  </w:num>
  <w:num w:numId="50">
    <w:abstractNumId w:val="2"/>
  </w:num>
  <w:num w:numId="51">
    <w:abstractNumId w:val="26"/>
  </w:num>
  <w:num w:numId="52">
    <w:abstractNumId w:val="103"/>
  </w:num>
  <w:num w:numId="53">
    <w:abstractNumId w:val="1"/>
  </w:num>
  <w:num w:numId="54">
    <w:abstractNumId w:val="53"/>
  </w:num>
  <w:num w:numId="55">
    <w:abstractNumId w:val="65"/>
  </w:num>
  <w:num w:numId="56">
    <w:abstractNumId w:val="0"/>
  </w:num>
  <w:num w:numId="57">
    <w:abstractNumId w:val="50"/>
  </w:num>
  <w:num w:numId="58">
    <w:abstractNumId w:val="35"/>
  </w:num>
  <w:num w:numId="59">
    <w:abstractNumId w:val="75"/>
  </w:num>
  <w:num w:numId="60">
    <w:abstractNumId w:val="100"/>
  </w:num>
  <w:num w:numId="61">
    <w:abstractNumId w:val="82"/>
  </w:num>
  <w:num w:numId="62">
    <w:abstractNumId w:val="66"/>
  </w:num>
  <w:num w:numId="63">
    <w:abstractNumId w:val="99"/>
  </w:num>
  <w:num w:numId="64">
    <w:abstractNumId w:val="33"/>
  </w:num>
  <w:num w:numId="65">
    <w:abstractNumId w:val="101"/>
  </w:num>
  <w:num w:numId="66">
    <w:abstractNumId w:val="46"/>
  </w:num>
  <w:num w:numId="67">
    <w:abstractNumId w:val="55"/>
  </w:num>
  <w:num w:numId="68">
    <w:abstractNumId w:val="74"/>
  </w:num>
  <w:num w:numId="69">
    <w:abstractNumId w:val="63"/>
  </w:num>
  <w:num w:numId="70">
    <w:abstractNumId w:val="86"/>
  </w:num>
  <w:num w:numId="71">
    <w:abstractNumId w:val="52"/>
  </w:num>
  <w:num w:numId="72">
    <w:abstractNumId w:val="27"/>
  </w:num>
  <w:num w:numId="73">
    <w:abstractNumId w:val="17"/>
  </w:num>
  <w:num w:numId="74">
    <w:abstractNumId w:val="3"/>
  </w:num>
  <w:num w:numId="75">
    <w:abstractNumId w:val="7"/>
  </w:num>
  <w:num w:numId="76">
    <w:abstractNumId w:val="76"/>
  </w:num>
  <w:num w:numId="77">
    <w:abstractNumId w:val="94"/>
  </w:num>
  <w:num w:numId="78">
    <w:abstractNumId w:val="67"/>
  </w:num>
  <w:num w:numId="79">
    <w:abstractNumId w:val="37"/>
  </w:num>
  <w:num w:numId="80">
    <w:abstractNumId w:val="88"/>
  </w:num>
  <w:num w:numId="81">
    <w:abstractNumId w:val="90"/>
  </w:num>
  <w:num w:numId="82">
    <w:abstractNumId w:val="24"/>
  </w:num>
  <w:num w:numId="83">
    <w:abstractNumId w:val="30"/>
  </w:num>
  <w:num w:numId="84">
    <w:abstractNumId w:val="102"/>
  </w:num>
  <w:num w:numId="85">
    <w:abstractNumId w:val="5"/>
  </w:num>
  <w:num w:numId="86">
    <w:abstractNumId w:val="62"/>
  </w:num>
  <w:num w:numId="87">
    <w:abstractNumId w:val="69"/>
  </w:num>
  <w:num w:numId="88">
    <w:abstractNumId w:val="42"/>
  </w:num>
  <w:num w:numId="89">
    <w:abstractNumId w:val="60"/>
  </w:num>
  <w:num w:numId="90">
    <w:abstractNumId w:val="13"/>
  </w:num>
  <w:num w:numId="91">
    <w:abstractNumId w:val="8"/>
  </w:num>
  <w:num w:numId="92">
    <w:abstractNumId w:val="38"/>
  </w:num>
  <w:num w:numId="93">
    <w:abstractNumId w:val="31"/>
  </w:num>
  <w:num w:numId="94">
    <w:abstractNumId w:val="59"/>
  </w:num>
  <w:num w:numId="95">
    <w:abstractNumId w:val="77"/>
  </w:num>
  <w:num w:numId="96">
    <w:abstractNumId w:val="10"/>
  </w:num>
  <w:num w:numId="97">
    <w:abstractNumId w:val="54"/>
  </w:num>
  <w:num w:numId="98">
    <w:abstractNumId w:val="36"/>
  </w:num>
  <w:num w:numId="99">
    <w:abstractNumId w:val="23"/>
  </w:num>
  <w:num w:numId="100">
    <w:abstractNumId w:val="18"/>
  </w:num>
  <w:num w:numId="101">
    <w:abstractNumId w:val="49"/>
  </w:num>
  <w:num w:numId="102">
    <w:abstractNumId w:val="25"/>
  </w:num>
  <w:num w:numId="103">
    <w:abstractNumId w:val="97"/>
  </w:num>
  <w:num w:numId="104">
    <w:abstractNumId w:val="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09"/>
    <w:rsid w:val="00073D09"/>
    <w:rsid w:val="0010689A"/>
    <w:rsid w:val="001241B7"/>
    <w:rsid w:val="00142B28"/>
    <w:rsid w:val="002556C3"/>
    <w:rsid w:val="00331598"/>
    <w:rsid w:val="003536A9"/>
    <w:rsid w:val="00373A1C"/>
    <w:rsid w:val="003759C9"/>
    <w:rsid w:val="00392415"/>
    <w:rsid w:val="003F13F8"/>
    <w:rsid w:val="00437EAE"/>
    <w:rsid w:val="0046461F"/>
    <w:rsid w:val="004C49DF"/>
    <w:rsid w:val="00500894"/>
    <w:rsid w:val="005772C6"/>
    <w:rsid w:val="0069445B"/>
    <w:rsid w:val="006F0AAD"/>
    <w:rsid w:val="00755F4F"/>
    <w:rsid w:val="00776114"/>
    <w:rsid w:val="007C5807"/>
    <w:rsid w:val="007D408D"/>
    <w:rsid w:val="008B4B7E"/>
    <w:rsid w:val="00940582"/>
    <w:rsid w:val="0097315A"/>
    <w:rsid w:val="00A2079E"/>
    <w:rsid w:val="00A4578D"/>
    <w:rsid w:val="00A55C2F"/>
    <w:rsid w:val="00A8113B"/>
    <w:rsid w:val="00AE6F02"/>
    <w:rsid w:val="00C35B97"/>
    <w:rsid w:val="00CD5B06"/>
    <w:rsid w:val="00DE7B92"/>
    <w:rsid w:val="00E1203B"/>
    <w:rsid w:val="00E167E7"/>
    <w:rsid w:val="00EC1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DEE2"/>
  <w15:docId w15:val="{BF9D9A14-D44F-411D-9368-7D8F53E2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 w:type="paragraph" w:styleId="NormalWeb">
    <w:name w:val="Normal (Web)"/>
    <w:basedOn w:val="Normal"/>
    <w:uiPriority w:val="99"/>
    <w:semiHidden/>
    <w:unhideWhenUsed/>
    <w:rsid w:val="007D408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039657">
      <w:bodyDiv w:val="1"/>
      <w:marLeft w:val="0"/>
      <w:marRight w:val="0"/>
      <w:marTop w:val="0"/>
      <w:marBottom w:val="0"/>
      <w:divBdr>
        <w:top w:val="none" w:sz="0" w:space="0" w:color="auto"/>
        <w:left w:val="none" w:sz="0" w:space="0" w:color="auto"/>
        <w:bottom w:val="none" w:sz="0" w:space="0" w:color="auto"/>
        <w:right w:val="none" w:sz="0" w:space="0" w:color="auto"/>
      </w:divBdr>
    </w:div>
    <w:div w:id="1820805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ranet.cabinetoffice.gov.uk/task/sustainable-develop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cabinetoffice.gov.uk/how-do-i/security-hu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Maria  Vujinovic</cp:lastModifiedBy>
  <cp:revision>18</cp:revision>
  <dcterms:created xsi:type="dcterms:W3CDTF">2022-06-17T14:44:00Z</dcterms:created>
  <dcterms:modified xsi:type="dcterms:W3CDTF">2022-06-23T07:31:00Z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